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D2" w:rsidRPr="005814F5" w:rsidRDefault="003E2DD2" w:rsidP="003E2DD2">
      <w:pPr>
        <w:spacing w:after="0"/>
        <w:jc w:val="right"/>
      </w:pPr>
      <w:r>
        <w:rPr>
          <w:noProof/>
          <w:lang w:eastAsia="en-AU"/>
        </w:rPr>
        <w:drawing>
          <wp:inline distT="0" distB="0" distL="0" distR="0" wp14:anchorId="456DD056" wp14:editId="20DE4FB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E2DD2" w:rsidRDefault="003E2DD2" w:rsidP="003E2DD2">
      <w:pPr>
        <w:pStyle w:val="Heading1"/>
        <w:rPr>
          <w:rFonts w:hint="eastAsia"/>
          <w:lang w:eastAsia="en-AU"/>
        </w:rPr>
      </w:pPr>
      <w:r>
        <w:rPr>
          <w:lang w:eastAsia="en-AU"/>
        </w:rPr>
        <w:t>PLANNING SCHEME AMENDMENT C221</w:t>
      </w:r>
    </w:p>
    <w:p w:rsidR="003E2DD2" w:rsidRPr="003E2DD2" w:rsidRDefault="003E2DD2" w:rsidP="003E2DD2">
      <w:pPr>
        <w:pStyle w:val="Heading2"/>
        <w:rPr>
          <w:rFonts w:hint="eastAsia"/>
        </w:rPr>
      </w:pPr>
      <w:r w:rsidRPr="003E2DD2">
        <w:rPr>
          <w:rStyle w:val="Heading3Char"/>
          <w:sz w:val="24"/>
        </w:rPr>
        <w:t>WEST MELBOURNE WATERFRONT</w:t>
      </w:r>
    </w:p>
    <w:p w:rsidR="003E2DD2" w:rsidRPr="003E2DD2" w:rsidRDefault="003E2DD2" w:rsidP="003E2DD2">
      <w:pPr>
        <w:rPr>
          <w:lang w:eastAsia="en-AU"/>
        </w:rPr>
      </w:pPr>
      <w:r w:rsidRPr="003E2DD2">
        <w:rPr>
          <w:lang w:eastAsia="en-AU"/>
        </w:rPr>
        <w:t>Dear Sir/Madam</w:t>
      </w:r>
    </w:p>
    <w:p w:rsidR="003E2DD2" w:rsidRPr="003E2DD2" w:rsidRDefault="003E2DD2" w:rsidP="003E2DD2">
      <w:pPr>
        <w:rPr>
          <w:lang w:eastAsia="en-AU"/>
        </w:rPr>
      </w:pPr>
      <w:r w:rsidRPr="003E2DD2">
        <w:rPr>
          <w:lang w:eastAsia="en-AU"/>
        </w:rPr>
        <w:t>Melbourne Planning Scheme Amendment C221 aims to facilitate a mixed use, residential, commercial and retail</w:t>
      </w:r>
      <w:r>
        <w:rPr>
          <w:lang w:eastAsia="en-AU"/>
        </w:rPr>
        <w:t xml:space="preserve"> </w:t>
      </w:r>
      <w:r w:rsidRPr="003E2DD2">
        <w:rPr>
          <w:lang w:eastAsia="en-AU"/>
        </w:rPr>
        <w:t>development. The amendment applies to land adjoining the Maribyrnong River, at part 156-174 Kensington Road,</w:t>
      </w:r>
      <w:r>
        <w:rPr>
          <w:lang w:eastAsia="en-AU"/>
        </w:rPr>
        <w:t xml:space="preserve"> </w:t>
      </w:r>
      <w:r w:rsidRPr="003E2DD2">
        <w:rPr>
          <w:lang w:eastAsia="en-AU"/>
        </w:rPr>
        <w:t>176-178 Kensington Road, 180-194 Kensington Road, 196-214 Kensington Road and 216-232 Kensington Road,</w:t>
      </w:r>
      <w:r>
        <w:rPr>
          <w:lang w:eastAsia="en-AU"/>
        </w:rPr>
        <w:t xml:space="preserve"> </w:t>
      </w:r>
      <w:r w:rsidRPr="003E2DD2">
        <w:rPr>
          <w:lang w:eastAsia="en-AU"/>
        </w:rPr>
        <w:t>West Melbourne (please refer to attached site area map).</w:t>
      </w:r>
    </w:p>
    <w:p w:rsidR="003E2DD2" w:rsidRDefault="003E2DD2" w:rsidP="003E2DD2">
      <w:pPr>
        <w:rPr>
          <w:lang w:eastAsia="en-AU"/>
        </w:rPr>
      </w:pPr>
      <w:r w:rsidRPr="003E2DD2">
        <w:rPr>
          <w:lang w:eastAsia="en-AU"/>
        </w:rPr>
        <w:t>The Amendment proposes to make the following changes to</w:t>
      </w:r>
      <w:r>
        <w:rPr>
          <w:lang w:eastAsia="en-AU"/>
        </w:rPr>
        <w:t xml:space="preserve"> the Melbourne Planning Scheme:</w:t>
      </w:r>
    </w:p>
    <w:p w:rsidR="003E2DD2" w:rsidRDefault="003E2DD2" w:rsidP="003E2DD2">
      <w:pPr>
        <w:pStyle w:val="ListBullet"/>
        <w:rPr>
          <w:lang w:eastAsia="en-AU"/>
        </w:rPr>
      </w:pPr>
      <w:r w:rsidRPr="003E2DD2">
        <w:rPr>
          <w:lang w:eastAsia="en-AU"/>
        </w:rPr>
        <w:t>Rezone the land from Commercial 2 Zone to the Mixed Use Zone.</w:t>
      </w:r>
    </w:p>
    <w:p w:rsidR="00C14A6F" w:rsidRDefault="003E2DD2" w:rsidP="003E2DD2">
      <w:pPr>
        <w:pStyle w:val="ListBullet"/>
        <w:rPr>
          <w:lang w:eastAsia="en-AU"/>
        </w:rPr>
      </w:pPr>
      <w:r w:rsidRPr="003E2DD2">
        <w:rPr>
          <w:lang w:eastAsia="en-AU"/>
        </w:rPr>
        <w:t>Apply a Development Plan Overlay (DPO) to the land and insert a new Schedule 12 to the Overlay (DPO12). The DPO</w:t>
      </w:r>
      <w:r>
        <w:rPr>
          <w:lang w:eastAsia="en-AU"/>
        </w:rPr>
        <w:t xml:space="preserve"> </w:t>
      </w:r>
      <w:r w:rsidRPr="003E2DD2">
        <w:rPr>
          <w:lang w:eastAsia="en-AU"/>
        </w:rPr>
        <w:t>provides for a staged, development comprising four mixed use buildings ranging in height from three to fourteen</w:t>
      </w:r>
      <w:r>
        <w:rPr>
          <w:lang w:eastAsia="en-AU"/>
        </w:rPr>
        <w:t xml:space="preserve"> </w:t>
      </w:r>
      <w:proofErr w:type="spellStart"/>
      <w:r w:rsidRPr="003E2DD2">
        <w:rPr>
          <w:lang w:eastAsia="en-AU"/>
        </w:rPr>
        <w:t>storeys</w:t>
      </w:r>
      <w:proofErr w:type="spellEnd"/>
      <w:r w:rsidRPr="003E2DD2">
        <w:rPr>
          <w:lang w:eastAsia="en-AU"/>
        </w:rPr>
        <w:t>, and requires that a development plan be prepared prior to the granting of a planning permit for development</w:t>
      </w:r>
      <w:r w:rsidR="00C14A6F">
        <w:rPr>
          <w:lang w:eastAsia="en-AU"/>
        </w:rPr>
        <w:t xml:space="preserve"> </w:t>
      </w:r>
      <w:r w:rsidRPr="003E2DD2">
        <w:rPr>
          <w:lang w:eastAsia="en-AU"/>
        </w:rPr>
        <w:t>(please refer to the attached Indicative Framework Plan for further detail).</w:t>
      </w:r>
    </w:p>
    <w:p w:rsidR="003E2DD2" w:rsidRPr="003E2DD2" w:rsidRDefault="003E2DD2" w:rsidP="003E2DD2">
      <w:pPr>
        <w:pStyle w:val="ListBullet"/>
        <w:rPr>
          <w:lang w:eastAsia="en-AU"/>
        </w:rPr>
      </w:pPr>
      <w:r w:rsidRPr="003E2DD2">
        <w:rPr>
          <w:lang w:eastAsia="en-AU"/>
        </w:rPr>
        <w:t>Apply an Environmental Audit Overlay (EAO) to ensure the land is satisfactorily remediated prior to being developed</w:t>
      </w:r>
      <w:r w:rsidR="00C14A6F">
        <w:rPr>
          <w:lang w:eastAsia="en-AU"/>
        </w:rPr>
        <w:t xml:space="preserve"> </w:t>
      </w:r>
      <w:r w:rsidRPr="003E2DD2">
        <w:rPr>
          <w:lang w:eastAsia="en-AU"/>
        </w:rPr>
        <w:t>for a sensitive use (such as residential).</w:t>
      </w:r>
    </w:p>
    <w:p w:rsidR="003E2DD2" w:rsidRPr="003E2DD2" w:rsidRDefault="003E2DD2" w:rsidP="003E2DD2">
      <w:pPr>
        <w:rPr>
          <w:lang w:eastAsia="en-AU"/>
        </w:rPr>
      </w:pPr>
      <w:r w:rsidRPr="003E2DD2">
        <w:rPr>
          <w:lang w:eastAsia="en-AU"/>
        </w:rPr>
        <w:t>From 7 April 2016 to 20 May 2016, the amendment along with the Development Plan will be on public exhibition.</w:t>
      </w:r>
      <w:r w:rsidR="00C14A6F">
        <w:rPr>
          <w:lang w:eastAsia="en-AU"/>
        </w:rPr>
        <w:t xml:space="preserve"> </w:t>
      </w:r>
      <w:r w:rsidRPr="003E2DD2">
        <w:rPr>
          <w:lang w:eastAsia="en-AU"/>
        </w:rPr>
        <w:t>Anyone can review these documents and make a submission by Friday 20 May 2016. A copy of the formal Notice of</w:t>
      </w:r>
      <w:r w:rsidR="00C14A6F">
        <w:rPr>
          <w:lang w:eastAsia="en-AU"/>
        </w:rPr>
        <w:t xml:space="preserve"> </w:t>
      </w:r>
      <w:r w:rsidRPr="003E2DD2">
        <w:rPr>
          <w:lang w:eastAsia="en-AU"/>
        </w:rPr>
        <w:t>Amendment is attached and provides directions on where you can view the Amendment and how to make a submission.</w:t>
      </w:r>
    </w:p>
    <w:p w:rsidR="003E2DD2" w:rsidRPr="003E2DD2" w:rsidRDefault="003E2DD2" w:rsidP="003E2DD2">
      <w:pPr>
        <w:rPr>
          <w:lang w:eastAsia="en-AU"/>
        </w:rPr>
      </w:pPr>
      <w:r w:rsidRPr="003E2DD2">
        <w:rPr>
          <w:lang w:eastAsia="en-AU"/>
        </w:rPr>
        <w:t>The outcomes of the exhibition and any proposed revisions to the Amendment and the Development Plan will be</w:t>
      </w:r>
      <w:r w:rsidR="00C14A6F">
        <w:rPr>
          <w:lang w:eastAsia="en-AU"/>
        </w:rPr>
        <w:t xml:space="preserve"> </w:t>
      </w:r>
      <w:r w:rsidRPr="003E2DD2">
        <w:rPr>
          <w:lang w:eastAsia="en-AU"/>
        </w:rPr>
        <w:t>reported back to the Future Melbourne Committee.</w:t>
      </w:r>
    </w:p>
    <w:p w:rsidR="003E2DD2" w:rsidRPr="003E2DD2" w:rsidRDefault="003E2DD2" w:rsidP="003E2DD2">
      <w:pPr>
        <w:rPr>
          <w:lang w:eastAsia="en-AU"/>
        </w:rPr>
      </w:pPr>
      <w:r w:rsidRPr="003E2DD2">
        <w:rPr>
          <w:lang w:eastAsia="en-AU"/>
        </w:rPr>
        <w:t xml:space="preserve">For more information please contact Sarah Lowcock, </w:t>
      </w:r>
      <w:r w:rsidR="00C14A6F">
        <w:rPr>
          <w:lang w:eastAsia="en-AU"/>
        </w:rPr>
        <w:t xml:space="preserve">Strategic Planner, on 9658 8366 </w:t>
      </w:r>
      <w:r w:rsidRPr="003E2DD2">
        <w:rPr>
          <w:lang w:eastAsia="en-AU"/>
        </w:rPr>
        <w:t>s</w:t>
      </w:r>
      <w:r w:rsidR="00C14A6F">
        <w:rPr>
          <w:lang w:eastAsia="en-AU"/>
        </w:rPr>
        <w:t>arah.lowcock@melbourne.vic.gov.</w:t>
      </w:r>
      <w:r w:rsidRPr="003E2DD2">
        <w:rPr>
          <w:lang w:eastAsia="en-AU"/>
        </w:rPr>
        <w:t>au or visit the City of Melbourne’s Participate Melbourne website participate.melbourne.vic.gov.au/C221.</w:t>
      </w:r>
    </w:p>
    <w:p w:rsidR="003E2DD2" w:rsidRPr="003E2DD2" w:rsidRDefault="003E2DD2" w:rsidP="003E2DD2">
      <w:pPr>
        <w:rPr>
          <w:lang w:eastAsia="en-AU"/>
        </w:rPr>
      </w:pPr>
      <w:r w:rsidRPr="003E2DD2">
        <w:rPr>
          <w:lang w:eastAsia="en-AU"/>
        </w:rPr>
        <w:t>Yours sincerely</w:t>
      </w:r>
    </w:p>
    <w:p w:rsidR="003E2DD2" w:rsidRPr="003E2DD2" w:rsidRDefault="003E2DD2" w:rsidP="003E2DD2">
      <w:pPr>
        <w:rPr>
          <w:lang w:eastAsia="en-AU"/>
        </w:rPr>
      </w:pPr>
      <w:r w:rsidRPr="003E2DD2">
        <w:rPr>
          <w:lang w:eastAsia="en-AU"/>
        </w:rPr>
        <w:t>Robyn Hellman</w:t>
      </w:r>
    </w:p>
    <w:p w:rsidR="00C14A6F" w:rsidRDefault="003E2DD2" w:rsidP="003E2DD2">
      <w:pPr>
        <w:rPr>
          <w:lang w:eastAsia="en-AU"/>
        </w:rPr>
      </w:pPr>
      <w:r w:rsidRPr="003E2DD2">
        <w:rPr>
          <w:lang w:eastAsia="en-AU"/>
        </w:rPr>
        <w:t>Coordinator Planning Scheme</w:t>
      </w:r>
    </w:p>
    <w:p w:rsidR="00C14A6F" w:rsidRDefault="00C14A6F" w:rsidP="00C14A6F">
      <w:pPr>
        <w:pStyle w:val="Heading3"/>
        <w:rPr>
          <w:rFonts w:hint="eastAsia"/>
          <w:lang w:eastAsia="en-AU"/>
        </w:rPr>
      </w:pPr>
      <w:r>
        <w:rPr>
          <w:rFonts w:hint="eastAsia"/>
          <w:lang w:eastAsia="en-AU"/>
        </w:rPr>
        <w:t>You</w:t>
      </w:r>
      <w:r>
        <w:rPr>
          <w:lang w:eastAsia="en-AU"/>
        </w:rPr>
        <w:t xml:space="preserve"> can comment on Planning Scheme Amendment C221 from 7 April to 20 May.</w:t>
      </w:r>
    </w:p>
    <w:p w:rsidR="00C14A6F" w:rsidRDefault="00C14A6F">
      <w:pPr>
        <w:spacing w:after="0" w:line="240" w:lineRule="auto"/>
        <w:rPr>
          <w:rFonts w:ascii="Arial Bold" w:eastAsia="MS Gothic" w:hAnsi="Arial Bold" w:hint="eastAsia"/>
          <w:sz w:val="22"/>
          <w:szCs w:val="26"/>
          <w:lang w:val="en-US" w:eastAsia="en-AU"/>
        </w:rPr>
      </w:pPr>
      <w:r>
        <w:rPr>
          <w:rFonts w:hint="eastAsia"/>
          <w:lang w:eastAsia="en-AU"/>
        </w:rPr>
        <w:br w:type="page"/>
      </w:r>
    </w:p>
    <w:p w:rsidR="00C14A6F" w:rsidRPr="0039733F" w:rsidRDefault="00C14A6F" w:rsidP="0039733F">
      <w:pPr>
        <w:pStyle w:val="Heading2"/>
        <w:rPr>
          <w:rFonts w:hint="eastAsia"/>
        </w:rPr>
      </w:pPr>
      <w:r w:rsidRPr="0039733F">
        <w:t>THE CITY OF MELBOURNE HAS PREPARED PLANNING SCHEME AMENDMENT C221</w:t>
      </w:r>
      <w:r w:rsidR="0039733F">
        <w:t xml:space="preserve"> </w:t>
      </w:r>
      <w:r w:rsidRPr="0039733F">
        <w:t>TO MANAGE THE USE AND DEVELO PMENT OF 160-232 KENSINGTON ROAD,</w:t>
      </w:r>
      <w:r w:rsidR="0039733F">
        <w:t xml:space="preserve"> </w:t>
      </w:r>
      <w:r w:rsidRPr="0039733F">
        <w:t>WEST MELBOURNE.</w:t>
      </w:r>
    </w:p>
    <w:p w:rsidR="00F173AC" w:rsidRDefault="00C14A6F" w:rsidP="0039733F">
      <w:pPr>
        <w:pStyle w:val="Heading3"/>
        <w:rPr>
          <w:rFonts w:hint="eastAsia"/>
          <w:noProof/>
          <w:lang w:val="en-AU" w:eastAsia="en-AU"/>
        </w:rPr>
      </w:pPr>
      <w:r w:rsidRPr="0039733F">
        <w:t>West Melbourne Waterfront – Site Area</w:t>
      </w:r>
      <w:r w:rsidR="006263E7">
        <w:rPr>
          <w:noProof/>
          <w:lang w:val="en-AU" w:eastAsia="en-AU"/>
        </w:rPr>
        <w:t xml:space="preserve"> </w:t>
      </w:r>
    </w:p>
    <w:p w:rsidR="006263E7" w:rsidRPr="006263E7" w:rsidRDefault="006263E7" w:rsidP="006263E7">
      <w:pPr>
        <w:rPr>
          <w:lang w:eastAsia="en-AU"/>
        </w:rPr>
      </w:pPr>
      <w:r>
        <w:rPr>
          <w:noProof/>
          <w:lang w:eastAsia="en-AU"/>
        </w:rPr>
        <w:drawing>
          <wp:inline distT="0" distB="0" distL="0" distR="0">
            <wp:extent cx="5753100" cy="4067623"/>
            <wp:effectExtent l="0" t="0" r="0" b="9525"/>
            <wp:docPr id="7837" name="Picture 7837" descr="This figure illustrates the West Melbourne Waterfront Site Area and identifies nearby features such as JJ Holland Park, Dynon Road, Newells Paddock and the railway. " title="West Melbourne Waterfront - Sit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arlow\AppData\Local\Microsoft\Windows\Temporary Internet Files\Content.Word\West Melbourne Site Are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67623"/>
                    </a:xfrm>
                    <a:prstGeom prst="rect">
                      <a:avLst/>
                    </a:prstGeom>
                    <a:noFill/>
                    <a:ln>
                      <a:noFill/>
                    </a:ln>
                  </pic:spPr>
                </pic:pic>
              </a:graphicData>
            </a:graphic>
          </wp:inline>
        </w:drawing>
      </w:r>
    </w:p>
    <w:p w:rsidR="00C14A6F" w:rsidRPr="0039733F" w:rsidRDefault="00C14A6F" w:rsidP="0039733F">
      <w:pPr>
        <w:pStyle w:val="Heading3"/>
        <w:rPr>
          <w:rFonts w:hint="eastAsia"/>
        </w:rPr>
      </w:pPr>
      <w:r w:rsidRPr="0039733F">
        <w:t xml:space="preserve">West </w:t>
      </w:r>
      <w:r w:rsidR="0039733F">
        <w:t>Melbourne Waterfront – Indicat</w:t>
      </w:r>
      <w:r w:rsidRPr="0039733F">
        <w:t>ive Framework Plan</w:t>
      </w:r>
    </w:p>
    <w:p w:rsidR="00C14A6F" w:rsidRDefault="00F173AC">
      <w:pPr>
        <w:spacing w:after="0" w:line="240" w:lineRule="auto"/>
        <w:rPr>
          <w:rFonts w:ascii="Gotham-Medium" w:eastAsia="MS Gothic" w:hAnsi="Gotham-Medium" w:cs="Gotham-Medium"/>
          <w:sz w:val="22"/>
          <w:szCs w:val="22"/>
          <w:lang w:val="en-US" w:eastAsia="en-AU"/>
        </w:rPr>
      </w:pPr>
      <w:r>
        <w:rPr>
          <w:noProof/>
          <w:lang w:eastAsia="en-AU"/>
        </w:rPr>
        <w:drawing>
          <wp:inline distT="0" distB="0" distL="0" distR="0" wp14:anchorId="1A489825" wp14:editId="6E0183E1">
            <wp:extent cx="5662243" cy="3355451"/>
            <wp:effectExtent l="0" t="0" r="0" b="0"/>
            <wp:docPr id="12" name="Picture 12" descr="This figure illustrates the Indicative Framework Plan for the site." title="Indicative Framework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cal Policy\Amendment C221 - West Melbourne Waterfront\160302_WMW-DP-Final Framework Plan-PRINT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2243" cy="3355451"/>
                    </a:xfrm>
                    <a:prstGeom prst="rect">
                      <a:avLst/>
                    </a:prstGeom>
                    <a:noFill/>
                    <a:ln>
                      <a:noFill/>
                    </a:ln>
                  </pic:spPr>
                </pic:pic>
              </a:graphicData>
            </a:graphic>
          </wp:inline>
        </w:drawing>
      </w:r>
      <w:r w:rsidR="00C14A6F">
        <w:rPr>
          <w:rFonts w:ascii="Gotham-Medium" w:hAnsi="Gotham-Medium" w:cs="Gotham-Medium"/>
          <w:szCs w:val="22"/>
          <w:lang w:eastAsia="en-AU"/>
        </w:rPr>
        <w:br w:type="page"/>
      </w:r>
    </w:p>
    <w:p w:rsidR="00C14A6F" w:rsidRPr="00475B5E" w:rsidRDefault="00475B5E" w:rsidP="00475B5E">
      <w:pPr>
        <w:pStyle w:val="Heading2"/>
        <w:rPr>
          <w:rFonts w:hint="eastAsia"/>
        </w:rPr>
      </w:pPr>
      <w:r w:rsidRPr="00475B5E">
        <w:rPr>
          <w:rFonts w:hint="eastAsia"/>
        </w:rPr>
        <w:t>CITY OF MELBOURNE PLANNING SCHEME AMENDMENT ENGAGEMENT TIMELINE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425"/>
        <w:gridCol w:w="5012"/>
      </w:tblGrid>
      <w:tr w:rsidR="00533098" w:rsidTr="0096323F">
        <w:tc>
          <w:tcPr>
            <w:tcW w:w="3522" w:type="dxa"/>
            <w:vMerge w:val="restart"/>
            <w:tcBorders>
              <w:top w:val="single" w:sz="4" w:space="0" w:color="auto"/>
              <w:left w:val="single" w:sz="4" w:space="0" w:color="auto"/>
              <w:right w:val="single" w:sz="4" w:space="0" w:color="auto"/>
            </w:tcBorders>
            <w:shd w:val="clear" w:color="auto" w:fill="auto"/>
          </w:tcPr>
          <w:p w:rsidR="00533098" w:rsidRDefault="00533098" w:rsidP="00533098">
            <w:pPr>
              <w:pStyle w:val="Bold"/>
            </w:pPr>
            <w:r>
              <w:t>HOW DO I MAKE A SUBMISSION?</w:t>
            </w:r>
          </w:p>
          <w:p w:rsidR="00533098" w:rsidRDefault="00533098" w:rsidP="0096323F">
            <w:pPr>
              <w:rPr>
                <w:lang w:eastAsia="en-AU"/>
              </w:rPr>
            </w:pPr>
            <w:r>
              <w:rPr>
                <w:lang w:eastAsia="en-AU"/>
              </w:rPr>
              <w:t>For information on where to view the amendment and how to make a submission, see the notice at the back of this letter, or visit the City of Melbourne’s online engagement hub, Participate Melbourne participate.melbourne.vic.gov.au/C221</w:t>
            </w:r>
          </w:p>
          <w:p w:rsidR="0096323F" w:rsidRDefault="0096323F" w:rsidP="0096323F">
            <w:pPr>
              <w:rPr>
                <w:lang w:eastAsia="en-AU"/>
              </w:rPr>
            </w:pPr>
          </w:p>
          <w:p w:rsidR="0096323F" w:rsidRDefault="0096323F" w:rsidP="0096323F">
            <w:pPr>
              <w:pStyle w:val="Bold"/>
              <w:rPr>
                <w:lang w:eastAsia="en-AU"/>
              </w:rPr>
            </w:pPr>
            <w:r>
              <w:rPr>
                <w:lang w:eastAsia="en-AU"/>
              </w:rPr>
              <w:t>WHAT IS A PLANNING SCHEME?</w:t>
            </w:r>
          </w:p>
          <w:p w:rsidR="0096323F" w:rsidRDefault="0096323F" w:rsidP="0096323F">
            <w:pPr>
              <w:rPr>
                <w:lang w:eastAsia="en-AU"/>
              </w:rPr>
            </w:pPr>
            <w:r>
              <w:rPr>
                <w:lang w:eastAsia="en-AU"/>
              </w:rPr>
              <w:t>A planning scheme is a legal document that sets out planning policies, zones, overlays and other rules affecting how land can be used and developed in the municipality. It sets out what we can and cannot do on different areas of land in the city; for example, whether the land can be used for housing or a shop or business, what the height of a building should be, and how much open space should be provided.</w:t>
            </w:r>
          </w:p>
          <w:p w:rsidR="0096323F" w:rsidRDefault="0096323F" w:rsidP="0096323F">
            <w:pPr>
              <w:rPr>
                <w:lang w:eastAsia="en-AU"/>
              </w:rPr>
            </w:pPr>
          </w:p>
          <w:p w:rsidR="0096323F" w:rsidRDefault="0096323F" w:rsidP="0096323F">
            <w:pPr>
              <w:pStyle w:val="Bold"/>
              <w:rPr>
                <w:lang w:eastAsia="en-AU"/>
              </w:rPr>
            </w:pPr>
            <w:r w:rsidRPr="0096323F">
              <w:rPr>
                <w:lang w:eastAsia="en-AU"/>
              </w:rPr>
              <w:t>WHAT IS A PLANNING SCHEME AMENDMENT?</w:t>
            </w:r>
          </w:p>
          <w:p w:rsidR="0096323F" w:rsidRDefault="0096323F" w:rsidP="0096323F">
            <w:pPr>
              <w:rPr>
                <w:lang w:eastAsia="en-AU"/>
              </w:rPr>
            </w:pPr>
            <w:r>
              <w:rPr>
                <w:lang w:eastAsia="en-AU"/>
              </w:rPr>
              <w:t xml:space="preserve">As our city grows and changes, planning controls may be changed or updated to reflect the new circumstances. A change to the planning scheme is known as an amendment. </w:t>
            </w:r>
          </w:p>
          <w:p w:rsidR="0096323F" w:rsidRPr="0096323F" w:rsidRDefault="0096323F" w:rsidP="0096323F">
            <w:pPr>
              <w:rPr>
                <w:lang w:eastAsia="en-AU"/>
              </w:rPr>
            </w:pPr>
            <w:r>
              <w:rPr>
                <w:lang w:eastAsia="en-AU"/>
              </w:rPr>
              <w:t>The process for an amendment is set out in the Planning and Environment Act 1987. The amendment process has a number of steps.</w:t>
            </w:r>
          </w:p>
        </w:tc>
        <w:tc>
          <w:tcPr>
            <w:tcW w:w="425" w:type="dxa"/>
            <w:tcBorders>
              <w:top w:val="nil"/>
              <w:left w:val="single" w:sz="4" w:space="0" w:color="auto"/>
              <w:bottom w:val="nil"/>
              <w:right w:val="single" w:sz="4" w:space="0" w:color="auto"/>
            </w:tcBorders>
            <w:shd w:val="clear" w:color="auto" w:fill="auto"/>
          </w:tcPr>
          <w:p w:rsidR="00533098" w:rsidRDefault="00533098" w:rsidP="00AD11BF"/>
        </w:tc>
        <w:tc>
          <w:tcPr>
            <w:tcW w:w="5012" w:type="dxa"/>
            <w:tcBorders>
              <w:left w:val="single" w:sz="4" w:space="0" w:color="auto"/>
              <w:bottom w:val="single" w:sz="4" w:space="0" w:color="auto"/>
            </w:tcBorders>
            <w:shd w:val="clear" w:color="auto" w:fill="auto"/>
          </w:tcPr>
          <w:p w:rsidR="00533098" w:rsidRDefault="00533098" w:rsidP="00D36AF5">
            <w:pPr>
              <w:jc w:val="center"/>
            </w:pPr>
            <w:r>
              <w:t>Proposed Planning Scheme Amendment is considered by Future Melbourne Committee</w:t>
            </w:r>
          </w:p>
          <w:p w:rsidR="00533098" w:rsidRDefault="00533098" w:rsidP="00D36AF5">
            <w:pPr>
              <w:jc w:val="center"/>
            </w:pPr>
            <w:r>
              <w:t>Minister grants permission to consult on Planning Scheme Amendment.</w:t>
            </w: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nil"/>
            </w:tcBorders>
            <w:shd w:val="clear" w:color="auto" w:fill="auto"/>
          </w:tcPr>
          <w:p w:rsidR="00533098" w:rsidRDefault="00533098" w:rsidP="00AD11BF"/>
        </w:tc>
        <w:tc>
          <w:tcPr>
            <w:tcW w:w="5012" w:type="dxa"/>
            <w:tcBorders>
              <w:left w:val="nil"/>
              <w:right w:val="nil"/>
            </w:tcBorders>
            <w:shd w:val="clear" w:color="auto" w:fill="auto"/>
          </w:tcPr>
          <w:p w:rsidR="00533098" w:rsidRDefault="00533098" w:rsidP="00D36AF5">
            <w:pPr>
              <w:jc w:val="center"/>
            </w:pPr>
            <w:r>
              <w:rPr>
                <w:noProof/>
                <w:lang w:eastAsia="en-AU"/>
              </w:rPr>
              <mc:AlternateContent>
                <mc:Choice Requires="wps">
                  <w:drawing>
                    <wp:anchor distT="0" distB="0" distL="114300" distR="114300" simplePos="0" relativeHeight="251674624" behindDoc="0" locked="0" layoutInCell="1" allowOverlap="1" wp14:anchorId="3F14C777" wp14:editId="1B350802">
                      <wp:simplePos x="0" y="0"/>
                      <wp:positionH relativeFrom="column">
                        <wp:posOffset>1457325</wp:posOffset>
                      </wp:positionH>
                      <wp:positionV relativeFrom="paragraph">
                        <wp:posOffset>-3810</wp:posOffset>
                      </wp:positionV>
                      <wp:extent cx="0" cy="228600"/>
                      <wp:effectExtent l="76200" t="0" r="57150" b="57150"/>
                      <wp:wrapNone/>
                      <wp:docPr id="7832" name="Straight Connector 7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pt" to="1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2NgIAAF0EAAAOAAAAZHJzL2Uyb0RvYy54bWysVE2P2jAQvVfqf7B8h3wssBARVlUCvWxb&#10;JLY/wNgOserYlm0IqOp/79gButteqqoczNgzfn7zZibLp3Mn0YlbJ7QqcTZOMeKKaibUocRfXzaj&#10;OUbOE8WI1IqX+MIdflq9f7fsTcFz3WrJuEUAolzRmxK33psiSRxteUfcWBuuwNlo2xEPW3tImCU9&#10;oHcyydN0lvTaMmM15c7BaT048SriNw2n/kvTOO6RLDFw83G1cd2HNVktSXGwxLSCXmmQf2DREaHg&#10;0TtUTTxBRyv+gOoEtdrpxo+p7hLdNILymANkk6W/ZbNrieExFxDHmbtM7v/B0s+nrUWClfhx/pBj&#10;pEgHVdp5S8Sh9ajSSoGG2qLoBrV64wq4VKmtDfnSs9qZZ02/OaR01RJ14JH1y8UAThb0Td5cCRtn&#10;4M19/0kziCFHr6N058Z2ARJEQedYocu9QvzsER0OKZzm+XyWxuIlpLjdM9b5j1x3KBgllkIF7UhB&#10;Ts/OBx6kuIWEY6U3QspYf6lQX+LFNJ/GC05LwYIzhDl72FfSohMJHRR/MSnwvA6z+qhYBGs5Yeur&#10;7YmQYCMf1fBWgD6S4/BaxxlGksPQBGugJ1V4EXIFwldraKLvi3Sxnq/nk9Ekn61Hk7SuRx821WQ0&#10;22SP0/qhrqo6+xHIZ5OiFYxxFfjfGjqb/F3DXEdraMV7S9+FSt6iR0WB7O0/ko7FDvUdOmWv2WVr&#10;Q3ah7tDDMfg6b2FIXu9j1K+vwuonAAAA//8DAFBLAwQUAAYACAAAACEAfmncX98AAAAIAQAADwAA&#10;AGRycy9kb3ducmV2LnhtbEyPQUvDQBSE74L/YXmCt3bTaEuMeSki1Eur0lZEb9vsMwlm34bdTRv/&#10;vSse9DjMMPNNsRxNJ47kfGsZYTZNQBBXVrdcI7zsV5MMhA+KteosE8IXeViW52eFyrU98ZaOu1CL&#10;WMI+VwhNCH0upa8aMspPbU8cvQ/rjApRulpqp06x3HQyTZKFNKrluNConu4bqj53g0HYblbr7HU9&#10;jJV7f5g97Z83j28+Q7y8GO9uQQQaw18YfvAjOpSR6WAH1l50CGl6M49RhMkCRPR/9QHhan4Nsizk&#10;/wPlNwAAAP//AwBQSwECLQAUAAYACAAAACEAtoM4kv4AAADhAQAAEwAAAAAAAAAAAAAAAAAAAAAA&#10;W0NvbnRlbnRfVHlwZXNdLnhtbFBLAQItABQABgAIAAAAIQA4/SH/1gAAAJQBAAALAAAAAAAAAAAA&#10;AAAAAC8BAABfcmVscy8ucmVsc1BLAQItABQABgAIAAAAIQD7/0f2NgIAAF0EAAAOAAAAAAAAAAAA&#10;AAAAAC4CAABkcnMvZTJvRG9jLnhtbFBLAQItABQABgAIAAAAIQB+adxf3wAAAAgBAAAPAAAAAAAA&#10;AAAAAAAAAJAEAABkcnMvZG93bnJldi54bWxQSwUGAAAAAAQABADzAAAAnAUAAAAA&#10;">
                      <v:stroke endarrow="block"/>
                    </v:line>
                  </w:pict>
                </mc:Fallback>
              </mc:AlternateContent>
            </w:r>
          </w:p>
          <w:p w:rsidR="00533098" w:rsidRDefault="00533098" w:rsidP="00D36AF5">
            <w:pPr>
              <w:jc w:val="center"/>
            </w:pP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single" w:sz="4" w:space="0" w:color="auto"/>
            </w:tcBorders>
            <w:shd w:val="clear" w:color="auto" w:fill="auto"/>
          </w:tcPr>
          <w:p w:rsidR="00533098" w:rsidRDefault="00533098" w:rsidP="00AD11BF"/>
        </w:tc>
        <w:tc>
          <w:tcPr>
            <w:tcW w:w="5012" w:type="dxa"/>
            <w:tcBorders>
              <w:left w:val="single" w:sz="4" w:space="0" w:color="auto"/>
              <w:bottom w:val="single" w:sz="4" w:space="0" w:color="auto"/>
            </w:tcBorders>
            <w:shd w:val="clear" w:color="auto" w:fill="auto"/>
          </w:tcPr>
          <w:p w:rsidR="00533098" w:rsidRDefault="00533098" w:rsidP="00D36AF5">
            <w:pPr>
              <w:pStyle w:val="Bold"/>
              <w:jc w:val="center"/>
            </w:pPr>
            <w:r>
              <w:t>WE ARE HERE</w:t>
            </w:r>
          </w:p>
          <w:p w:rsidR="00533098" w:rsidRDefault="00533098" w:rsidP="00D36AF5">
            <w:pPr>
              <w:pStyle w:val="Bold"/>
              <w:jc w:val="center"/>
              <w:rPr>
                <w:noProof/>
                <w:lang w:eastAsia="en-AU"/>
              </w:rPr>
            </w:pPr>
            <w:r>
              <w:t>OPPORTUNITY TO MAKE WRITTEN SUBMISSION</w:t>
            </w:r>
          </w:p>
          <w:p w:rsidR="00533098" w:rsidRDefault="00533098" w:rsidP="00D36AF5">
            <w:pPr>
              <w:jc w:val="center"/>
            </w:pPr>
            <w:r>
              <w:t>Formal public consultation on Planning Scheme Amendment</w:t>
            </w:r>
          </w:p>
        </w:tc>
      </w:tr>
      <w:tr w:rsidR="00533098" w:rsidTr="0096323F">
        <w:trPr>
          <w:trHeight w:val="527"/>
        </w:trPr>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nil"/>
            </w:tcBorders>
            <w:shd w:val="clear" w:color="auto" w:fill="auto"/>
          </w:tcPr>
          <w:p w:rsidR="00533098" w:rsidRDefault="00533098" w:rsidP="00AD11BF"/>
        </w:tc>
        <w:tc>
          <w:tcPr>
            <w:tcW w:w="5012" w:type="dxa"/>
            <w:tcBorders>
              <w:left w:val="nil"/>
              <w:right w:val="nil"/>
            </w:tcBorders>
            <w:shd w:val="clear" w:color="auto" w:fill="auto"/>
          </w:tcPr>
          <w:p w:rsidR="00533098" w:rsidRDefault="00533098" w:rsidP="00D36AF5">
            <w:pPr>
              <w:jc w:val="center"/>
            </w:pPr>
            <w:r>
              <w:rPr>
                <w:noProof/>
                <w:lang w:eastAsia="en-AU"/>
              </w:rPr>
              <mc:AlternateContent>
                <mc:Choice Requires="wps">
                  <w:drawing>
                    <wp:anchor distT="0" distB="0" distL="114300" distR="114300" simplePos="0" relativeHeight="251675648" behindDoc="0" locked="0" layoutInCell="1" allowOverlap="1" wp14:anchorId="569450D3" wp14:editId="12ED995A">
                      <wp:simplePos x="0" y="0"/>
                      <wp:positionH relativeFrom="column">
                        <wp:posOffset>1474470</wp:posOffset>
                      </wp:positionH>
                      <wp:positionV relativeFrom="paragraph">
                        <wp:posOffset>7620</wp:posOffset>
                      </wp:positionV>
                      <wp:extent cx="0" cy="228600"/>
                      <wp:effectExtent l="76200" t="0" r="57150" b="57150"/>
                      <wp:wrapNone/>
                      <wp:docPr id="7831" name="Straight Connector 7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6pt" to="11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HZNgIAAF0EAAAOAAAAZHJzL2Uyb0RvYy54bWysVNuO2jAQfa/Uf7D8DrlsYCEirKoE+rJt&#10;kdh+gLEdYtWxLdsQUNV/79hcutu+VFV5MGPP+PjMmZksnk69REdundCqwtk4xYgrqplQ+wp/fVmP&#10;Zhg5TxQjUite4TN3+Gn5/t1iMCXPdacl4xYBiHLlYCrceW/KJHG04z1xY224AmerbU88bO0+YZYM&#10;gN7LJE/TaTJoy4zVlDsHp83FiZcRv2059V/a1nGPZIWBm4+rjesurMlyQcq9JaYT9EqD/AOLnggF&#10;j96hGuIJOljxB1QvqNVOt35MdZ/othWUxxwgmyz9LZttRwyPuYA4ztxlcv8Pln4+biwSrMKPs4cM&#10;I0V6qNLWWyL2nUe1Vgo01BZFN6g1GFfCpVptbMiXntTWPGv6zSGl646oPY+sX84GcLKgb/LmStg4&#10;A2/uhk+aQQw5eB2lO7W2D5AgCjrFCp3vFeInj+jlkMJpns+maSxeQsrbPWOd/8h1j4JRYSlU0I6U&#10;5PjsfOBByltIOFZ6LaSM9ZcKDRWeT/JJvOC0FCw4Q5iz+10tLTqS0EHxF5MCz+swqw+KRbCOE7a6&#10;2p4ICTbyUQ1vBegjOQ6v9ZxhJDkMTbAu9KQKL0KuQPhqXZro+zydr2arWTEq8ulqVKRNM/qwrovR&#10;dJ09TpqHpq6b7EcgnxVlJxjjKvC/NXRW/F3DXEfr0or3lr4LlbxFj4oC2dt/JB2LHep76ZSdZueN&#10;DdmFukMPx+DrvIUheb2PUb++CsufAAAA//8DAFBLAwQUAAYACAAAACEAfPggB90AAAAIAQAADwAA&#10;AGRycy9kb3ducmV2LnhtbEyPQUvDQBCF74L/YRnBm910CxpiNkWEemlV2orobZsdk2B2Nuxu2vjv&#10;HfGgp+HxPd68Vy4n14sjhth50jCfZSCQam87ajS87FdXOYiYDFnTe0INXxhhWZ2flaaw/kRbPO5S&#10;IziEYmE0tCkNhZSxbtGZOPMDErMPH5xJLEMjbTAnDne9VFl2LZ3piD+0ZsD7FuvP3eg0bDerdf66&#10;Hqc6vD/Mn/bPm8e3mGt9eTHd3YJIOKU/M/zU5+pQcaeDH8lG0WtQC6XYyoAP81990LC4USCrUv4f&#10;UH0DAAD//wMAUEsBAi0AFAAGAAgAAAAhALaDOJL+AAAA4QEAABMAAAAAAAAAAAAAAAAAAAAAAFtD&#10;b250ZW50X1R5cGVzXS54bWxQSwECLQAUAAYACAAAACEAOP0h/9YAAACUAQAACwAAAAAAAAAAAAAA&#10;AAAvAQAAX3JlbHMvLnJlbHNQSwECLQAUAAYACAAAACEAoY9h2TYCAABdBAAADgAAAAAAAAAAAAAA&#10;AAAuAgAAZHJzL2Uyb0RvYy54bWxQSwECLQAUAAYACAAAACEAfPggB90AAAAIAQAADwAAAAAAAAAA&#10;AAAAAACQBAAAZHJzL2Rvd25yZXYueG1sUEsFBgAAAAAEAAQA8wAAAJoFAAAAAA==&#10;">
                      <v:stroke endarrow="block"/>
                    </v:line>
                  </w:pict>
                </mc:Fallback>
              </mc:AlternateContent>
            </w:r>
          </w:p>
          <w:p w:rsidR="00533098" w:rsidRDefault="00533098" w:rsidP="00D36AF5">
            <w:pPr>
              <w:jc w:val="center"/>
            </w:pP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single" w:sz="4" w:space="0" w:color="auto"/>
            </w:tcBorders>
            <w:shd w:val="clear" w:color="auto" w:fill="auto"/>
          </w:tcPr>
          <w:p w:rsidR="00533098" w:rsidRDefault="00533098" w:rsidP="00AD11BF"/>
        </w:tc>
        <w:tc>
          <w:tcPr>
            <w:tcW w:w="5012" w:type="dxa"/>
            <w:tcBorders>
              <w:left w:val="single" w:sz="4" w:space="0" w:color="auto"/>
              <w:bottom w:val="single" w:sz="4" w:space="0" w:color="auto"/>
            </w:tcBorders>
            <w:shd w:val="clear" w:color="auto" w:fill="auto"/>
          </w:tcPr>
          <w:p w:rsidR="00533098" w:rsidRDefault="00533098" w:rsidP="00D36AF5">
            <w:pPr>
              <w:pStyle w:val="Bold"/>
              <w:jc w:val="center"/>
            </w:pPr>
            <w:r>
              <w:t>OPPORTUNITY FOR VERBAL SUBMISSION</w:t>
            </w:r>
            <w:r>
              <w:rPr>
                <w:noProof/>
                <w:lang w:eastAsia="en-AU"/>
              </w:rPr>
              <w:t xml:space="preserve"> TO THE FUTURE MELBOURNE COMMITTEE</w:t>
            </w:r>
          </w:p>
          <w:p w:rsidR="00533098" w:rsidRDefault="00533098" w:rsidP="00D36AF5">
            <w:pPr>
              <w:jc w:val="center"/>
            </w:pPr>
            <w:r>
              <w:t>Report on public submissions to Future Melbourne Committee</w:t>
            </w:r>
          </w:p>
          <w:p w:rsidR="00533098" w:rsidRDefault="00533098" w:rsidP="00D36AF5">
            <w:pPr>
              <w:jc w:val="center"/>
            </w:pPr>
            <w:r>
              <w:rPr>
                <w:noProof/>
                <w:lang w:eastAsia="en-AU"/>
              </w:rPr>
              <mc:AlternateContent>
                <mc:Choice Requires="wps">
                  <w:drawing>
                    <wp:anchor distT="0" distB="0" distL="114300" distR="114300" simplePos="0" relativeHeight="251676672" behindDoc="0" locked="0" layoutInCell="1" allowOverlap="1" wp14:anchorId="1A523D71" wp14:editId="600BE42E">
                      <wp:simplePos x="0" y="0"/>
                      <wp:positionH relativeFrom="column">
                        <wp:posOffset>1466850</wp:posOffset>
                      </wp:positionH>
                      <wp:positionV relativeFrom="paragraph">
                        <wp:posOffset>459740</wp:posOffset>
                      </wp:positionV>
                      <wp:extent cx="0" cy="228600"/>
                      <wp:effectExtent l="76200" t="0" r="57150" b="57150"/>
                      <wp:wrapNone/>
                      <wp:docPr id="7829" name="Straight Connector 7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36.2pt" to="11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DBNQIAAF0EAAAOAAAAZHJzL2Uyb0RvYy54bWysVE2P2jAQvVfqf7B8h3wUWIgIqyqBXrZd&#10;JLY/wNgOserYlm0IqOp/79gButteqqoczNgzfn7zZibLx3Mn0YlbJ7QqcTZOMeKKaibUocRfXzaj&#10;OUbOE8WI1IqX+MIdfly9f7fsTcFz3WrJuEUAolzRmxK33psiSRxteUfcWBuuwNlo2xEPW3tImCU9&#10;oHcyydN0lvTaMmM15c7BaT048SriNw2n/rlpHPdIlhi4+bjauO7DmqyWpDhYYlpBrzTIP7DoiFDw&#10;6B2qJp6goxV/QHWCWu1048dUd4luGkF5zAGyydLfstm1xPCYC4jjzF0m9/9g6ZfT1iLBSvwwzxcY&#10;KdJBlXbeEnFoPaq0UqChtii6Qa3euAIuVWprQ770rHbmSdNvDildtUQdeGT9cjGAkwV9kzdXwsYZ&#10;eHPff9YMYsjR6yjdubFdgARR0DlW6HKvED97RIdDCqd5Pp+lsXgJKW73jHX+E9cdCkaJpVBBO1KQ&#10;05PzgQcpbiHhWOmNkDLWXyrUl3gxzafxgtNSsOAMYc4e9pW06ERCB8VfTAo8r8OsPioWwVpO2Ppq&#10;eyIk2MhHNbwVoI/kOLzWcYaR5DA0wRroSRVehFyB8NUamuj7Il2s5+v5ZDTJZ+vRJK3r0cdNNRnN&#10;NtnDtP5QV1Wd/Qjks0nRCsa4CvxvDZ1N/q5hrqM1tOK9pe9CJW/Ro6JA9vYfScdih/oOnbLX7LK1&#10;IbtQd+jhGHydtzAkr/cx6tdXYfUTAAD//wMAUEsDBBQABgAIAAAAIQDObClb4AAAAAoBAAAPAAAA&#10;ZHJzL2Rvd25yZXYueG1sTI/BTsMwDIbvSLxDZCRuLG2ZoCpNJ4Q0LhtM2xCCW9aYtqJxqiTdyttj&#10;xAGOtj/9/v5yMdleHNGHzpGCdJaAQKqd6ahR8LJfXuUgQtRkdO8IFXxhgEV1flbqwrgTbfG4i43g&#10;EAqFVtDGOBRShrpFq8PMDUh8+3De6sijb6Tx+sThtpdZktxIqzviD60e8KHF+nM3WgXb9XKVv67G&#10;qfbvj+nzfrN+egu5UpcX0/0diIhT/IPhR5/VoWKngxvJBNEryK5T7hIV3GZzEAz8Lg5MJvkcZFXK&#10;/xWqbwAAAP//AwBQSwECLQAUAAYACAAAACEAtoM4kv4AAADhAQAAEwAAAAAAAAAAAAAAAAAAAAAA&#10;W0NvbnRlbnRfVHlwZXNdLnhtbFBLAQItABQABgAIAAAAIQA4/SH/1gAAAJQBAAALAAAAAAAAAAAA&#10;AAAAAC8BAABfcmVscy8ucmVsc1BLAQItABQABgAIAAAAIQBYhtDBNQIAAF0EAAAOAAAAAAAAAAAA&#10;AAAAAC4CAABkcnMvZTJvRG9jLnhtbFBLAQItABQABgAIAAAAIQDObClb4AAAAAoBAAAPAAAAAAAA&#10;AAAAAAAAAI8EAABkcnMvZG93bnJldi54bWxQSwUGAAAAAAQABADzAAAAnAUAAAAA&#10;">
                      <v:stroke endarrow="block"/>
                    </v:line>
                  </w:pict>
                </mc:Fallback>
              </mc:AlternateContent>
            </w:r>
            <w:r>
              <w:t>Council requests Minister to appoint independent panel to review and hear submissions.</w:t>
            </w: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nil"/>
            </w:tcBorders>
            <w:shd w:val="clear" w:color="auto" w:fill="auto"/>
          </w:tcPr>
          <w:p w:rsidR="00533098" w:rsidRDefault="00533098" w:rsidP="00AD11BF"/>
        </w:tc>
        <w:tc>
          <w:tcPr>
            <w:tcW w:w="5012" w:type="dxa"/>
            <w:tcBorders>
              <w:left w:val="nil"/>
              <w:right w:val="nil"/>
            </w:tcBorders>
            <w:shd w:val="clear" w:color="auto" w:fill="auto"/>
          </w:tcPr>
          <w:p w:rsidR="00533098" w:rsidRDefault="00533098" w:rsidP="00D36AF5">
            <w:pPr>
              <w:jc w:val="center"/>
            </w:pPr>
          </w:p>
          <w:p w:rsidR="00533098" w:rsidRDefault="00533098" w:rsidP="00D36AF5">
            <w:pPr>
              <w:jc w:val="center"/>
            </w:pP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single" w:sz="4" w:space="0" w:color="auto"/>
            </w:tcBorders>
            <w:shd w:val="clear" w:color="auto" w:fill="auto"/>
          </w:tcPr>
          <w:p w:rsidR="00533098" w:rsidRDefault="00533098" w:rsidP="00AD11BF"/>
        </w:tc>
        <w:tc>
          <w:tcPr>
            <w:tcW w:w="5012" w:type="dxa"/>
            <w:tcBorders>
              <w:left w:val="single" w:sz="4" w:space="0" w:color="auto"/>
              <w:bottom w:val="single" w:sz="4" w:space="0" w:color="auto"/>
            </w:tcBorders>
            <w:shd w:val="clear" w:color="auto" w:fill="auto"/>
          </w:tcPr>
          <w:p w:rsidR="00533098" w:rsidRDefault="00533098" w:rsidP="00D36AF5">
            <w:pPr>
              <w:pStyle w:val="Bold"/>
              <w:jc w:val="center"/>
              <w:rPr>
                <w:noProof/>
                <w:lang w:eastAsia="en-AU"/>
              </w:rPr>
            </w:pPr>
            <w:r>
              <w:t>OPPORTUNITY FOR VERBAL SUBMISSION TO INDEPENDENT PANEL</w:t>
            </w:r>
          </w:p>
          <w:p w:rsidR="00533098" w:rsidRDefault="00533098" w:rsidP="00D36AF5">
            <w:pPr>
              <w:jc w:val="center"/>
            </w:pPr>
            <w:r>
              <w:t>Independent panel considers written submissions lodged during the statutory consultation period, hears verbal submissions in support of the written submissions and makes recommendations</w:t>
            </w:r>
          </w:p>
        </w:tc>
      </w:tr>
      <w:tr w:rsidR="00533098" w:rsidTr="0096323F">
        <w:tc>
          <w:tcPr>
            <w:tcW w:w="3522" w:type="dxa"/>
            <w:vMerge/>
            <w:tcBorders>
              <w:left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nil"/>
            </w:tcBorders>
            <w:shd w:val="clear" w:color="auto" w:fill="auto"/>
          </w:tcPr>
          <w:p w:rsidR="00533098" w:rsidRDefault="00533098" w:rsidP="00AD11BF"/>
        </w:tc>
        <w:tc>
          <w:tcPr>
            <w:tcW w:w="5012" w:type="dxa"/>
            <w:tcBorders>
              <w:left w:val="nil"/>
              <w:right w:val="nil"/>
            </w:tcBorders>
            <w:shd w:val="clear" w:color="auto" w:fill="auto"/>
          </w:tcPr>
          <w:p w:rsidR="00533098" w:rsidRDefault="00533098" w:rsidP="00D36AF5">
            <w:pPr>
              <w:jc w:val="center"/>
            </w:pPr>
            <w:r>
              <w:rPr>
                <w:noProof/>
                <w:lang w:eastAsia="en-AU"/>
              </w:rPr>
              <mc:AlternateContent>
                <mc:Choice Requires="wps">
                  <w:drawing>
                    <wp:anchor distT="0" distB="0" distL="114300" distR="114300" simplePos="0" relativeHeight="251677696" behindDoc="0" locked="0" layoutInCell="1" allowOverlap="1" wp14:anchorId="6684C02C" wp14:editId="0DCD4F46">
                      <wp:simplePos x="0" y="0"/>
                      <wp:positionH relativeFrom="column">
                        <wp:posOffset>1468120</wp:posOffset>
                      </wp:positionH>
                      <wp:positionV relativeFrom="paragraph">
                        <wp:posOffset>19685</wp:posOffset>
                      </wp:positionV>
                      <wp:extent cx="0" cy="228600"/>
                      <wp:effectExtent l="76200" t="0" r="57150" b="57150"/>
                      <wp:wrapNone/>
                      <wp:docPr id="7827" name="Straight Connector 7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1.55pt" to="115.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3+NgIAAF0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vwwzx8w&#10;UqSHKu28JaLtPKq0UqChtii6Qa3BuAIuVWprQ770pHbmSdNvDilddUS1PLJ+ORvAyYK+yZsrYeMM&#10;vLkfPmsGMeTgdZTu1Ng+QIIo6BQrdL5XiJ88opdDCqd5Pp+lsXgJKW73jHX+E9c9CkaJpVBBO1KQ&#10;45PzgQcpbiHhWOmNkDLWXyo0lHgxzafxgtNSsOAMYc62+0padCShg+IvJgWe12FWHxSLYB0nbH21&#10;PRESbOSjGt4K0EdyHF7rOcNIchiaYF3oSRVehFyB8NW6NNH3RbpYz9fzyWiSz9ajSVrXo4+bajKa&#10;bbKHaf2hrqo6+xHIZ5OiE4xxFfjfGjqb/F3DXEfr0or3lr4LlbxFj4oC2dt/JB2LHep76ZS9Zuet&#10;DdmFukMPx+DrvIUheb2PUb++CqufAAAA//8DAFBLAwQUAAYACAAAACEAsilZf90AAAAIAQAADwAA&#10;AGRycy9kb3ducmV2LnhtbEyPQUvDQBCF74L/YRnBm91sChLTbIoI9dKqtBWxt20yJsHsbNjdtPHf&#10;O+JBjx/v8eabYjnZXpzQh86RBjVLQCBVru6o0fC6X91kIEI0VJveEWr4wgDL8vKiMHntzrTF0y42&#10;gkco5EZDG+OQSxmqFq0JMzcgcfbhvDWR0Tey9ubM47aXaZLcSms64gutGfChxepzN1oN281qnb2t&#10;x6nyh0f1vH/ZPL2HTOvrq+l+ASLiFP/K8KPP6lCy09GNVAfRa0jnKuWqhrkCwfkvH5nvFMiykP8f&#10;KL8BAAD//wMAUEsBAi0AFAAGAAgAAAAhALaDOJL+AAAA4QEAABMAAAAAAAAAAAAAAAAAAAAAAFtD&#10;b250ZW50X1R5cGVzXS54bWxQSwECLQAUAAYACAAAACEAOP0h/9YAAACUAQAACwAAAAAAAAAAAAAA&#10;AAAvAQAAX3JlbHMvLnJlbHNQSwECLQAUAAYACAAAACEAY+Vd/jYCAABdBAAADgAAAAAAAAAAAAAA&#10;AAAuAgAAZHJzL2Uyb0RvYy54bWxQSwECLQAUAAYACAAAACEAsilZf90AAAAIAQAADwAAAAAAAAAA&#10;AAAAAACQBAAAZHJzL2Rvd25yZXYueG1sUEsFBgAAAAAEAAQA8wAAAJoFAAAAAA==&#10;">
                      <v:stroke endarrow="block"/>
                    </v:line>
                  </w:pict>
                </mc:Fallback>
              </mc:AlternateContent>
            </w:r>
          </w:p>
          <w:p w:rsidR="00533098" w:rsidRDefault="00533098" w:rsidP="00D36AF5">
            <w:pPr>
              <w:jc w:val="center"/>
            </w:pPr>
          </w:p>
        </w:tc>
      </w:tr>
      <w:tr w:rsidR="00533098" w:rsidTr="0096323F">
        <w:tc>
          <w:tcPr>
            <w:tcW w:w="3522" w:type="dxa"/>
            <w:vMerge/>
            <w:tcBorders>
              <w:left w:val="single" w:sz="4" w:space="0" w:color="auto"/>
              <w:bottom w:val="single" w:sz="4" w:space="0" w:color="auto"/>
              <w:right w:val="single" w:sz="4" w:space="0" w:color="auto"/>
            </w:tcBorders>
            <w:shd w:val="clear" w:color="auto" w:fill="auto"/>
          </w:tcPr>
          <w:p w:rsidR="00533098" w:rsidRDefault="00533098" w:rsidP="00AD11BF"/>
        </w:tc>
        <w:tc>
          <w:tcPr>
            <w:tcW w:w="425" w:type="dxa"/>
            <w:tcBorders>
              <w:top w:val="nil"/>
              <w:left w:val="single" w:sz="4" w:space="0" w:color="auto"/>
              <w:bottom w:val="nil"/>
              <w:right w:val="single" w:sz="4" w:space="0" w:color="auto"/>
            </w:tcBorders>
            <w:shd w:val="clear" w:color="auto" w:fill="auto"/>
          </w:tcPr>
          <w:p w:rsidR="00533098" w:rsidRDefault="00533098" w:rsidP="00533098">
            <w:pPr>
              <w:jc w:val="center"/>
            </w:pPr>
          </w:p>
        </w:tc>
        <w:tc>
          <w:tcPr>
            <w:tcW w:w="5012" w:type="dxa"/>
            <w:tcBorders>
              <w:left w:val="single" w:sz="4" w:space="0" w:color="auto"/>
              <w:bottom w:val="single" w:sz="4" w:space="0" w:color="auto"/>
            </w:tcBorders>
            <w:shd w:val="clear" w:color="auto" w:fill="auto"/>
          </w:tcPr>
          <w:p w:rsidR="00533098" w:rsidRDefault="00533098" w:rsidP="00533098">
            <w:pPr>
              <w:pStyle w:val="Bold"/>
              <w:jc w:val="center"/>
            </w:pPr>
            <w:r>
              <w:t>OPPORTUNITY FOR VERBAL SUBMISSION TO THE FUTURE MELBOURNE COMMITTEE</w:t>
            </w:r>
          </w:p>
          <w:p w:rsidR="00533098" w:rsidRDefault="00533098" w:rsidP="00533098">
            <w:pPr>
              <w:jc w:val="center"/>
            </w:pPr>
            <w:r>
              <w:t>Future Melbourne Committee considers the panel report and changes to the Planning Scheme Amendment</w:t>
            </w:r>
          </w:p>
          <w:p w:rsidR="00533098" w:rsidRPr="00533098" w:rsidRDefault="00533098" w:rsidP="00533098">
            <w:pPr>
              <w:jc w:val="center"/>
            </w:pPr>
            <w:r>
              <w:t>Council submits final amendment to Minister for approval.</w:t>
            </w:r>
          </w:p>
        </w:tc>
      </w:tr>
    </w:tbl>
    <w:p w:rsidR="004D3134" w:rsidRPr="00C5328A" w:rsidRDefault="004D3134" w:rsidP="00C5328A">
      <w:pPr>
        <w:pStyle w:val="Bold"/>
        <w:jc w:val="center"/>
        <w:rPr>
          <w:lang w:eastAsia="en-AU"/>
        </w:rPr>
      </w:pPr>
      <w:r w:rsidRPr="00C5328A">
        <w:rPr>
          <w:lang w:eastAsia="en-AU"/>
        </w:rPr>
        <w:t>Planning and Environment Act 1987</w:t>
      </w:r>
    </w:p>
    <w:p w:rsidR="00FE1907" w:rsidRDefault="004D3134" w:rsidP="00C5328A">
      <w:pPr>
        <w:pStyle w:val="Bold"/>
        <w:jc w:val="center"/>
        <w:rPr>
          <w:lang w:eastAsia="en-AU"/>
        </w:rPr>
      </w:pPr>
      <w:r>
        <w:rPr>
          <w:lang w:eastAsia="en-AU"/>
        </w:rPr>
        <w:t>MELBOURNE PLANNING SCHEME</w:t>
      </w:r>
    </w:p>
    <w:p w:rsidR="00C5328A" w:rsidRPr="00C2137B" w:rsidRDefault="00C5328A" w:rsidP="00C5328A">
      <w:pPr>
        <w:pStyle w:val="Bold"/>
        <w:jc w:val="center"/>
      </w:pPr>
      <w:r w:rsidRPr="00C2137B">
        <w:t xml:space="preserve">Notice of </w:t>
      </w:r>
      <w:r>
        <w:t xml:space="preserve">the </w:t>
      </w:r>
      <w:r w:rsidRPr="00C2137B">
        <w:t xml:space="preserve">preparation of </w:t>
      </w:r>
      <w:r>
        <w:t xml:space="preserve">an </w:t>
      </w:r>
      <w:r w:rsidRPr="00C2137B">
        <w:t>amendment</w:t>
      </w:r>
    </w:p>
    <w:p w:rsidR="00C5328A" w:rsidRPr="00C2137B" w:rsidRDefault="00C5328A" w:rsidP="00C5328A">
      <w:pPr>
        <w:pStyle w:val="Bold"/>
        <w:jc w:val="center"/>
        <w:rPr>
          <w:color w:val="FF0000"/>
        </w:rPr>
      </w:pPr>
      <w:r w:rsidRPr="00C2137B">
        <w:t>Amendment C</w:t>
      </w:r>
      <w:r>
        <w:t>221</w:t>
      </w:r>
    </w:p>
    <w:p w:rsidR="00C5328A" w:rsidRPr="00C2137B" w:rsidRDefault="00C5328A" w:rsidP="00C5328A">
      <w:bookmarkStart w:id="0" w:name="_Toc403992345"/>
      <w:bookmarkStart w:id="1" w:name="_Toc403992580"/>
      <w:bookmarkStart w:id="2" w:name="_Toc419982219"/>
      <w:bookmarkStart w:id="3" w:name="_Toc419982304"/>
      <w:bookmarkStart w:id="4" w:name="_Toc419982305"/>
      <w:r w:rsidRPr="00B435A4">
        <w:t>The Melbourne</w:t>
      </w:r>
      <w:r>
        <w:t xml:space="preserve"> City</w:t>
      </w:r>
      <w:r w:rsidRPr="00C2137B">
        <w:rPr>
          <w:color w:val="FF0000"/>
        </w:rPr>
        <w:t xml:space="preserve"> </w:t>
      </w:r>
      <w:r w:rsidRPr="00C2137B">
        <w:t>Council has prepared Amendment C</w:t>
      </w:r>
      <w:r>
        <w:t>221</w:t>
      </w:r>
      <w:r>
        <w:rPr>
          <w:color w:val="FF0000"/>
        </w:rPr>
        <w:t xml:space="preserve"> </w:t>
      </w:r>
      <w:r w:rsidRPr="00C2137B">
        <w:t>to the</w:t>
      </w:r>
      <w:r>
        <w:t xml:space="preserve"> Melbourne</w:t>
      </w:r>
      <w:r>
        <w:rPr>
          <w:color w:val="FF0000"/>
        </w:rPr>
        <w:t xml:space="preserve"> </w:t>
      </w:r>
      <w:r w:rsidRPr="00C2137B">
        <w:t>Planning Scheme.</w:t>
      </w:r>
    </w:p>
    <w:p w:rsidR="00C5328A" w:rsidRPr="00B435A4" w:rsidRDefault="00C5328A" w:rsidP="00C5328A">
      <w:r>
        <w:t xml:space="preserve">The land affected by the </w:t>
      </w:r>
      <w:r w:rsidRPr="00B435A4">
        <w:t xml:space="preserve">amendment is part </w:t>
      </w:r>
      <w:r>
        <w:t>156-</w:t>
      </w:r>
      <w:r w:rsidRPr="00B435A4">
        <w:t>174</w:t>
      </w:r>
      <w:r>
        <w:t xml:space="preserve"> Kensington Road, 176-1</w:t>
      </w:r>
      <w:r w:rsidRPr="00B435A4">
        <w:t>78</w:t>
      </w:r>
      <w:r>
        <w:t xml:space="preserve"> Kensington Road, 180-194 Kensington Road, 196-</w:t>
      </w:r>
      <w:r w:rsidRPr="00B435A4">
        <w:t>21</w:t>
      </w:r>
      <w:r>
        <w:t>4 Kensington Road and 216-</w:t>
      </w:r>
      <w:r w:rsidRPr="00B435A4">
        <w:t>232 Kensington Road, West Melbourne</w:t>
      </w:r>
      <w:r w:rsidRPr="00B435A4">
        <w:rPr>
          <w:snapToGrid w:val="0"/>
        </w:rPr>
        <w:t>.</w:t>
      </w:r>
    </w:p>
    <w:p w:rsidR="00C5328A" w:rsidRDefault="00C5328A" w:rsidP="00C5328A">
      <w:r>
        <w:t>The a</w:t>
      </w:r>
      <w:r w:rsidRPr="00C2137B">
        <w:t>mendment proposes to</w:t>
      </w:r>
      <w:r>
        <w:t>:</w:t>
      </w:r>
    </w:p>
    <w:p w:rsidR="00C5328A" w:rsidRPr="00621294" w:rsidRDefault="00C5328A" w:rsidP="00C5328A">
      <w:pPr>
        <w:pStyle w:val="ListBullet"/>
        <w:rPr>
          <w:i/>
          <w:snapToGrid w:val="0"/>
          <w:color w:val="0000FF"/>
        </w:rPr>
      </w:pPr>
      <w:r w:rsidRPr="00621294">
        <w:rPr>
          <w:rFonts w:cs="Arial"/>
          <w:color w:val="000000"/>
        </w:rPr>
        <w:t xml:space="preserve">Rezone the land from Commercial 2 Zone to the Mixed Use Zone (MUZ). </w:t>
      </w:r>
    </w:p>
    <w:p w:rsidR="00C5328A" w:rsidRPr="00621294" w:rsidRDefault="00C5328A" w:rsidP="00C5328A">
      <w:pPr>
        <w:pStyle w:val="ListBullet"/>
        <w:rPr>
          <w:i/>
          <w:snapToGrid w:val="0"/>
          <w:color w:val="0000FF"/>
        </w:rPr>
      </w:pPr>
      <w:r w:rsidRPr="00621294">
        <w:rPr>
          <w:rFonts w:cs="Arial"/>
          <w:color w:val="000000"/>
        </w:rPr>
        <w:t xml:space="preserve">Apply a Development Plan Overlay (DPO) to the land and insert a new Schedule 12 to the Overlay (DPO12). DPO12 provides for a staged, development comprising four mixed use buildings ranging in height from </w:t>
      </w:r>
      <w:r w:rsidR="00142938">
        <w:rPr>
          <w:rFonts w:cs="Arial"/>
          <w:color w:val="000000"/>
        </w:rPr>
        <w:t>three</w:t>
      </w:r>
      <w:r w:rsidRPr="00621294">
        <w:rPr>
          <w:rFonts w:cs="Arial"/>
          <w:color w:val="000000"/>
        </w:rPr>
        <w:t xml:space="preserve"> to fourteen </w:t>
      </w:r>
      <w:proofErr w:type="spellStart"/>
      <w:r w:rsidRPr="00621294">
        <w:rPr>
          <w:rFonts w:cs="Arial"/>
          <w:color w:val="000000"/>
        </w:rPr>
        <w:t>storeys</w:t>
      </w:r>
      <w:proofErr w:type="spellEnd"/>
      <w:r w:rsidRPr="00621294">
        <w:rPr>
          <w:rFonts w:cs="Arial"/>
          <w:color w:val="000000"/>
        </w:rPr>
        <w:t>.</w:t>
      </w:r>
    </w:p>
    <w:p w:rsidR="00C5328A" w:rsidRPr="00621294" w:rsidRDefault="00C5328A" w:rsidP="00C5328A">
      <w:pPr>
        <w:pStyle w:val="ListBullet"/>
        <w:rPr>
          <w:i/>
          <w:snapToGrid w:val="0"/>
          <w:color w:val="0000FF"/>
        </w:rPr>
      </w:pPr>
      <w:r w:rsidRPr="00621294">
        <w:rPr>
          <w:rFonts w:cs="Arial"/>
          <w:color w:val="000000"/>
        </w:rPr>
        <w:t>Apply an Environmental Audit Overlay (EAO) to the land</w:t>
      </w:r>
      <w:r w:rsidRPr="00621294">
        <w:rPr>
          <w:rFonts w:ascii="Times New Roman" w:hAnsi="Times New Roman"/>
          <w:sz w:val="24"/>
        </w:rPr>
        <w:t xml:space="preserve"> </w:t>
      </w:r>
      <w:r w:rsidRPr="00621294">
        <w:rPr>
          <w:rFonts w:cs="Arial"/>
          <w:color w:val="000000"/>
        </w:rPr>
        <w:t>to ensure the land is satisfactorily remediated prior to being developed for a sensitive use.</w:t>
      </w:r>
    </w:p>
    <w:p w:rsidR="00C5328A" w:rsidRPr="00C5328A" w:rsidRDefault="00C5328A" w:rsidP="00C5328A">
      <w:r w:rsidRPr="00C5328A">
        <w:t>You may inspect the amendment, any documents that support the amendment and the explanatory report about the amendment, free of charge, at the following locations:</w:t>
      </w:r>
    </w:p>
    <w:p w:rsidR="00C5328A" w:rsidRDefault="00C5328A" w:rsidP="00C5328A">
      <w:pPr>
        <w:pStyle w:val="ListBullet"/>
      </w:pPr>
      <w:proofErr w:type="gramStart"/>
      <w:r w:rsidRPr="00C2137B">
        <w:t>during</w:t>
      </w:r>
      <w:proofErr w:type="gramEnd"/>
      <w:r w:rsidRPr="00C2137B">
        <w:t xml:space="preserve"> office hours, at the office of the planning authority</w:t>
      </w:r>
      <w:r w:rsidRPr="006C629A">
        <w:t xml:space="preserve"> </w:t>
      </w:r>
      <w:r w:rsidRPr="00E33AB3">
        <w:t>City of Melbourne Level 3, 240 Little Collins Street, M</w:t>
      </w:r>
      <w:r>
        <w:t>elbourne</w:t>
      </w:r>
      <w:r w:rsidRPr="007C06AC">
        <w:t>.</w:t>
      </w:r>
    </w:p>
    <w:p w:rsidR="00C5328A" w:rsidRPr="00BF37A3" w:rsidRDefault="00C5328A" w:rsidP="00C5328A">
      <w:pPr>
        <w:pStyle w:val="ListBullet"/>
      </w:pPr>
      <w:proofErr w:type="gramStart"/>
      <w:r>
        <w:t>at</w:t>
      </w:r>
      <w:proofErr w:type="gramEnd"/>
      <w:r>
        <w:t xml:space="preserve"> Participate Melbourne,</w:t>
      </w:r>
      <w:r w:rsidRPr="00AE76CD">
        <w:t xml:space="preserve"> the City of Melbourne’s online engagement </w:t>
      </w:r>
      <w:r>
        <w:t>hub</w:t>
      </w:r>
      <w:r w:rsidR="00A26432">
        <w:t xml:space="preserve"> </w:t>
      </w:r>
      <w:hyperlink r:id="rId12" w:history="1">
        <w:r w:rsidRPr="00EC2E97">
          <w:rPr>
            <w:rStyle w:val="Hyperlink"/>
          </w:rPr>
          <w:t>participate.melbourne.vic.gov.au</w:t>
        </w:r>
      </w:hyperlink>
      <w:r w:rsidRPr="00BF37A3">
        <w:t xml:space="preserve">. </w:t>
      </w:r>
    </w:p>
    <w:p w:rsidR="00C5328A" w:rsidRPr="00785720" w:rsidRDefault="00C5328A" w:rsidP="00C5328A">
      <w:pPr>
        <w:pStyle w:val="ListBullet"/>
      </w:pPr>
      <w:proofErr w:type="gramStart"/>
      <w:r w:rsidRPr="00444E56">
        <w:t>at</w:t>
      </w:r>
      <w:proofErr w:type="gramEnd"/>
      <w:r w:rsidRPr="00444E56">
        <w:t xml:space="preserve"> the Department of Environment, Land, Water and Planning website</w:t>
      </w:r>
      <w:r w:rsidRPr="00C2137B">
        <w:t xml:space="preserve"> </w:t>
      </w:r>
      <w:hyperlink r:id="rId13" w:history="1">
        <w:r w:rsidR="00EC2E97">
          <w:rPr>
            <w:rStyle w:val="Hyperlink"/>
            <w:rFonts w:cs="Arial"/>
            <w:szCs w:val="20"/>
          </w:rPr>
          <w:t>http://www.delwp.vic.gov.au/public-inspection</w:t>
        </w:r>
      </w:hyperlink>
      <w:r>
        <w:rPr>
          <w:color w:val="0000FF"/>
        </w:rPr>
        <w:t xml:space="preserve">. </w:t>
      </w:r>
    </w:p>
    <w:p w:rsidR="00C5328A" w:rsidRPr="00C2137B" w:rsidRDefault="00C5328A" w:rsidP="00C5328A">
      <w:r w:rsidRPr="00C2137B">
        <w:t xml:space="preserve">Any person who may be affected by the </w:t>
      </w:r>
      <w:r>
        <w:t>a</w:t>
      </w:r>
      <w:r w:rsidRPr="00C2137B">
        <w:t>mendment may make a submission to the planning authority</w:t>
      </w:r>
      <w:r>
        <w:t xml:space="preserve"> about the amendment</w:t>
      </w:r>
      <w:r w:rsidRPr="00C2137B">
        <w:t xml:space="preserve">. Submissions must be made in writing giving the submitter’s name and contact address, clearly stating the grounds on which the amendment is supported or opposed and indicating what changes (if any) the submitter wishes to make. </w:t>
      </w:r>
    </w:p>
    <w:p w:rsidR="00C5328A" w:rsidRDefault="00C5328A" w:rsidP="00BF37A3">
      <w:r w:rsidRPr="00C2137B">
        <w:t>Name and contact details of submitters are required for council to consider submissions and to notify such persons of the opportunity to attend council meetings and any public hearing held to consider submissions.</w:t>
      </w:r>
      <w:r>
        <w:t xml:space="preserve"> </w:t>
      </w:r>
    </w:p>
    <w:p w:rsidR="00C5328A" w:rsidRDefault="00C5328A" w:rsidP="00BF37A3">
      <w:r w:rsidRPr="00C2137B">
        <w:t xml:space="preserve">The closing date for </w:t>
      </w:r>
      <w:r w:rsidRPr="0050286C">
        <w:t xml:space="preserve">submissions </w:t>
      </w:r>
      <w:r w:rsidRPr="0079590E">
        <w:t xml:space="preserve">is </w:t>
      </w:r>
      <w:r w:rsidRPr="0079590E">
        <w:rPr>
          <w:b/>
        </w:rPr>
        <w:t xml:space="preserve">Friday </w:t>
      </w:r>
      <w:r>
        <w:rPr>
          <w:b/>
        </w:rPr>
        <w:t>20</w:t>
      </w:r>
      <w:r w:rsidRPr="0079590E">
        <w:rPr>
          <w:b/>
        </w:rPr>
        <w:t xml:space="preserve"> May 2016</w:t>
      </w:r>
      <w:r w:rsidRPr="0079590E">
        <w:t xml:space="preserve">. A submission must be sent to </w:t>
      </w:r>
      <w:hyperlink r:id="rId14" w:history="1">
        <w:r w:rsidRPr="00BF37A3">
          <w:rPr>
            <w:rStyle w:val="Hyperlink"/>
            <w:rFonts w:cs="Arial"/>
            <w:szCs w:val="20"/>
          </w:rPr>
          <w:t>amendmentC221@melbourne.vic.gov.au</w:t>
        </w:r>
      </w:hyperlink>
      <w:r w:rsidRPr="0079590E">
        <w:t xml:space="preserve"> or: </w:t>
      </w:r>
    </w:p>
    <w:p w:rsidR="00A26432" w:rsidRDefault="00C5328A" w:rsidP="00C5328A">
      <w:r w:rsidRPr="00E33AB3">
        <w:t>Robyn Hellman</w:t>
      </w:r>
    </w:p>
    <w:p w:rsidR="00C5328A" w:rsidRPr="00E33AB3" w:rsidRDefault="00C5328A" w:rsidP="00C5328A">
      <w:r w:rsidRPr="00E33AB3">
        <w:t xml:space="preserve">Coordinator </w:t>
      </w:r>
      <w:r>
        <w:t>Planning Scheme and Policy</w:t>
      </w:r>
    </w:p>
    <w:p w:rsidR="00C5328A" w:rsidRPr="00E33AB3" w:rsidRDefault="00C5328A" w:rsidP="00C5328A">
      <w:r>
        <w:t>Urban Strategy</w:t>
      </w:r>
    </w:p>
    <w:p w:rsidR="00C5328A" w:rsidRPr="00E33AB3" w:rsidRDefault="00C5328A" w:rsidP="00C5328A">
      <w:r w:rsidRPr="00E33AB3">
        <w:t>City of Melbourne</w:t>
      </w:r>
    </w:p>
    <w:p w:rsidR="00C5328A" w:rsidRPr="00E33AB3" w:rsidRDefault="00C5328A" w:rsidP="00C5328A">
      <w:r w:rsidRPr="00E33AB3">
        <w:t>PO BOX 1603</w:t>
      </w:r>
    </w:p>
    <w:p w:rsidR="00C5328A" w:rsidRPr="00E33AB3" w:rsidRDefault="00C5328A" w:rsidP="00C5328A">
      <w:r w:rsidRPr="00E33AB3">
        <w:t>MELBOURNE VIC 3001</w:t>
      </w:r>
    </w:p>
    <w:p w:rsidR="00630892" w:rsidRDefault="00C5328A" w:rsidP="0080256A">
      <w:pPr>
        <w:rPr>
          <w:lang w:eastAsia="en-AU"/>
        </w:rPr>
      </w:pPr>
      <w:r>
        <w:t>The planning authority must make a copy of every submission available at its office for any person to inspect free of charge for two months after the amendment comes into operation or lapses.</w:t>
      </w:r>
      <w:bookmarkEnd w:id="0"/>
      <w:bookmarkEnd w:id="1"/>
      <w:bookmarkEnd w:id="2"/>
      <w:bookmarkEnd w:id="3"/>
      <w:bookmarkEnd w:id="4"/>
    </w:p>
    <w:sectPr w:rsidR="00630892"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EE" w:rsidRDefault="008F29EE" w:rsidP="00BC719D">
      <w:pPr>
        <w:spacing w:after="0"/>
      </w:pPr>
      <w:r>
        <w:separator/>
      </w:r>
    </w:p>
  </w:endnote>
  <w:endnote w:type="continuationSeparator" w:id="0">
    <w:p w:rsidR="008F29EE" w:rsidRDefault="008F29E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Gotham-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EE" w:rsidRDefault="008F29EE" w:rsidP="00577A39">
      <w:pPr>
        <w:spacing w:after="40" w:line="240" w:lineRule="auto"/>
      </w:pPr>
      <w:r>
        <w:separator/>
      </w:r>
    </w:p>
  </w:footnote>
  <w:footnote w:type="continuationSeparator" w:id="0">
    <w:p w:rsidR="008F29EE" w:rsidRDefault="008F29EE"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745FED"/>
    <w:multiLevelType w:val="singleLevel"/>
    <w:tmpl w:val="93C46C02"/>
    <w:lvl w:ilvl="0">
      <w:start w:val="1"/>
      <w:numFmt w:val="decimal"/>
      <w:lvlText w:val="%1."/>
      <w:lvlJc w:val="left"/>
      <w:pPr>
        <w:tabs>
          <w:tab w:val="num" w:pos="0"/>
        </w:tabs>
        <w:ind w:left="737" w:hanging="737"/>
      </w:pPr>
      <w:rPr>
        <w:rFonts w:hint="default"/>
        <w:b w:val="0"/>
        <w:i w:val="0"/>
        <w:color w:val="auto"/>
      </w:rPr>
    </w:lvl>
  </w:abstractNum>
  <w:abstractNum w:abstractNumId="4">
    <w:nsid w:val="0A5D51CC"/>
    <w:multiLevelType w:val="multilevel"/>
    <w:tmpl w:val="CCB6EBEA"/>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nsid w:val="0DD96EBA"/>
    <w:multiLevelType w:val="hybridMultilevel"/>
    <w:tmpl w:val="5366CE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nsid w:val="2A2B5D1C"/>
    <w:multiLevelType w:val="multilevel"/>
    <w:tmpl w:val="16506B6C"/>
    <w:numStyleLink w:val="ListNumbers"/>
  </w:abstractNum>
  <w:abstractNum w:abstractNumId="9">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8C10957"/>
    <w:multiLevelType w:val="multilevel"/>
    <w:tmpl w:val="16506B6C"/>
    <w:numStyleLink w:val="ListNumbers"/>
  </w:abstractNum>
  <w:abstractNum w:abstractNumId="12">
    <w:nsid w:val="3ED062AC"/>
    <w:multiLevelType w:val="hybridMultilevel"/>
    <w:tmpl w:val="E6087262"/>
    <w:lvl w:ilvl="0" w:tplc="0C821730">
      <w:start w:val="8"/>
      <w:numFmt w:val="bullet"/>
      <w:lvlText w:val="-"/>
      <w:lvlJc w:val="left"/>
      <w:pPr>
        <w:ind w:left="420" w:hanging="360"/>
      </w:pPr>
      <w:rPr>
        <w:rFonts w:ascii="Arial" w:eastAsia="Times New Roman"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nsid w:val="413F5830"/>
    <w:multiLevelType w:val="hybridMultilevel"/>
    <w:tmpl w:val="14BEFCD0"/>
    <w:lvl w:ilvl="0" w:tplc="3A821B8C">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D01F83"/>
    <w:multiLevelType w:val="hybridMultilevel"/>
    <w:tmpl w:val="9EE8C6D2"/>
    <w:lvl w:ilvl="0" w:tplc="125E177E">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1209CA"/>
    <w:multiLevelType w:val="multilevel"/>
    <w:tmpl w:val="16506B6C"/>
    <w:numStyleLink w:val="ListNumbers"/>
  </w:abstractNum>
  <w:abstractNum w:abstractNumId="17">
    <w:nsid w:val="7A2C43DC"/>
    <w:multiLevelType w:val="multilevel"/>
    <w:tmpl w:val="16506B6C"/>
    <w:numStyleLink w:val="ListNumbers"/>
  </w:abstractNum>
  <w:abstractNum w:abstractNumId="18">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9">
    <w:nsid w:val="7E9459C0"/>
    <w:multiLevelType w:val="hybridMultilevel"/>
    <w:tmpl w:val="06CC33AE"/>
    <w:lvl w:ilvl="0" w:tplc="1102EB60">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FC3FD0"/>
    <w:multiLevelType w:val="hybridMultilevel"/>
    <w:tmpl w:val="9DB4B41C"/>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lvlOverride w:ilvl="0">
      <w:lvl w:ilvl="0">
        <w:start w:val="1"/>
        <w:numFmt w:val="bullet"/>
        <w:pStyle w:val="ListBullet"/>
        <w:lvlText w:val=""/>
        <w:lvlJc w:val="left"/>
        <w:pPr>
          <w:ind w:left="357" w:hanging="357"/>
        </w:pPr>
        <w:rPr>
          <w:rFonts w:ascii="Symbol" w:hAnsi="Symbol" w:hint="default"/>
          <w:color w:val="000000" w:themeColor="text1"/>
        </w:rPr>
      </w:lvl>
    </w:lvlOverride>
  </w:num>
  <w:num w:numId="2">
    <w:abstractNumId w:val="7"/>
  </w:num>
  <w:num w:numId="3">
    <w:abstractNumId w:val="1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5"/>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2"/>
  </w:num>
  <w:num w:numId="19">
    <w:abstractNumId w:val="14"/>
  </w:num>
  <w:num w:numId="20">
    <w:abstractNumId w:val="5"/>
  </w:num>
  <w:num w:numId="21">
    <w:abstractNumId w:val="20"/>
  </w:num>
  <w:num w:numId="22">
    <w:abstractNumId w:val="4"/>
  </w:num>
  <w:num w:numId="23">
    <w:abstractNumId w:val="4"/>
  </w:num>
  <w:num w:numId="24">
    <w:abstractNumId w:val="4"/>
  </w:num>
  <w:num w:numId="25">
    <w:abstractNumId w:val="3"/>
  </w:num>
  <w:num w:numId="26">
    <w:abstractNumId w:val="18"/>
  </w:num>
  <w:num w:numId="27">
    <w:abstractNumId w:val="10"/>
  </w:num>
  <w:num w:numId="28">
    <w:abstractNumId w:val="13"/>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34"/>
    <w:rsid w:val="00020B35"/>
    <w:rsid w:val="000437C5"/>
    <w:rsid w:val="000474AE"/>
    <w:rsid w:val="00071857"/>
    <w:rsid w:val="000A2BDA"/>
    <w:rsid w:val="000A48D5"/>
    <w:rsid w:val="000B5EAA"/>
    <w:rsid w:val="000F3535"/>
    <w:rsid w:val="00142938"/>
    <w:rsid w:val="00190B0E"/>
    <w:rsid w:val="001B51BF"/>
    <w:rsid w:val="001F46B4"/>
    <w:rsid w:val="001F554D"/>
    <w:rsid w:val="00202D85"/>
    <w:rsid w:val="002436A6"/>
    <w:rsid w:val="002438B7"/>
    <w:rsid w:val="0024773F"/>
    <w:rsid w:val="00260E63"/>
    <w:rsid w:val="002D630D"/>
    <w:rsid w:val="002E4153"/>
    <w:rsid w:val="002F47B6"/>
    <w:rsid w:val="002F6A88"/>
    <w:rsid w:val="00380F44"/>
    <w:rsid w:val="00392688"/>
    <w:rsid w:val="0039733F"/>
    <w:rsid w:val="003C0497"/>
    <w:rsid w:val="003D63A8"/>
    <w:rsid w:val="003E2DD2"/>
    <w:rsid w:val="003E3A9F"/>
    <w:rsid w:val="00407429"/>
    <w:rsid w:val="00426584"/>
    <w:rsid w:val="00431D45"/>
    <w:rsid w:val="004564F4"/>
    <w:rsid w:val="00457042"/>
    <w:rsid w:val="0047231C"/>
    <w:rsid w:val="00475B5E"/>
    <w:rsid w:val="004878DB"/>
    <w:rsid w:val="00493E0A"/>
    <w:rsid w:val="00494A2D"/>
    <w:rsid w:val="004A26E3"/>
    <w:rsid w:val="004D00DD"/>
    <w:rsid w:val="004D3134"/>
    <w:rsid w:val="004E1ECE"/>
    <w:rsid w:val="004F54F5"/>
    <w:rsid w:val="005074B9"/>
    <w:rsid w:val="00507CB9"/>
    <w:rsid w:val="00533098"/>
    <w:rsid w:val="00535159"/>
    <w:rsid w:val="0053666A"/>
    <w:rsid w:val="00560107"/>
    <w:rsid w:val="005620A0"/>
    <w:rsid w:val="0056634E"/>
    <w:rsid w:val="0057264C"/>
    <w:rsid w:val="00577A39"/>
    <w:rsid w:val="005814F5"/>
    <w:rsid w:val="005D30BA"/>
    <w:rsid w:val="005F4391"/>
    <w:rsid w:val="005F73C9"/>
    <w:rsid w:val="00614A36"/>
    <w:rsid w:val="006263E7"/>
    <w:rsid w:val="00630892"/>
    <w:rsid w:val="00687D4A"/>
    <w:rsid w:val="006A2F63"/>
    <w:rsid w:val="006A3718"/>
    <w:rsid w:val="006C7F7B"/>
    <w:rsid w:val="00712950"/>
    <w:rsid w:val="00715B3E"/>
    <w:rsid w:val="0073401D"/>
    <w:rsid w:val="007361D8"/>
    <w:rsid w:val="00737A99"/>
    <w:rsid w:val="00746554"/>
    <w:rsid w:val="00777DAE"/>
    <w:rsid w:val="00782E37"/>
    <w:rsid w:val="007A0AA6"/>
    <w:rsid w:val="007A3257"/>
    <w:rsid w:val="007B3367"/>
    <w:rsid w:val="007E291E"/>
    <w:rsid w:val="007F0661"/>
    <w:rsid w:val="0080256A"/>
    <w:rsid w:val="00802A52"/>
    <w:rsid w:val="00806F0F"/>
    <w:rsid w:val="00831224"/>
    <w:rsid w:val="008508D9"/>
    <w:rsid w:val="00850D66"/>
    <w:rsid w:val="00855F84"/>
    <w:rsid w:val="00881C97"/>
    <w:rsid w:val="008D2DDA"/>
    <w:rsid w:val="008E2476"/>
    <w:rsid w:val="008F29EE"/>
    <w:rsid w:val="009043FC"/>
    <w:rsid w:val="009050C6"/>
    <w:rsid w:val="0091365A"/>
    <w:rsid w:val="00955E32"/>
    <w:rsid w:val="0096323F"/>
    <w:rsid w:val="0097181E"/>
    <w:rsid w:val="00986A19"/>
    <w:rsid w:val="00990B3C"/>
    <w:rsid w:val="00992F1C"/>
    <w:rsid w:val="009D1FBA"/>
    <w:rsid w:val="009D3E95"/>
    <w:rsid w:val="009F4681"/>
    <w:rsid w:val="00A01D13"/>
    <w:rsid w:val="00A121B3"/>
    <w:rsid w:val="00A26432"/>
    <w:rsid w:val="00A8651A"/>
    <w:rsid w:val="00AA4303"/>
    <w:rsid w:val="00AA64A9"/>
    <w:rsid w:val="00AB4852"/>
    <w:rsid w:val="00AB6132"/>
    <w:rsid w:val="00AD2B6E"/>
    <w:rsid w:val="00AF02E0"/>
    <w:rsid w:val="00B152AF"/>
    <w:rsid w:val="00B53D5A"/>
    <w:rsid w:val="00B61F7F"/>
    <w:rsid w:val="00B64039"/>
    <w:rsid w:val="00B8014A"/>
    <w:rsid w:val="00B93B1F"/>
    <w:rsid w:val="00BC5E8E"/>
    <w:rsid w:val="00BC719D"/>
    <w:rsid w:val="00BE100F"/>
    <w:rsid w:val="00BE1269"/>
    <w:rsid w:val="00BE4B49"/>
    <w:rsid w:val="00BE6801"/>
    <w:rsid w:val="00BF37A3"/>
    <w:rsid w:val="00C0291B"/>
    <w:rsid w:val="00C05740"/>
    <w:rsid w:val="00C07190"/>
    <w:rsid w:val="00C07C07"/>
    <w:rsid w:val="00C10D95"/>
    <w:rsid w:val="00C14A6F"/>
    <w:rsid w:val="00C14F9F"/>
    <w:rsid w:val="00C2007C"/>
    <w:rsid w:val="00C37F6A"/>
    <w:rsid w:val="00C42412"/>
    <w:rsid w:val="00C5328A"/>
    <w:rsid w:val="00C73DA2"/>
    <w:rsid w:val="00CA3730"/>
    <w:rsid w:val="00CB6145"/>
    <w:rsid w:val="00CD382D"/>
    <w:rsid w:val="00D00427"/>
    <w:rsid w:val="00D02C4A"/>
    <w:rsid w:val="00D36AF5"/>
    <w:rsid w:val="00D77363"/>
    <w:rsid w:val="00DA35E7"/>
    <w:rsid w:val="00E26DC7"/>
    <w:rsid w:val="00E4646D"/>
    <w:rsid w:val="00E5089C"/>
    <w:rsid w:val="00E86DCD"/>
    <w:rsid w:val="00E94A1C"/>
    <w:rsid w:val="00EA2130"/>
    <w:rsid w:val="00EC2E97"/>
    <w:rsid w:val="00EC4AF9"/>
    <w:rsid w:val="00ED7629"/>
    <w:rsid w:val="00EF11AE"/>
    <w:rsid w:val="00F03DF7"/>
    <w:rsid w:val="00F07FBE"/>
    <w:rsid w:val="00F173AC"/>
    <w:rsid w:val="00F24B46"/>
    <w:rsid w:val="00F4048D"/>
    <w:rsid w:val="00F41FC6"/>
    <w:rsid w:val="00F61B69"/>
    <w:rsid w:val="00F63593"/>
    <w:rsid w:val="00F67D3D"/>
    <w:rsid w:val="00F83261"/>
    <w:rsid w:val="00FA2DFF"/>
    <w:rsid w:val="00FB103D"/>
    <w:rsid w:val="00FC6D23"/>
    <w:rsid w:val="00FE1907"/>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22"/>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ActTitle">
    <w:name w:val="Act Title"/>
    <w:basedOn w:val="Normal"/>
    <w:rsid w:val="00507CB9"/>
    <w:pPr>
      <w:spacing w:before="120" w:after="0" w:line="240" w:lineRule="auto"/>
      <w:jc w:val="center"/>
    </w:pPr>
    <w:rPr>
      <w:rFonts w:eastAsia="Times New Roman"/>
      <w:i/>
      <w:iCs/>
      <w:sz w:val="24"/>
      <w:szCs w:val="20"/>
      <w:lang w:eastAsia="en-AU"/>
    </w:rPr>
  </w:style>
  <w:style w:type="paragraph" w:customStyle="1" w:styleId="StrategicAssessmentText">
    <w:name w:val="Strategic Assessment Text"/>
    <w:basedOn w:val="Normal"/>
    <w:rsid w:val="00507CB9"/>
    <w:pPr>
      <w:spacing w:before="120" w:after="0" w:line="240" w:lineRule="auto"/>
      <w:ind w:left="284"/>
      <w:jc w:val="both"/>
    </w:pPr>
    <w:rPr>
      <w:rFonts w:ascii="Times" w:eastAsia="Times New Roman" w:hAnsi="Times"/>
      <w:sz w:val="24"/>
      <w:szCs w:val="20"/>
      <w:lang w:eastAsia="en-AU"/>
    </w:rPr>
  </w:style>
  <w:style w:type="paragraph" w:customStyle="1" w:styleId="T-Normal">
    <w:name w:val="T-Normal"/>
    <w:basedOn w:val="Normal"/>
    <w:link w:val="T-NormalChar"/>
    <w:rsid w:val="00507CB9"/>
    <w:pPr>
      <w:spacing w:after="113" w:line="216" w:lineRule="exact"/>
      <w:ind w:left="737"/>
    </w:pPr>
    <w:rPr>
      <w:rFonts w:ascii="Swis721 Lt BT" w:eastAsia="Times New Roman" w:hAnsi="Swis721 Lt BT"/>
      <w:color w:val="000000"/>
    </w:rPr>
  </w:style>
  <w:style w:type="character" w:customStyle="1" w:styleId="T-NormalChar">
    <w:name w:val="T-Normal Char"/>
    <w:link w:val="T-Normal"/>
    <w:rsid w:val="00507CB9"/>
    <w:rPr>
      <w:rFonts w:ascii="Swis721 Lt BT" w:eastAsia="Times New Roman" w:hAnsi="Swis721 Lt BT"/>
      <w:color w:val="000000"/>
      <w:szCs w:val="24"/>
      <w:lang w:eastAsia="en-US"/>
    </w:rPr>
  </w:style>
  <w:style w:type="paragraph" w:styleId="BodyText">
    <w:name w:val="Body Text"/>
    <w:basedOn w:val="Normal"/>
    <w:link w:val="BodyTextChar"/>
    <w:rsid w:val="00630892"/>
    <w:pPr>
      <w:spacing w:before="120" w:after="120" w:line="240" w:lineRule="auto"/>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63089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22"/>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ActTitle">
    <w:name w:val="Act Title"/>
    <w:basedOn w:val="Normal"/>
    <w:rsid w:val="00507CB9"/>
    <w:pPr>
      <w:spacing w:before="120" w:after="0" w:line="240" w:lineRule="auto"/>
      <w:jc w:val="center"/>
    </w:pPr>
    <w:rPr>
      <w:rFonts w:eastAsia="Times New Roman"/>
      <w:i/>
      <w:iCs/>
      <w:sz w:val="24"/>
      <w:szCs w:val="20"/>
      <w:lang w:eastAsia="en-AU"/>
    </w:rPr>
  </w:style>
  <w:style w:type="paragraph" w:customStyle="1" w:styleId="StrategicAssessmentText">
    <w:name w:val="Strategic Assessment Text"/>
    <w:basedOn w:val="Normal"/>
    <w:rsid w:val="00507CB9"/>
    <w:pPr>
      <w:spacing w:before="120" w:after="0" w:line="240" w:lineRule="auto"/>
      <w:ind w:left="284"/>
      <w:jc w:val="both"/>
    </w:pPr>
    <w:rPr>
      <w:rFonts w:ascii="Times" w:eastAsia="Times New Roman" w:hAnsi="Times"/>
      <w:sz w:val="24"/>
      <w:szCs w:val="20"/>
      <w:lang w:eastAsia="en-AU"/>
    </w:rPr>
  </w:style>
  <w:style w:type="paragraph" w:customStyle="1" w:styleId="T-Normal">
    <w:name w:val="T-Normal"/>
    <w:basedOn w:val="Normal"/>
    <w:link w:val="T-NormalChar"/>
    <w:rsid w:val="00507CB9"/>
    <w:pPr>
      <w:spacing w:after="113" w:line="216" w:lineRule="exact"/>
      <w:ind w:left="737"/>
    </w:pPr>
    <w:rPr>
      <w:rFonts w:ascii="Swis721 Lt BT" w:eastAsia="Times New Roman" w:hAnsi="Swis721 Lt BT"/>
      <w:color w:val="000000"/>
    </w:rPr>
  </w:style>
  <w:style w:type="character" w:customStyle="1" w:styleId="T-NormalChar">
    <w:name w:val="T-Normal Char"/>
    <w:link w:val="T-Normal"/>
    <w:rsid w:val="00507CB9"/>
    <w:rPr>
      <w:rFonts w:ascii="Swis721 Lt BT" w:eastAsia="Times New Roman" w:hAnsi="Swis721 Lt BT"/>
      <w:color w:val="000000"/>
      <w:szCs w:val="24"/>
      <w:lang w:eastAsia="en-US"/>
    </w:rPr>
  </w:style>
  <w:style w:type="paragraph" w:styleId="BodyText">
    <w:name w:val="Body Text"/>
    <w:basedOn w:val="Normal"/>
    <w:link w:val="BodyTextChar"/>
    <w:rsid w:val="00630892"/>
    <w:pPr>
      <w:spacing w:before="120" w:after="120" w:line="240" w:lineRule="auto"/>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63089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ublic-inspec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Program%20Files%20(x86)\Open%20Text\download\participate.melbourne.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mendmentC221@melbourn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F921-69C1-40A5-AA51-0113EECD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2016-04-01T03:02:00Z</dcterms:created>
  <dcterms:modified xsi:type="dcterms:W3CDTF">2016-04-01T04:32:00Z</dcterms:modified>
</cp:coreProperties>
</file>