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20A8607A" w:rsidR="005C64DD" w:rsidRPr="00C7059B" w:rsidRDefault="005C64DD" w:rsidP="00D97B7E">
      <w:pPr>
        <w:pStyle w:val="Default"/>
        <w:rPr>
          <w:b/>
          <w:bCs/>
          <w:sz w:val="30"/>
          <w:szCs w:val="30"/>
        </w:rPr>
      </w:pPr>
      <w:r w:rsidRPr="005955C2">
        <w:rPr>
          <w:b/>
          <w:bCs/>
          <w:sz w:val="30"/>
          <w:szCs w:val="30"/>
        </w:rPr>
        <w:t>Statement of Significance</w:t>
      </w:r>
      <w:r w:rsidR="00E44A50" w:rsidRPr="005955C2">
        <w:rPr>
          <w:b/>
          <w:bCs/>
          <w:sz w:val="30"/>
          <w:szCs w:val="30"/>
        </w:rPr>
        <w:t>:</w:t>
      </w:r>
      <w:r w:rsidR="007F54B8">
        <w:rPr>
          <w:b/>
          <w:bCs/>
          <w:sz w:val="30"/>
          <w:szCs w:val="30"/>
        </w:rPr>
        <w:t xml:space="preserve"> </w:t>
      </w:r>
      <w:r w:rsidR="00546691">
        <w:rPr>
          <w:b/>
          <w:bCs/>
          <w:sz w:val="30"/>
          <w:szCs w:val="30"/>
        </w:rPr>
        <w:t xml:space="preserve">Gavazzi Terrace, </w:t>
      </w:r>
      <w:bookmarkStart w:id="0" w:name="_GoBack"/>
      <w:bookmarkEnd w:id="0"/>
      <w:r w:rsidR="006265D4">
        <w:rPr>
          <w:b/>
          <w:bCs/>
          <w:sz w:val="30"/>
          <w:szCs w:val="30"/>
        </w:rPr>
        <w:t>1</w:t>
      </w:r>
      <w:r w:rsidR="001C7ADE">
        <w:rPr>
          <w:b/>
          <w:bCs/>
          <w:sz w:val="30"/>
          <w:szCs w:val="30"/>
        </w:rPr>
        <w:t>9 Queensberry</w:t>
      </w:r>
      <w:r w:rsidR="006265D4">
        <w:rPr>
          <w:b/>
          <w:bCs/>
          <w:sz w:val="30"/>
          <w:szCs w:val="30"/>
        </w:rPr>
        <w:t xml:space="preserve"> </w:t>
      </w:r>
      <w:r w:rsidR="00C1287B">
        <w:rPr>
          <w:b/>
          <w:bCs/>
          <w:sz w:val="30"/>
          <w:szCs w:val="30"/>
        </w:rPr>
        <w:t>Street,</w:t>
      </w:r>
      <w:r w:rsidR="00005683" w:rsidRPr="00C7059B">
        <w:rPr>
          <w:b/>
          <w:bCs/>
          <w:sz w:val="30"/>
          <w:szCs w:val="30"/>
        </w:rPr>
        <w:t xml:space="preserve"> Carlton </w:t>
      </w:r>
      <w:r w:rsidR="005218DA" w:rsidRPr="00C7059B">
        <w:rPr>
          <w:b/>
          <w:bCs/>
          <w:sz w:val="30"/>
          <w:szCs w:val="30"/>
        </w:rPr>
        <w:t>(</w:t>
      </w:r>
      <w:r w:rsidR="00D97B7E" w:rsidRPr="00C7059B">
        <w:rPr>
          <w:b/>
          <w:bCs/>
          <w:sz w:val="30"/>
          <w:szCs w:val="30"/>
        </w:rPr>
        <w:t>November</w:t>
      </w:r>
      <w:r w:rsidR="00BF047E">
        <w:rPr>
          <w:b/>
          <w:bCs/>
          <w:sz w:val="30"/>
          <w:szCs w:val="30"/>
        </w:rPr>
        <w:t>,</w:t>
      </w:r>
      <w:r w:rsidR="00D97B7E" w:rsidRPr="00C7059B">
        <w:rPr>
          <w:b/>
          <w:bCs/>
          <w:sz w:val="30"/>
          <w:szCs w:val="30"/>
        </w:rPr>
        <w:t xml:space="preserve"> 2021</w:t>
      </w:r>
      <w:r w:rsidR="005218DA" w:rsidRPr="00C7059B">
        <w:rPr>
          <w:b/>
          <w:bCs/>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4"/>
        <w:gridCol w:w="2764"/>
        <w:gridCol w:w="1520"/>
        <w:gridCol w:w="3088"/>
      </w:tblGrid>
      <w:tr w:rsidR="00D55527"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445EE4EE" w:rsidR="005C64DD" w:rsidRPr="00FA1D7F" w:rsidRDefault="001C7ADE" w:rsidP="00A7491A">
            <w:pPr>
              <w:autoSpaceDE w:val="0"/>
              <w:autoSpaceDN w:val="0"/>
              <w:adjustRightInd w:val="0"/>
              <w:spacing w:before="60" w:after="60"/>
              <w:rPr>
                <w:rFonts w:ascii="Arial" w:hAnsi="Arial" w:cs="Arial"/>
                <w:bCs/>
                <w:sz w:val="20"/>
                <w:szCs w:val="20"/>
              </w:rPr>
            </w:pPr>
            <w:r>
              <w:rPr>
                <w:rFonts w:ascii="Arial" w:hAnsi="Arial" w:cs="Arial"/>
                <w:sz w:val="20"/>
                <w:szCs w:val="19"/>
              </w:rPr>
              <w:t>Gavazzi Terrace</w:t>
            </w:r>
            <w:r w:rsidR="00C1287B">
              <w:rPr>
                <w:rFonts w:ascii="Arial" w:hAnsi="Arial" w:cs="Arial"/>
                <w:sz w:val="20"/>
                <w:szCs w:val="19"/>
              </w:rPr>
              <w:t xml:space="preserve"> </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4A448C71" w:rsidR="005C64DD" w:rsidRPr="00FA1D7F" w:rsidRDefault="001C7ADE"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HO87</w:t>
            </w:r>
          </w:p>
        </w:tc>
      </w:tr>
    </w:tbl>
    <w:p w14:paraId="381C75D3" w14:textId="0DBD0FE9" w:rsidR="00D97B7E" w:rsidRDefault="00D97B7E" w:rsidP="001F027E">
      <w:pPr>
        <w:autoSpaceDE w:val="0"/>
        <w:autoSpaceDN w:val="0"/>
        <w:adjustRightInd w:val="0"/>
        <w:spacing w:after="0" w:line="240" w:lineRule="auto"/>
        <w:rPr>
          <w:rFonts w:ascii="Arial" w:hAnsi="Arial" w:cs="Arial"/>
          <w:b/>
          <w:bCs/>
          <w:sz w:val="20"/>
          <w:szCs w:val="23"/>
        </w:rPr>
      </w:pPr>
    </w:p>
    <w:p w14:paraId="29182820" w14:textId="43877385" w:rsidR="00C7059B" w:rsidRDefault="001C7ADE" w:rsidP="001F027E">
      <w:pPr>
        <w:autoSpaceDE w:val="0"/>
        <w:autoSpaceDN w:val="0"/>
        <w:adjustRightInd w:val="0"/>
        <w:spacing w:after="0" w:line="240" w:lineRule="auto"/>
        <w:rPr>
          <w:rFonts w:ascii="Arial" w:hAnsi="Arial" w:cs="Arial"/>
          <w:b/>
          <w:bCs/>
          <w:sz w:val="20"/>
          <w:szCs w:val="23"/>
        </w:rPr>
      </w:pPr>
      <w:r w:rsidRPr="00D72D40">
        <w:rPr>
          <w:rFonts w:eastAsia="Cambria" w:cs="Arial"/>
          <w:b/>
          <w:noProof/>
          <w:szCs w:val="20"/>
          <w:lang w:eastAsia="en-AU"/>
        </w:rPr>
        <w:drawing>
          <wp:inline distT="0" distB="0" distL="0" distR="0" wp14:anchorId="62A56085" wp14:editId="034C5933">
            <wp:extent cx="2059091" cy="22305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1156" cy="2232738"/>
                    </a:xfrm>
                    <a:prstGeom prst="rect">
                      <a:avLst/>
                    </a:prstGeom>
                    <a:noFill/>
                    <a:ln>
                      <a:noFill/>
                    </a:ln>
                  </pic:spPr>
                </pic:pic>
              </a:graphicData>
            </a:graphic>
          </wp:inline>
        </w:drawing>
      </w:r>
      <w:r>
        <w:rPr>
          <w:rFonts w:ascii="Arial" w:hAnsi="Arial" w:cs="Arial"/>
          <w:b/>
          <w:bCs/>
          <w:sz w:val="20"/>
          <w:szCs w:val="23"/>
        </w:rPr>
        <w:t xml:space="preserve"> </w:t>
      </w:r>
      <w:r w:rsidRPr="00D72D40">
        <w:rPr>
          <w:rFonts w:eastAsia="Cambria" w:cs="Arial"/>
          <w:b/>
          <w:noProof/>
          <w:szCs w:val="20"/>
          <w:lang w:eastAsia="en-AU"/>
        </w:rPr>
        <w:drawing>
          <wp:inline distT="0" distB="0" distL="0" distR="0" wp14:anchorId="65C40EFB" wp14:editId="3DC805F7">
            <wp:extent cx="3382751" cy="198507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5348" cy="1986602"/>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39B6B8BF" w14:textId="77777777" w:rsidR="001C7ADE" w:rsidRPr="001C7ADE" w:rsidRDefault="001C7ADE" w:rsidP="001C7ADE">
      <w:pPr>
        <w:rPr>
          <w:rFonts w:ascii="Arial" w:eastAsia="MS Mincho" w:hAnsi="Arial" w:cs="Times New Roman"/>
          <w:sz w:val="20"/>
          <w:szCs w:val="24"/>
          <w:lang w:val="en-US"/>
        </w:rPr>
      </w:pPr>
      <w:r w:rsidRPr="001C7ADE">
        <w:rPr>
          <w:rFonts w:ascii="Arial" w:eastAsia="MS Mincho" w:hAnsi="Arial" w:cs="Times New Roman"/>
          <w:sz w:val="20"/>
          <w:szCs w:val="24"/>
          <w:lang w:val="en-US"/>
        </w:rPr>
        <w:t>The two-storey brick terrace house at 19 Queensberry Street, Carlton, constructed in c. 1889, is significant.</w:t>
      </w:r>
    </w:p>
    <w:p w14:paraId="2A0DAAE6" w14:textId="402EA8BC"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7C5156D5" w14:textId="77777777" w:rsidR="001C7ADE" w:rsidRPr="001C7ADE" w:rsidRDefault="001C7ADE" w:rsidP="001C7ADE">
      <w:pPr>
        <w:rPr>
          <w:rFonts w:ascii="Arial" w:eastAsia="MS Mincho" w:hAnsi="Arial" w:cs="Times New Roman"/>
          <w:sz w:val="20"/>
          <w:szCs w:val="24"/>
        </w:rPr>
      </w:pPr>
      <w:r w:rsidRPr="001C7ADE">
        <w:rPr>
          <w:rFonts w:ascii="Arial" w:eastAsia="MS Mincho" w:hAnsi="Arial" w:cs="Times New Roman"/>
          <w:sz w:val="20"/>
          <w:szCs w:val="24"/>
        </w:rPr>
        <w:t>The two-storey brick terrace house at 19 Queensberry Street, Carlton, constructed in c. 1889, is of local historical and aesthetic significance.</w:t>
      </w: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118494B9" w14:textId="77777777" w:rsidR="001C7ADE" w:rsidRPr="001C7ADE" w:rsidRDefault="001C7ADE" w:rsidP="001C7ADE">
      <w:pPr>
        <w:rPr>
          <w:rFonts w:ascii="Arial" w:eastAsia="MS Mincho" w:hAnsi="Arial" w:cs="Times New Roman"/>
          <w:sz w:val="20"/>
          <w:szCs w:val="24"/>
          <w:lang w:val="en-US"/>
        </w:rPr>
      </w:pPr>
      <w:r w:rsidRPr="001C7ADE">
        <w:rPr>
          <w:rFonts w:ascii="Arial" w:eastAsia="MS Mincho" w:hAnsi="Arial" w:cs="Times New Roman"/>
          <w:sz w:val="20"/>
          <w:szCs w:val="24"/>
          <w:lang w:val="en-US"/>
        </w:rPr>
        <w:t>The two-</w:t>
      </w:r>
      <w:proofErr w:type="spellStart"/>
      <w:r w:rsidRPr="001C7ADE">
        <w:rPr>
          <w:rFonts w:ascii="Arial" w:eastAsia="MS Mincho" w:hAnsi="Arial" w:cs="Times New Roman"/>
          <w:sz w:val="20"/>
          <w:szCs w:val="24"/>
          <w:lang w:val="en-US"/>
        </w:rPr>
        <w:t>storey</w:t>
      </w:r>
      <w:proofErr w:type="spellEnd"/>
      <w:r w:rsidRPr="001C7ADE">
        <w:rPr>
          <w:rFonts w:ascii="Arial" w:eastAsia="MS Mincho" w:hAnsi="Arial" w:cs="Times New Roman"/>
          <w:sz w:val="20"/>
          <w:szCs w:val="24"/>
          <w:lang w:val="en-US"/>
        </w:rPr>
        <w:t xml:space="preserve"> brick terrace house at 19 Queensberry Street, Carlton, as constructed in c. 1889 for Howard Nelson Proctor, to a design by noted architects </w:t>
      </w:r>
      <w:proofErr w:type="spellStart"/>
      <w:r w:rsidRPr="001C7ADE">
        <w:rPr>
          <w:rFonts w:ascii="Arial" w:eastAsia="MS Mincho" w:hAnsi="Arial" w:cs="Times New Roman"/>
          <w:sz w:val="20"/>
          <w:szCs w:val="24"/>
          <w:lang w:val="en-US"/>
        </w:rPr>
        <w:t>Twentyman</w:t>
      </w:r>
      <w:proofErr w:type="spellEnd"/>
      <w:r w:rsidRPr="001C7ADE">
        <w:rPr>
          <w:rFonts w:ascii="Arial" w:eastAsia="MS Mincho" w:hAnsi="Arial" w:cs="Times New Roman"/>
          <w:sz w:val="20"/>
          <w:szCs w:val="24"/>
          <w:lang w:val="en-US"/>
        </w:rPr>
        <w:t xml:space="preserve"> &amp; Askew, is of historical significance (Criterion A). It was named ‘Gavazzi Terrace’, after the reformist Italian preacher who died in the year of the house’s construction. Its late 1880s date is consistent with the development of more substantial and ornate residences in Carlton, including in the area in proximity to the prestigious Royal Exhibition Building and Carlton Gardens, another highly significant Carlton (and Melbourne) development of the decade. The 1880s was the noted Boom period in Melbourne, and this together with proximity to the REB, was reflected in the handsome and substantial dwelling, of ten rooms plus stables, at the time of its completion.</w:t>
      </w:r>
    </w:p>
    <w:p w14:paraId="264A358E" w14:textId="77777777" w:rsidR="001C7ADE" w:rsidRPr="001C7ADE" w:rsidRDefault="001C7ADE" w:rsidP="001C7ADE">
      <w:pPr>
        <w:rPr>
          <w:rFonts w:ascii="Arial" w:eastAsia="MS Mincho" w:hAnsi="Arial" w:cs="Times New Roman"/>
          <w:sz w:val="20"/>
          <w:szCs w:val="24"/>
          <w:lang w:val="en-US"/>
        </w:rPr>
      </w:pPr>
      <w:r w:rsidRPr="001C7ADE">
        <w:rPr>
          <w:rFonts w:ascii="Arial" w:eastAsia="MS Mincho" w:hAnsi="Arial" w:cs="Times New Roman"/>
          <w:sz w:val="20"/>
          <w:szCs w:val="24"/>
          <w:lang w:val="en-US"/>
        </w:rPr>
        <w:t xml:space="preserve">The dwelling is also of aesthetic significance (Criterion E). The dwelling is in the Italianate style and is distinguished by its </w:t>
      </w:r>
      <w:proofErr w:type="spellStart"/>
      <w:r w:rsidRPr="001C7ADE">
        <w:rPr>
          <w:rFonts w:ascii="Arial" w:eastAsia="MS Mincho" w:hAnsi="Arial" w:cs="Times New Roman"/>
          <w:sz w:val="20"/>
          <w:szCs w:val="24"/>
          <w:lang w:val="en-US"/>
        </w:rPr>
        <w:t>bichrome</w:t>
      </w:r>
      <w:proofErr w:type="spellEnd"/>
      <w:r w:rsidRPr="001C7ADE">
        <w:rPr>
          <w:rFonts w:ascii="Arial" w:eastAsia="MS Mincho" w:hAnsi="Arial" w:cs="Times New Roman"/>
          <w:sz w:val="20"/>
          <w:szCs w:val="24"/>
          <w:lang w:val="en-US"/>
        </w:rPr>
        <w:t xml:space="preserve"> face brick expression, and noteworthy for its external intactness and the surviving brick stables to the rear. Original elements of note include the cast-iron double-height verandah, iron palisade fence and gate to the property frontage, entrance door and sidelights, and windows at ground and first floor levels with segmental arched openings and unusual </w:t>
      </w:r>
      <w:proofErr w:type="spellStart"/>
      <w:r w:rsidRPr="001C7ADE">
        <w:rPr>
          <w:rFonts w:ascii="Arial" w:eastAsia="MS Mincho" w:hAnsi="Arial" w:cs="Times New Roman"/>
          <w:sz w:val="20"/>
          <w:szCs w:val="24"/>
          <w:lang w:val="en-US"/>
        </w:rPr>
        <w:t>moulded</w:t>
      </w:r>
      <w:proofErr w:type="spellEnd"/>
      <w:r w:rsidRPr="001C7ADE">
        <w:rPr>
          <w:rFonts w:ascii="Arial" w:eastAsia="MS Mincho" w:hAnsi="Arial" w:cs="Times New Roman"/>
          <w:sz w:val="20"/>
          <w:szCs w:val="24"/>
          <w:lang w:val="en-US"/>
        </w:rPr>
        <w:t xml:space="preserve"> brick architraves. The building is also notable for the patterning to its walls in red and cream brick, which takes the form of cruciform devices to walls, contrasting brick banding to arches above windows and doors, and red brick panels under window sills; and the </w:t>
      </w:r>
      <w:proofErr w:type="spellStart"/>
      <w:r w:rsidRPr="001C7ADE">
        <w:rPr>
          <w:rFonts w:ascii="Arial" w:eastAsia="MS Mincho" w:hAnsi="Arial" w:cs="Times New Roman"/>
          <w:sz w:val="20"/>
          <w:szCs w:val="24"/>
          <w:lang w:val="en-US"/>
        </w:rPr>
        <w:t>balustraded</w:t>
      </w:r>
      <w:proofErr w:type="spellEnd"/>
      <w:r w:rsidRPr="001C7ADE">
        <w:rPr>
          <w:rFonts w:ascii="Arial" w:eastAsia="MS Mincho" w:hAnsi="Arial" w:cs="Times New Roman"/>
          <w:sz w:val="20"/>
          <w:szCs w:val="24"/>
          <w:lang w:val="en-US"/>
        </w:rPr>
        <w:t xml:space="preserve"> parapet with a central circular pediment incorporating a signage panel and the name ‘Gavazzi Terrace’. The overall expression of </w:t>
      </w:r>
      <w:r w:rsidRPr="001C7ADE">
        <w:rPr>
          <w:rFonts w:ascii="Arial" w:eastAsia="MS Mincho" w:hAnsi="Arial" w:cs="Times New Roman"/>
          <w:sz w:val="20"/>
          <w:szCs w:val="24"/>
          <w:lang w:val="en-US"/>
        </w:rPr>
        <w:lastRenderedPageBreak/>
        <w:t>the dwelling shows the hand of the noted architects involved. The canted form of the original stable also remains legible from the ROW.</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27171208" w:rsidR="005C64DD" w:rsidRPr="00C7059B" w:rsidRDefault="00BF047E"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w:t>
      </w:r>
      <w:r w:rsidR="00D97B7E" w:rsidRPr="00D97B7E">
        <w:rPr>
          <w:rFonts w:ascii="Arial" w:hAnsi="Arial" w:cs="Arial"/>
          <w:bCs/>
          <w:i/>
          <w:sz w:val="20"/>
          <w:szCs w:val="18"/>
        </w:rPr>
        <w:t xml:space="preserve"> </w:t>
      </w:r>
      <w:r w:rsidR="000D7EEF">
        <w:rPr>
          <w:rFonts w:ascii="Arial" w:hAnsi="Arial" w:cs="Arial"/>
          <w:bCs/>
          <w:i/>
          <w:sz w:val="20"/>
          <w:szCs w:val="18"/>
        </w:rPr>
        <w:t>(Lovell Chen</w:t>
      </w:r>
      <w:r>
        <w:rPr>
          <w:rFonts w:ascii="Arial" w:hAnsi="Arial" w:cs="Arial"/>
          <w:bCs/>
          <w:i/>
          <w:sz w:val="20"/>
          <w:szCs w:val="18"/>
        </w:rPr>
        <w:t>, 2021)</w:t>
      </w:r>
    </w:p>
    <w:sectPr w:rsidR="005C64DD" w:rsidRPr="00C7059B"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33DDF"/>
    <w:multiLevelType w:val="hybridMultilevel"/>
    <w:tmpl w:val="9062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2B447A7"/>
    <w:multiLevelType w:val="hybridMultilevel"/>
    <w:tmpl w:val="29B8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4D51AE"/>
    <w:multiLevelType w:val="hybridMultilevel"/>
    <w:tmpl w:val="8072F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463760"/>
    <w:multiLevelType w:val="hybridMultilevel"/>
    <w:tmpl w:val="34AA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0D7EEF"/>
    <w:rsid w:val="00104A25"/>
    <w:rsid w:val="001C7ADE"/>
    <w:rsid w:val="001F027E"/>
    <w:rsid w:val="00243534"/>
    <w:rsid w:val="002746A6"/>
    <w:rsid w:val="002B5085"/>
    <w:rsid w:val="002F0D37"/>
    <w:rsid w:val="00301DD9"/>
    <w:rsid w:val="00322EC7"/>
    <w:rsid w:val="0032640D"/>
    <w:rsid w:val="003655C3"/>
    <w:rsid w:val="003B3546"/>
    <w:rsid w:val="003B63D6"/>
    <w:rsid w:val="003C767E"/>
    <w:rsid w:val="003E0F32"/>
    <w:rsid w:val="00402068"/>
    <w:rsid w:val="00402E2B"/>
    <w:rsid w:val="004373FD"/>
    <w:rsid w:val="004532B1"/>
    <w:rsid w:val="00476CBD"/>
    <w:rsid w:val="004819A5"/>
    <w:rsid w:val="004C29A4"/>
    <w:rsid w:val="00521754"/>
    <w:rsid w:val="005218DA"/>
    <w:rsid w:val="00546691"/>
    <w:rsid w:val="00565263"/>
    <w:rsid w:val="005955C2"/>
    <w:rsid w:val="005C158B"/>
    <w:rsid w:val="005C64DD"/>
    <w:rsid w:val="005F4285"/>
    <w:rsid w:val="006020D9"/>
    <w:rsid w:val="006265D4"/>
    <w:rsid w:val="006941BE"/>
    <w:rsid w:val="006C5E5C"/>
    <w:rsid w:val="006D4A4C"/>
    <w:rsid w:val="00737B32"/>
    <w:rsid w:val="007C3861"/>
    <w:rsid w:val="007E2283"/>
    <w:rsid w:val="007F54B8"/>
    <w:rsid w:val="007F63C5"/>
    <w:rsid w:val="008249A2"/>
    <w:rsid w:val="00880527"/>
    <w:rsid w:val="00884E93"/>
    <w:rsid w:val="008946BC"/>
    <w:rsid w:val="008F3EDB"/>
    <w:rsid w:val="00925109"/>
    <w:rsid w:val="00993C8D"/>
    <w:rsid w:val="009F6B18"/>
    <w:rsid w:val="00A30304"/>
    <w:rsid w:val="00A7491A"/>
    <w:rsid w:val="00AA67C7"/>
    <w:rsid w:val="00AE64D0"/>
    <w:rsid w:val="00AF6E10"/>
    <w:rsid w:val="00BD35EF"/>
    <w:rsid w:val="00BF047E"/>
    <w:rsid w:val="00C1287B"/>
    <w:rsid w:val="00C151CA"/>
    <w:rsid w:val="00C24959"/>
    <w:rsid w:val="00C64700"/>
    <w:rsid w:val="00C7059B"/>
    <w:rsid w:val="00CE1547"/>
    <w:rsid w:val="00D55527"/>
    <w:rsid w:val="00D97B7E"/>
    <w:rsid w:val="00DD69D0"/>
    <w:rsid w:val="00E43DD8"/>
    <w:rsid w:val="00E44A50"/>
    <w:rsid w:val="00F46470"/>
    <w:rsid w:val="00F97667"/>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2.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3.xml><?xml version="1.0" encoding="utf-8"?>
<ds:datastoreItem xmlns:ds="http://schemas.openxmlformats.org/officeDocument/2006/customXml" ds:itemID="{105C8AE3-1895-4334-BA93-E7B569EFE3F5}">
  <ds:schemaRefs>
    <ds:schemaRef ds:uri="office.server.policy"/>
  </ds:schemaRefs>
</ds:datastoreItem>
</file>

<file path=customXml/itemProps4.xml><?xml version="1.0" encoding="utf-8"?>
<ds:datastoreItem xmlns:ds="http://schemas.openxmlformats.org/officeDocument/2006/customXml" ds:itemID="{83E573BD-C988-4515-8D31-0F600DFEE5C7}">
  <ds:schemaRefs>
    <ds:schemaRef ds:uri="a5f32de4-e402-4188-b034-e71ca7d22e54"/>
    <ds:schemaRef ds:uri="http://schemas.microsoft.com/office/2006/documentManagement/types"/>
    <ds:schemaRef ds:uri="53cc8871-9683-4ba7-be3f-499d40b7b90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05aa45cf-ed89-4733-97a8-db4ce5c51511"/>
    <ds:schemaRef ds:uri="http://schemas.microsoft.com/sharepoint/v3"/>
    <ds:schemaRef ds:uri="c42f9c80-6326-4d3e-8624-f1221488f056"/>
    <ds:schemaRef ds:uri="http://purl.org/dc/terms/"/>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C646A83-57E4-430A-98C8-D8D8EFB931D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6</cp:revision>
  <dcterms:created xsi:type="dcterms:W3CDTF">2022-02-16T03:12:00Z</dcterms:created>
  <dcterms:modified xsi:type="dcterms:W3CDTF">2022-02-21T00:33:00Z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