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0125" w14:textId="75BBDFD8" w:rsidR="005C64DD" w:rsidRDefault="005C64DD" w:rsidP="005C64DD">
      <w:pPr>
        <w:autoSpaceDE w:val="0"/>
        <w:autoSpaceDN w:val="0"/>
        <w:adjustRightInd w:val="0"/>
        <w:spacing w:after="0" w:line="240" w:lineRule="auto"/>
        <w:rPr>
          <w:rFonts w:ascii="Arial" w:hAnsi="Arial" w:cs="Arial"/>
          <w:b/>
          <w:bCs/>
          <w:sz w:val="30"/>
          <w:szCs w:val="30"/>
        </w:rPr>
      </w:pPr>
      <w:r>
        <w:rPr>
          <w:rFonts w:ascii="Arial" w:hAnsi="Arial" w:cs="Arial"/>
          <w:b/>
          <w:bCs/>
          <w:sz w:val="30"/>
          <w:szCs w:val="30"/>
        </w:rPr>
        <w:t>Statement of Significance</w:t>
      </w:r>
      <w:r w:rsidR="00E44A50">
        <w:rPr>
          <w:rFonts w:ascii="Arial" w:hAnsi="Arial" w:cs="Arial"/>
          <w:b/>
          <w:bCs/>
          <w:sz w:val="30"/>
          <w:szCs w:val="30"/>
        </w:rPr>
        <w:t>:</w:t>
      </w:r>
      <w:r w:rsidR="00E44A50" w:rsidRPr="00E44A50">
        <w:rPr>
          <w:rFonts w:ascii="Arial" w:hAnsi="Arial" w:cs="Arial"/>
          <w:b/>
          <w:bCs/>
          <w:color w:val="0000FF"/>
          <w:sz w:val="30"/>
          <w:szCs w:val="30"/>
        </w:rPr>
        <w:t xml:space="preserve"> </w:t>
      </w:r>
      <w:r w:rsidR="00B2641D">
        <w:rPr>
          <w:rFonts w:ascii="Arial" w:hAnsi="Arial" w:cs="Arial"/>
          <w:b/>
          <w:bCs/>
          <w:color w:val="000000" w:themeColor="text1"/>
          <w:sz w:val="30"/>
          <w:szCs w:val="30"/>
        </w:rPr>
        <w:t xml:space="preserve">Residential Terrace Row, </w:t>
      </w:r>
      <w:bookmarkStart w:id="0" w:name="_GoBack"/>
      <w:bookmarkEnd w:id="0"/>
      <w:r w:rsidR="000C64B2" w:rsidRPr="000C64B2">
        <w:rPr>
          <w:rFonts w:ascii="Arial" w:hAnsi="Arial" w:cs="Arial"/>
          <w:b/>
          <w:bCs/>
          <w:color w:val="000000" w:themeColor="text1"/>
          <w:sz w:val="30"/>
          <w:szCs w:val="30"/>
        </w:rPr>
        <w:t>101-111 Cardigan Street</w:t>
      </w:r>
      <w:r w:rsidR="00A95913" w:rsidRPr="00A95913">
        <w:rPr>
          <w:rFonts w:ascii="Arial" w:hAnsi="Arial" w:cs="Arial"/>
          <w:b/>
          <w:bCs/>
          <w:color w:val="000000" w:themeColor="text1"/>
          <w:sz w:val="30"/>
          <w:szCs w:val="30"/>
        </w:rPr>
        <w:t xml:space="preserve">, Carlton </w:t>
      </w:r>
      <w:r w:rsidR="005218DA" w:rsidRPr="00A95913">
        <w:rPr>
          <w:rFonts w:ascii="Arial" w:hAnsi="Arial" w:cs="Arial"/>
          <w:b/>
          <w:bCs/>
          <w:color w:val="000000" w:themeColor="text1"/>
          <w:sz w:val="30"/>
          <w:szCs w:val="30"/>
        </w:rPr>
        <w:t>(</w:t>
      </w:r>
      <w:r w:rsidR="00A95913" w:rsidRPr="00A95913">
        <w:rPr>
          <w:rFonts w:ascii="Arial" w:hAnsi="Arial" w:cs="Arial"/>
          <w:b/>
          <w:bCs/>
          <w:color w:val="000000" w:themeColor="text1"/>
          <w:sz w:val="30"/>
          <w:szCs w:val="30"/>
        </w:rPr>
        <w:t>November</w:t>
      </w:r>
      <w:r w:rsidR="00925644">
        <w:rPr>
          <w:rFonts w:ascii="Arial" w:hAnsi="Arial" w:cs="Arial"/>
          <w:b/>
          <w:bCs/>
          <w:color w:val="000000" w:themeColor="text1"/>
          <w:sz w:val="30"/>
          <w:szCs w:val="30"/>
        </w:rPr>
        <w:t>,</w:t>
      </w:r>
      <w:r w:rsidR="00A95913" w:rsidRPr="00A95913">
        <w:rPr>
          <w:rFonts w:ascii="Arial" w:hAnsi="Arial" w:cs="Arial"/>
          <w:b/>
          <w:bCs/>
          <w:color w:val="000000" w:themeColor="text1"/>
          <w:sz w:val="30"/>
          <w:szCs w:val="30"/>
        </w:rPr>
        <w:t xml:space="preserve"> 2021</w:t>
      </w:r>
      <w:r w:rsidR="005218DA" w:rsidRPr="00A95913">
        <w:rPr>
          <w:rFonts w:ascii="Arial" w:hAnsi="Arial" w:cs="Arial"/>
          <w:b/>
          <w:bCs/>
          <w:color w:val="000000" w:themeColor="text1"/>
          <w:sz w:val="30"/>
          <w:szCs w:val="30"/>
        </w:rPr>
        <w:t>)</w:t>
      </w:r>
    </w:p>
    <w:p w14:paraId="7A4AB66F" w14:textId="77777777" w:rsidR="005C64DD" w:rsidRPr="00FA1D7F" w:rsidRDefault="005C64DD" w:rsidP="005C64DD">
      <w:pPr>
        <w:autoSpaceDE w:val="0"/>
        <w:autoSpaceDN w:val="0"/>
        <w:adjustRightInd w:val="0"/>
        <w:spacing w:after="0" w:line="240" w:lineRule="auto"/>
        <w:rPr>
          <w:rFonts w:ascii="Arial" w:hAnsi="Arial" w:cs="Arial"/>
          <w:b/>
          <w:bCs/>
          <w:sz w:val="30"/>
          <w:szCs w:val="30"/>
        </w:rPr>
      </w:pPr>
    </w:p>
    <w:tbl>
      <w:tblPr>
        <w:tblStyle w:val="TableGrid"/>
        <w:tblW w:w="0" w:type="auto"/>
        <w:tblLook w:val="04A0" w:firstRow="1" w:lastRow="0" w:firstColumn="1" w:lastColumn="0" w:noHBand="0" w:noVBand="1"/>
      </w:tblPr>
      <w:tblGrid>
        <w:gridCol w:w="1643"/>
        <w:gridCol w:w="2766"/>
        <w:gridCol w:w="1520"/>
        <w:gridCol w:w="3087"/>
      </w:tblGrid>
      <w:tr w:rsidR="005C64DD" w:rsidRPr="00FA1D7F" w14:paraId="5AD7E224" w14:textId="77777777" w:rsidTr="004532B1">
        <w:tc>
          <w:tcPr>
            <w:tcW w:w="1668" w:type="dxa"/>
            <w:tcBorders>
              <w:top w:val="single" w:sz="4" w:space="0" w:color="auto"/>
              <w:left w:val="single" w:sz="4" w:space="0" w:color="FFFFFF" w:themeColor="background1"/>
              <w:right w:val="single" w:sz="4" w:space="0" w:color="FFFFFF" w:themeColor="background1"/>
            </w:tcBorders>
          </w:tcPr>
          <w:p w14:paraId="2A303478" w14:textId="77777777" w:rsidR="005C64DD" w:rsidRPr="00FA1D7F" w:rsidRDefault="005C64DD" w:rsidP="004532B1">
            <w:pPr>
              <w:autoSpaceDE w:val="0"/>
              <w:autoSpaceDN w:val="0"/>
              <w:adjustRightInd w:val="0"/>
              <w:spacing w:before="60" w:after="60"/>
              <w:rPr>
                <w:rFonts w:ascii="Arial" w:hAnsi="Arial" w:cs="Arial"/>
                <w:b/>
                <w:bCs/>
                <w:sz w:val="20"/>
                <w:szCs w:val="20"/>
              </w:rPr>
            </w:pPr>
            <w:r>
              <w:rPr>
                <w:rFonts w:ascii="Arial" w:hAnsi="Arial" w:cs="Arial"/>
                <w:b/>
                <w:bCs/>
                <w:sz w:val="20"/>
                <w:szCs w:val="20"/>
              </w:rPr>
              <w:t>Heritage Place</w:t>
            </w:r>
            <w:r w:rsidRPr="00FA1D7F">
              <w:rPr>
                <w:rFonts w:ascii="Arial" w:hAnsi="Arial" w:cs="Arial"/>
                <w:b/>
                <w:bCs/>
                <w:sz w:val="20"/>
                <w:szCs w:val="20"/>
              </w:rPr>
              <w:t>:</w:t>
            </w:r>
          </w:p>
        </w:tc>
        <w:tc>
          <w:tcPr>
            <w:tcW w:w="2835" w:type="dxa"/>
            <w:tcBorders>
              <w:top w:val="single" w:sz="4" w:space="0" w:color="auto"/>
              <w:left w:val="single" w:sz="4" w:space="0" w:color="FFFFFF" w:themeColor="background1"/>
            </w:tcBorders>
          </w:tcPr>
          <w:p w14:paraId="1659B34B" w14:textId="7AFF70D8" w:rsidR="005C64DD" w:rsidRPr="00FA1D7F" w:rsidRDefault="000C64B2" w:rsidP="004532B1">
            <w:pPr>
              <w:autoSpaceDE w:val="0"/>
              <w:autoSpaceDN w:val="0"/>
              <w:adjustRightInd w:val="0"/>
              <w:spacing w:before="60" w:after="60"/>
              <w:rPr>
                <w:rFonts w:ascii="Arial" w:hAnsi="Arial" w:cs="Arial"/>
                <w:bCs/>
                <w:sz w:val="20"/>
                <w:szCs w:val="20"/>
              </w:rPr>
            </w:pPr>
            <w:r w:rsidRPr="000C64B2">
              <w:rPr>
                <w:rFonts w:ascii="Arial" w:hAnsi="Arial" w:cs="Arial"/>
                <w:color w:val="000000" w:themeColor="text1"/>
                <w:sz w:val="20"/>
                <w:szCs w:val="19"/>
              </w:rPr>
              <w:t>101-111 Cardigan Street, Carlton</w:t>
            </w:r>
          </w:p>
        </w:tc>
        <w:tc>
          <w:tcPr>
            <w:tcW w:w="1559" w:type="dxa"/>
            <w:tcBorders>
              <w:top w:val="single" w:sz="4" w:space="0" w:color="auto"/>
              <w:right w:val="single" w:sz="4" w:space="0" w:color="FFFFFF" w:themeColor="background1"/>
            </w:tcBorders>
          </w:tcPr>
          <w:p w14:paraId="0A3FF39B" w14:textId="77777777" w:rsidR="005C64DD" w:rsidRPr="00FA1D7F" w:rsidRDefault="005C64DD" w:rsidP="004532B1">
            <w:pPr>
              <w:autoSpaceDE w:val="0"/>
              <w:autoSpaceDN w:val="0"/>
              <w:adjustRightInd w:val="0"/>
              <w:spacing w:before="60" w:after="60"/>
              <w:rPr>
                <w:rFonts w:ascii="Arial" w:hAnsi="Arial" w:cs="Arial"/>
                <w:b/>
                <w:bCs/>
                <w:sz w:val="20"/>
                <w:szCs w:val="20"/>
              </w:rPr>
            </w:pPr>
            <w:r w:rsidRPr="00FA1D7F">
              <w:rPr>
                <w:rFonts w:ascii="Arial" w:hAnsi="Arial" w:cs="Arial"/>
                <w:b/>
                <w:bCs/>
                <w:sz w:val="20"/>
                <w:szCs w:val="20"/>
              </w:rPr>
              <w:t>PS ref no:</w:t>
            </w:r>
          </w:p>
        </w:tc>
        <w:tc>
          <w:tcPr>
            <w:tcW w:w="3180" w:type="dxa"/>
            <w:tcBorders>
              <w:top w:val="single" w:sz="4" w:space="0" w:color="auto"/>
              <w:left w:val="single" w:sz="4" w:space="0" w:color="FFFFFF" w:themeColor="background1"/>
              <w:right w:val="single" w:sz="4" w:space="0" w:color="FFFFFF" w:themeColor="background1"/>
            </w:tcBorders>
          </w:tcPr>
          <w:p w14:paraId="52712CFE" w14:textId="1353DDFC" w:rsidR="005C64DD" w:rsidRPr="00FA1D7F" w:rsidRDefault="000C64B2" w:rsidP="004532B1">
            <w:pPr>
              <w:autoSpaceDE w:val="0"/>
              <w:autoSpaceDN w:val="0"/>
              <w:adjustRightInd w:val="0"/>
              <w:spacing w:before="60" w:after="60"/>
              <w:rPr>
                <w:rFonts w:ascii="Arial" w:hAnsi="Arial" w:cs="Arial"/>
                <w:bCs/>
                <w:sz w:val="20"/>
                <w:szCs w:val="20"/>
              </w:rPr>
            </w:pPr>
            <w:r w:rsidRPr="000C64B2">
              <w:rPr>
                <w:rFonts w:ascii="Arial" w:hAnsi="Arial" w:cs="Arial"/>
                <w:bCs/>
                <w:color w:val="000000" w:themeColor="text1"/>
                <w:sz w:val="20"/>
                <w:szCs w:val="20"/>
              </w:rPr>
              <w:t>HO30</w:t>
            </w:r>
          </w:p>
        </w:tc>
      </w:tr>
    </w:tbl>
    <w:p w14:paraId="728EF1A0" w14:textId="1C27C591" w:rsidR="00402E2B" w:rsidRPr="001F027E" w:rsidRDefault="00402E2B" w:rsidP="0032640D">
      <w:pPr>
        <w:autoSpaceDE w:val="0"/>
        <w:autoSpaceDN w:val="0"/>
        <w:adjustRightInd w:val="0"/>
        <w:spacing w:after="0" w:line="240" w:lineRule="auto"/>
        <w:rPr>
          <w:rFonts w:ascii="Arial" w:hAnsi="Arial" w:cs="Arial"/>
          <w:bCs/>
          <w:i/>
          <w:color w:val="FF0000"/>
          <w:sz w:val="20"/>
          <w:szCs w:val="18"/>
        </w:rPr>
      </w:pPr>
    </w:p>
    <w:p w14:paraId="70D88CF2" w14:textId="4DBF2836" w:rsidR="001F027E" w:rsidRDefault="000C64B2" w:rsidP="001F027E">
      <w:pPr>
        <w:autoSpaceDE w:val="0"/>
        <w:autoSpaceDN w:val="0"/>
        <w:adjustRightInd w:val="0"/>
        <w:spacing w:after="0" w:line="240" w:lineRule="auto"/>
        <w:rPr>
          <w:rFonts w:ascii="Arial" w:hAnsi="Arial" w:cs="Arial"/>
          <w:b/>
          <w:bCs/>
          <w:sz w:val="20"/>
          <w:szCs w:val="23"/>
        </w:rPr>
      </w:pPr>
      <w:r>
        <w:rPr>
          <w:noProof/>
          <w:sz w:val="20"/>
          <w:lang w:eastAsia="en-AU"/>
        </w:rPr>
        <w:drawing>
          <wp:inline distT="0" distB="0" distL="0" distR="0" wp14:anchorId="4545C4BF" wp14:editId="49F69C74">
            <wp:extent cx="2878131" cy="1965720"/>
            <wp:effectExtent l="0" t="0" r="0" b="0"/>
            <wp:docPr id="5" name="image1.jpeg" descr="P118C1T10#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916655" cy="1992031"/>
                    </a:xfrm>
                    <a:prstGeom prst="rect">
                      <a:avLst/>
                    </a:prstGeom>
                  </pic:spPr>
                </pic:pic>
              </a:graphicData>
            </a:graphic>
          </wp:inline>
        </w:drawing>
      </w:r>
      <w:r>
        <w:rPr>
          <w:noProof/>
          <w:sz w:val="20"/>
          <w:lang w:eastAsia="en-AU"/>
        </w:rPr>
        <w:drawing>
          <wp:inline distT="0" distB="0" distL="0" distR="0" wp14:anchorId="397674D0" wp14:editId="4ADD8A30">
            <wp:extent cx="2668565" cy="1969135"/>
            <wp:effectExtent l="0" t="0" r="0" b="0"/>
            <wp:docPr id="3" name="image2.jpeg" descr="P119C2T10#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rotWithShape="1">
                    <a:blip r:embed="rId14" cstate="print"/>
                    <a:srcRect l="5724"/>
                    <a:stretch/>
                  </pic:blipFill>
                  <pic:spPr bwMode="auto">
                    <a:xfrm>
                      <a:off x="0" y="0"/>
                      <a:ext cx="2669167" cy="1969579"/>
                    </a:xfrm>
                    <a:prstGeom prst="rect">
                      <a:avLst/>
                    </a:prstGeom>
                    <a:ln>
                      <a:noFill/>
                    </a:ln>
                    <a:extLst>
                      <a:ext uri="{53640926-AAD7-44D8-BBD7-CCE9431645EC}">
                        <a14:shadowObscured xmlns:a14="http://schemas.microsoft.com/office/drawing/2010/main"/>
                      </a:ext>
                    </a:extLst>
                  </pic:spPr>
                </pic:pic>
              </a:graphicData>
            </a:graphic>
          </wp:inline>
        </w:drawing>
      </w:r>
    </w:p>
    <w:p w14:paraId="397A5683" w14:textId="77777777" w:rsidR="00587BCD" w:rsidRPr="001F027E" w:rsidRDefault="00587BCD" w:rsidP="001F027E">
      <w:pPr>
        <w:autoSpaceDE w:val="0"/>
        <w:autoSpaceDN w:val="0"/>
        <w:adjustRightInd w:val="0"/>
        <w:spacing w:after="0" w:line="240" w:lineRule="auto"/>
        <w:rPr>
          <w:rFonts w:ascii="Arial" w:hAnsi="Arial" w:cs="Arial"/>
          <w:b/>
          <w:bCs/>
          <w:sz w:val="20"/>
          <w:szCs w:val="23"/>
        </w:rPr>
      </w:pPr>
    </w:p>
    <w:p w14:paraId="3EA409A3"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What is significant?</w:t>
      </w:r>
    </w:p>
    <w:p w14:paraId="2F3A930E" w14:textId="77777777" w:rsidR="000C64B2" w:rsidRDefault="000C64B2" w:rsidP="000C64B2">
      <w:pPr>
        <w:pBdr>
          <w:bottom w:val="single" w:sz="6" w:space="1" w:color="auto"/>
        </w:pBdr>
        <w:autoSpaceDE w:val="0"/>
        <w:autoSpaceDN w:val="0"/>
        <w:adjustRightInd w:val="0"/>
        <w:spacing w:after="120" w:line="360" w:lineRule="auto"/>
        <w:rPr>
          <w:rFonts w:ascii="Arial" w:hAnsi="Arial" w:cs="Arial"/>
          <w:color w:val="000000" w:themeColor="text1"/>
          <w:sz w:val="20"/>
          <w:szCs w:val="19"/>
        </w:rPr>
      </w:pPr>
      <w:r w:rsidRPr="000C64B2">
        <w:rPr>
          <w:rFonts w:ascii="Arial" w:hAnsi="Arial" w:cs="Arial"/>
          <w:color w:val="000000" w:themeColor="text1"/>
          <w:sz w:val="20"/>
          <w:szCs w:val="19"/>
        </w:rPr>
        <w:t>The terrace row of six attached, two-storey Victorian dwellings at 101-111 Cardigan Street, Carlton, which dates from 1857-8, with 1890s works, is significant.</w:t>
      </w:r>
    </w:p>
    <w:p w14:paraId="2A0DAAE6" w14:textId="08FB6411"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How is it significant?</w:t>
      </w:r>
    </w:p>
    <w:p w14:paraId="3BB6450A" w14:textId="77777777" w:rsidR="000C64B2" w:rsidRDefault="000C64B2" w:rsidP="000C64B2">
      <w:pPr>
        <w:pBdr>
          <w:bottom w:val="single" w:sz="6" w:space="1" w:color="auto"/>
        </w:pBdr>
        <w:autoSpaceDE w:val="0"/>
        <w:autoSpaceDN w:val="0"/>
        <w:adjustRightInd w:val="0"/>
        <w:spacing w:after="120" w:line="360" w:lineRule="auto"/>
        <w:rPr>
          <w:rFonts w:ascii="Arial" w:hAnsi="Arial" w:cs="Arial"/>
          <w:color w:val="000000" w:themeColor="text1"/>
          <w:sz w:val="20"/>
          <w:szCs w:val="19"/>
        </w:rPr>
      </w:pPr>
      <w:r w:rsidRPr="000C64B2">
        <w:rPr>
          <w:rFonts w:ascii="Arial" w:hAnsi="Arial" w:cs="Arial"/>
          <w:color w:val="000000" w:themeColor="text1"/>
          <w:sz w:val="20"/>
          <w:szCs w:val="19"/>
        </w:rPr>
        <w:t>The terrace row at 101-111 Cardigan Street, Carlton, is of local historical (including rarity) and aesthetic significance.</w:t>
      </w:r>
    </w:p>
    <w:p w14:paraId="40ABD4BE" w14:textId="63547FC3"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Why is it significant?</w:t>
      </w:r>
    </w:p>
    <w:p w14:paraId="299871AE" w14:textId="1EB813E9" w:rsidR="000C64B2" w:rsidRPr="000C64B2" w:rsidRDefault="000C64B2" w:rsidP="000C64B2">
      <w:pPr>
        <w:pBdr>
          <w:bottom w:val="single" w:sz="6" w:space="1" w:color="auto"/>
        </w:pBdr>
        <w:spacing w:after="120" w:line="360" w:lineRule="auto"/>
        <w:rPr>
          <w:rFonts w:ascii="Arial" w:hAnsi="Arial" w:cs="Arial"/>
          <w:color w:val="000000" w:themeColor="text1"/>
          <w:sz w:val="20"/>
          <w:szCs w:val="19"/>
        </w:rPr>
      </w:pPr>
      <w:r w:rsidRPr="000C64B2">
        <w:rPr>
          <w:rFonts w:ascii="Arial" w:hAnsi="Arial" w:cs="Arial"/>
          <w:color w:val="000000" w:themeColor="text1"/>
          <w:sz w:val="20"/>
          <w:szCs w:val="19"/>
        </w:rPr>
        <w:t xml:space="preserve">The terrace row at 101-111 Cardigan Street, Carlton, built in stages in 1857-8 for owner, Patrick Costello, and later remodelled, is of historical significance (Criterion A) The row is associated with Costello who, after arriving from Ireland in 1841, had a colourful career in nineteenth century Melbourne being, respectively, a building contractor, hotel licensee, property developer, Melbourne City councillor, member of the Victorian Legislative Assembly, convicted criminal, bankrupt, and recovering in the late century to become a North Melbourne City Councillor. His great-great grandson is former Federal treasurer, Peter Costello. The terrace row is also significant for demonstrating the translation to Melbourne of the traditional ‘two-up/two-down’ terrace, as introduced to London in the 1630s and becoming a trademark of Georgian architecture through the eighteenth century. The row’s construction in the 1850s is additionally associated with the very earliest phase of development in Carlton and is a rare remnant of the early terrace type which developed in response to the pressure for accommodation on the fringe of the city (Criterion B). That pressure was particularly strong in 1850s Melbourne, with </w:t>
      </w:r>
      <w:r>
        <w:rPr>
          <w:rFonts w:ascii="Arial" w:hAnsi="Arial" w:cs="Arial"/>
          <w:color w:val="000000" w:themeColor="text1"/>
          <w:sz w:val="20"/>
          <w:szCs w:val="19"/>
        </w:rPr>
        <w:t>a booming Gold Rush population.</w:t>
      </w:r>
    </w:p>
    <w:p w14:paraId="584DEBBD" w14:textId="77777777" w:rsidR="000C64B2" w:rsidRPr="000C64B2" w:rsidRDefault="000C64B2" w:rsidP="000C64B2">
      <w:pPr>
        <w:pBdr>
          <w:bottom w:val="single" w:sz="6" w:space="1" w:color="auto"/>
        </w:pBdr>
        <w:spacing w:after="120" w:line="360" w:lineRule="auto"/>
        <w:rPr>
          <w:rFonts w:ascii="Arial" w:hAnsi="Arial" w:cs="Arial"/>
          <w:color w:val="000000" w:themeColor="text1"/>
          <w:sz w:val="20"/>
          <w:szCs w:val="19"/>
        </w:rPr>
      </w:pPr>
      <w:r w:rsidRPr="000C64B2">
        <w:rPr>
          <w:rFonts w:ascii="Arial" w:hAnsi="Arial" w:cs="Arial"/>
          <w:color w:val="000000" w:themeColor="text1"/>
          <w:sz w:val="20"/>
          <w:szCs w:val="19"/>
        </w:rPr>
        <w:t xml:space="preserve">The terrace row is also of aesthetic significance (Criterion E). While originally constructed of face brick with rendered detailing, and austere Georgian facades to Cardigan Street with simple punched openings for doors and windows, a remodelling of the group in the 1890s transformed its appearance, </w:t>
      </w:r>
      <w:r w:rsidRPr="000C64B2">
        <w:rPr>
          <w:rFonts w:ascii="Arial" w:hAnsi="Arial" w:cs="Arial"/>
          <w:color w:val="000000" w:themeColor="text1"/>
          <w:sz w:val="20"/>
          <w:szCs w:val="19"/>
        </w:rPr>
        <w:lastRenderedPageBreak/>
        <w:t>particularly that of the central pair. This included rendering over the entire group and, unusually and rarely, altering the two central dwellings to present as a more elaborately detailed Renaissance Revival centrepiece to the Georgian row.</w:t>
      </w:r>
    </w:p>
    <w:p w14:paraId="00618112" w14:textId="7EC65628" w:rsidR="000C64B2" w:rsidRDefault="000C64B2" w:rsidP="000C64B2">
      <w:pPr>
        <w:pBdr>
          <w:bottom w:val="single" w:sz="6" w:space="1" w:color="auto"/>
        </w:pBdr>
        <w:spacing w:after="120" w:line="360" w:lineRule="auto"/>
        <w:rPr>
          <w:rFonts w:ascii="Arial" w:hAnsi="Arial" w:cs="Arial"/>
          <w:color w:val="000000" w:themeColor="text1"/>
          <w:sz w:val="20"/>
          <w:szCs w:val="19"/>
        </w:rPr>
      </w:pPr>
      <w:r w:rsidRPr="000C64B2">
        <w:rPr>
          <w:rFonts w:ascii="Arial" w:hAnsi="Arial" w:cs="Arial"/>
          <w:color w:val="000000" w:themeColor="text1"/>
          <w:sz w:val="20"/>
          <w:szCs w:val="19"/>
        </w:rPr>
        <w:t>The terrace survives in a state of high integrity to its c. 1890s state but continues, also, to illustrate its very early origins. The southern and northern ends of the row still demonstrate an architectural expression which disappeared during the 1880s Boom. Conversely, the remodelled facades of the central pair illustrate the changes in architectural thought and fashion occurring through the 1880s</w:t>
      </w:r>
      <w:r>
        <w:rPr>
          <w:rFonts w:ascii="Arial" w:hAnsi="Arial" w:cs="Arial"/>
          <w:color w:val="000000" w:themeColor="text1"/>
          <w:sz w:val="20"/>
          <w:szCs w:val="19"/>
        </w:rPr>
        <w:t xml:space="preserve">. Consequently, the terrace row </w:t>
      </w:r>
      <w:r w:rsidRPr="000C64B2">
        <w:rPr>
          <w:rFonts w:ascii="Arial" w:hAnsi="Arial" w:cs="Arial"/>
          <w:color w:val="000000" w:themeColor="text1"/>
          <w:sz w:val="20"/>
          <w:szCs w:val="19"/>
        </w:rPr>
        <w:t>survives as an unusual but instructive group. It informs both an understanding of the development of this area of Carlton in the 1850s, while also illustrating the rapidly evolving tastes of late Victorian Melbourne.</w:t>
      </w:r>
    </w:p>
    <w:p w14:paraId="6FDB59FC" w14:textId="4418A43D" w:rsidR="001F027E" w:rsidRDefault="00AF6E10" w:rsidP="000C64B2">
      <w:pPr>
        <w:pBdr>
          <w:bottom w:val="single" w:sz="6" w:space="1" w:color="auto"/>
        </w:pBdr>
        <w:spacing w:after="120" w:line="360" w:lineRule="auto"/>
        <w:rPr>
          <w:rFonts w:ascii="Arial" w:hAnsi="Arial" w:cs="Arial"/>
          <w:b/>
          <w:bCs/>
          <w:szCs w:val="23"/>
        </w:rPr>
      </w:pPr>
      <w:r w:rsidRPr="00AF6E10">
        <w:rPr>
          <w:rFonts w:ascii="Arial" w:hAnsi="Arial" w:cs="Arial"/>
          <w:b/>
          <w:bCs/>
          <w:szCs w:val="23"/>
        </w:rPr>
        <w:t>Primary source</w:t>
      </w:r>
    </w:p>
    <w:p w14:paraId="4D17FDC6" w14:textId="0A9E821C" w:rsidR="00AF6E10" w:rsidRPr="00B90005" w:rsidRDefault="00B90005" w:rsidP="001F027E">
      <w:pPr>
        <w:autoSpaceDE w:val="0"/>
        <w:autoSpaceDN w:val="0"/>
        <w:adjustRightInd w:val="0"/>
        <w:spacing w:after="0" w:line="240" w:lineRule="auto"/>
        <w:rPr>
          <w:rFonts w:ascii="Arial" w:hAnsi="Arial" w:cs="Arial"/>
          <w:bCs/>
          <w:i/>
          <w:color w:val="000000" w:themeColor="text1"/>
          <w:sz w:val="20"/>
          <w:szCs w:val="18"/>
        </w:rPr>
      </w:pPr>
      <w:r w:rsidRPr="00B90005">
        <w:rPr>
          <w:rFonts w:ascii="Arial" w:hAnsi="Arial" w:cs="Arial"/>
          <w:bCs/>
          <w:i/>
          <w:color w:val="000000" w:themeColor="text1"/>
          <w:sz w:val="20"/>
          <w:szCs w:val="18"/>
        </w:rPr>
        <w:t>Carlton</w:t>
      </w:r>
      <w:r w:rsidR="00E03866">
        <w:rPr>
          <w:rFonts w:ascii="Arial" w:hAnsi="Arial" w:cs="Arial"/>
          <w:bCs/>
          <w:i/>
          <w:color w:val="000000" w:themeColor="text1"/>
          <w:sz w:val="20"/>
          <w:szCs w:val="18"/>
        </w:rPr>
        <w:t xml:space="preserve"> Heritage Review</w:t>
      </w:r>
      <w:r w:rsidR="00760720">
        <w:rPr>
          <w:rFonts w:ascii="Arial" w:hAnsi="Arial" w:cs="Arial"/>
          <w:bCs/>
          <w:i/>
          <w:color w:val="000000" w:themeColor="text1"/>
          <w:sz w:val="20"/>
          <w:szCs w:val="18"/>
        </w:rPr>
        <w:t xml:space="preserve"> (</w:t>
      </w:r>
      <w:r w:rsidR="00EE3E2B">
        <w:rPr>
          <w:rFonts w:ascii="Arial" w:hAnsi="Arial" w:cs="Arial"/>
          <w:bCs/>
          <w:i/>
          <w:color w:val="000000" w:themeColor="text1"/>
          <w:sz w:val="20"/>
          <w:szCs w:val="18"/>
        </w:rPr>
        <w:t xml:space="preserve">Lovell Chen. </w:t>
      </w:r>
      <w:r w:rsidR="00760720">
        <w:rPr>
          <w:rFonts w:ascii="Arial" w:hAnsi="Arial" w:cs="Arial"/>
          <w:bCs/>
          <w:i/>
          <w:color w:val="000000" w:themeColor="text1"/>
          <w:sz w:val="20"/>
          <w:szCs w:val="18"/>
        </w:rPr>
        <w:t>2021)</w:t>
      </w:r>
    </w:p>
    <w:p w14:paraId="3EFF3CE6" w14:textId="6C5C35AF" w:rsidR="005C64DD" w:rsidRDefault="005C64DD" w:rsidP="005C64DD">
      <w:pPr>
        <w:autoSpaceDE w:val="0"/>
        <w:autoSpaceDN w:val="0"/>
        <w:adjustRightInd w:val="0"/>
        <w:spacing w:after="0" w:line="240" w:lineRule="auto"/>
        <w:rPr>
          <w:rFonts w:ascii="Arial" w:hAnsi="Arial" w:cs="Arial"/>
          <w:bCs/>
          <w:i/>
          <w:color w:val="FF0000"/>
          <w:sz w:val="20"/>
          <w:szCs w:val="18"/>
        </w:rPr>
      </w:pPr>
    </w:p>
    <w:p w14:paraId="4C43B2DB" w14:textId="77777777" w:rsidR="00565263" w:rsidRPr="001F027E" w:rsidRDefault="00565263" w:rsidP="001F027E">
      <w:pPr>
        <w:autoSpaceDE w:val="0"/>
        <w:autoSpaceDN w:val="0"/>
        <w:adjustRightInd w:val="0"/>
        <w:spacing w:after="0" w:line="240" w:lineRule="auto"/>
        <w:rPr>
          <w:rFonts w:ascii="Arial" w:hAnsi="Arial" w:cs="Arial"/>
          <w:bCs/>
          <w:i/>
          <w:color w:val="FF0000"/>
          <w:sz w:val="20"/>
          <w:szCs w:val="18"/>
        </w:rPr>
      </w:pPr>
    </w:p>
    <w:sectPr w:rsidR="00565263" w:rsidRPr="001F027E" w:rsidSect="001F027E">
      <w:headerReference w:type="default" r:id="rId15"/>
      <w:footerReference w:type="even" r:id="rId16"/>
      <w:footerReference w:type="default" r:id="rId17"/>
      <w:footerReference w:type="first" r:id="rId18"/>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74A09047"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 xml:space="preserve">This document is an incorporated document in the </w:t>
    </w:r>
    <w:r w:rsidR="00B90005" w:rsidRPr="00B90005">
      <w:rPr>
        <w:rFonts w:ascii="Times" w:hAnsi="Times" w:cs="Times"/>
        <w:color w:val="000000" w:themeColor="text1"/>
        <w:sz w:val="18"/>
      </w:rPr>
      <w:t>Melbourne</w:t>
    </w:r>
    <w:r w:rsidR="003E0F32" w:rsidRPr="00B90005">
      <w:rPr>
        <w:rFonts w:ascii="Times" w:hAnsi="Times" w:cs="Times"/>
        <w:color w:val="000000" w:themeColor="text1"/>
        <w:sz w:val="18"/>
      </w:rPr>
      <w:t xml:space="preserve"> Planning </w:t>
    </w:r>
    <w:r w:rsidR="003E0F32" w:rsidRPr="00057A67">
      <w:rPr>
        <w:rFonts w:ascii="Times" w:hAnsi="Times" w:cs="Times"/>
        <w:sz w:val="18"/>
      </w:rPr>
      <w:t xml:space="preserve">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05BFBF36" w:rsidR="003E0F32" w:rsidRPr="00057A67" w:rsidRDefault="00884E93" w:rsidP="00057A67">
    <w:pPr>
      <w:spacing w:after="0" w:line="240" w:lineRule="auto"/>
      <w:jc w:val="center"/>
      <w:rPr>
        <w:rFonts w:ascii="Times" w:eastAsia="Times New Roman" w:hAnsi="Times" w:cs="Times New Roman"/>
        <w:sz w:val="24"/>
        <w:szCs w:val="20"/>
        <w:lang w:eastAsia="en-AU"/>
      </w:rPr>
    </w:pPr>
    <w:r>
      <w:rPr>
        <w:rFonts w:ascii="Times" w:eastAsia="Times New Roman" w:hAnsi="Times" w:cs="Times New Roman"/>
        <w:smallCaps/>
        <w:sz w:val="18"/>
        <w:szCs w:val="20"/>
        <w:lang w:eastAsia="en-AU"/>
      </w:rPr>
      <w:t>Melbourne</w:t>
    </w:r>
    <w:r w:rsidR="00057A67" w:rsidRPr="00057A67">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57A67"/>
    <w:rsid w:val="000C64B2"/>
    <w:rsid w:val="001F027E"/>
    <w:rsid w:val="0032640D"/>
    <w:rsid w:val="003E0F32"/>
    <w:rsid w:val="00402068"/>
    <w:rsid w:val="00402E2B"/>
    <w:rsid w:val="004532B1"/>
    <w:rsid w:val="00476CBD"/>
    <w:rsid w:val="004819A5"/>
    <w:rsid w:val="005218DA"/>
    <w:rsid w:val="00565263"/>
    <w:rsid w:val="00587BCD"/>
    <w:rsid w:val="005C64DD"/>
    <w:rsid w:val="006020D9"/>
    <w:rsid w:val="00737B32"/>
    <w:rsid w:val="00760720"/>
    <w:rsid w:val="007E2283"/>
    <w:rsid w:val="007F63C5"/>
    <w:rsid w:val="008249A2"/>
    <w:rsid w:val="00880527"/>
    <w:rsid w:val="00884E93"/>
    <w:rsid w:val="00925109"/>
    <w:rsid w:val="00925644"/>
    <w:rsid w:val="00A30304"/>
    <w:rsid w:val="00A95913"/>
    <w:rsid w:val="00AA67C7"/>
    <w:rsid w:val="00AE64D0"/>
    <w:rsid w:val="00AF6E10"/>
    <w:rsid w:val="00B2641D"/>
    <w:rsid w:val="00B90005"/>
    <w:rsid w:val="00BD35EF"/>
    <w:rsid w:val="00C151CA"/>
    <w:rsid w:val="00C24959"/>
    <w:rsid w:val="00C64700"/>
    <w:rsid w:val="00E03866"/>
    <w:rsid w:val="00E44A50"/>
    <w:rsid w:val="00E860CC"/>
    <w:rsid w:val="00EE3E2B"/>
    <w:rsid w:val="00FC47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54FD12765CDBC4793ADEB2546C63C7B" ma:contentTypeVersion="28" ma:contentTypeDescription="All project related information. The library can be used to manage multiple projects." ma:contentTypeScope="" ma:versionID="14bbf4456e593161624a61b343d20b4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53cc8871-9683-4ba7-be3f-499d40b7b90e" xmlns:ns6="c42f9c80-6326-4d3e-8624-f1221488f056" targetNamespace="http://schemas.microsoft.com/office/2006/metadata/properties" ma:root="true" ma:fieldsID="9c101a12b7ddaddf5b313b7115f712d4" ns1:_="" ns2:_="" ns3:_="" ns4:_="" ns5:_="" ns6:_="">
    <xsd:import namespace="http://schemas.microsoft.com/sharepoint/v3"/>
    <xsd:import namespace="9fd47c19-1c4a-4d7d-b342-c10cef269344"/>
    <xsd:import namespace="a5f32de4-e402-4188-b034-e71ca7d22e54"/>
    <xsd:import namespace="05aa45cf-ed89-4733-97a8-db4ce5c51511"/>
    <xsd:import namespace="53cc8871-9683-4ba7-be3f-499d40b7b90e"/>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c8871-9683-4ba7-be3f-499d40b7b90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009298E819CE1EBB4F8D2096B3E0F0C2911D"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161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DOCID358-365562687-257</_dlc_DocId>
    <_dlc_DocIdUrl xmlns="a5f32de4-e402-4188-b034-e71ca7d22e54">
      <Url>https://delwpvicgovau.sharepoint.com/sites/ecm_358/_layouts/15/DocIdRedir.aspx?ID=DOCID358-365562687-257</Url>
      <Description>DOCID358-365562687-257</Description>
    </_dlc_DocIdUrl>
    <ProjName xmlns="9fd47c19-1c4a-4d7d-b342-c10cef269344" xsi:nil="true"/>
    <b9b43b809ea4445880dbf70bb9849525 xmlns="9fd47c19-1c4a-4d7d-b342-c10cef269344">
      <Terms xmlns="http://schemas.microsoft.com/office/infopath/2007/PartnerControls"/>
    </b9b43b809ea4445880dbf70bb9849525>
    <Project_Phase xmlns="9fd47c19-1c4a-4d7d-b342-c10cef269344" xsi:nil="true"/>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Reporting - Project / Program Evaluation</TermName>
          <TermId xmlns="http://schemas.microsoft.com/office/infopath/2007/PartnerControls">a5a6bee4-f827-49d9-a73e-dea4bb37a6ce</TermId>
        </TermInfo>
      </Terms>
    </f2ccc2d036544b63b99cbcec8aa9ae6a>
    <DLCPolicyLabelClientValue xmlns="05aa45cf-ed89-4733-97a8-db4ce5c51511">Version {_UIVersionString}</DLCPolicyLabelClientValue>
    <DLCPolicyLabelLock xmlns="05aa45cf-ed89-4733-97a8-db4ce5c51511" xsi:nil="true"/>
    <DLCPolicyLabelValue xmlns="05aa45cf-ed89-4733-97a8-db4ce5c51511">Version 0.7</DLCPolicyLabelValue>
  </documentManagement>
</p:properties>
</file>

<file path=customXml/itemProps1.xml><?xml version="1.0" encoding="utf-8"?>
<ds:datastoreItem xmlns:ds="http://schemas.openxmlformats.org/officeDocument/2006/customXml" ds:itemID="{5130371C-0CF8-4A63-96B4-B39E2668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53cc8871-9683-4ba7-be3f-499d40b7b90e"/>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46A83-57E4-430A-98C8-D8D8EFB931D6}">
  <ds:schemaRefs>
    <ds:schemaRef ds:uri="Microsoft.SharePoint.Taxonomy.ContentTypeSync"/>
  </ds:schemaRefs>
</ds:datastoreItem>
</file>

<file path=customXml/itemProps3.xml><?xml version="1.0" encoding="utf-8"?>
<ds:datastoreItem xmlns:ds="http://schemas.openxmlformats.org/officeDocument/2006/customXml" ds:itemID="{3F4F894E-DD13-4B0A-B05B-DB66559D250C}">
  <ds:schemaRefs>
    <ds:schemaRef ds:uri="http://schemas.microsoft.com/sharepoint/v3/contenttype/forms"/>
  </ds:schemaRefs>
</ds:datastoreItem>
</file>

<file path=customXml/itemProps4.xml><?xml version="1.0" encoding="utf-8"?>
<ds:datastoreItem xmlns:ds="http://schemas.openxmlformats.org/officeDocument/2006/customXml" ds:itemID="{AE4D719F-D86B-4FBB-A328-ACE6EDCEB387}">
  <ds:schemaRefs>
    <ds:schemaRef ds:uri="http://schemas.microsoft.com/sharepoint/events"/>
  </ds:schemaRefs>
</ds:datastoreItem>
</file>

<file path=customXml/itemProps5.xml><?xml version="1.0" encoding="utf-8"?>
<ds:datastoreItem xmlns:ds="http://schemas.openxmlformats.org/officeDocument/2006/customXml" ds:itemID="{105C8AE3-1895-4334-BA93-E7B569EFE3F5}">
  <ds:schemaRefs>
    <ds:schemaRef ds:uri="office.server.policy"/>
  </ds:schemaRefs>
</ds:datastoreItem>
</file>

<file path=customXml/itemProps6.xml><?xml version="1.0" encoding="utf-8"?>
<ds:datastoreItem xmlns:ds="http://schemas.openxmlformats.org/officeDocument/2006/customXml" ds:itemID="{83E573BD-C988-4515-8D31-0F600DFEE5C7}">
  <ds:schemaRef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9fd47c19-1c4a-4d7d-b342-c10cef269344"/>
    <ds:schemaRef ds:uri="http://schemas.microsoft.com/sharepoint/v3"/>
    <ds:schemaRef ds:uri="c42f9c80-6326-4d3e-8624-f1221488f056"/>
    <ds:schemaRef ds:uri="http://purl.org/dc/terms/"/>
    <ds:schemaRef ds:uri="53cc8871-9683-4ba7-be3f-499d40b7b90e"/>
    <ds:schemaRef ds:uri="05aa45cf-ed89-4733-97a8-db4ce5c51511"/>
    <ds:schemaRef ds:uri="a5f32de4-e402-4188-b034-e71ca7d22e5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Molly Wilson</cp:lastModifiedBy>
  <cp:revision>7</cp:revision>
  <dcterms:created xsi:type="dcterms:W3CDTF">2022-02-16T03:16:00Z</dcterms:created>
  <dcterms:modified xsi:type="dcterms:W3CDTF">2022-02-21T00:10:00Z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0x0101009298E819CE1EBB4F8D2096B3E0F0C2911D00654FD12765CDBC4793ADEB2546C63C7B</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e925b789-1c45-487d-b809-f4ae345f43f7</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y fmtid="{D5CDD505-2E9C-101B-9397-08002B2CF9AE}" pid="33" name="eDOCS AutoSave">
    <vt:lpwstr>20220221111021128</vt:lpwstr>
  </property>
</Properties>
</file>