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1A472F8F" w:rsidR="005C64DD" w:rsidRPr="0054412E" w:rsidRDefault="005C64DD" w:rsidP="005C64DD">
      <w:pPr>
        <w:autoSpaceDE w:val="0"/>
        <w:autoSpaceDN w:val="0"/>
        <w:adjustRightInd w:val="0"/>
        <w:spacing w:after="0" w:line="240" w:lineRule="auto"/>
        <w:rPr>
          <w:rFonts w:ascii="Arial" w:hAnsi="Arial" w:cs="Arial"/>
          <w:b/>
          <w:bCs/>
          <w:sz w:val="30"/>
          <w:szCs w:val="30"/>
        </w:rPr>
      </w:pPr>
      <w:bookmarkStart w:id="0" w:name="_GoBack"/>
      <w:bookmarkEnd w:id="0"/>
      <w:r>
        <w:rPr>
          <w:rFonts w:ascii="Arial" w:hAnsi="Arial" w:cs="Arial"/>
          <w:b/>
          <w:bCs/>
          <w:sz w:val="30"/>
          <w:szCs w:val="30"/>
        </w:rPr>
        <w:t>Statement of Significance</w:t>
      </w:r>
      <w:r w:rsidR="00E44A50" w:rsidRPr="0054412E">
        <w:rPr>
          <w:rFonts w:ascii="Arial" w:hAnsi="Arial" w:cs="Arial"/>
          <w:b/>
          <w:bCs/>
          <w:sz w:val="30"/>
          <w:szCs w:val="30"/>
        </w:rPr>
        <w:t xml:space="preserve">: </w:t>
      </w:r>
      <w:r w:rsidR="00E141E6" w:rsidRPr="00E141E6">
        <w:rPr>
          <w:rFonts w:ascii="Arial" w:hAnsi="Arial" w:cs="Arial"/>
          <w:b/>
          <w:bCs/>
          <w:sz w:val="30"/>
          <w:szCs w:val="30"/>
        </w:rPr>
        <w:t>Former Mutual Store Ltd (later Maples Pty Ltd) complex (</w:t>
      </w:r>
      <w:r w:rsidR="00791B45">
        <w:rPr>
          <w:rFonts w:ascii="Arial" w:hAnsi="Arial" w:cs="Arial"/>
          <w:b/>
          <w:bCs/>
          <w:sz w:val="30"/>
          <w:szCs w:val="30"/>
        </w:rPr>
        <w:t xml:space="preserve">part </w:t>
      </w:r>
      <w:r w:rsidR="00E141E6" w:rsidRPr="00E141E6">
        <w:rPr>
          <w:rFonts w:ascii="Arial" w:hAnsi="Arial" w:cs="Arial"/>
          <w:b/>
          <w:bCs/>
          <w:sz w:val="30"/>
          <w:szCs w:val="30"/>
        </w:rPr>
        <w:t xml:space="preserve">112-118 </w:t>
      </w:r>
      <w:proofErr w:type="spellStart"/>
      <w:r w:rsidR="00E141E6" w:rsidRPr="00E141E6">
        <w:rPr>
          <w:rFonts w:ascii="Arial" w:hAnsi="Arial" w:cs="Arial"/>
          <w:b/>
          <w:bCs/>
          <w:sz w:val="30"/>
          <w:szCs w:val="30"/>
        </w:rPr>
        <w:t>Millswyn</w:t>
      </w:r>
      <w:proofErr w:type="spellEnd"/>
      <w:r w:rsidR="00E141E6" w:rsidRPr="00E141E6">
        <w:rPr>
          <w:rFonts w:ascii="Arial" w:hAnsi="Arial" w:cs="Arial"/>
          <w:b/>
          <w:bCs/>
          <w:sz w:val="30"/>
          <w:szCs w:val="30"/>
        </w:rPr>
        <w:t xml:space="preserve"> Street, South Yarra)</w:t>
      </w:r>
      <w:r w:rsidR="00FD08CF">
        <w:rPr>
          <w:rFonts w:ascii="Arial" w:hAnsi="Arial" w:cs="Arial"/>
          <w:b/>
          <w:bCs/>
          <w:sz w:val="30"/>
          <w:szCs w:val="30"/>
        </w:rPr>
        <w:t>,</w:t>
      </w:r>
      <w:r w:rsidR="00E141E6">
        <w:rPr>
          <w:rFonts w:ascii="Arial" w:hAnsi="Arial" w:cs="Arial"/>
          <w:b/>
          <w:bCs/>
          <w:sz w:val="30"/>
          <w:szCs w:val="30"/>
        </w:rPr>
        <w:t xml:space="preserve"> </w:t>
      </w:r>
      <w:r w:rsidR="00335F81">
        <w:rPr>
          <w:rFonts w:ascii="Arial" w:hAnsi="Arial" w:cs="Arial"/>
          <w:b/>
          <w:bCs/>
          <w:sz w:val="30"/>
          <w:szCs w:val="30"/>
        </w:rPr>
        <w:t>February 2023</w:t>
      </w:r>
    </w:p>
    <w:p w14:paraId="7A4AB66F" w14:textId="77777777" w:rsidR="005C64DD" w:rsidRPr="0054412E"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1613"/>
        <w:gridCol w:w="1559"/>
        <w:gridCol w:w="3969"/>
      </w:tblGrid>
      <w:tr w:rsidR="0054412E" w:rsidRPr="0054412E" w14:paraId="5AD7E224" w14:textId="77777777" w:rsidTr="00FD08CF">
        <w:tc>
          <w:tcPr>
            <w:tcW w:w="1643" w:type="dxa"/>
            <w:tcBorders>
              <w:top w:val="single" w:sz="4" w:space="0" w:color="auto"/>
              <w:left w:val="single" w:sz="4" w:space="0" w:color="FFFFFF" w:themeColor="background1"/>
              <w:right w:val="single" w:sz="4" w:space="0" w:color="FFFFFF" w:themeColor="background1"/>
            </w:tcBorders>
          </w:tcPr>
          <w:p w14:paraId="2A303478"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Heritage Place:</w:t>
            </w:r>
          </w:p>
        </w:tc>
        <w:tc>
          <w:tcPr>
            <w:tcW w:w="1613" w:type="dxa"/>
            <w:tcBorders>
              <w:top w:val="single" w:sz="4" w:space="0" w:color="auto"/>
              <w:left w:val="single" w:sz="4" w:space="0" w:color="FFFFFF" w:themeColor="background1"/>
            </w:tcBorders>
          </w:tcPr>
          <w:p w14:paraId="1659B34B" w14:textId="2A637537" w:rsidR="005C64DD" w:rsidRPr="0054412E" w:rsidRDefault="00E141E6" w:rsidP="004532B1">
            <w:pPr>
              <w:autoSpaceDE w:val="0"/>
              <w:autoSpaceDN w:val="0"/>
              <w:adjustRightInd w:val="0"/>
              <w:spacing w:before="60" w:after="60"/>
              <w:rPr>
                <w:rFonts w:ascii="Arial" w:hAnsi="Arial" w:cs="Arial"/>
                <w:bCs/>
                <w:sz w:val="20"/>
                <w:szCs w:val="20"/>
              </w:rPr>
            </w:pPr>
            <w:r w:rsidRPr="00E141E6">
              <w:rPr>
                <w:rFonts w:ascii="Arial" w:hAnsi="Arial" w:cs="Arial"/>
                <w:bCs/>
                <w:sz w:val="20"/>
                <w:szCs w:val="20"/>
              </w:rPr>
              <w:t>Former Mutual Store Ltd (later Maples Pty Ltd) complex</w:t>
            </w:r>
          </w:p>
        </w:tc>
        <w:tc>
          <w:tcPr>
            <w:tcW w:w="1559" w:type="dxa"/>
            <w:tcBorders>
              <w:top w:val="single" w:sz="4" w:space="0" w:color="auto"/>
              <w:right w:val="single" w:sz="4" w:space="0" w:color="FFFFFF" w:themeColor="background1"/>
            </w:tcBorders>
          </w:tcPr>
          <w:p w14:paraId="0A3FF39B"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PS ref no:</w:t>
            </w:r>
          </w:p>
        </w:tc>
        <w:tc>
          <w:tcPr>
            <w:tcW w:w="3969" w:type="dxa"/>
            <w:tcBorders>
              <w:top w:val="single" w:sz="4" w:space="0" w:color="auto"/>
              <w:left w:val="single" w:sz="4" w:space="0" w:color="FFFFFF" w:themeColor="background1"/>
              <w:right w:val="single" w:sz="4" w:space="0" w:color="FFFFFF" w:themeColor="background1"/>
            </w:tcBorders>
          </w:tcPr>
          <w:p w14:paraId="52712CFE" w14:textId="4F766422" w:rsidR="005C64DD" w:rsidRPr="0054412E" w:rsidRDefault="00E141E6"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HO1406</w:t>
            </w:r>
          </w:p>
        </w:tc>
      </w:tr>
    </w:tbl>
    <w:tbl>
      <w:tblPr>
        <w:tblW w:w="8789" w:type="dxa"/>
        <w:tblBorders>
          <w:top w:val="single" w:sz="4" w:space="0" w:color="auto"/>
          <w:bottom w:val="single" w:sz="4" w:space="0" w:color="auto"/>
          <w:insideV w:val="single" w:sz="4" w:space="0" w:color="auto"/>
        </w:tblBorders>
        <w:tblLayout w:type="fixed"/>
        <w:tblCellMar>
          <w:top w:w="113" w:type="dxa"/>
          <w:left w:w="85" w:type="dxa"/>
          <w:right w:w="85" w:type="dxa"/>
        </w:tblCellMar>
        <w:tblLook w:val="04A0" w:firstRow="1" w:lastRow="0" w:firstColumn="1" w:lastColumn="0" w:noHBand="0" w:noVBand="1"/>
      </w:tblPr>
      <w:tblGrid>
        <w:gridCol w:w="3261"/>
        <w:gridCol w:w="5528"/>
      </w:tblGrid>
      <w:tr w:rsidR="0054412E" w:rsidRPr="00376C5C" w14:paraId="0C0C6AD8" w14:textId="77777777" w:rsidTr="00FD08CF">
        <w:tc>
          <w:tcPr>
            <w:tcW w:w="3261" w:type="dxa"/>
            <w:shd w:val="clear" w:color="auto" w:fill="auto"/>
          </w:tcPr>
          <w:p w14:paraId="281A8E05" w14:textId="0233905E" w:rsidR="0054412E" w:rsidRDefault="00E141E6" w:rsidP="00E141E6">
            <w:pPr>
              <w:pStyle w:val="Citation-CoverImageLeft"/>
              <w:rPr>
                <w:rStyle w:val="Citation-Boldcharacterstyle"/>
                <w:b w:val="0"/>
              </w:rPr>
            </w:pPr>
            <w:r>
              <w:rPr>
                <w:b/>
                <w:noProof/>
                <w:lang w:eastAsia="en-AU"/>
              </w:rPr>
              <w:drawing>
                <wp:inline distT="0" distB="0" distL="0" distR="0" wp14:anchorId="1A4FE66A" wp14:editId="09C13E46">
                  <wp:extent cx="1644441" cy="2051637"/>
                  <wp:effectExtent l="0" t="0" r="0" b="635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screen">
                            <a:extLst>
                              <a:ext uri="{28A0092B-C50C-407E-A947-70E740481C1C}">
                                <a14:useLocalDpi xmlns:a14="http://schemas.microsoft.com/office/drawing/2010/main"/>
                              </a:ext>
                            </a:extLst>
                          </a:blip>
                          <a:stretch>
                            <a:fillRect/>
                          </a:stretch>
                        </pic:blipFill>
                        <pic:spPr>
                          <a:xfrm>
                            <a:off x="0" y="0"/>
                            <a:ext cx="1669746" cy="2083208"/>
                          </a:xfrm>
                          <a:prstGeom prst="rect">
                            <a:avLst/>
                          </a:prstGeom>
                        </pic:spPr>
                      </pic:pic>
                    </a:graphicData>
                  </a:graphic>
                </wp:inline>
              </w:drawing>
            </w:r>
          </w:p>
          <w:p w14:paraId="2BB82753" w14:textId="10F577D5" w:rsidR="0054412E" w:rsidRDefault="00FD08CF" w:rsidP="00866864">
            <w:pPr>
              <w:pStyle w:val="Citation-Image"/>
              <w:rPr>
                <w:rStyle w:val="Citation-Boldcharacterstyle"/>
                <w:b w:val="0"/>
              </w:rPr>
            </w:pPr>
            <w:r>
              <w:rPr>
                <w:lang w:eastAsia="en-AU"/>
              </w:rPr>
              <w:lastRenderedPageBreak/>
              <w:drawing>
                <wp:inline distT="0" distB="0" distL="0" distR="0" wp14:anchorId="3402F0A2" wp14:editId="6FD650EA">
                  <wp:extent cx="1394019" cy="1152000"/>
                  <wp:effectExtent l="6668" t="0" r="3492" b="3493"/>
                  <wp:docPr id="640" name="Picture 640"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10;&#10;Description automatically generated"/>
                          <pic:cNvPicPr>
                            <a:picLocks noChangeAspect="1" noChangeArrowheads="1"/>
                          </pic:cNvPicPr>
                        </pic:nvPicPr>
                        <pic:blipFill rotWithShape="1">
                          <a:blip r:embed="rId14" cstate="screen">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a:ext>
                            </a:extLst>
                          </a:blip>
                          <a:srcRect r="9240"/>
                          <a:stretch/>
                        </pic:blipFill>
                        <pic:spPr bwMode="auto">
                          <a:xfrm rot="5400000">
                            <a:off x="0" y="0"/>
                            <a:ext cx="1394019" cy="1152000"/>
                          </a:xfrm>
                          <a:prstGeom prst="rect">
                            <a:avLst/>
                          </a:prstGeom>
                          <a:noFill/>
                          <a:ln>
                            <a:noFill/>
                          </a:ln>
                          <a:extLst>
                            <a:ext uri="{53640926-AAD7-44D8-BBD7-CCE9431645EC}">
                              <a14:shadowObscured xmlns:a14="http://schemas.microsoft.com/office/drawing/2010/main"/>
                            </a:ext>
                          </a:extLst>
                        </pic:spPr>
                      </pic:pic>
                    </a:graphicData>
                  </a:graphic>
                </wp:inline>
              </w:drawing>
            </w:r>
          </w:p>
          <w:p w14:paraId="215C3A56" w14:textId="77777777" w:rsidR="00E141E6" w:rsidRDefault="00E141E6" w:rsidP="00866864">
            <w:pPr>
              <w:pStyle w:val="Citation-Image"/>
              <w:rPr>
                <w:rStyle w:val="Citation-Boldcharacterstyle"/>
                <w:b w:val="0"/>
              </w:rPr>
            </w:pPr>
            <w:r w:rsidRPr="001A119B">
              <w:rPr>
                <w:lang w:eastAsia="en-AU"/>
              </w:rPr>
              <w:drawing>
                <wp:inline distT="0" distB="0" distL="0" distR="0" wp14:anchorId="2DE3FA4D" wp14:editId="1E062495">
                  <wp:extent cx="1152000" cy="1427992"/>
                  <wp:effectExtent l="0" t="0" r="0" b="1270"/>
                  <wp:docPr id="641" name="Picture 641"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ree, outdoor&#10;&#10;Description automatically generated"/>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152000" cy="1427992"/>
                          </a:xfrm>
                          <a:prstGeom prst="rect">
                            <a:avLst/>
                          </a:prstGeom>
                          <a:ln>
                            <a:noFill/>
                          </a:ln>
                          <a:extLst>
                            <a:ext uri="{53640926-AAD7-44D8-BBD7-CCE9431645EC}">
                              <a14:shadowObscured xmlns:a14="http://schemas.microsoft.com/office/drawing/2010/main"/>
                            </a:ext>
                          </a:extLst>
                        </pic:spPr>
                      </pic:pic>
                    </a:graphicData>
                  </a:graphic>
                </wp:inline>
              </w:drawing>
            </w:r>
          </w:p>
          <w:p w14:paraId="178685FB" w14:textId="77777777" w:rsidR="00E141E6" w:rsidRDefault="00E141E6" w:rsidP="00866864">
            <w:pPr>
              <w:pStyle w:val="Citation-Image"/>
              <w:rPr>
                <w:rStyle w:val="Citation-Boldcharacterstyle"/>
                <w:b w:val="0"/>
              </w:rPr>
            </w:pPr>
            <w:r>
              <w:rPr>
                <w:lang w:eastAsia="en-AU"/>
              </w:rPr>
              <w:drawing>
                <wp:inline distT="0" distB="0" distL="0" distR="0" wp14:anchorId="0C4C4CDB" wp14:editId="662D2BF9">
                  <wp:extent cx="1152000" cy="148880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152000" cy="1488808"/>
                          </a:xfrm>
                          <a:prstGeom prst="rect">
                            <a:avLst/>
                          </a:prstGeom>
                          <a:ln>
                            <a:noFill/>
                          </a:ln>
                          <a:extLst>
                            <a:ext uri="{53640926-AAD7-44D8-BBD7-CCE9431645EC}">
                              <a14:shadowObscured xmlns:a14="http://schemas.microsoft.com/office/drawing/2010/main"/>
                            </a:ext>
                          </a:extLst>
                        </pic:spPr>
                      </pic:pic>
                    </a:graphicData>
                  </a:graphic>
                </wp:inline>
              </w:drawing>
            </w:r>
          </w:p>
          <w:p w14:paraId="1DC72D8F" w14:textId="6D1639B9" w:rsidR="00E141E6" w:rsidRPr="00B46115" w:rsidRDefault="00E141E6" w:rsidP="00866864">
            <w:pPr>
              <w:pStyle w:val="Citation-Image"/>
              <w:rPr>
                <w:rStyle w:val="Citation-Boldcharacterstyle"/>
                <w:b w:val="0"/>
              </w:rPr>
            </w:pPr>
            <w:r>
              <w:rPr>
                <w:lang w:eastAsia="en-AU"/>
              </w:rPr>
              <w:drawing>
                <wp:inline distT="0" distB="0" distL="0" distR="0" wp14:anchorId="08B15876" wp14:editId="169B49DD">
                  <wp:extent cx="1152000" cy="86403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152000" cy="864031"/>
                          </a:xfrm>
                          <a:prstGeom prst="rect">
                            <a:avLst/>
                          </a:prstGeom>
                          <a:noFill/>
                          <a:ln>
                            <a:noFill/>
                          </a:ln>
                        </pic:spPr>
                      </pic:pic>
                    </a:graphicData>
                  </a:graphic>
                </wp:inline>
              </w:drawing>
            </w:r>
          </w:p>
        </w:tc>
        <w:tc>
          <w:tcPr>
            <w:tcW w:w="5528" w:type="dxa"/>
            <w:shd w:val="clear" w:color="auto" w:fill="auto"/>
          </w:tcPr>
          <w:p w14:paraId="7D2B9552" w14:textId="76D5EA8E" w:rsidR="0054412E" w:rsidRPr="00E0413E" w:rsidRDefault="0054412E" w:rsidP="00866864">
            <w:pPr>
              <w:pStyle w:val="Citation-CoverImageRight"/>
              <w:jc w:val="left"/>
            </w:pPr>
            <w:r w:rsidRPr="00E0413E" w:rsidDel="00C21420">
              <w:rPr>
                <w:noProof/>
                <w:lang w:eastAsia="en-AU"/>
              </w:rPr>
              <w:lastRenderedPageBreak/>
              <w:t xml:space="preserve"> </w:t>
            </w:r>
            <w:r w:rsidR="00E141E6">
              <w:rPr>
                <w:noProof/>
                <w:lang w:eastAsia="en-AU"/>
              </w:rPr>
              <w:drawing>
                <wp:inline distT="0" distB="0" distL="0" distR="0" wp14:anchorId="07944376" wp14:editId="049B0D3A">
                  <wp:extent cx="3423514" cy="2217687"/>
                  <wp:effectExtent l="0" t="0" r="571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0661" cy="2261183"/>
                          </a:xfrm>
                          <a:prstGeom prst="rect">
                            <a:avLst/>
                          </a:prstGeom>
                        </pic:spPr>
                      </pic:pic>
                    </a:graphicData>
                  </a:graphic>
                </wp:inline>
              </w:drawing>
            </w:r>
          </w:p>
        </w:tc>
      </w:tr>
    </w:tbl>
    <w:p w14:paraId="70D88CF2" w14:textId="77777777" w:rsidR="001F027E" w:rsidRPr="001F027E" w:rsidRDefault="001F02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2A462F3A" w14:textId="77777777" w:rsidR="00E141E6" w:rsidRPr="00055322" w:rsidRDefault="00E141E6" w:rsidP="00E141E6">
      <w:pPr>
        <w:pStyle w:val="Citation-BodyText"/>
      </w:pPr>
      <w:r>
        <w:t xml:space="preserve">Former Mutual Store Ltd (later Maples Pty Ltd) complex at part of 112–118 </w:t>
      </w:r>
      <w:proofErr w:type="spellStart"/>
      <w:r>
        <w:t>Millswyn</w:t>
      </w:r>
      <w:proofErr w:type="spellEnd"/>
      <w:r>
        <w:t xml:space="preserve"> Street, South Yarra, built in c1889 and 1922–23 for the </w:t>
      </w:r>
      <w:r w:rsidRPr="2C05353F">
        <w:rPr>
          <w:lang w:val="en-US"/>
        </w:rPr>
        <w:t>Mutual Store Ltd, is significant.</w:t>
      </w:r>
    </w:p>
    <w:p w14:paraId="618E8C86" w14:textId="77777777" w:rsidR="00E141E6" w:rsidRPr="00CE26AD" w:rsidRDefault="00E141E6" w:rsidP="00E141E6">
      <w:pPr>
        <w:pStyle w:val="Citation-BodyText"/>
      </w:pPr>
      <w:r w:rsidRPr="00CE26AD">
        <w:t>Elements that contribute to the significance of the place include (but are not limited to)</w:t>
      </w:r>
      <w:r>
        <w:t xml:space="preserve"> the</w:t>
      </w:r>
      <w:r w:rsidRPr="00CE26AD">
        <w:t>:</w:t>
      </w:r>
    </w:p>
    <w:p w14:paraId="34B1E352" w14:textId="77777777" w:rsidR="00E141E6" w:rsidRPr="00636340" w:rsidRDefault="00E141E6" w:rsidP="00E141E6">
      <w:pPr>
        <w:pStyle w:val="Citation-Bullets1"/>
      </w:pPr>
      <w:r>
        <w:t xml:space="preserve">1922 former </w:t>
      </w:r>
      <w:r w:rsidRPr="00636340">
        <w:t>storage building’s original four-storey form (Figure 1: Number 4) with a stairwell and face red brick finishes, and its high level of integrity to its original design including the decorative brick detailing to the stairwell, as well as its pattern and size of original fenestration</w:t>
      </w:r>
    </w:p>
    <w:p w14:paraId="276A972F" w14:textId="77777777" w:rsidR="00E141E6" w:rsidRPr="00636340" w:rsidRDefault="00E141E6" w:rsidP="00E141E6">
      <w:pPr>
        <w:pStyle w:val="Citation-Bullets1"/>
      </w:pPr>
      <w:r w:rsidRPr="00636340">
        <w:t>remnant painted signs dating from the Maples Pty Ltd era on the south and east elevations of the 1922 former storage building (Figure 1: Number 4)</w:t>
      </w:r>
    </w:p>
    <w:p w14:paraId="3F36AA1C" w14:textId="77777777" w:rsidR="00E141E6" w:rsidRPr="00636340" w:rsidRDefault="00E141E6" w:rsidP="00E141E6">
      <w:pPr>
        <w:pStyle w:val="Citation-Bullets1"/>
      </w:pPr>
      <w:r w:rsidRPr="00636340">
        <w:t>surviving original face brick walls and pattern of openings of the c1889 former grain store (Number 2), c1889 former toilet block (Figure 1: Number 3) and 1923 engineers’ workshop (Number 6)</w:t>
      </w:r>
    </w:p>
    <w:p w14:paraId="2F28CB51" w14:textId="77777777" w:rsidR="00E141E6" w:rsidRPr="00636340" w:rsidRDefault="00E141E6" w:rsidP="00E141E6">
      <w:pPr>
        <w:pStyle w:val="Citation-Bullets1"/>
      </w:pPr>
      <w:r w:rsidRPr="00636340">
        <w:t xml:space="preserve">1889 store foreman’s residence at 114 </w:t>
      </w:r>
      <w:proofErr w:type="spellStart"/>
      <w:r w:rsidRPr="00636340">
        <w:t>Millswyn</w:t>
      </w:r>
      <w:proofErr w:type="spellEnd"/>
      <w:r w:rsidRPr="00636340">
        <w:t xml:space="preserve"> Street (Figure 1: Number 2) and the access way to the south of the residence</w:t>
      </w:r>
    </w:p>
    <w:p w14:paraId="4B0C9F6B" w14:textId="77777777" w:rsidR="00E141E6" w:rsidRPr="00636340" w:rsidRDefault="00E141E6" w:rsidP="00E141E6">
      <w:pPr>
        <w:pStyle w:val="Citation-Bullets1"/>
      </w:pPr>
      <w:r w:rsidRPr="00636340">
        <w:lastRenderedPageBreak/>
        <w:t xml:space="preserve">steel roof trusses and </w:t>
      </w:r>
      <w:r>
        <w:t>b</w:t>
      </w:r>
      <w:r w:rsidRPr="00794127">
        <w:t>rick walls on the northern and southern property boundaries</w:t>
      </w:r>
      <w:r w:rsidRPr="00636340">
        <w:t xml:space="preserve">, which are remnants of the loading areas and associated </w:t>
      </w:r>
      <w:r>
        <w:t xml:space="preserve">structures </w:t>
      </w:r>
      <w:r w:rsidRPr="00636340">
        <w:t>(Figure 1: Number 5)</w:t>
      </w:r>
    </w:p>
    <w:p w14:paraId="3E4CA02A" w14:textId="77777777" w:rsidR="00E141E6" w:rsidRPr="00CE26AD" w:rsidRDefault="00E141E6" w:rsidP="00E141E6">
      <w:pPr>
        <w:pStyle w:val="Citation-Bullets1"/>
      </w:pPr>
      <w:proofErr w:type="gramStart"/>
      <w:r w:rsidRPr="00636340">
        <w:t>bluestone</w:t>
      </w:r>
      <w:proofErr w:type="gramEnd"/>
      <w:r w:rsidRPr="00636340">
        <w:t xml:space="preserve"> pitchers predating</w:t>
      </w:r>
      <w:r>
        <w:t xml:space="preserve"> the 1922 redevelopment.</w:t>
      </w:r>
    </w:p>
    <w:p w14:paraId="1CA9525D" w14:textId="30070E97" w:rsidR="00E141E6" w:rsidRDefault="00E141E6" w:rsidP="00E141E6">
      <w:pPr>
        <w:pStyle w:val="Citation-BodyText"/>
      </w:pPr>
      <w:r>
        <w:t>The changes introduced by the 1978 residential conversion also contribute to the significance of the place. More recent alterations and additions are not significant.</w:t>
      </w:r>
    </w:p>
    <w:tbl>
      <w:tblPr>
        <w:tblW w:w="9077" w:type="dxa"/>
        <w:tblInd w:w="-5" w:type="dxa"/>
        <w:tblLayout w:type="fixed"/>
        <w:tblCellMar>
          <w:bottom w:w="85" w:type="dxa"/>
        </w:tblCellMar>
        <w:tblLook w:val="04A0" w:firstRow="1" w:lastRow="0" w:firstColumn="1" w:lastColumn="0" w:noHBand="0" w:noVBand="1"/>
      </w:tblPr>
      <w:tblGrid>
        <w:gridCol w:w="567"/>
        <w:gridCol w:w="3827"/>
        <w:gridCol w:w="568"/>
        <w:gridCol w:w="4115"/>
      </w:tblGrid>
      <w:tr w:rsidR="00E141E6" w:rsidRPr="00553350" w14:paraId="7FE3FB67" w14:textId="77777777" w:rsidTr="006842DA">
        <w:trPr>
          <w:trHeight w:val="307"/>
        </w:trPr>
        <w:tc>
          <w:tcPr>
            <w:tcW w:w="9077" w:type="dxa"/>
            <w:gridSpan w:val="4"/>
            <w:tcBorders>
              <w:top w:val="single" w:sz="4" w:space="0" w:color="auto"/>
            </w:tcBorders>
          </w:tcPr>
          <w:p w14:paraId="15E4A6E9" w14:textId="77777777" w:rsidR="00E141E6" w:rsidRPr="00553350" w:rsidRDefault="00E141E6" w:rsidP="006842DA">
            <w:pPr>
              <w:pStyle w:val="Citation-Image"/>
              <w:jc w:val="center"/>
              <w:rPr>
                <w:b/>
                <w:bCs/>
                <w:lang w:eastAsia="en-AU"/>
              </w:rPr>
            </w:pPr>
            <w:r>
              <w:rPr>
                <w:lang w:eastAsia="en-AU"/>
              </w:rPr>
              <w:drawing>
                <wp:inline distT="0" distB="0" distL="0" distR="0" wp14:anchorId="67371969" wp14:editId="47D6B82C">
                  <wp:extent cx="5760000" cy="2595144"/>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696" b="7033"/>
                          <a:stretch/>
                        </pic:blipFill>
                        <pic:spPr bwMode="auto">
                          <a:xfrm>
                            <a:off x="0" y="0"/>
                            <a:ext cx="5760000" cy="2595144"/>
                          </a:xfrm>
                          <a:prstGeom prst="rect">
                            <a:avLst/>
                          </a:prstGeom>
                          <a:ln>
                            <a:noFill/>
                          </a:ln>
                          <a:extLst>
                            <a:ext uri="{53640926-AAD7-44D8-BBD7-CCE9431645EC}">
                              <a14:shadowObscured xmlns:a14="http://schemas.microsoft.com/office/drawing/2010/main"/>
                            </a:ext>
                          </a:extLst>
                        </pic:spPr>
                      </pic:pic>
                    </a:graphicData>
                  </a:graphic>
                </wp:inline>
              </w:drawing>
            </w:r>
          </w:p>
        </w:tc>
      </w:tr>
      <w:tr w:rsidR="00E141E6" w:rsidRPr="00553350" w14:paraId="2B59360F" w14:textId="77777777" w:rsidTr="006842DA">
        <w:trPr>
          <w:trHeight w:val="134"/>
        </w:trPr>
        <w:tc>
          <w:tcPr>
            <w:tcW w:w="9077" w:type="dxa"/>
            <w:gridSpan w:val="4"/>
          </w:tcPr>
          <w:p w14:paraId="6830988D" w14:textId="77777777" w:rsidR="00E141E6" w:rsidRPr="00177E5B" w:rsidRDefault="00E141E6" w:rsidP="006842DA">
            <w:pPr>
              <w:pStyle w:val="Citation-TableText"/>
              <w:rPr>
                <w:rStyle w:val="Citation-Romancharacterstyle"/>
                <w:b/>
                <w:bCs/>
              </w:rPr>
            </w:pPr>
            <w:r w:rsidRPr="00177E5B">
              <w:rPr>
                <w:b/>
                <w:bCs/>
                <w:lang w:eastAsia="en-AU"/>
              </w:rPr>
              <w:t>Legend</w:t>
            </w:r>
          </w:p>
        </w:tc>
      </w:tr>
      <w:tr w:rsidR="00E141E6" w:rsidRPr="00553350" w14:paraId="154A6F14" w14:textId="77777777" w:rsidTr="006842DA">
        <w:trPr>
          <w:trHeight w:val="307"/>
        </w:trPr>
        <w:tc>
          <w:tcPr>
            <w:tcW w:w="567" w:type="dxa"/>
            <w:vAlign w:val="center"/>
          </w:tcPr>
          <w:p w14:paraId="187BB950" w14:textId="77777777" w:rsidR="00E141E6" w:rsidRPr="00DB618F" w:rsidRDefault="00E141E6" w:rsidP="006842DA">
            <w:pPr>
              <w:pStyle w:val="Citation-TableText"/>
              <w:rPr>
                <w:b/>
                <w:bCs/>
                <w:lang w:eastAsia="en-AU"/>
              </w:rPr>
            </w:pPr>
            <w:r w:rsidRPr="00DB618F">
              <w:rPr>
                <w:b/>
                <w:bCs/>
                <w:lang w:eastAsia="en-AU"/>
              </w:rPr>
              <w:t>1</w:t>
            </w:r>
          </w:p>
        </w:tc>
        <w:tc>
          <w:tcPr>
            <w:tcW w:w="3827" w:type="dxa"/>
            <w:vAlign w:val="center"/>
          </w:tcPr>
          <w:p w14:paraId="5D810010" w14:textId="77777777" w:rsidR="00E141E6" w:rsidRPr="00553350" w:rsidRDefault="00E141E6" w:rsidP="006842DA">
            <w:pPr>
              <w:pStyle w:val="Citation-TableText"/>
              <w:rPr>
                <w:lang w:eastAsia="en-AU"/>
              </w:rPr>
            </w:pPr>
            <w:r w:rsidRPr="00553350">
              <w:rPr>
                <w:lang w:eastAsia="en-AU"/>
              </w:rPr>
              <w:t xml:space="preserve">Former foreman’s residence at 114 </w:t>
            </w:r>
            <w:proofErr w:type="spellStart"/>
            <w:r w:rsidRPr="00553350">
              <w:rPr>
                <w:lang w:eastAsia="en-AU"/>
              </w:rPr>
              <w:t>Millswyn</w:t>
            </w:r>
            <w:proofErr w:type="spellEnd"/>
            <w:r w:rsidRPr="00553350">
              <w:rPr>
                <w:lang w:eastAsia="en-AU"/>
              </w:rPr>
              <w:t xml:space="preserve"> Street (1889)</w:t>
            </w:r>
          </w:p>
        </w:tc>
        <w:tc>
          <w:tcPr>
            <w:tcW w:w="568" w:type="dxa"/>
            <w:vAlign w:val="center"/>
          </w:tcPr>
          <w:p w14:paraId="38EC4306" w14:textId="77777777" w:rsidR="00E141E6" w:rsidRPr="00DB618F" w:rsidRDefault="00E141E6" w:rsidP="006842DA">
            <w:pPr>
              <w:pStyle w:val="Citation-TableText"/>
              <w:rPr>
                <w:b/>
                <w:bCs/>
              </w:rPr>
            </w:pPr>
            <w:r w:rsidRPr="00DB618F">
              <w:rPr>
                <w:b/>
                <w:bCs/>
                <w:lang w:eastAsia="en-AU"/>
              </w:rPr>
              <w:t>4</w:t>
            </w:r>
          </w:p>
        </w:tc>
        <w:tc>
          <w:tcPr>
            <w:tcW w:w="4115" w:type="dxa"/>
            <w:vAlign w:val="center"/>
          </w:tcPr>
          <w:p w14:paraId="5AD41585" w14:textId="77777777" w:rsidR="00E141E6" w:rsidRPr="000372B0" w:rsidRDefault="00E141E6" w:rsidP="006842DA">
            <w:pPr>
              <w:pStyle w:val="Citation-TableText"/>
            </w:pPr>
            <w:r w:rsidRPr="00553350">
              <w:rPr>
                <w:lang w:eastAsia="en-AU"/>
              </w:rPr>
              <w:t>Former storage building (1922)</w:t>
            </w:r>
          </w:p>
        </w:tc>
      </w:tr>
      <w:tr w:rsidR="00E141E6" w:rsidRPr="00553350" w14:paraId="313754CC" w14:textId="77777777" w:rsidTr="006842DA">
        <w:trPr>
          <w:trHeight w:val="307"/>
        </w:trPr>
        <w:tc>
          <w:tcPr>
            <w:tcW w:w="567" w:type="dxa"/>
            <w:vAlign w:val="center"/>
          </w:tcPr>
          <w:p w14:paraId="63940AFC" w14:textId="77777777" w:rsidR="00E141E6" w:rsidRPr="00DB618F" w:rsidRDefault="00E141E6" w:rsidP="006842DA">
            <w:pPr>
              <w:pStyle w:val="Citation-TableText"/>
              <w:rPr>
                <w:b/>
                <w:bCs/>
                <w:lang w:eastAsia="en-AU"/>
              </w:rPr>
            </w:pPr>
            <w:r w:rsidRPr="00DB618F">
              <w:rPr>
                <w:b/>
                <w:bCs/>
                <w:lang w:eastAsia="en-AU"/>
              </w:rPr>
              <w:t>2</w:t>
            </w:r>
          </w:p>
        </w:tc>
        <w:tc>
          <w:tcPr>
            <w:tcW w:w="3827" w:type="dxa"/>
            <w:vAlign w:val="center"/>
          </w:tcPr>
          <w:p w14:paraId="417652A5" w14:textId="77777777" w:rsidR="00E141E6" w:rsidRPr="00553350" w:rsidRDefault="00E141E6" w:rsidP="006842DA">
            <w:pPr>
              <w:pStyle w:val="Citation-TableText"/>
              <w:rPr>
                <w:lang w:eastAsia="en-AU"/>
              </w:rPr>
            </w:pPr>
            <w:r w:rsidRPr="00553350">
              <w:rPr>
                <w:lang w:eastAsia="en-AU"/>
              </w:rPr>
              <w:t>Former shed, later used as grain store (c1889)</w:t>
            </w:r>
          </w:p>
        </w:tc>
        <w:tc>
          <w:tcPr>
            <w:tcW w:w="568" w:type="dxa"/>
            <w:vAlign w:val="center"/>
          </w:tcPr>
          <w:p w14:paraId="734D4966" w14:textId="77777777" w:rsidR="00E141E6" w:rsidRPr="00DB618F" w:rsidRDefault="00E141E6" w:rsidP="006842DA">
            <w:pPr>
              <w:pStyle w:val="Citation-TableText"/>
              <w:rPr>
                <w:b/>
                <w:bCs/>
                <w:lang w:eastAsia="en-AU"/>
              </w:rPr>
            </w:pPr>
            <w:r w:rsidRPr="00DB618F">
              <w:rPr>
                <w:b/>
                <w:bCs/>
                <w:lang w:eastAsia="en-AU"/>
              </w:rPr>
              <w:t>5</w:t>
            </w:r>
          </w:p>
        </w:tc>
        <w:tc>
          <w:tcPr>
            <w:tcW w:w="4115" w:type="dxa"/>
            <w:vAlign w:val="center"/>
          </w:tcPr>
          <w:p w14:paraId="7705B680" w14:textId="77777777" w:rsidR="00E141E6" w:rsidRPr="00553350" w:rsidRDefault="00E141E6" w:rsidP="006842DA">
            <w:pPr>
              <w:pStyle w:val="Citation-TableText"/>
              <w:rPr>
                <w:lang w:eastAsia="en-AU"/>
              </w:rPr>
            </w:pPr>
            <w:r w:rsidRPr="00553350">
              <w:rPr>
                <w:lang w:eastAsia="en-AU"/>
              </w:rPr>
              <w:t>Remnant loading area structures (1922) and associated brick walls (c1889–1922)</w:t>
            </w:r>
          </w:p>
        </w:tc>
      </w:tr>
      <w:tr w:rsidR="00E141E6" w:rsidRPr="00553350" w14:paraId="71FF38E8" w14:textId="77777777" w:rsidTr="006842DA">
        <w:trPr>
          <w:trHeight w:val="307"/>
        </w:trPr>
        <w:tc>
          <w:tcPr>
            <w:tcW w:w="567" w:type="dxa"/>
            <w:tcBorders>
              <w:bottom w:val="single" w:sz="4" w:space="0" w:color="auto"/>
            </w:tcBorders>
            <w:vAlign w:val="center"/>
          </w:tcPr>
          <w:p w14:paraId="32BCD92C" w14:textId="77777777" w:rsidR="00E141E6" w:rsidRPr="00DB618F" w:rsidRDefault="00E141E6" w:rsidP="006842DA">
            <w:pPr>
              <w:pStyle w:val="Citation-TableText"/>
              <w:rPr>
                <w:b/>
                <w:bCs/>
                <w:lang w:eastAsia="en-AU"/>
              </w:rPr>
            </w:pPr>
            <w:r w:rsidRPr="00DB618F">
              <w:rPr>
                <w:b/>
                <w:bCs/>
                <w:lang w:eastAsia="en-AU"/>
              </w:rPr>
              <w:t>3</w:t>
            </w:r>
          </w:p>
        </w:tc>
        <w:tc>
          <w:tcPr>
            <w:tcW w:w="3827" w:type="dxa"/>
            <w:tcBorders>
              <w:bottom w:val="single" w:sz="4" w:space="0" w:color="auto"/>
            </w:tcBorders>
            <w:vAlign w:val="center"/>
          </w:tcPr>
          <w:p w14:paraId="11E43644" w14:textId="77777777" w:rsidR="00E141E6" w:rsidRPr="00553350" w:rsidRDefault="00E141E6" w:rsidP="006842DA">
            <w:pPr>
              <w:pStyle w:val="Citation-TableText"/>
              <w:rPr>
                <w:lang w:eastAsia="en-AU"/>
              </w:rPr>
            </w:pPr>
            <w:r w:rsidRPr="00553350">
              <w:rPr>
                <w:lang w:eastAsia="en-AU"/>
              </w:rPr>
              <w:t>Former toilet block, later used as kerosene store (c1889)</w:t>
            </w:r>
          </w:p>
        </w:tc>
        <w:tc>
          <w:tcPr>
            <w:tcW w:w="568" w:type="dxa"/>
            <w:tcBorders>
              <w:bottom w:val="single" w:sz="4" w:space="0" w:color="auto"/>
            </w:tcBorders>
            <w:vAlign w:val="center"/>
          </w:tcPr>
          <w:p w14:paraId="7B029AE7" w14:textId="77777777" w:rsidR="00E141E6" w:rsidRPr="00DB618F" w:rsidRDefault="00E141E6" w:rsidP="006842DA">
            <w:pPr>
              <w:pStyle w:val="Citation-TableText"/>
              <w:rPr>
                <w:b/>
                <w:bCs/>
                <w:lang w:eastAsia="en-AU"/>
              </w:rPr>
            </w:pPr>
            <w:r w:rsidRPr="00DB618F">
              <w:rPr>
                <w:b/>
                <w:bCs/>
                <w:lang w:eastAsia="en-AU"/>
              </w:rPr>
              <w:t>6</w:t>
            </w:r>
          </w:p>
        </w:tc>
        <w:tc>
          <w:tcPr>
            <w:tcW w:w="4115" w:type="dxa"/>
            <w:tcBorders>
              <w:bottom w:val="single" w:sz="4" w:space="0" w:color="auto"/>
            </w:tcBorders>
            <w:vAlign w:val="center"/>
          </w:tcPr>
          <w:p w14:paraId="2DFD85B5" w14:textId="77777777" w:rsidR="00E141E6" w:rsidRPr="00553350" w:rsidRDefault="00E141E6" w:rsidP="006842DA">
            <w:pPr>
              <w:pStyle w:val="Citation-TableText"/>
              <w:rPr>
                <w:lang w:eastAsia="en-AU"/>
              </w:rPr>
            </w:pPr>
            <w:r w:rsidRPr="00553350">
              <w:rPr>
                <w:lang w:eastAsia="en-AU"/>
              </w:rPr>
              <w:t>Former engineers’ workshop (1923)</w:t>
            </w:r>
          </w:p>
        </w:tc>
      </w:tr>
    </w:tbl>
    <w:p w14:paraId="437CE944" w14:textId="557ECC69" w:rsidR="001F027E" w:rsidRDefault="00E141E6" w:rsidP="00E141E6">
      <w:pPr>
        <w:pStyle w:val="Citation-Image"/>
        <w:rPr>
          <w:lang w:eastAsia="en-AU"/>
        </w:rPr>
      </w:pPr>
      <w:r w:rsidRPr="00553350">
        <w:rPr>
          <w:lang w:eastAsia="en-AU"/>
        </w:rPr>
        <w:t>Figure</w:t>
      </w:r>
      <w:r>
        <w:rPr>
          <w:lang w:eastAsia="en-AU"/>
        </w:rPr>
        <w:t xml:space="preserve"> 1</w:t>
      </w:r>
      <w:r w:rsidRPr="00553350">
        <w:rPr>
          <w:lang w:eastAsia="en-AU"/>
        </w:rPr>
        <w:t xml:space="preserve">. Aerial photograph of </w:t>
      </w:r>
      <w:r>
        <w:t>the subject site,</w:t>
      </w:r>
      <w:r w:rsidRPr="009023AA">
        <w:t xml:space="preserve"> </w:t>
      </w:r>
      <w:r>
        <w:t xml:space="preserve">showing the </w:t>
      </w:r>
      <w:r w:rsidRPr="00553350">
        <w:rPr>
          <w:lang w:eastAsia="en-AU"/>
        </w:rPr>
        <w:t xml:space="preserve">key </w:t>
      </w:r>
      <w:r w:rsidRPr="00856571">
        <w:rPr>
          <w:lang w:eastAsia="en-AU"/>
        </w:rPr>
        <w:t>elements that contribute to the significance</w:t>
      </w:r>
      <w:r w:rsidRPr="00553350">
        <w:rPr>
          <w:lang w:eastAsia="en-AU"/>
        </w:rPr>
        <w:t xml:space="preserve">. (Source: Nearmap </w:t>
      </w:r>
      <w:r>
        <w:rPr>
          <w:lang w:eastAsia="en-AU"/>
        </w:rPr>
        <w:t xml:space="preserve">2022 </w:t>
      </w:r>
      <w:r w:rsidRPr="00553350">
        <w:rPr>
          <w:lang w:eastAsia="en-AU"/>
        </w:rPr>
        <w:t>with GML overlay)</w:t>
      </w:r>
    </w:p>
    <w:p w14:paraId="7C74BA56" w14:textId="77777777" w:rsidR="00FD08CF" w:rsidRPr="00E141E6" w:rsidRDefault="00FD08CF" w:rsidP="00FD08CF">
      <w:pPr>
        <w:pStyle w:val="Citation-Image"/>
        <w:spacing w:before="0"/>
        <w:rPr>
          <w:lang w:eastAsia="en-AU"/>
        </w:rPr>
      </w:pP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10CD9BF3" w14:textId="058AA8C3" w:rsidR="00E141E6" w:rsidRDefault="00E141E6" w:rsidP="00E141E6">
      <w:pPr>
        <w:pStyle w:val="Citation-BodyText"/>
      </w:pPr>
      <w:r>
        <w:rPr>
          <w:bCs/>
        </w:rPr>
        <w:t xml:space="preserve">Former Mutual Store </w:t>
      </w:r>
      <w:r>
        <w:t>Ltd (later Maples Pty Ltd</w:t>
      </w:r>
      <w:r w:rsidRPr="008D2631">
        <w:rPr>
          <w:bCs/>
        </w:rPr>
        <w:t>) complex</w:t>
      </w:r>
      <w:r>
        <w:rPr>
          <w:bCs/>
        </w:rPr>
        <w:t xml:space="preserve"> </w:t>
      </w:r>
      <w:r w:rsidRPr="009023AA">
        <w:t xml:space="preserve">at </w:t>
      </w:r>
      <w:r w:rsidRPr="00116511">
        <w:t>part of</w:t>
      </w:r>
      <w:r>
        <w:t xml:space="preserve"> 112–118 </w:t>
      </w:r>
      <w:proofErr w:type="spellStart"/>
      <w:r w:rsidRPr="009023AA">
        <w:t>Millswyn</w:t>
      </w:r>
      <w:proofErr w:type="spellEnd"/>
      <w:r w:rsidRPr="009023AA">
        <w:t xml:space="preserve"> Street, South Yarra</w:t>
      </w:r>
      <w:r>
        <w:t>,</w:t>
      </w:r>
      <w:r w:rsidRPr="009023AA">
        <w:t xml:space="preserve"> is of local historical</w:t>
      </w:r>
      <w:r w:rsidRPr="009023AA">
        <w:rPr>
          <w:bCs/>
        </w:rPr>
        <w:t xml:space="preserve"> and </w:t>
      </w:r>
      <w:r w:rsidRPr="009023AA">
        <w:t>representative</w:t>
      </w:r>
      <w:r w:rsidRPr="009023AA">
        <w:rPr>
          <w:bCs/>
        </w:rPr>
        <w:t xml:space="preserve"> </w:t>
      </w:r>
      <w:r w:rsidRPr="009023AA">
        <w:t>significance to the City of Melbourne.</w:t>
      </w:r>
      <w:r w:rsidRPr="000A4B41">
        <w:t xml:space="preserve"> </w:t>
      </w:r>
    </w:p>
    <w:p w14:paraId="3378FD02" w14:textId="77777777" w:rsidR="00FD08CF" w:rsidRPr="00055322" w:rsidRDefault="00FD08CF" w:rsidP="00FD08CF">
      <w:pPr>
        <w:pStyle w:val="Citation-BodyText"/>
        <w:spacing w:after="0"/>
      </w:pP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5E6292DC" w14:textId="77777777" w:rsidR="00E141E6" w:rsidRDefault="00E141E6" w:rsidP="00E141E6">
      <w:pPr>
        <w:pStyle w:val="Citation-BodyText"/>
      </w:pPr>
      <w:r>
        <w:t xml:space="preserve">The former Mutual Store Ltd (later Maples Pty Ltd) complex at </w:t>
      </w:r>
      <w:r w:rsidRPr="00116511">
        <w:t>part of</w:t>
      </w:r>
      <w:r w:rsidRPr="00D303FF">
        <w:t xml:space="preserve"> 11</w:t>
      </w:r>
      <w:r>
        <w:t>2–</w:t>
      </w:r>
      <w:r w:rsidRPr="00D303FF">
        <w:t xml:space="preserve">118 </w:t>
      </w:r>
      <w:proofErr w:type="spellStart"/>
      <w:r w:rsidRPr="00D303FF">
        <w:t>Millswyn</w:t>
      </w:r>
      <w:proofErr w:type="spellEnd"/>
      <w:r w:rsidRPr="00D303FF">
        <w:t xml:space="preserve"> Street</w:t>
      </w:r>
      <w:r>
        <w:t>, South Yarra, is historically significant as an atypical example of an industrial place in the South Yarra area of the City of Melbourne, which is otherwise a predominantly residential area. The complex is also significant for its long-term association with Mutual Store Ltd, which established Melbourne’s first department store in Flinders Street, Melbourne. The existing former stable complex and warehouse were erected c1889 (</w:t>
      </w:r>
      <w:r w:rsidRPr="00B57CBE">
        <w:t xml:space="preserve">Figure 1: </w:t>
      </w:r>
      <w:r>
        <w:t>Number 1, Number 2 and Number 3) and 1922–23 (</w:t>
      </w:r>
      <w:r w:rsidRPr="00B57CBE">
        <w:t xml:space="preserve">Figure 1: </w:t>
      </w:r>
      <w:r>
        <w:t xml:space="preserve">Number 4, Number 5 and Number 6) respectively for the Mutual Store. Established in 1889 to house the company’s livery yard and later incorporating the delivery plants by the beginning of the 1920s, the </w:t>
      </w:r>
      <w:r>
        <w:lastRenderedPageBreak/>
        <w:t>complex was renewed as a delivery depot and warehouse complex in 1922–23. The complex demonstrates the growth in retailing and manufacturing that was part of the buoyant new economy in early twentieth century Melbourne following the subdued period of World War I and the strong tariff protection in the 1920s. The complex also demonstrates the evolution of the transportation and logistics system of a major retailing business over time. Acquired by the Melbourne furniture manufacturers, Maples, the site continued its industrial operation as a warehouse and manufacturing complex between 1963 and 1978. (Criterion A)</w:t>
      </w:r>
    </w:p>
    <w:p w14:paraId="06A8E07C" w14:textId="77777777" w:rsidR="00E141E6" w:rsidRDefault="00E141E6" w:rsidP="00E141E6">
      <w:pPr>
        <w:pStyle w:val="Citation-BodyText"/>
      </w:pPr>
      <w:r>
        <w:t xml:space="preserve">The subject complex, today known as </w:t>
      </w:r>
      <w:proofErr w:type="spellStart"/>
      <w:r>
        <w:t>Millswyn</w:t>
      </w:r>
      <w:proofErr w:type="spellEnd"/>
      <w:r>
        <w:t xml:space="preserve">, is also of historical interest as the first major residential conversion of an industrial building in Melbourne, and one of the first in Australia. The residential development in 1978 was led by the </w:t>
      </w:r>
      <w:proofErr w:type="spellStart"/>
      <w:r w:rsidRPr="32F1308A">
        <w:rPr>
          <w:rFonts w:eastAsia="Malgun Gothic"/>
          <w:lang w:eastAsia="ko-KR"/>
        </w:rPr>
        <w:t>Largga</w:t>
      </w:r>
      <w:proofErr w:type="spellEnd"/>
      <w:r w:rsidRPr="32F1308A">
        <w:rPr>
          <w:rFonts w:eastAsia="Malgun Gothic"/>
          <w:lang w:eastAsia="ko-KR"/>
        </w:rPr>
        <w:t xml:space="preserve"> Partnership, partners of which kept units in the complex. The partnership was formed by Andrew Reed, Len </w:t>
      </w:r>
      <w:proofErr w:type="spellStart"/>
      <w:r w:rsidRPr="32F1308A">
        <w:rPr>
          <w:rFonts w:eastAsia="Malgun Gothic"/>
          <w:lang w:eastAsia="ko-KR"/>
        </w:rPr>
        <w:t>Hayball</w:t>
      </w:r>
      <w:proofErr w:type="spellEnd"/>
      <w:r w:rsidRPr="32F1308A">
        <w:rPr>
          <w:rFonts w:eastAsia="Malgun Gothic"/>
          <w:lang w:eastAsia="ko-KR"/>
        </w:rPr>
        <w:t>, and Graeme Gunn, the principals of the architectural firms Andrew Reed</w:t>
      </w:r>
      <w:r>
        <w:rPr>
          <w:rFonts w:eastAsia="Malgun Gothic"/>
          <w:lang w:eastAsia="ko-KR"/>
        </w:rPr>
        <w:t xml:space="preserve"> and </w:t>
      </w:r>
      <w:r w:rsidRPr="32F1308A">
        <w:rPr>
          <w:rFonts w:eastAsia="Malgun Gothic"/>
          <w:lang w:eastAsia="ko-KR"/>
        </w:rPr>
        <w:t xml:space="preserve">Associates and Gunn </w:t>
      </w:r>
      <w:proofErr w:type="spellStart"/>
      <w:r w:rsidRPr="32F1308A">
        <w:rPr>
          <w:rFonts w:eastAsia="Malgun Gothic"/>
          <w:lang w:eastAsia="ko-KR"/>
        </w:rPr>
        <w:t>Hayball</w:t>
      </w:r>
      <w:proofErr w:type="spellEnd"/>
      <w:r w:rsidRPr="32F1308A">
        <w:rPr>
          <w:rFonts w:eastAsia="Malgun Gothic"/>
          <w:lang w:eastAsia="ko-KR"/>
        </w:rPr>
        <w:t xml:space="preserve"> Pty Ltd, as well as Ross Ramus, architect, Jean Miller, investor, and </w:t>
      </w:r>
      <w:proofErr w:type="spellStart"/>
      <w:r w:rsidRPr="32F1308A">
        <w:rPr>
          <w:rFonts w:eastAsia="Malgun Gothic"/>
          <w:lang w:eastAsia="ko-KR"/>
        </w:rPr>
        <w:t>Grazia</w:t>
      </w:r>
      <w:proofErr w:type="spellEnd"/>
      <w:r w:rsidRPr="32F1308A">
        <w:rPr>
          <w:rFonts w:eastAsia="Malgun Gothic"/>
          <w:lang w:eastAsia="ko-KR"/>
        </w:rPr>
        <w:t xml:space="preserve"> Gunn, curator. (Criterion A)</w:t>
      </w:r>
    </w:p>
    <w:p w14:paraId="17B8B15E" w14:textId="7921FC05" w:rsidR="00E141E6" w:rsidRDefault="00E141E6" w:rsidP="00E141E6">
      <w:pPr>
        <w:pStyle w:val="Citation-BodyText"/>
        <w:rPr>
          <w:u w:color="1A1A1A"/>
        </w:rPr>
      </w:pPr>
      <w:r>
        <w:t xml:space="preserve">Incorporating structures from 1889 and 1922–23 built for Mutual Store Ltd and later converted for Maples Pty Ltd, the complex is important as a representative example of a relatively intact cluster of residential and industrial buildings developed for a single primary occupant. </w:t>
      </w:r>
      <w:r w:rsidRPr="00721E05">
        <w:t xml:space="preserve">The </w:t>
      </w:r>
      <w:r>
        <w:t xml:space="preserve">complex retains the 1889 foreman’s residence designed by Reed, Henderson and Smart (Figure 1: Number 1); c1889 </w:t>
      </w:r>
      <w:r w:rsidRPr="00CE175C">
        <w:t xml:space="preserve">former grain store </w:t>
      </w:r>
      <w:r>
        <w:t>(Figure 1: Number 2) and former kerosene store (</w:t>
      </w:r>
      <w:r w:rsidRPr="00CE175C">
        <w:t xml:space="preserve">Figure 1: </w:t>
      </w:r>
      <w:r>
        <w:t xml:space="preserve">Number 3) predating the 1922 former storage building designed by </w:t>
      </w:r>
      <w:r w:rsidRPr="00E15DC4">
        <w:t>Ballantyne and Hare</w:t>
      </w:r>
      <w:r>
        <w:t xml:space="preserve"> (Figure 1: Number 4), as well as a 1923 workshop building </w:t>
      </w:r>
      <w:r w:rsidRPr="00CE175C">
        <w:t xml:space="preserve">(Figure 1: Number </w:t>
      </w:r>
      <w:r>
        <w:t>6</w:t>
      </w:r>
      <w:r w:rsidRPr="00CE175C">
        <w:t>)</w:t>
      </w:r>
      <w:r>
        <w:t xml:space="preserve">. The </w:t>
      </w:r>
      <w:r w:rsidRPr="00721E05">
        <w:t>original built form</w:t>
      </w:r>
      <w:r>
        <w:t xml:space="preserve">, roofline, face brick surfaces (partly overpainted) and industrial buildings with utilitarian designs provide tangible evidence of the warehousing associated with a major retail business in this part of the City of Melbourne. </w:t>
      </w:r>
      <w:r>
        <w:rPr>
          <w:u w:color="1A1A1A"/>
        </w:rPr>
        <w:t>The 1922 main building is also of importance, being a representative example of an interwar warehouse building, characterised with the steel-framed concrete structure and masonry external walls, the use of vertical bays with large window openings divided by pilasters, and the use of restrained decorative detailing. (Criterion D)</w:t>
      </w:r>
    </w:p>
    <w:p w14:paraId="27CE341E" w14:textId="77777777" w:rsidR="00FD08CF" w:rsidRDefault="00FD08CF" w:rsidP="00FD08CF">
      <w:pPr>
        <w:pStyle w:val="Citation-BodyText"/>
        <w:spacing w:after="0"/>
        <w:rPr>
          <w:u w:color="1A1A1A"/>
        </w:rPr>
      </w:pPr>
    </w:p>
    <w:p w14:paraId="6FDB59FC" w14:textId="77777777"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043F7B32" w14:textId="77777777" w:rsidR="0054412E" w:rsidRDefault="0054412E" w:rsidP="0054412E">
      <w:pPr>
        <w:pStyle w:val="Citation-BodyText"/>
      </w:pPr>
      <w:r w:rsidRPr="00F335D3">
        <w:t>South Yarra Heritage Review 202</w:t>
      </w:r>
      <w:r>
        <w:t>2</w:t>
      </w:r>
      <w:r w:rsidRPr="00F335D3">
        <w:t xml:space="preserve"> (</w:t>
      </w:r>
      <w:r>
        <w:t>GML Heritage</w:t>
      </w:r>
      <w:r w:rsidRPr="00F335D3">
        <w:t>)</w:t>
      </w:r>
    </w:p>
    <w:sectPr w:rsidR="0054412E" w:rsidSect="001F027E">
      <w:headerReference w:type="even" r:id="rId21"/>
      <w:headerReference w:type="default" r:id="rId22"/>
      <w:footerReference w:type="even" r:id="rId23"/>
      <w:footerReference w:type="default" r:id="rId24"/>
      <w:headerReference w:type="first" r:id="rId25"/>
      <w:footerReference w:type="first" r:id="rId26"/>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5745CD80"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w:t>
    </w:r>
    <w:r w:rsidR="003E0F32" w:rsidRPr="0054412E">
      <w:rPr>
        <w:rFonts w:ascii="Times" w:hAnsi="Times" w:cs="Times"/>
        <w:sz w:val="18"/>
      </w:rPr>
      <w:t xml:space="preserve">the </w:t>
    </w:r>
    <w:r w:rsidR="0054412E" w:rsidRPr="0054412E">
      <w:rPr>
        <w:rFonts w:ascii="Times" w:hAnsi="Times" w:cs="Times"/>
        <w:sz w:val="18"/>
      </w:rPr>
      <w:t>Melbourne</w:t>
    </w:r>
    <w:r w:rsidR="003E0F32" w:rsidRPr="0054412E">
      <w:rPr>
        <w:rFonts w:ascii="Times" w:hAnsi="Times" w:cs="Times"/>
        <w:sz w:val="18"/>
      </w:rPr>
      <w:t xml:space="preserve"> Planning </w:t>
    </w:r>
    <w:r w:rsidR="003E0F32" w:rsidRPr="00057A67">
      <w:rPr>
        <w:rFonts w:ascii="Times" w:hAnsi="Times" w:cs="Times"/>
        <w:sz w:val="18"/>
      </w:rPr>
      <w:t xml:space="preserve">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041FE" w14:textId="77777777" w:rsidR="00135C9A" w:rsidRDefault="00135C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65DCA660" w:rsidR="003E0F32" w:rsidRPr="00057A67" w:rsidRDefault="0054412E" w:rsidP="00057A67">
    <w:pPr>
      <w:spacing w:after="0" w:line="240" w:lineRule="auto"/>
      <w:jc w:val="center"/>
      <w:rPr>
        <w:rFonts w:ascii="Times" w:eastAsia="Times New Roman" w:hAnsi="Times" w:cs="Times New Roman"/>
        <w:sz w:val="24"/>
        <w:szCs w:val="20"/>
        <w:lang w:eastAsia="en-AU"/>
      </w:rPr>
    </w:pPr>
    <w:r w:rsidRPr="00AA3BC1">
      <w:rPr>
        <w:rFonts w:ascii="Times New Roman" w:eastAsia="Times New Roman" w:hAnsi="Times New Roman" w:cs="Times New Roman"/>
        <w:smallCaps/>
        <w:sz w:val="18"/>
        <w:szCs w:val="20"/>
        <w:u w:color="0000FF"/>
        <w:lang w:eastAsia="en-AU"/>
      </w:rPr>
      <w:t>Melbourne</w:t>
    </w:r>
    <w:r w:rsidR="00057A67" w:rsidRPr="00AA3BC1">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81C44" w14:textId="77777777" w:rsidR="00135C9A" w:rsidRDefault="00135C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A4625ED"/>
    <w:multiLevelType w:val="hybridMultilevel"/>
    <w:tmpl w:val="5698711E"/>
    <w:lvl w:ilvl="0" w:tplc="E7B6C22E">
      <w:start w:val="1"/>
      <w:numFmt w:val="bullet"/>
      <w:pStyle w:val="Citation-Bullets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57A67"/>
    <w:rsid w:val="00135C9A"/>
    <w:rsid w:val="001F027E"/>
    <w:rsid w:val="00202A60"/>
    <w:rsid w:val="0032640D"/>
    <w:rsid w:val="00335F81"/>
    <w:rsid w:val="003E0F32"/>
    <w:rsid w:val="00402068"/>
    <w:rsid w:val="00402E2B"/>
    <w:rsid w:val="004532B1"/>
    <w:rsid w:val="00476CBD"/>
    <w:rsid w:val="004819A5"/>
    <w:rsid w:val="005218DA"/>
    <w:rsid w:val="0054412E"/>
    <w:rsid w:val="00565263"/>
    <w:rsid w:val="005C64DD"/>
    <w:rsid w:val="005E4AF2"/>
    <w:rsid w:val="006020D9"/>
    <w:rsid w:val="00737B32"/>
    <w:rsid w:val="00791B45"/>
    <w:rsid w:val="007B3220"/>
    <w:rsid w:val="007E2283"/>
    <w:rsid w:val="007F63C5"/>
    <w:rsid w:val="008249A2"/>
    <w:rsid w:val="00880527"/>
    <w:rsid w:val="00925109"/>
    <w:rsid w:val="009767C3"/>
    <w:rsid w:val="00A30304"/>
    <w:rsid w:val="00AA3BC1"/>
    <w:rsid w:val="00AA67C7"/>
    <w:rsid w:val="00AE64D0"/>
    <w:rsid w:val="00AF6E10"/>
    <w:rsid w:val="00BD35EF"/>
    <w:rsid w:val="00C151CA"/>
    <w:rsid w:val="00C24959"/>
    <w:rsid w:val="00C64700"/>
    <w:rsid w:val="00E141E6"/>
    <w:rsid w:val="00E44A50"/>
    <w:rsid w:val="00F7122F"/>
    <w:rsid w:val="00FC4755"/>
    <w:rsid w:val="00FD08C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Citation-BodyText">
    <w:name w:val="Citation - Body Text"/>
    <w:qFormat/>
    <w:rsid w:val="0054412E"/>
    <w:pPr>
      <w:spacing w:after="120" w:line="300" w:lineRule="auto"/>
    </w:pPr>
    <w:rPr>
      <w:rFonts w:ascii="Arial" w:eastAsia="Calibri" w:hAnsi="Arial" w:cs="Times New Roman"/>
      <w:sz w:val="20"/>
    </w:rPr>
  </w:style>
  <w:style w:type="paragraph" w:customStyle="1" w:styleId="Citation-Bullets1">
    <w:name w:val="Citation - Bullets 1"/>
    <w:basedOn w:val="Normal"/>
    <w:qFormat/>
    <w:rsid w:val="0054412E"/>
    <w:pPr>
      <w:numPr>
        <w:numId w:val="2"/>
      </w:numPr>
      <w:tabs>
        <w:tab w:val="left" w:pos="284"/>
        <w:tab w:val="left" w:pos="567"/>
      </w:tabs>
      <w:spacing w:after="120" w:line="300" w:lineRule="auto"/>
      <w:ind w:left="284" w:hanging="284"/>
      <w:contextualSpacing/>
    </w:pPr>
    <w:rPr>
      <w:rFonts w:ascii="Arial" w:eastAsia="Batang" w:hAnsi="Arial" w:cs="Times New Roman"/>
      <w:color w:val="000000"/>
      <w:sz w:val="20"/>
      <w:szCs w:val="20"/>
    </w:rPr>
  </w:style>
  <w:style w:type="paragraph" w:customStyle="1" w:styleId="Citation-Image">
    <w:name w:val="Citation - Image"/>
    <w:qFormat/>
    <w:rsid w:val="0054412E"/>
    <w:pPr>
      <w:keepNext/>
      <w:spacing w:before="120" w:after="120" w:line="240" w:lineRule="auto"/>
    </w:pPr>
    <w:rPr>
      <w:rFonts w:ascii="Arial" w:eastAsia="Calibri" w:hAnsi="Arial" w:cs="Times New Roman"/>
      <w:noProof/>
      <w:sz w:val="18"/>
    </w:rPr>
  </w:style>
  <w:style w:type="character" w:customStyle="1" w:styleId="Citation-Boldcharacterstyle">
    <w:name w:val="Citation - Bold (character style)"/>
    <w:basedOn w:val="DefaultParagraphFont"/>
    <w:uiPriority w:val="1"/>
    <w:qFormat/>
    <w:rsid w:val="0054412E"/>
    <w:rPr>
      <w:b/>
    </w:rPr>
  </w:style>
  <w:style w:type="paragraph" w:customStyle="1" w:styleId="Citation-CoverImageLeft">
    <w:name w:val="Citation - Cover Image Left"/>
    <w:rsid w:val="0054412E"/>
    <w:pPr>
      <w:spacing w:after="0" w:line="240" w:lineRule="auto"/>
    </w:pPr>
    <w:rPr>
      <w:rFonts w:ascii="Arial" w:eastAsia="Calibri" w:hAnsi="Arial" w:cs="Times New Roman"/>
      <w:sz w:val="20"/>
    </w:rPr>
  </w:style>
  <w:style w:type="paragraph" w:customStyle="1" w:styleId="Citation-CoverImageRight">
    <w:name w:val="Citation - Cover Image Right"/>
    <w:rsid w:val="0054412E"/>
    <w:pPr>
      <w:spacing w:after="0" w:line="240" w:lineRule="auto"/>
      <w:jc w:val="right"/>
    </w:pPr>
    <w:rPr>
      <w:rFonts w:ascii="Arial" w:eastAsia="Calibri" w:hAnsi="Arial" w:cs="Times New Roman"/>
      <w:sz w:val="20"/>
    </w:rPr>
  </w:style>
  <w:style w:type="character" w:customStyle="1" w:styleId="Citation-Italicscharacterstyle">
    <w:name w:val="Citation - Italics (character style)"/>
    <w:uiPriority w:val="1"/>
    <w:qFormat/>
    <w:rsid w:val="0054412E"/>
    <w:rPr>
      <w:i/>
    </w:rPr>
  </w:style>
  <w:style w:type="paragraph" w:customStyle="1" w:styleId="Citation-TableText">
    <w:name w:val="Citation - Table Text"/>
    <w:qFormat/>
    <w:rsid w:val="00E141E6"/>
    <w:pPr>
      <w:spacing w:after="0" w:line="264" w:lineRule="auto"/>
    </w:pPr>
    <w:rPr>
      <w:rFonts w:ascii="Arial" w:eastAsia="Calibri" w:hAnsi="Arial" w:cs="Times New Roman"/>
      <w:sz w:val="20"/>
    </w:rPr>
  </w:style>
  <w:style w:type="character" w:customStyle="1" w:styleId="Citation-Romancharacterstyle">
    <w:name w:val="Citation - Roman (character style)"/>
    <w:basedOn w:val="DefaultParagraphFont"/>
    <w:uiPriority w:val="1"/>
    <w:rsid w:val="00E14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24" Type="http://schemas.openxmlformats.org/officeDocument/2006/relationships/footer" Target="footer2.xml"/><Relationship Id="rId11" Type="http://schemas.openxmlformats.org/officeDocument/2006/relationships/footnotes" Target="footnotes.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27" Type="http://schemas.openxmlformats.org/officeDocument/2006/relationships/fontTable" Target="fontTable.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7" ma:contentTypeDescription="Community Development - Community Engagement &amp; Impact Team" ma:contentTypeScope="" ma:versionID="afecb15d3175b9638e44078ba2d3a518">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161981182b82fe589391a7764c969830"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04f86b-3500-4658-8c9d-99491f71a5e9" xsi:nil="true"/>
    <_dlc_DocId xmlns="d804f86b-3500-4658-8c9d-99491f71a5e9">TTF2X4MEUN6D-1188005670-2037</_dlc_DocId>
    <_dlc_DocIdUrl xmlns="d804f86b-3500-4658-8c9d-99491f71a5e9">
      <Url>https://cityofmelbourne.sharepoint.com/sites/commdev/_layouts/15/DocIdRedir.aspx?ID=TTF2X4MEUN6D-1188005670-2037</Url>
      <Description>TTF2X4MEUN6D-1188005670-2037</Description>
    </_dlc_DocIdUrl>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documentManagement>
</p:propertie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2.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3.xml><?xml version="1.0" encoding="utf-8"?>
<ds:datastoreItem xmlns:ds="http://schemas.openxmlformats.org/officeDocument/2006/customXml" ds:itemID="{7C92CAFB-1BD5-4A90-A193-F31464D7482E}"/>
</file>

<file path=customXml/itemProps4.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E573BD-C988-4515-8D31-0F600DFEE5C7}">
  <ds:schemaRefs>
    <ds:schemaRef ds:uri="c42f9c80-6326-4d3e-8624-f1221488f056"/>
    <ds:schemaRef ds:uri="http://schemas.microsoft.com/sharepoint/v3"/>
    <ds:schemaRef ds:uri="a5f32de4-e402-4188-b034-e71ca7d22e54"/>
    <ds:schemaRef ds:uri="http://purl.org/dc/terms/"/>
    <ds:schemaRef ds:uri="53cc8871-9683-4ba7-be3f-499d40b7b90e"/>
    <ds:schemaRef ds:uri="http://schemas.microsoft.com/office/2006/documentManagement/types"/>
    <ds:schemaRef ds:uri="http://schemas.microsoft.com/office/infopath/2007/PartnerControls"/>
    <ds:schemaRef ds:uri="http://schemas.openxmlformats.org/package/2006/metadata/core-properties"/>
    <ds:schemaRef ds:uri="05aa45cf-ed89-4733-97a8-db4ce5c51511"/>
    <ds:schemaRef ds:uri="http://purl.org/dc/elements/1.1/"/>
    <ds:schemaRef ds:uri="9fd47c19-1c4a-4d7d-b342-c10cef269344"/>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105C8AE3-1895-4334-BA93-E7B569EFE3F5}">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Dana Foenander</cp:lastModifiedBy>
  <cp:revision>2</cp:revision>
  <dcterms:created xsi:type="dcterms:W3CDTF">2023-02-24T05:13:00Z</dcterms:created>
  <dcterms:modified xsi:type="dcterms:W3CDTF">2023-02-24T05:13:00Z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5e130e95-82a7-4529-b464-dd4025da6a49</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y fmtid="{D5CDD505-2E9C-101B-9397-08002B2CF9AE}" pid="33" name="eDOCS AutoSave">
    <vt:lpwstr/>
  </property>
  <property fmtid="{D5CDD505-2E9C-101B-9397-08002B2CF9AE}" pid="34" name="MediaServiceImageTags">
    <vt:lpwstr/>
  </property>
</Properties>
</file>