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5814F5" w:rsidRDefault="0091365A" w:rsidP="00020B35">
      <w:pPr>
        <w:spacing w:after="0"/>
        <w:jc w:val="right"/>
      </w:pPr>
      <w:r>
        <w:rPr>
          <w:noProof/>
          <w:lang w:eastAsia="en-AU"/>
        </w:rPr>
        <w:drawing>
          <wp:inline distT="0" distB="0" distL="0" distR="0" wp14:anchorId="31A495AD" wp14:editId="120EEDFC">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003654" w:rsidP="00020B35">
      <w:pPr>
        <w:pStyle w:val="DocumentTitle"/>
        <w:spacing w:before="3360"/>
      </w:pPr>
      <w:r>
        <w:t>Melbourne Planning Scheme</w:t>
      </w:r>
    </w:p>
    <w:p w:rsidR="000F3535" w:rsidRDefault="00063203" w:rsidP="001B51BF">
      <w:pPr>
        <w:pStyle w:val="Subtitle"/>
      </w:pPr>
      <w:r>
        <w:t>Design and Development Overlay – Schedule 1</w:t>
      </w:r>
    </w:p>
    <w:p w:rsidR="000F3535" w:rsidRDefault="00003654" w:rsidP="001B51BF">
      <w:pPr>
        <w:pStyle w:val="Subtitle2"/>
      </w:pPr>
      <w:r>
        <w:t>Exhibition Version</w:t>
      </w:r>
    </w:p>
    <w:p w:rsidR="00BE6801" w:rsidRPr="00802A52" w:rsidRDefault="00020B35" w:rsidP="00F415C0">
      <w:pPr>
        <w:pStyle w:val="TOCHeading"/>
        <w:rPr>
          <w:rFonts w:hint="eastAsia"/>
        </w:rPr>
      </w:pPr>
      <w:r>
        <w:br w:type="page"/>
      </w:r>
      <w:bookmarkStart w:id="0" w:name="_Toc511043417"/>
      <w:r w:rsidR="00063203">
        <w:rPr>
          <w:snapToGrid w:val="0"/>
        </w:rPr>
        <w:t>SCHEDULE 1 TO THE DESIGN AND DEVELOPMENT OVERLAY</w:t>
      </w:r>
      <w:bookmarkEnd w:id="0"/>
      <w:r w:rsidR="00305D20">
        <w:rPr>
          <w:snapToGrid w:val="0"/>
        </w:rPr>
        <w:t xml:space="preserve"> (Proposed 323)</w:t>
      </w:r>
    </w:p>
    <w:p w:rsidR="00063203" w:rsidRDefault="00063203" w:rsidP="00063203">
      <w:r w:rsidRPr="00063203">
        <w:t>Shown on the planning scheme map as DDO1</w:t>
      </w:r>
    </w:p>
    <w:p w:rsidR="00E90445" w:rsidRDefault="00E90445" w:rsidP="00E90445">
      <w:pPr>
        <w:pStyle w:val="Heading1"/>
        <w:rPr>
          <w:rFonts w:hint="eastAsia"/>
          <w:lang w:val="en-AU"/>
        </w:rPr>
      </w:pPr>
      <w:bookmarkStart w:id="1" w:name="_Toc511043418"/>
      <w:r>
        <w:rPr>
          <w:snapToGrid w:val="0"/>
        </w:rPr>
        <w:t>ACTIVE STREET FRONTAGES</w:t>
      </w:r>
      <w:bookmarkEnd w:id="1"/>
      <w:r w:rsidR="00305D20">
        <w:rPr>
          <w:snapToGrid w:val="0"/>
        </w:rPr>
        <w:t xml:space="preserve"> (19/01/2006 VC37)</w:t>
      </w:r>
    </w:p>
    <w:p w:rsidR="00943AC4" w:rsidRDefault="00E90445" w:rsidP="00E90445">
      <w:pPr>
        <w:pStyle w:val="Heading2"/>
        <w:rPr>
          <w:rFonts w:hint="eastAsia"/>
        </w:rPr>
      </w:pPr>
      <w:bookmarkStart w:id="2" w:name="_Toc511043419"/>
      <w:r>
        <w:t>1.0 Design Objectives</w:t>
      </w:r>
      <w:bookmarkEnd w:id="2"/>
      <w:r>
        <w:t xml:space="preserve"> </w:t>
      </w:r>
    </w:p>
    <w:p w:rsidR="00E90445" w:rsidRDefault="00E90445" w:rsidP="00E90445">
      <w:pPr>
        <w:pStyle w:val="ListBullet"/>
      </w:pPr>
      <w:r>
        <w:t>To ensure ground floor frontages are pedestrian oriented and add interest and vitality to city streets.</w:t>
      </w:r>
    </w:p>
    <w:p w:rsidR="00E90445" w:rsidRDefault="00E90445" w:rsidP="00E90445">
      <w:pPr>
        <w:pStyle w:val="ListBullet"/>
      </w:pPr>
      <w:r>
        <w:t>To provide continuity of ground floor shops along streets and lanes within the retail core.</w:t>
      </w:r>
    </w:p>
    <w:p w:rsidR="00E90445" w:rsidRDefault="00E90445" w:rsidP="00E90445">
      <w:pPr>
        <w:pStyle w:val="ListBullet"/>
      </w:pPr>
      <w:r>
        <w:t>To ensure ground floor frontages contribute to city safety by providing lighting and activity.</w:t>
      </w:r>
    </w:p>
    <w:p w:rsidR="00E90445" w:rsidRDefault="00E90445" w:rsidP="00E90445">
      <w:pPr>
        <w:pStyle w:val="Heading2"/>
        <w:rPr>
          <w:rFonts w:hint="eastAsia"/>
        </w:rPr>
      </w:pPr>
      <w:bookmarkStart w:id="3" w:name="_Toc511043420"/>
      <w:r>
        <w:t>2.0 Requirement</w:t>
      </w:r>
      <w:r>
        <w:rPr>
          <w:rFonts w:hint="eastAsia"/>
        </w:rPr>
        <w:t>s</w:t>
      </w:r>
      <w:bookmarkEnd w:id="3"/>
      <w:r w:rsidR="00305D20">
        <w:t xml:space="preserve"> (Proposed C323)</w:t>
      </w:r>
    </w:p>
    <w:p w:rsidR="00E90445" w:rsidRDefault="00E90445" w:rsidP="00E90445">
      <w:pPr>
        <w:pStyle w:val="Heading3"/>
        <w:rPr>
          <w:rFonts w:hint="eastAsia"/>
        </w:rPr>
      </w:pPr>
      <w:bookmarkStart w:id="4" w:name="_Toc511043421"/>
      <w:r>
        <w:rPr>
          <w:snapToGrid w:val="0"/>
        </w:rPr>
        <w:t>Area 1 - Retail Core</w:t>
      </w:r>
      <w:bookmarkEnd w:id="4"/>
    </w:p>
    <w:p w:rsidR="00E90445" w:rsidRDefault="00E90445" w:rsidP="00E90445">
      <w:r>
        <w:t>Buildings with ground-level street frontages in the retail core must contribute to the appearance and retail function of the area to the satisfaction of the responsible authority, by providing:</w:t>
      </w:r>
    </w:p>
    <w:p w:rsidR="00E90445" w:rsidRDefault="00E90445" w:rsidP="00E90445">
      <w:pPr>
        <w:pStyle w:val="ListBullet"/>
      </w:pPr>
      <w:r>
        <w:t>At least 5 metres or 80% of the street frontage (whichever is the greater) as an entry or display window to a shop and/or a food and drink premises.</w:t>
      </w:r>
    </w:p>
    <w:p w:rsidR="00E90445" w:rsidRDefault="00E90445" w:rsidP="00E90445">
      <w:pPr>
        <w:pStyle w:val="ListBullet"/>
      </w:pPr>
      <w:r>
        <w:t>Built scale appropriate to the street and pedestrians.</w:t>
      </w:r>
    </w:p>
    <w:p w:rsidR="00E90445" w:rsidRDefault="00E90445" w:rsidP="00E90445">
      <w:pPr>
        <w:pStyle w:val="ListBullet"/>
      </w:pPr>
      <w:r>
        <w:t>Clear glazing (security grilles must be transparent).</w:t>
      </w:r>
    </w:p>
    <w:p w:rsidR="00E90445" w:rsidRDefault="00E90445" w:rsidP="00E90445">
      <w:pPr>
        <w:pStyle w:val="Heading3"/>
        <w:rPr>
          <w:rFonts w:hint="eastAsia"/>
        </w:rPr>
      </w:pPr>
      <w:bookmarkStart w:id="5" w:name="_Toc511043422"/>
      <w:r>
        <w:rPr>
          <w:snapToGrid w:val="0"/>
        </w:rPr>
        <w:t>Area 2 - Major Pedestrian Areas and Key Pedestrian Routes Within CCZ1</w:t>
      </w:r>
      <w:bookmarkEnd w:id="5"/>
    </w:p>
    <w:p w:rsidR="00E90445" w:rsidRDefault="00E90445" w:rsidP="00E90445">
      <w:r>
        <w:t>Buildings with ground-level street frontages to major pedestrian areas must present an attractive pedestrian oriented frontage to the satisfaction of the responsible authority, by providing:</w:t>
      </w:r>
    </w:p>
    <w:p w:rsidR="00E90445" w:rsidRDefault="00E90445" w:rsidP="00E90445">
      <w:pPr>
        <w:pStyle w:val="ListBullet"/>
      </w:pPr>
      <w:r>
        <w:t>At least 5 metres or 80% of the street frontage (whichever is the greater) as an entry or display window to a shop and/or a food and drink premises, or</w:t>
      </w:r>
    </w:p>
    <w:p w:rsidR="00E90445" w:rsidRDefault="00E90445" w:rsidP="00E90445">
      <w:pPr>
        <w:pStyle w:val="ListBullet"/>
      </w:pPr>
      <w:r>
        <w:t>At least 5 metres or 80% of the street frontage (whichever is the greater) as other uses, customer service areas and activities, which provide pedestrian interest and interaction.</w:t>
      </w:r>
    </w:p>
    <w:p w:rsidR="00E90445" w:rsidRDefault="00E90445" w:rsidP="00E90445">
      <w:pPr>
        <w:pStyle w:val="ListBullet"/>
      </w:pPr>
      <w:r>
        <w:t>Built scale appropriate to the street and pedestrians.</w:t>
      </w:r>
    </w:p>
    <w:p w:rsidR="00E90445" w:rsidRDefault="00E90445" w:rsidP="00E90445">
      <w:pPr>
        <w:pStyle w:val="ListBullet"/>
      </w:pPr>
      <w:r>
        <w:t>Clear glazing (security grilles must be transparent).</w:t>
      </w:r>
    </w:p>
    <w:p w:rsidR="00E90445" w:rsidRDefault="00E90445" w:rsidP="00E90445">
      <w:pPr>
        <w:pStyle w:val="Heading3"/>
        <w:rPr>
          <w:rFonts w:hint="eastAsia"/>
        </w:rPr>
      </w:pPr>
      <w:bookmarkStart w:id="6" w:name="_Toc511043423"/>
      <w:r>
        <w:t>Area 3 – Major Pedestrian Areas And Key Pedestrian Routes Within CCZ3, CCZ7 and MUZ</w:t>
      </w:r>
      <w:bookmarkEnd w:id="6"/>
    </w:p>
    <w:p w:rsidR="00E90445" w:rsidRDefault="00E90445" w:rsidP="00E90445">
      <w:r>
        <w:t>Buildings should provide a positive architectural response when viewed from street level and provide active street frontages and opportunities for engagement with pedestrians, by providing:</w:t>
      </w:r>
    </w:p>
    <w:p w:rsidR="00E90445" w:rsidRDefault="00E90445" w:rsidP="00E90445">
      <w:pPr>
        <w:pStyle w:val="ListBullet"/>
      </w:pPr>
      <w:r>
        <w:t>At least 5 metres or 80% of the street frontage (whichever is the greater) as an entry or window which allows occupants to engage with the street.</w:t>
      </w:r>
    </w:p>
    <w:p w:rsidR="00E90445" w:rsidRDefault="00E90445" w:rsidP="00E90445">
      <w:pPr>
        <w:pStyle w:val="Heading2"/>
        <w:rPr>
          <w:rFonts w:hint="eastAsia"/>
        </w:rPr>
      </w:pPr>
      <w:bookmarkStart w:id="7" w:name="_Toc511043424"/>
      <w:r>
        <w:t>3.0 No Permit Required</w:t>
      </w:r>
      <w:bookmarkEnd w:id="7"/>
      <w:r w:rsidR="00305D20">
        <w:t xml:space="preserve"> (19/01/2006 VC37)</w:t>
      </w:r>
    </w:p>
    <w:p w:rsidR="00E90445" w:rsidRDefault="00E90445" w:rsidP="00E90445">
      <w:pPr>
        <w:pStyle w:val="ListBullet"/>
      </w:pPr>
      <w:r>
        <w:t>A permit is not required under this overlay for:</w:t>
      </w:r>
    </w:p>
    <w:p w:rsidR="00E90445" w:rsidRDefault="00E90445" w:rsidP="00E90445">
      <w:pPr>
        <w:pStyle w:val="ListBullet"/>
      </w:pPr>
      <w:r>
        <w:t>Buildings and works other than at ground level.</w:t>
      </w:r>
    </w:p>
    <w:p w:rsidR="00E90445" w:rsidRDefault="00E90445" w:rsidP="00E90445">
      <w:pPr>
        <w:pStyle w:val="ListBullet"/>
      </w:pPr>
      <w:r>
        <w:t>External works to provide disabled access that complies with all legislative requirements to the satisfaction of the responsible authority.</w:t>
      </w:r>
    </w:p>
    <w:p w:rsidR="00E90445" w:rsidRDefault="00E90445" w:rsidP="00E90445">
      <w:pPr>
        <w:pStyle w:val="ListBullet"/>
      </w:pPr>
      <w:r>
        <w:t>To develop a heritage place which is included on the Victorian Heritage Register if either:</w:t>
      </w:r>
    </w:p>
    <w:p w:rsidR="00E90445" w:rsidRDefault="00E90445" w:rsidP="00E90445">
      <w:pPr>
        <w:pStyle w:val="ListBullet2"/>
      </w:pPr>
      <w:r>
        <w:t>A permit for the development has been granted under the Heritage Act 1995.</w:t>
      </w:r>
    </w:p>
    <w:p w:rsidR="00E90445" w:rsidRDefault="00E90445" w:rsidP="00E90445">
      <w:pPr>
        <w:pStyle w:val="ListBullet2"/>
      </w:pPr>
      <w:r>
        <w:t>The development is exempt under Section 66 of the Heritage Act 1995.</w:t>
      </w:r>
    </w:p>
    <w:p w:rsidR="00E90445" w:rsidRDefault="00E90445" w:rsidP="00E90445">
      <w:pPr>
        <w:pStyle w:val="Heading2"/>
        <w:rPr>
          <w:rFonts w:hint="eastAsia"/>
        </w:rPr>
      </w:pPr>
      <w:bookmarkStart w:id="8" w:name="_Toc511043425"/>
      <w:r>
        <w:t xml:space="preserve">4.0 </w:t>
      </w:r>
      <w:r>
        <w:rPr>
          <w:snapToGrid w:val="0"/>
        </w:rPr>
        <w:t>Exemption from notice and appeal</w:t>
      </w:r>
      <w:bookmarkEnd w:id="8"/>
      <w:r w:rsidR="00305D20">
        <w:rPr>
          <w:snapToGrid w:val="0"/>
        </w:rPr>
        <w:t xml:space="preserve"> (19/01/2006 VC37)</w:t>
      </w:r>
    </w:p>
    <w:p w:rsidR="00E90445" w:rsidRDefault="00E90445" w:rsidP="00E90445">
      <w:r>
        <w:t>An application to construct a building or construct or carry out works is exempt from the notice requirements of Section 52(1)(a), (b) and (d), the decision requirements of Section 64(1), (2) and (3) and the review rights of Section 82(1) of the Act.</w:t>
      </w:r>
    </w:p>
    <w:p w:rsidR="00E90445" w:rsidRDefault="00E90445" w:rsidP="00E90445">
      <w:pPr>
        <w:pStyle w:val="Heading2"/>
        <w:rPr>
          <w:rFonts w:hint="eastAsia"/>
        </w:rPr>
      </w:pPr>
      <w:bookmarkStart w:id="9" w:name="_Toc511043426"/>
      <w:r>
        <w:t xml:space="preserve">5.0 </w:t>
      </w:r>
      <w:r>
        <w:rPr>
          <w:snapToGrid w:val="0"/>
        </w:rPr>
        <w:t>Subdivision</w:t>
      </w:r>
      <w:bookmarkEnd w:id="9"/>
      <w:r w:rsidR="00305D20">
        <w:rPr>
          <w:snapToGrid w:val="0"/>
        </w:rPr>
        <w:t xml:space="preserve"> (19/06/2010 C122)</w:t>
      </w:r>
    </w:p>
    <w:p w:rsidR="00003654" w:rsidRPr="00003654" w:rsidRDefault="00E90445" w:rsidP="00E90445">
      <w:pPr>
        <w:rPr>
          <w:rStyle w:val="ItalicText"/>
        </w:rPr>
      </w:pPr>
      <w:r w:rsidRPr="00E90445">
        <w:rPr>
          <w:lang w:val="en-US"/>
        </w:rPr>
        <w:t>A permit is not required to subdivide land.</w:t>
      </w:r>
      <w:r w:rsidR="00003654" w:rsidRPr="00003654">
        <w:rPr>
          <w:rStyle w:val="ItalicText"/>
        </w:rPr>
        <w:t xml:space="preserve"> </w:t>
      </w:r>
    </w:p>
    <w:sectPr w:rsidR="00003654" w:rsidRPr="00003654"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BDC" w:rsidRDefault="00015BDC" w:rsidP="00BC719D">
      <w:pPr>
        <w:spacing w:after="0"/>
      </w:pPr>
      <w:r>
        <w:separator/>
      </w:r>
    </w:p>
  </w:endnote>
  <w:endnote w:type="continuationSeparator" w:id="0">
    <w:p w:rsidR="00015BDC" w:rsidRDefault="00015BDC"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BDC" w:rsidRDefault="00015BDC" w:rsidP="00577A39">
      <w:pPr>
        <w:spacing w:after="40" w:line="240" w:lineRule="auto"/>
      </w:pPr>
      <w:r>
        <w:separator/>
      </w:r>
    </w:p>
  </w:footnote>
  <w:footnote w:type="continuationSeparator" w:id="0">
    <w:p w:rsidR="00015BDC" w:rsidRDefault="00015BDC" w:rsidP="00EA2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47D6"/>
    <w:lvl w:ilvl="0">
      <w:start w:val="1"/>
      <w:numFmt w:val="decimal"/>
      <w:lvlText w:val="%1."/>
      <w:lvlJc w:val="left"/>
      <w:pPr>
        <w:tabs>
          <w:tab w:val="num" w:pos="1492"/>
        </w:tabs>
        <w:ind w:left="1492" w:hanging="360"/>
      </w:pPr>
    </w:lvl>
  </w:abstractNum>
  <w:abstractNum w:abstractNumId="1">
    <w:nsid w:val="FFFFFF7E"/>
    <w:multiLevelType w:val="singleLevel"/>
    <w:tmpl w:val="E16EBECC"/>
    <w:lvl w:ilvl="0">
      <w:start w:val="1"/>
      <w:numFmt w:val="decimal"/>
      <w:lvlText w:val="%1."/>
      <w:lvlJc w:val="left"/>
      <w:pPr>
        <w:tabs>
          <w:tab w:val="num" w:pos="926"/>
        </w:tabs>
        <w:ind w:left="926" w:hanging="360"/>
      </w:pPr>
    </w:lvl>
  </w:abstractNum>
  <w:abstractNum w:abstractNumId="2">
    <w:nsid w:val="FFFFFF83"/>
    <w:multiLevelType w:val="singleLevel"/>
    <w:tmpl w:val="356A8C38"/>
    <w:lvl w:ilvl="0">
      <w:start w:val="1"/>
      <w:numFmt w:val="bullet"/>
      <w:lvlText w:val=""/>
      <w:lvlJc w:val="left"/>
      <w:pPr>
        <w:tabs>
          <w:tab w:val="num" w:pos="643"/>
        </w:tabs>
        <w:ind w:left="643" w:hanging="360"/>
      </w:pPr>
      <w:rPr>
        <w:rFonts w:ascii="Symbol" w:hAnsi="Symbol" w:hint="default"/>
      </w:rPr>
    </w:lvl>
  </w:abstractNum>
  <w:abstractNum w:abstractNumId="3">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nsid w:val="249A6720"/>
    <w:multiLevelType w:val="hybridMultilevel"/>
    <w:tmpl w:val="1DFE09CE"/>
    <w:lvl w:ilvl="0" w:tplc="ED1AC2B4">
      <w:start w:val="1"/>
      <w:numFmt w:val="bullet"/>
      <w:pStyle w:val="Bodytext"/>
      <w:lvlText w:val=""/>
      <w:lvlJc w:val="left"/>
      <w:pPr>
        <w:tabs>
          <w:tab w:val="num" w:pos="1701"/>
        </w:tabs>
        <w:ind w:left="1701" w:hanging="283"/>
      </w:pPr>
      <w:rPr>
        <w:rFonts w:ascii="Wingdings" w:hAnsi="Wingdings" w:hint="default"/>
        <w:sz w:val="16"/>
        <w:szCs w:val="16"/>
      </w:rPr>
    </w:lvl>
    <w:lvl w:ilvl="1" w:tplc="0C090003">
      <w:start w:val="1"/>
      <w:numFmt w:val="bullet"/>
      <w:lvlText w:val="o"/>
      <w:lvlJc w:val="left"/>
      <w:pPr>
        <w:tabs>
          <w:tab w:val="num" w:pos="1440"/>
        </w:tabs>
        <w:ind w:left="1440" w:hanging="360"/>
      </w:pPr>
      <w:rPr>
        <w:rFonts w:ascii="Courier New" w:hAnsi="Courier New" w:cs="Wingdings"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Wingdings"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Wingdings"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nsid w:val="2A2B5D1C"/>
    <w:multiLevelType w:val="multilevel"/>
    <w:tmpl w:val="16506B6C"/>
    <w:numStyleLink w:val="ListNumbers"/>
  </w:abstractNum>
  <w:abstractNum w:abstractNumId="8">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C10957"/>
    <w:multiLevelType w:val="multilevel"/>
    <w:tmpl w:val="16506B6C"/>
    <w:numStyleLink w:val="ListNumbers"/>
  </w:abstractNum>
  <w:abstractNum w:abstractNumId="10">
    <w:nsid w:val="56111DE1"/>
    <w:multiLevelType w:val="singleLevel"/>
    <w:tmpl w:val="47004A16"/>
    <w:lvl w:ilvl="0">
      <w:start w:val="1"/>
      <w:numFmt w:val="bullet"/>
      <w:pStyle w:val="Bodytext0"/>
      <w:lvlText w:val=""/>
      <w:lvlJc w:val="left"/>
      <w:pPr>
        <w:tabs>
          <w:tab w:val="num" w:pos="360"/>
        </w:tabs>
        <w:ind w:left="360" w:hanging="360"/>
      </w:pPr>
      <w:rPr>
        <w:rFonts w:ascii="Wingdings" w:hAnsi="Wingdings" w:hint="default"/>
        <w:sz w:val="20"/>
      </w:rPr>
    </w:lvl>
  </w:abstractNum>
  <w:abstractNum w:abstractNumId="11">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E1209CA"/>
    <w:multiLevelType w:val="multilevel"/>
    <w:tmpl w:val="16506B6C"/>
    <w:numStyleLink w:val="ListNumbers"/>
  </w:abstractNum>
  <w:abstractNum w:abstractNumId="13">
    <w:nsid w:val="7A2C43DC"/>
    <w:multiLevelType w:val="multilevel"/>
    <w:tmpl w:val="16506B6C"/>
    <w:numStyleLink w:val="ListNumbers"/>
  </w:abstractNum>
  <w:abstractNum w:abstractNumId="14">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6"/>
  </w:num>
  <w:num w:numId="3">
    <w:abstractNumId w:val="13"/>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1"/>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
  </w:num>
  <w:num w:numId="18">
    <w:abstractNumId w:val="10"/>
  </w:num>
  <w:num w:numId="19">
    <w:abstractNumId w:val="4"/>
  </w:num>
  <w:num w:numId="20">
    <w:abstractNumId w:val="4"/>
  </w:num>
  <w:num w:numId="21">
    <w:abstractNumId w:val="4"/>
  </w:num>
  <w:num w:numId="22">
    <w:abstractNumId w:val="4"/>
  </w:num>
  <w:num w:numId="23">
    <w:abstractNumId w:val="5"/>
  </w:num>
  <w:num w:numId="24">
    <w:abstractNumId w:val="4"/>
  </w:num>
  <w:num w:numId="25">
    <w:abstractNumId w:val="2"/>
  </w:num>
  <w:num w:numId="2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C4"/>
    <w:rsid w:val="00003654"/>
    <w:rsid w:val="00015BDC"/>
    <w:rsid w:val="00020B35"/>
    <w:rsid w:val="000437C5"/>
    <w:rsid w:val="000474AE"/>
    <w:rsid w:val="00063203"/>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05D20"/>
    <w:rsid w:val="00380F44"/>
    <w:rsid w:val="00390705"/>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43AC4"/>
    <w:rsid w:val="00955E32"/>
    <w:rsid w:val="0097181E"/>
    <w:rsid w:val="00990B3C"/>
    <w:rsid w:val="009D1FBA"/>
    <w:rsid w:val="009F4681"/>
    <w:rsid w:val="00A01D13"/>
    <w:rsid w:val="00A121B3"/>
    <w:rsid w:val="00A8651A"/>
    <w:rsid w:val="00AA4303"/>
    <w:rsid w:val="00AB6132"/>
    <w:rsid w:val="00AD2B6E"/>
    <w:rsid w:val="00AF02E0"/>
    <w:rsid w:val="00B04A9A"/>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0445"/>
    <w:rsid w:val="00E94A1C"/>
    <w:rsid w:val="00EA2130"/>
    <w:rsid w:val="00EC4AF9"/>
    <w:rsid w:val="00ED7629"/>
    <w:rsid w:val="00EF11AE"/>
    <w:rsid w:val="00F03DF7"/>
    <w:rsid w:val="00F07FBE"/>
    <w:rsid w:val="00F24B46"/>
    <w:rsid w:val="00F4048D"/>
    <w:rsid w:val="00F415C0"/>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customStyle="1" w:styleId="BodytextChar">
    <w:name w:val="Body text Char"/>
    <w:link w:val="BodyText1"/>
    <w:locked/>
    <w:rsid w:val="00943AC4"/>
    <w:rPr>
      <w:rFonts w:ascii="Times New Roman" w:hAnsi="Times New Roman"/>
    </w:rPr>
  </w:style>
  <w:style w:type="paragraph" w:customStyle="1" w:styleId="BodyText1">
    <w:name w:val="Body Text1"/>
    <w:basedOn w:val="Normal"/>
    <w:link w:val="BodytextChar"/>
    <w:qFormat/>
    <w:rsid w:val="00943AC4"/>
    <w:pPr>
      <w:spacing w:before="60" w:after="80" w:line="240" w:lineRule="auto"/>
      <w:ind w:left="1134"/>
      <w:jc w:val="both"/>
    </w:pPr>
    <w:rPr>
      <w:rFonts w:ascii="Times New Roman" w:hAnsi="Times New Roman"/>
      <w:szCs w:val="20"/>
      <w:lang w:eastAsia="en-AU"/>
    </w:rPr>
  </w:style>
  <w:style w:type="paragraph" w:customStyle="1" w:styleId="HeadB">
    <w:name w:val="Head B"/>
    <w:basedOn w:val="Normal"/>
    <w:next w:val="Normal"/>
    <w:qFormat/>
    <w:rsid w:val="00943AC4"/>
    <w:pPr>
      <w:keepNext/>
      <w:tabs>
        <w:tab w:val="left" w:pos="1134"/>
      </w:tabs>
      <w:spacing w:before="240" w:after="240" w:line="240" w:lineRule="auto"/>
      <w:ind w:left="1134" w:hanging="1134"/>
    </w:pPr>
    <w:rPr>
      <w:rFonts w:eastAsia="Times New Roman"/>
      <w:b/>
      <w:szCs w:val="20"/>
      <w:lang w:eastAsia="en-AU"/>
    </w:rPr>
  </w:style>
  <w:style w:type="character" w:customStyle="1" w:styleId="BodytextChar0">
    <w:name w:val="Body text • Char"/>
    <w:basedOn w:val="DefaultParagraphFont"/>
    <w:link w:val="Bodytext0"/>
    <w:locked/>
    <w:rsid w:val="00943AC4"/>
    <w:rPr>
      <w:rFonts w:ascii="Times New Roman" w:hAnsi="Times New Roman"/>
    </w:rPr>
  </w:style>
  <w:style w:type="paragraph" w:customStyle="1" w:styleId="Bodytext0">
    <w:name w:val="Body text •"/>
    <w:basedOn w:val="Normal"/>
    <w:next w:val="BodyText2"/>
    <w:link w:val="BodytextChar0"/>
    <w:rsid w:val="00943AC4"/>
    <w:pPr>
      <w:numPr>
        <w:numId w:val="18"/>
      </w:numPr>
      <w:spacing w:before="60" w:after="80" w:line="240" w:lineRule="exact"/>
      <w:ind w:left="1418" w:hanging="284"/>
      <w:jc w:val="both"/>
    </w:pPr>
    <w:rPr>
      <w:rFonts w:ascii="Times New Roman" w:hAnsi="Times New Roman"/>
      <w:szCs w:val="20"/>
      <w:lang w:eastAsia="en-AU"/>
    </w:rPr>
  </w:style>
  <w:style w:type="paragraph" w:styleId="BodyText2">
    <w:name w:val="Body Text"/>
    <w:basedOn w:val="Normal"/>
    <w:link w:val="BodyTextChar1"/>
    <w:rsid w:val="00943AC4"/>
    <w:pPr>
      <w:spacing w:after="120"/>
    </w:pPr>
  </w:style>
  <w:style w:type="character" w:customStyle="1" w:styleId="BodyTextChar1">
    <w:name w:val="Body Text Char"/>
    <w:basedOn w:val="DefaultParagraphFont"/>
    <w:link w:val="BodyText2"/>
    <w:rsid w:val="00943AC4"/>
    <w:rPr>
      <w:rFonts w:ascii="Arial" w:hAnsi="Arial"/>
      <w:szCs w:val="24"/>
      <w:lang w:eastAsia="en-US"/>
    </w:rPr>
  </w:style>
  <w:style w:type="paragraph" w:customStyle="1" w:styleId="Bodytext">
    <w:name w:val="Body text ."/>
    <w:basedOn w:val="BodyText1"/>
    <w:autoRedefine/>
    <w:rsid w:val="00B04A9A"/>
    <w:pPr>
      <w:numPr>
        <w:numId w:val="23"/>
      </w:numPr>
      <w:tabs>
        <w:tab w:val="clear" w:pos="1701"/>
        <w:tab w:val="num" w:pos="360"/>
      </w:tabs>
      <w:ind w:left="1702" w:hanging="284"/>
    </w:pPr>
  </w:style>
  <w:style w:type="paragraph" w:customStyle="1" w:styleId="BodytextItalic">
    <w:name w:val="Body text + Italic"/>
    <w:basedOn w:val="Normal"/>
    <w:rsid w:val="00003654"/>
    <w:pPr>
      <w:spacing w:before="60" w:after="80" w:line="240" w:lineRule="auto"/>
      <w:ind w:left="1134"/>
      <w:jc w:val="both"/>
    </w:pPr>
    <w:rPr>
      <w:rFonts w:ascii="Times New Roman" w:eastAsia="Times New Roman" w:hAnsi="Times New Roman"/>
      <w:i/>
      <w:iCs/>
      <w:szCs w:val="20"/>
      <w:lang w:eastAsia="en-AU"/>
    </w:rPr>
  </w:style>
  <w:style w:type="paragraph" w:customStyle="1" w:styleId="BodyText10">
    <w:name w:val="Body Text1"/>
    <w:basedOn w:val="Normal"/>
    <w:autoRedefine/>
    <w:qFormat/>
    <w:rsid w:val="00E90445"/>
    <w:pPr>
      <w:spacing w:before="60" w:after="80" w:line="240" w:lineRule="auto"/>
      <w:ind w:left="1134"/>
      <w:jc w:val="both"/>
    </w:pPr>
    <w:rPr>
      <w:rFonts w:ascii="Cambria" w:hAnsi="Cambria"/>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customStyle="1" w:styleId="BodytextChar">
    <w:name w:val="Body text Char"/>
    <w:link w:val="BodyText1"/>
    <w:locked/>
    <w:rsid w:val="00943AC4"/>
    <w:rPr>
      <w:rFonts w:ascii="Times New Roman" w:hAnsi="Times New Roman"/>
    </w:rPr>
  </w:style>
  <w:style w:type="paragraph" w:customStyle="1" w:styleId="BodyText1">
    <w:name w:val="Body Text1"/>
    <w:basedOn w:val="Normal"/>
    <w:link w:val="BodytextChar"/>
    <w:qFormat/>
    <w:rsid w:val="00943AC4"/>
    <w:pPr>
      <w:spacing w:before="60" w:after="80" w:line="240" w:lineRule="auto"/>
      <w:ind w:left="1134"/>
      <w:jc w:val="both"/>
    </w:pPr>
    <w:rPr>
      <w:rFonts w:ascii="Times New Roman" w:hAnsi="Times New Roman"/>
      <w:szCs w:val="20"/>
      <w:lang w:eastAsia="en-AU"/>
    </w:rPr>
  </w:style>
  <w:style w:type="paragraph" w:customStyle="1" w:styleId="HeadB">
    <w:name w:val="Head B"/>
    <w:basedOn w:val="Normal"/>
    <w:next w:val="Normal"/>
    <w:qFormat/>
    <w:rsid w:val="00943AC4"/>
    <w:pPr>
      <w:keepNext/>
      <w:tabs>
        <w:tab w:val="left" w:pos="1134"/>
      </w:tabs>
      <w:spacing w:before="240" w:after="240" w:line="240" w:lineRule="auto"/>
      <w:ind w:left="1134" w:hanging="1134"/>
    </w:pPr>
    <w:rPr>
      <w:rFonts w:eastAsia="Times New Roman"/>
      <w:b/>
      <w:szCs w:val="20"/>
      <w:lang w:eastAsia="en-AU"/>
    </w:rPr>
  </w:style>
  <w:style w:type="character" w:customStyle="1" w:styleId="BodytextChar0">
    <w:name w:val="Body text • Char"/>
    <w:basedOn w:val="DefaultParagraphFont"/>
    <w:link w:val="Bodytext0"/>
    <w:locked/>
    <w:rsid w:val="00943AC4"/>
    <w:rPr>
      <w:rFonts w:ascii="Times New Roman" w:hAnsi="Times New Roman"/>
    </w:rPr>
  </w:style>
  <w:style w:type="paragraph" w:customStyle="1" w:styleId="Bodytext0">
    <w:name w:val="Body text •"/>
    <w:basedOn w:val="Normal"/>
    <w:next w:val="BodyText2"/>
    <w:link w:val="BodytextChar0"/>
    <w:rsid w:val="00943AC4"/>
    <w:pPr>
      <w:numPr>
        <w:numId w:val="18"/>
      </w:numPr>
      <w:spacing w:before="60" w:after="80" w:line="240" w:lineRule="exact"/>
      <w:ind w:left="1418" w:hanging="284"/>
      <w:jc w:val="both"/>
    </w:pPr>
    <w:rPr>
      <w:rFonts w:ascii="Times New Roman" w:hAnsi="Times New Roman"/>
      <w:szCs w:val="20"/>
      <w:lang w:eastAsia="en-AU"/>
    </w:rPr>
  </w:style>
  <w:style w:type="paragraph" w:styleId="BodyText2">
    <w:name w:val="Body Text"/>
    <w:basedOn w:val="Normal"/>
    <w:link w:val="BodyTextChar1"/>
    <w:rsid w:val="00943AC4"/>
    <w:pPr>
      <w:spacing w:after="120"/>
    </w:pPr>
  </w:style>
  <w:style w:type="character" w:customStyle="1" w:styleId="BodyTextChar1">
    <w:name w:val="Body Text Char"/>
    <w:basedOn w:val="DefaultParagraphFont"/>
    <w:link w:val="BodyText2"/>
    <w:rsid w:val="00943AC4"/>
    <w:rPr>
      <w:rFonts w:ascii="Arial" w:hAnsi="Arial"/>
      <w:szCs w:val="24"/>
      <w:lang w:eastAsia="en-US"/>
    </w:rPr>
  </w:style>
  <w:style w:type="paragraph" w:customStyle="1" w:styleId="Bodytext">
    <w:name w:val="Body text ."/>
    <w:basedOn w:val="BodyText1"/>
    <w:autoRedefine/>
    <w:rsid w:val="00B04A9A"/>
    <w:pPr>
      <w:numPr>
        <w:numId w:val="23"/>
      </w:numPr>
      <w:tabs>
        <w:tab w:val="clear" w:pos="1701"/>
        <w:tab w:val="num" w:pos="360"/>
      </w:tabs>
      <w:ind w:left="1702" w:hanging="284"/>
    </w:pPr>
  </w:style>
  <w:style w:type="paragraph" w:customStyle="1" w:styleId="BodytextItalic">
    <w:name w:val="Body text + Italic"/>
    <w:basedOn w:val="Normal"/>
    <w:rsid w:val="00003654"/>
    <w:pPr>
      <w:spacing w:before="60" w:after="80" w:line="240" w:lineRule="auto"/>
      <w:ind w:left="1134"/>
      <w:jc w:val="both"/>
    </w:pPr>
    <w:rPr>
      <w:rFonts w:ascii="Times New Roman" w:eastAsia="Times New Roman" w:hAnsi="Times New Roman"/>
      <w:i/>
      <w:iCs/>
      <w:szCs w:val="20"/>
      <w:lang w:eastAsia="en-AU"/>
    </w:rPr>
  </w:style>
  <w:style w:type="paragraph" w:customStyle="1" w:styleId="BodyText10">
    <w:name w:val="Body Text1"/>
    <w:basedOn w:val="Normal"/>
    <w:autoRedefine/>
    <w:qFormat/>
    <w:rsid w:val="00E90445"/>
    <w:pPr>
      <w:spacing w:before="60" w:after="80" w:line="240" w:lineRule="auto"/>
      <w:ind w:left="1134"/>
      <w:jc w:val="both"/>
    </w:pPr>
    <w:rPr>
      <w:rFonts w:ascii="Cambria" w:hAnsi="Cambria"/>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6908">
      <w:bodyDiv w:val="1"/>
      <w:marLeft w:val="0"/>
      <w:marRight w:val="0"/>
      <w:marTop w:val="0"/>
      <w:marBottom w:val="0"/>
      <w:divBdr>
        <w:top w:val="none" w:sz="0" w:space="0" w:color="auto"/>
        <w:left w:val="none" w:sz="0" w:space="0" w:color="auto"/>
        <w:bottom w:val="none" w:sz="0" w:space="0" w:color="auto"/>
        <w:right w:val="none" w:sz="0" w:space="0" w:color="auto"/>
      </w:divBdr>
    </w:div>
    <w:div w:id="126747355">
      <w:bodyDiv w:val="1"/>
      <w:marLeft w:val="0"/>
      <w:marRight w:val="0"/>
      <w:marTop w:val="0"/>
      <w:marBottom w:val="0"/>
      <w:divBdr>
        <w:top w:val="none" w:sz="0" w:space="0" w:color="auto"/>
        <w:left w:val="none" w:sz="0" w:space="0" w:color="auto"/>
        <w:bottom w:val="none" w:sz="0" w:space="0" w:color="auto"/>
        <w:right w:val="none" w:sz="0" w:space="0" w:color="auto"/>
      </w:divBdr>
    </w:div>
    <w:div w:id="256258723">
      <w:bodyDiv w:val="1"/>
      <w:marLeft w:val="0"/>
      <w:marRight w:val="0"/>
      <w:marTop w:val="0"/>
      <w:marBottom w:val="0"/>
      <w:divBdr>
        <w:top w:val="none" w:sz="0" w:space="0" w:color="auto"/>
        <w:left w:val="none" w:sz="0" w:space="0" w:color="auto"/>
        <w:bottom w:val="none" w:sz="0" w:space="0" w:color="auto"/>
        <w:right w:val="none" w:sz="0" w:space="0" w:color="auto"/>
      </w:divBdr>
    </w:div>
    <w:div w:id="342901314">
      <w:bodyDiv w:val="1"/>
      <w:marLeft w:val="0"/>
      <w:marRight w:val="0"/>
      <w:marTop w:val="0"/>
      <w:marBottom w:val="0"/>
      <w:divBdr>
        <w:top w:val="none" w:sz="0" w:space="0" w:color="auto"/>
        <w:left w:val="none" w:sz="0" w:space="0" w:color="auto"/>
        <w:bottom w:val="none" w:sz="0" w:space="0" w:color="auto"/>
        <w:right w:val="none" w:sz="0" w:space="0" w:color="auto"/>
      </w:divBdr>
    </w:div>
    <w:div w:id="414934784">
      <w:bodyDiv w:val="1"/>
      <w:marLeft w:val="0"/>
      <w:marRight w:val="0"/>
      <w:marTop w:val="0"/>
      <w:marBottom w:val="0"/>
      <w:divBdr>
        <w:top w:val="none" w:sz="0" w:space="0" w:color="auto"/>
        <w:left w:val="none" w:sz="0" w:space="0" w:color="auto"/>
        <w:bottom w:val="none" w:sz="0" w:space="0" w:color="auto"/>
        <w:right w:val="none" w:sz="0" w:space="0" w:color="auto"/>
      </w:divBdr>
    </w:div>
    <w:div w:id="461656424">
      <w:bodyDiv w:val="1"/>
      <w:marLeft w:val="0"/>
      <w:marRight w:val="0"/>
      <w:marTop w:val="0"/>
      <w:marBottom w:val="0"/>
      <w:divBdr>
        <w:top w:val="none" w:sz="0" w:space="0" w:color="auto"/>
        <w:left w:val="none" w:sz="0" w:space="0" w:color="auto"/>
        <w:bottom w:val="none" w:sz="0" w:space="0" w:color="auto"/>
        <w:right w:val="none" w:sz="0" w:space="0" w:color="auto"/>
      </w:divBdr>
    </w:div>
    <w:div w:id="534272911">
      <w:bodyDiv w:val="1"/>
      <w:marLeft w:val="0"/>
      <w:marRight w:val="0"/>
      <w:marTop w:val="0"/>
      <w:marBottom w:val="0"/>
      <w:divBdr>
        <w:top w:val="none" w:sz="0" w:space="0" w:color="auto"/>
        <w:left w:val="none" w:sz="0" w:space="0" w:color="auto"/>
        <w:bottom w:val="none" w:sz="0" w:space="0" w:color="auto"/>
        <w:right w:val="none" w:sz="0" w:space="0" w:color="auto"/>
      </w:divBdr>
    </w:div>
    <w:div w:id="575894785">
      <w:bodyDiv w:val="1"/>
      <w:marLeft w:val="0"/>
      <w:marRight w:val="0"/>
      <w:marTop w:val="0"/>
      <w:marBottom w:val="0"/>
      <w:divBdr>
        <w:top w:val="none" w:sz="0" w:space="0" w:color="auto"/>
        <w:left w:val="none" w:sz="0" w:space="0" w:color="auto"/>
        <w:bottom w:val="none" w:sz="0" w:space="0" w:color="auto"/>
        <w:right w:val="none" w:sz="0" w:space="0" w:color="auto"/>
      </w:divBdr>
    </w:div>
    <w:div w:id="643507329">
      <w:bodyDiv w:val="1"/>
      <w:marLeft w:val="0"/>
      <w:marRight w:val="0"/>
      <w:marTop w:val="0"/>
      <w:marBottom w:val="0"/>
      <w:divBdr>
        <w:top w:val="none" w:sz="0" w:space="0" w:color="auto"/>
        <w:left w:val="none" w:sz="0" w:space="0" w:color="auto"/>
        <w:bottom w:val="none" w:sz="0" w:space="0" w:color="auto"/>
        <w:right w:val="none" w:sz="0" w:space="0" w:color="auto"/>
      </w:divBdr>
    </w:div>
    <w:div w:id="652759781">
      <w:bodyDiv w:val="1"/>
      <w:marLeft w:val="0"/>
      <w:marRight w:val="0"/>
      <w:marTop w:val="0"/>
      <w:marBottom w:val="0"/>
      <w:divBdr>
        <w:top w:val="none" w:sz="0" w:space="0" w:color="auto"/>
        <w:left w:val="none" w:sz="0" w:space="0" w:color="auto"/>
        <w:bottom w:val="none" w:sz="0" w:space="0" w:color="auto"/>
        <w:right w:val="none" w:sz="0" w:space="0" w:color="auto"/>
      </w:divBdr>
    </w:div>
    <w:div w:id="697393088">
      <w:bodyDiv w:val="1"/>
      <w:marLeft w:val="0"/>
      <w:marRight w:val="0"/>
      <w:marTop w:val="0"/>
      <w:marBottom w:val="0"/>
      <w:divBdr>
        <w:top w:val="none" w:sz="0" w:space="0" w:color="auto"/>
        <w:left w:val="none" w:sz="0" w:space="0" w:color="auto"/>
        <w:bottom w:val="none" w:sz="0" w:space="0" w:color="auto"/>
        <w:right w:val="none" w:sz="0" w:space="0" w:color="auto"/>
      </w:divBdr>
    </w:div>
    <w:div w:id="787504442">
      <w:bodyDiv w:val="1"/>
      <w:marLeft w:val="0"/>
      <w:marRight w:val="0"/>
      <w:marTop w:val="0"/>
      <w:marBottom w:val="0"/>
      <w:divBdr>
        <w:top w:val="none" w:sz="0" w:space="0" w:color="auto"/>
        <w:left w:val="none" w:sz="0" w:space="0" w:color="auto"/>
        <w:bottom w:val="none" w:sz="0" w:space="0" w:color="auto"/>
        <w:right w:val="none" w:sz="0" w:space="0" w:color="auto"/>
      </w:divBdr>
    </w:div>
    <w:div w:id="854463892">
      <w:bodyDiv w:val="1"/>
      <w:marLeft w:val="0"/>
      <w:marRight w:val="0"/>
      <w:marTop w:val="0"/>
      <w:marBottom w:val="0"/>
      <w:divBdr>
        <w:top w:val="none" w:sz="0" w:space="0" w:color="auto"/>
        <w:left w:val="none" w:sz="0" w:space="0" w:color="auto"/>
        <w:bottom w:val="none" w:sz="0" w:space="0" w:color="auto"/>
        <w:right w:val="none" w:sz="0" w:space="0" w:color="auto"/>
      </w:divBdr>
    </w:div>
    <w:div w:id="880938027">
      <w:bodyDiv w:val="1"/>
      <w:marLeft w:val="0"/>
      <w:marRight w:val="0"/>
      <w:marTop w:val="0"/>
      <w:marBottom w:val="0"/>
      <w:divBdr>
        <w:top w:val="none" w:sz="0" w:space="0" w:color="auto"/>
        <w:left w:val="none" w:sz="0" w:space="0" w:color="auto"/>
        <w:bottom w:val="none" w:sz="0" w:space="0" w:color="auto"/>
        <w:right w:val="none" w:sz="0" w:space="0" w:color="auto"/>
      </w:divBdr>
    </w:div>
    <w:div w:id="919947359">
      <w:bodyDiv w:val="1"/>
      <w:marLeft w:val="0"/>
      <w:marRight w:val="0"/>
      <w:marTop w:val="0"/>
      <w:marBottom w:val="0"/>
      <w:divBdr>
        <w:top w:val="none" w:sz="0" w:space="0" w:color="auto"/>
        <w:left w:val="none" w:sz="0" w:space="0" w:color="auto"/>
        <w:bottom w:val="none" w:sz="0" w:space="0" w:color="auto"/>
        <w:right w:val="none" w:sz="0" w:space="0" w:color="auto"/>
      </w:divBdr>
    </w:div>
    <w:div w:id="978918146">
      <w:bodyDiv w:val="1"/>
      <w:marLeft w:val="0"/>
      <w:marRight w:val="0"/>
      <w:marTop w:val="0"/>
      <w:marBottom w:val="0"/>
      <w:divBdr>
        <w:top w:val="none" w:sz="0" w:space="0" w:color="auto"/>
        <w:left w:val="none" w:sz="0" w:space="0" w:color="auto"/>
        <w:bottom w:val="none" w:sz="0" w:space="0" w:color="auto"/>
        <w:right w:val="none" w:sz="0" w:space="0" w:color="auto"/>
      </w:divBdr>
    </w:div>
    <w:div w:id="1041125632">
      <w:bodyDiv w:val="1"/>
      <w:marLeft w:val="0"/>
      <w:marRight w:val="0"/>
      <w:marTop w:val="0"/>
      <w:marBottom w:val="0"/>
      <w:divBdr>
        <w:top w:val="none" w:sz="0" w:space="0" w:color="auto"/>
        <w:left w:val="none" w:sz="0" w:space="0" w:color="auto"/>
        <w:bottom w:val="none" w:sz="0" w:space="0" w:color="auto"/>
        <w:right w:val="none" w:sz="0" w:space="0" w:color="auto"/>
      </w:divBdr>
    </w:div>
    <w:div w:id="1146968977">
      <w:bodyDiv w:val="1"/>
      <w:marLeft w:val="0"/>
      <w:marRight w:val="0"/>
      <w:marTop w:val="0"/>
      <w:marBottom w:val="0"/>
      <w:divBdr>
        <w:top w:val="none" w:sz="0" w:space="0" w:color="auto"/>
        <w:left w:val="none" w:sz="0" w:space="0" w:color="auto"/>
        <w:bottom w:val="none" w:sz="0" w:space="0" w:color="auto"/>
        <w:right w:val="none" w:sz="0" w:space="0" w:color="auto"/>
      </w:divBdr>
    </w:div>
    <w:div w:id="1228108699">
      <w:bodyDiv w:val="1"/>
      <w:marLeft w:val="0"/>
      <w:marRight w:val="0"/>
      <w:marTop w:val="0"/>
      <w:marBottom w:val="0"/>
      <w:divBdr>
        <w:top w:val="none" w:sz="0" w:space="0" w:color="auto"/>
        <w:left w:val="none" w:sz="0" w:space="0" w:color="auto"/>
        <w:bottom w:val="none" w:sz="0" w:space="0" w:color="auto"/>
        <w:right w:val="none" w:sz="0" w:space="0" w:color="auto"/>
      </w:divBdr>
    </w:div>
    <w:div w:id="1249657184">
      <w:bodyDiv w:val="1"/>
      <w:marLeft w:val="0"/>
      <w:marRight w:val="0"/>
      <w:marTop w:val="0"/>
      <w:marBottom w:val="0"/>
      <w:divBdr>
        <w:top w:val="none" w:sz="0" w:space="0" w:color="auto"/>
        <w:left w:val="none" w:sz="0" w:space="0" w:color="auto"/>
        <w:bottom w:val="none" w:sz="0" w:space="0" w:color="auto"/>
        <w:right w:val="none" w:sz="0" w:space="0" w:color="auto"/>
      </w:divBdr>
    </w:div>
    <w:div w:id="1312178931">
      <w:bodyDiv w:val="1"/>
      <w:marLeft w:val="0"/>
      <w:marRight w:val="0"/>
      <w:marTop w:val="0"/>
      <w:marBottom w:val="0"/>
      <w:divBdr>
        <w:top w:val="none" w:sz="0" w:space="0" w:color="auto"/>
        <w:left w:val="none" w:sz="0" w:space="0" w:color="auto"/>
        <w:bottom w:val="none" w:sz="0" w:space="0" w:color="auto"/>
        <w:right w:val="none" w:sz="0" w:space="0" w:color="auto"/>
      </w:divBdr>
    </w:div>
    <w:div w:id="1405252017">
      <w:bodyDiv w:val="1"/>
      <w:marLeft w:val="0"/>
      <w:marRight w:val="0"/>
      <w:marTop w:val="0"/>
      <w:marBottom w:val="0"/>
      <w:divBdr>
        <w:top w:val="none" w:sz="0" w:space="0" w:color="auto"/>
        <w:left w:val="none" w:sz="0" w:space="0" w:color="auto"/>
        <w:bottom w:val="none" w:sz="0" w:space="0" w:color="auto"/>
        <w:right w:val="none" w:sz="0" w:space="0" w:color="auto"/>
      </w:divBdr>
    </w:div>
    <w:div w:id="1590891914">
      <w:bodyDiv w:val="1"/>
      <w:marLeft w:val="0"/>
      <w:marRight w:val="0"/>
      <w:marTop w:val="0"/>
      <w:marBottom w:val="0"/>
      <w:divBdr>
        <w:top w:val="none" w:sz="0" w:space="0" w:color="auto"/>
        <w:left w:val="none" w:sz="0" w:space="0" w:color="auto"/>
        <w:bottom w:val="none" w:sz="0" w:space="0" w:color="auto"/>
        <w:right w:val="none" w:sz="0" w:space="0" w:color="auto"/>
      </w:divBdr>
    </w:div>
    <w:div w:id="1669552436">
      <w:bodyDiv w:val="1"/>
      <w:marLeft w:val="0"/>
      <w:marRight w:val="0"/>
      <w:marTop w:val="0"/>
      <w:marBottom w:val="0"/>
      <w:divBdr>
        <w:top w:val="none" w:sz="0" w:space="0" w:color="auto"/>
        <w:left w:val="none" w:sz="0" w:space="0" w:color="auto"/>
        <w:bottom w:val="none" w:sz="0" w:space="0" w:color="auto"/>
        <w:right w:val="none" w:sz="0" w:space="0" w:color="auto"/>
      </w:divBdr>
    </w:div>
    <w:div w:id="1705012866">
      <w:bodyDiv w:val="1"/>
      <w:marLeft w:val="0"/>
      <w:marRight w:val="0"/>
      <w:marTop w:val="0"/>
      <w:marBottom w:val="0"/>
      <w:divBdr>
        <w:top w:val="none" w:sz="0" w:space="0" w:color="auto"/>
        <w:left w:val="none" w:sz="0" w:space="0" w:color="auto"/>
        <w:bottom w:val="none" w:sz="0" w:space="0" w:color="auto"/>
        <w:right w:val="none" w:sz="0" w:space="0" w:color="auto"/>
      </w:divBdr>
    </w:div>
    <w:div w:id="1797019758">
      <w:bodyDiv w:val="1"/>
      <w:marLeft w:val="0"/>
      <w:marRight w:val="0"/>
      <w:marTop w:val="0"/>
      <w:marBottom w:val="0"/>
      <w:divBdr>
        <w:top w:val="none" w:sz="0" w:space="0" w:color="auto"/>
        <w:left w:val="none" w:sz="0" w:space="0" w:color="auto"/>
        <w:bottom w:val="none" w:sz="0" w:space="0" w:color="auto"/>
        <w:right w:val="none" w:sz="0" w:space="0" w:color="auto"/>
      </w:divBdr>
    </w:div>
    <w:div w:id="1892420749">
      <w:bodyDiv w:val="1"/>
      <w:marLeft w:val="0"/>
      <w:marRight w:val="0"/>
      <w:marTop w:val="0"/>
      <w:marBottom w:val="0"/>
      <w:divBdr>
        <w:top w:val="none" w:sz="0" w:space="0" w:color="auto"/>
        <w:left w:val="none" w:sz="0" w:space="0" w:color="auto"/>
        <w:bottom w:val="none" w:sz="0" w:space="0" w:color="auto"/>
        <w:right w:val="none" w:sz="0" w:space="0" w:color="auto"/>
      </w:divBdr>
    </w:div>
    <w:div w:id="1922987251">
      <w:bodyDiv w:val="1"/>
      <w:marLeft w:val="0"/>
      <w:marRight w:val="0"/>
      <w:marTop w:val="0"/>
      <w:marBottom w:val="0"/>
      <w:divBdr>
        <w:top w:val="none" w:sz="0" w:space="0" w:color="auto"/>
        <w:left w:val="none" w:sz="0" w:space="0" w:color="auto"/>
        <w:bottom w:val="none" w:sz="0" w:space="0" w:color="auto"/>
        <w:right w:val="none" w:sz="0" w:space="0" w:color="auto"/>
      </w:divBdr>
    </w:div>
    <w:div w:id="1995572272">
      <w:bodyDiv w:val="1"/>
      <w:marLeft w:val="0"/>
      <w:marRight w:val="0"/>
      <w:marTop w:val="0"/>
      <w:marBottom w:val="0"/>
      <w:divBdr>
        <w:top w:val="none" w:sz="0" w:space="0" w:color="auto"/>
        <w:left w:val="none" w:sz="0" w:space="0" w:color="auto"/>
        <w:bottom w:val="none" w:sz="0" w:space="0" w:color="auto"/>
        <w:right w:val="none" w:sz="0" w:space="0" w:color="auto"/>
      </w:divBdr>
    </w:div>
    <w:div w:id="2145153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D760B-7337-48F7-B7C3-E8A68844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2018-04-09T03:16:00Z</dcterms:created>
  <dcterms:modified xsi:type="dcterms:W3CDTF">2018-04-15T23:47:00Z</dcterms:modified>
</cp:coreProperties>
</file>