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rawings/drawing1.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81662190" w:displacedByCustomXml="next"/>
    <w:bookmarkEnd w:id="0" w:displacedByCustomXml="next"/>
    <w:sdt>
      <w:sdtPr>
        <w:id w:val="1317549984"/>
        <w:docPartObj>
          <w:docPartGallery w:val="Cover Pages"/>
          <w:docPartUnique/>
        </w:docPartObj>
      </w:sdtPr>
      <w:sdtEndPr/>
      <w:sdtContent>
        <w:p w:rsidR="00375206" w:rsidRDefault="002C59E0" w:rsidP="00194DA6">
          <w:r>
            <w:rPr>
              <w:rFonts w:ascii="Times New Roman" w:eastAsiaTheme="minorHAnsi" w:hAnsi="Times New Roman"/>
              <w:noProof/>
              <w:sz w:val="24"/>
              <w:lang w:eastAsia="en-AU"/>
            </w:rPr>
            <mc:AlternateContent>
              <mc:Choice Requires="wps">
                <w:drawing>
                  <wp:anchor distT="0" distB="0" distL="114300" distR="114300" simplePos="0" relativeHeight="251730944" behindDoc="0" locked="0" layoutInCell="1" allowOverlap="1" wp14:anchorId="2510B81F" wp14:editId="704A96C5">
                    <wp:simplePos x="0" y="0"/>
                    <wp:positionH relativeFrom="column">
                      <wp:posOffset>-914400</wp:posOffset>
                    </wp:positionH>
                    <wp:positionV relativeFrom="paragraph">
                      <wp:posOffset>2914650</wp:posOffset>
                    </wp:positionV>
                    <wp:extent cx="7675245" cy="2381250"/>
                    <wp:effectExtent l="0" t="0" r="1905" b="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5245" cy="2381250"/>
                            </a:xfrm>
                            <a:prstGeom prst="rect">
                              <a:avLst/>
                            </a:prstGeom>
                            <a:solidFill>
                              <a:srgbClr val="FFFFFF"/>
                            </a:solidFill>
                            <a:ln w="9525">
                              <a:noFill/>
                              <a:miter lim="800000"/>
                              <a:headEnd/>
                              <a:tailEnd/>
                            </a:ln>
                          </wps:spPr>
                          <wps:txbx>
                            <w:txbxContent>
                              <w:p w:rsidR="0092252C" w:rsidRDefault="0092252C" w:rsidP="00F27E2F">
                                <w:pPr>
                                  <w:spacing w:after="0"/>
                                  <w:jc w:val="center"/>
                                  <w:rPr>
                                    <w:rFonts w:ascii="CoM" w:hAnsi="CoM"/>
                                    <w:sz w:val="62"/>
                                    <w:szCs w:val="62"/>
                                  </w:rPr>
                                </w:pPr>
                                <w:r>
                                  <w:rPr>
                                    <w:rFonts w:ascii="CoM" w:hAnsi="CoM"/>
                                    <w:sz w:val="62"/>
                                    <w:szCs w:val="62"/>
                                  </w:rPr>
                                  <w:t xml:space="preserve">City of Melbourne </w:t>
                                </w:r>
                                <w:r>
                                  <w:rPr>
                                    <w:rFonts w:ascii="CoM" w:hAnsi="CoM"/>
                                    <w:sz w:val="62"/>
                                    <w:szCs w:val="62"/>
                                  </w:rPr>
                                  <w:br/>
                                  <w:t>Electronic Gaming Machine Review</w:t>
                                </w:r>
                              </w:p>
                              <w:p w:rsidR="0092252C" w:rsidRDefault="0092252C" w:rsidP="00F27E2F">
                                <w:pPr>
                                  <w:jc w:val="center"/>
                                  <w:rPr>
                                    <w:rFonts w:ascii="CoM" w:hAnsi="CoM"/>
                                    <w:sz w:val="62"/>
                                    <w:szCs w:val="62"/>
                                  </w:rPr>
                                </w:pPr>
                                <w:r>
                                  <w:rPr>
                                    <w:rFonts w:ascii="CoM" w:hAnsi="CoM"/>
                                    <w:sz w:val="62"/>
                                    <w:szCs w:val="62"/>
                                  </w:rPr>
                                  <w:t>Draft Background Report</w:t>
                                </w:r>
                              </w:p>
                              <w:p w:rsidR="0092252C" w:rsidRDefault="0092252C" w:rsidP="00F27E2F">
                                <w:pPr>
                                  <w:jc w:val="center"/>
                                  <w:rPr>
                                    <w:rFonts w:ascii="CoM" w:hAnsi="CoM"/>
                                    <w:sz w:val="62"/>
                                    <w:szCs w:val="62"/>
                                  </w:rPr>
                                </w:pPr>
                                <w:r>
                                  <w:rPr>
                                    <w:rFonts w:ascii="CoM" w:hAnsi="CoM" w:cs="Arial"/>
                                    <w:sz w:val="40"/>
                                    <w:szCs w:val="40"/>
                                  </w:rPr>
                                  <w:t>October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margin-left:-1in;margin-top:229.5pt;width:604.35pt;height:1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" stroked="f">
                    <v:textbox>
                      <w:txbxContent>
                        <w:p w:rsidR="0092252C" w:rsidRDefault="0092252C" w:rsidP="00F27E2F">
                          <w:pPr>
                            <w:spacing w:after="0"/>
                            <w:jc w:val="center"/>
                            <w:rPr>
                              <w:rFonts w:ascii="CoM" w:hAnsi="CoM"/>
                              <w:sz w:val="62"/>
                              <w:szCs w:val="62"/>
                            </w:rPr>
                          </w:pPr>
                          <w:r>
                            <w:rPr>
                              <w:rFonts w:ascii="CoM" w:hAnsi="CoM"/>
                              <w:sz w:val="62"/>
                              <w:szCs w:val="62"/>
                            </w:rPr>
                            <w:t xml:space="preserve">City of Melbourne </w:t>
                          </w:r>
                          <w:r>
                            <w:rPr>
                              <w:rFonts w:ascii="CoM" w:hAnsi="CoM"/>
                              <w:sz w:val="62"/>
                              <w:szCs w:val="62"/>
                            </w:rPr>
                            <w:br/>
                            <w:t>Electronic Gaming Machine Review</w:t>
                          </w:r>
                        </w:p>
                        <w:p w:rsidR="0092252C" w:rsidRDefault="0092252C" w:rsidP="00F27E2F">
                          <w:pPr>
                            <w:jc w:val="center"/>
                            <w:rPr>
                              <w:rFonts w:ascii="CoM" w:hAnsi="CoM"/>
                              <w:sz w:val="62"/>
                              <w:szCs w:val="62"/>
                            </w:rPr>
                          </w:pPr>
                          <w:r>
                            <w:rPr>
                              <w:rFonts w:ascii="CoM" w:hAnsi="CoM"/>
                              <w:sz w:val="62"/>
                              <w:szCs w:val="62"/>
                            </w:rPr>
                            <w:t>Draft Background Report</w:t>
                          </w:r>
                        </w:p>
                        <w:p w:rsidR="0092252C" w:rsidRDefault="0092252C" w:rsidP="00F27E2F">
                          <w:pPr>
                            <w:jc w:val="center"/>
                            <w:rPr>
                              <w:rFonts w:ascii="CoM" w:hAnsi="CoM"/>
                              <w:sz w:val="62"/>
                              <w:szCs w:val="62"/>
                            </w:rPr>
                          </w:pPr>
                          <w:r>
                            <w:rPr>
                              <w:rFonts w:ascii="CoM" w:hAnsi="CoM" w:cs="Arial"/>
                              <w:sz w:val="40"/>
                              <w:szCs w:val="40"/>
                            </w:rPr>
                            <w:t>October 2017</w:t>
                          </w:r>
                        </w:p>
                      </w:txbxContent>
                    </v:textbox>
                  </v:shape>
                </w:pict>
              </mc:Fallback>
            </mc:AlternateContent>
          </w:r>
          <w:bookmarkStart w:id="1" w:name="_GoBack"/>
          <w:bookmarkEnd w:id="1"/>
          <w:r w:rsidR="00F27E2F" w:rsidRPr="00F27E2F">
            <w:rPr>
              <w:rFonts w:ascii="Times New Roman" w:eastAsiaTheme="minorHAnsi" w:hAnsi="Times New Roman"/>
              <w:sz w:val="24"/>
              <w:lang w:eastAsia="en-AU"/>
            </w:rPr>
            <w:t xml:space="preserve"> </w:t>
          </w:r>
          <w:r w:rsidR="00F27E2F">
            <w:rPr>
              <w:noProof/>
              <w:lang w:eastAsia="en-AU"/>
            </w:rPr>
            <w:drawing>
              <wp:anchor distT="0" distB="0" distL="114300" distR="114300" simplePos="0" relativeHeight="251727872" behindDoc="1" locked="0" layoutInCell="1" allowOverlap="1" wp14:anchorId="72B2318B" wp14:editId="7EA5651A">
                <wp:simplePos x="0" y="0"/>
                <wp:positionH relativeFrom="column">
                  <wp:posOffset>-914400</wp:posOffset>
                </wp:positionH>
                <wp:positionV relativeFrom="paragraph">
                  <wp:posOffset>-914400</wp:posOffset>
                </wp:positionV>
                <wp:extent cx="7559675" cy="10504805"/>
                <wp:effectExtent l="0" t="0" r="3175" b="0"/>
                <wp:wrapTight wrapText="bothSides">
                  <wp:wrapPolygon edited="0">
                    <wp:start x="0" y="0"/>
                    <wp:lineTo x="0" y="21544"/>
                    <wp:lineTo x="21555" y="21544"/>
                    <wp:lineTo x="21555" y="0"/>
                    <wp:lineTo x="0" y="0"/>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0504805"/>
                        </a:xfrm>
                        <a:prstGeom prst="rect">
                          <a:avLst/>
                        </a:prstGeom>
                        <a:noFill/>
                      </pic:spPr>
                    </pic:pic>
                  </a:graphicData>
                </a:graphic>
                <wp14:sizeRelH relativeFrom="page">
                  <wp14:pctWidth>0</wp14:pctWidth>
                </wp14:sizeRelH>
                <wp14:sizeRelV relativeFrom="page">
                  <wp14:pctHeight>0</wp14:pctHeight>
                </wp14:sizeRelV>
              </wp:anchor>
            </w:drawing>
          </w:r>
        </w:p>
        <w:p w:rsidR="00F27E2F" w:rsidRDefault="00F27E2F" w:rsidP="00F27E2F">
          <w:pPr>
            <w:rPr>
              <w:rFonts w:ascii="Arial" w:hAnsi="Arial" w:cs="Arial"/>
              <w:bCs/>
              <w:lang w:val="en-US"/>
            </w:rPr>
          </w:pPr>
          <w:r>
            <w:rPr>
              <w:rFonts w:ascii="Arial" w:hAnsi="Arial" w:cs="Arial"/>
              <w:bCs/>
              <w:lang w:val="en-US"/>
            </w:rPr>
            <w:lastRenderedPageBreak/>
            <w:t>This report was prepared by Symplan on behalf of the City of Melbourne.</w:t>
          </w:r>
        </w:p>
        <w:p w:rsidR="00375206" w:rsidRDefault="00802F28" w:rsidP="00194DA6">
          <w:pPr>
            <w:rPr>
              <w:rFonts w:eastAsiaTheme="majorEastAsia" w:cstheme="majorBidi"/>
              <w:b/>
              <w:bCs/>
              <w:color w:val="17365D" w:themeColor="text2" w:themeShade="BF"/>
              <w:sz w:val="28"/>
              <w:szCs w:val="28"/>
            </w:rPr>
          </w:pPr>
        </w:p>
      </w:sdtContent>
    </w:sdt>
    <w:p w:rsidR="00375206" w:rsidRDefault="00375206" w:rsidP="00194DA6">
      <w:pPr>
        <w:rPr>
          <w:lang w:val="en-US"/>
        </w:rPr>
      </w:pPr>
    </w:p>
    <w:p w:rsidR="00375206" w:rsidRDefault="00375206" w:rsidP="00194DA6">
      <w:pPr>
        <w:rPr>
          <w:b/>
          <w:bCs/>
          <w:lang w:val="en-US"/>
        </w:rPr>
      </w:pPr>
    </w:p>
    <w:p w:rsidR="00375206" w:rsidRDefault="00375206" w:rsidP="00194DA6">
      <w:pPr>
        <w:rPr>
          <w:b/>
          <w:bCs/>
          <w:lang w:val="en-US"/>
        </w:rPr>
      </w:pPr>
    </w:p>
    <w:p w:rsidR="00375206" w:rsidRDefault="00375206" w:rsidP="00194DA6">
      <w:pPr>
        <w:rPr>
          <w:b/>
          <w:bCs/>
          <w:lang w:val="en-US"/>
        </w:rPr>
      </w:pPr>
    </w:p>
    <w:p w:rsidR="00375206" w:rsidRDefault="00375206" w:rsidP="00194DA6">
      <w:pPr>
        <w:rPr>
          <w:b/>
          <w:bCs/>
          <w:lang w:val="en-US"/>
        </w:rPr>
      </w:pPr>
    </w:p>
    <w:p w:rsidR="00375206" w:rsidRDefault="00375206" w:rsidP="00194DA6">
      <w:pPr>
        <w:rPr>
          <w:b/>
          <w:bCs/>
          <w:lang w:val="en-US"/>
        </w:rPr>
      </w:pPr>
    </w:p>
    <w:p w:rsidR="00375206" w:rsidRDefault="00375206" w:rsidP="00194DA6">
      <w:pPr>
        <w:rPr>
          <w:b/>
          <w:bCs/>
          <w:lang w:val="en-US"/>
        </w:rPr>
      </w:pPr>
    </w:p>
    <w:p w:rsidR="00EE5613" w:rsidRDefault="00EE5613" w:rsidP="00194DA6">
      <w:pPr>
        <w:rPr>
          <w:b/>
          <w:bCs/>
          <w:lang w:val="en-US"/>
        </w:rPr>
      </w:pPr>
    </w:p>
    <w:p w:rsidR="00375206" w:rsidRDefault="00375206" w:rsidP="00194DA6">
      <w:pPr>
        <w:rPr>
          <w:b/>
          <w:bCs/>
          <w:lang w:val="en-US"/>
        </w:rPr>
      </w:pPr>
    </w:p>
    <w:p w:rsidR="00375206" w:rsidRDefault="00375206" w:rsidP="00194DA6">
      <w:pPr>
        <w:rPr>
          <w:b/>
          <w:bCs/>
          <w:lang w:val="en-US"/>
        </w:rPr>
      </w:pPr>
    </w:p>
    <w:p w:rsidR="005B497E" w:rsidRDefault="005B497E" w:rsidP="00194DA6">
      <w:pPr>
        <w:rPr>
          <w:b/>
          <w:bCs/>
          <w:lang w:val="en-US"/>
        </w:rPr>
      </w:pPr>
    </w:p>
    <w:p w:rsidR="005B497E" w:rsidRDefault="005B497E" w:rsidP="00194DA6">
      <w:pPr>
        <w:rPr>
          <w:b/>
          <w:bCs/>
          <w:lang w:val="en-US"/>
        </w:rPr>
      </w:pPr>
    </w:p>
    <w:p w:rsidR="005B497E" w:rsidRDefault="005B497E" w:rsidP="00194DA6">
      <w:pPr>
        <w:rPr>
          <w:b/>
          <w:bCs/>
          <w:lang w:val="en-US"/>
        </w:rPr>
      </w:pPr>
    </w:p>
    <w:p w:rsidR="005B497E" w:rsidRDefault="005B497E" w:rsidP="00194DA6">
      <w:pPr>
        <w:rPr>
          <w:b/>
          <w:bCs/>
          <w:lang w:val="en-US"/>
        </w:rPr>
      </w:pPr>
    </w:p>
    <w:p w:rsidR="005B497E" w:rsidRDefault="005B497E" w:rsidP="00194DA6">
      <w:pPr>
        <w:rPr>
          <w:b/>
          <w:bCs/>
          <w:lang w:val="en-US"/>
        </w:rPr>
      </w:pPr>
    </w:p>
    <w:p w:rsidR="005B497E" w:rsidRDefault="005B497E" w:rsidP="00194DA6">
      <w:pPr>
        <w:rPr>
          <w:b/>
          <w:bCs/>
          <w:lang w:val="en-US"/>
        </w:rPr>
      </w:pPr>
    </w:p>
    <w:p w:rsidR="005B497E" w:rsidRDefault="005B497E" w:rsidP="00194DA6">
      <w:pPr>
        <w:rPr>
          <w:b/>
          <w:bCs/>
          <w:lang w:val="en-US"/>
        </w:rPr>
      </w:pPr>
    </w:p>
    <w:p w:rsidR="005B497E" w:rsidRDefault="005B497E" w:rsidP="00194DA6">
      <w:pPr>
        <w:rPr>
          <w:b/>
          <w:bCs/>
          <w:lang w:val="en-US"/>
        </w:rPr>
      </w:pPr>
    </w:p>
    <w:p w:rsidR="005B497E" w:rsidRDefault="005B497E" w:rsidP="00194DA6">
      <w:pPr>
        <w:rPr>
          <w:b/>
          <w:bCs/>
          <w:lang w:val="en-US"/>
        </w:rPr>
      </w:pPr>
    </w:p>
    <w:p w:rsidR="00375206" w:rsidRDefault="00375206" w:rsidP="00194DA6">
      <w:pPr>
        <w:rPr>
          <w:b/>
          <w:bCs/>
          <w:lang w:val="en-US"/>
        </w:rPr>
      </w:pPr>
    </w:p>
    <w:p w:rsidR="00375206" w:rsidRDefault="00375206" w:rsidP="00194DA6">
      <w:pPr>
        <w:rPr>
          <w:b/>
          <w:bCs/>
          <w:lang w:val="en-US"/>
        </w:rPr>
      </w:pPr>
    </w:p>
    <w:p w:rsidR="00375206" w:rsidRDefault="00375206" w:rsidP="00194DA6">
      <w:pPr>
        <w:rPr>
          <w:b/>
          <w:bCs/>
          <w:lang w:val="en-US"/>
        </w:rPr>
      </w:pPr>
    </w:p>
    <w:p w:rsidR="00375206" w:rsidRDefault="00375206" w:rsidP="00194DA6">
      <w:pPr>
        <w:rPr>
          <w:b/>
          <w:bCs/>
          <w:lang w:val="en-US"/>
        </w:rPr>
      </w:pPr>
    </w:p>
    <w:p w:rsidR="00375206" w:rsidRDefault="00375206" w:rsidP="00194DA6">
      <w:pPr>
        <w:rPr>
          <w:b/>
          <w:bCs/>
          <w:lang w:val="en-US"/>
        </w:rPr>
      </w:pPr>
    </w:p>
    <w:p w:rsidR="00375206" w:rsidRDefault="00375206" w:rsidP="00194DA6">
      <w:pPr>
        <w:rPr>
          <w:b/>
          <w:bCs/>
          <w:lang w:val="en-US"/>
        </w:rPr>
      </w:pPr>
    </w:p>
    <w:p w:rsidR="00375206" w:rsidRDefault="00375206" w:rsidP="00194DA6">
      <w:pPr>
        <w:rPr>
          <w:b/>
          <w:bCs/>
          <w:lang w:val="en-US"/>
        </w:rPr>
      </w:pPr>
    </w:p>
    <w:p w:rsidR="00375206" w:rsidRDefault="00375206" w:rsidP="00194DA6">
      <w:pPr>
        <w:rPr>
          <w:b/>
          <w:bCs/>
          <w:lang w:val="en-US"/>
        </w:rPr>
      </w:pPr>
    </w:p>
    <w:p w:rsidR="00375206" w:rsidRDefault="00375206" w:rsidP="00194DA6">
      <w:pPr>
        <w:rPr>
          <w:b/>
          <w:bCs/>
          <w:lang w:val="en-US"/>
        </w:rPr>
      </w:pPr>
    </w:p>
    <w:p w:rsidR="00375206" w:rsidRDefault="00375206" w:rsidP="00194DA6">
      <w:pPr>
        <w:rPr>
          <w:b/>
          <w:bCs/>
          <w:lang w:val="en-US"/>
        </w:rPr>
      </w:pPr>
    </w:p>
    <w:p w:rsidR="00375206" w:rsidRPr="00FA529B" w:rsidRDefault="00375206" w:rsidP="00194DA6">
      <w:pPr>
        <w:rPr>
          <w:b/>
          <w:bCs/>
          <w:lang w:val="en-US"/>
        </w:rPr>
      </w:pPr>
      <w:r w:rsidRPr="00FA529B">
        <w:rPr>
          <w:b/>
          <w:bCs/>
          <w:lang w:val="en-US"/>
        </w:rPr>
        <w:t>Disclaimer</w:t>
      </w:r>
    </w:p>
    <w:p w:rsidR="00375206" w:rsidRPr="00E86F37" w:rsidRDefault="00375206" w:rsidP="00194DA6">
      <w:pPr>
        <w:rPr>
          <w:rFonts w:cs="Arial"/>
          <w:iCs/>
        </w:rPr>
      </w:pPr>
      <w:r w:rsidRPr="00E86F37">
        <w:rPr>
          <w:rFonts w:cs="Arial"/>
          <w:iCs/>
        </w:rPr>
        <w:t>Symplan produces work of the highest professional and academic standards. Symplan has taken all the necessary steps to ensure that an accurate document has been prepared</w:t>
      </w:r>
      <w:r w:rsidR="00CB74B0">
        <w:rPr>
          <w:rFonts w:cs="Arial"/>
          <w:iCs/>
        </w:rPr>
        <w:t>.</w:t>
      </w:r>
      <w:r w:rsidRPr="00E86F37">
        <w:rPr>
          <w:rFonts w:cs="Arial"/>
          <w:iCs/>
        </w:rPr>
        <w:t xml:space="preserve"> Readers should therefore rely on their own skill and judgement when applying any information or analysis presented in this report to particular issues or circumstances.</w:t>
      </w:r>
    </w:p>
    <w:p w:rsidR="00375206" w:rsidRPr="00396548" w:rsidRDefault="00CB74B0" w:rsidP="00194DA6">
      <w:pPr>
        <w:rPr>
          <w:lang w:val="en-US"/>
        </w:rPr>
        <w:sectPr w:rsidR="00375206" w:rsidRPr="00396548" w:rsidSect="00F27E2F">
          <w:footerReference w:type="default" r:id="rId10"/>
          <w:pgSz w:w="11906" w:h="16838"/>
          <w:pgMar w:top="1440" w:right="1440" w:bottom="1440" w:left="1440" w:header="708" w:footer="708" w:gutter="0"/>
          <w:cols w:space="708"/>
          <w:titlePg/>
          <w:docGrid w:linePitch="360"/>
        </w:sectPr>
      </w:pPr>
      <w:r>
        <w:rPr>
          <w:lang w:val="en-US"/>
        </w:rPr>
        <w:t>© Symplan 2017</w:t>
      </w:r>
    </w:p>
    <w:sdt>
      <w:sdtPr>
        <w:rPr>
          <w:rFonts w:eastAsia="Times New Roman" w:cs="Times New Roman"/>
          <w:b w:val="0"/>
          <w:bCs w:val="0"/>
          <w:caps w:val="0"/>
          <w:sz w:val="20"/>
          <w:szCs w:val="24"/>
        </w:rPr>
        <w:id w:val="19563930"/>
        <w:docPartObj>
          <w:docPartGallery w:val="Table of Contents"/>
          <w:docPartUnique/>
        </w:docPartObj>
      </w:sdtPr>
      <w:sdtEndPr>
        <w:rPr>
          <w:sz w:val="22"/>
        </w:rPr>
      </w:sdtEndPr>
      <w:sdtContent>
        <w:p w:rsidR="00375206" w:rsidRPr="00F27E2F" w:rsidRDefault="00375206" w:rsidP="00194DA6">
          <w:pPr>
            <w:pStyle w:val="TOCHeading"/>
            <w:numPr>
              <w:ilvl w:val="0"/>
              <w:numId w:val="0"/>
            </w:numPr>
            <w:spacing w:before="0"/>
            <w:rPr>
              <w:rFonts w:ascii="CoM" w:hAnsi="CoM"/>
              <w:sz w:val="32"/>
              <w:szCs w:val="32"/>
            </w:rPr>
          </w:pPr>
          <w:r w:rsidRPr="00F27E2F">
            <w:rPr>
              <w:rStyle w:val="Heading1Char"/>
              <w:rFonts w:ascii="CoM" w:hAnsi="CoM"/>
              <w:bCs/>
              <w:sz w:val="32"/>
              <w:szCs w:val="32"/>
            </w:rPr>
            <w:t>Contents</w:t>
          </w:r>
        </w:p>
        <w:p w:rsidR="009A2F21" w:rsidRPr="009A2F21" w:rsidRDefault="00375206">
          <w:pPr>
            <w:pStyle w:val="TOC1"/>
            <w:tabs>
              <w:tab w:val="right" w:leader="dot" w:pos="9016"/>
            </w:tabs>
            <w:rPr>
              <w:rFonts w:ascii="Arial" w:eastAsiaTheme="minorEastAsia" w:hAnsi="Arial" w:cs="Arial"/>
              <w:noProof/>
              <w:sz w:val="19"/>
              <w:szCs w:val="19"/>
              <w:lang w:eastAsia="en-AU"/>
            </w:rPr>
          </w:pPr>
          <w:r w:rsidRPr="009A2F21">
            <w:rPr>
              <w:rFonts w:ascii="Arial" w:hAnsi="Arial" w:cs="Arial"/>
              <w:sz w:val="19"/>
              <w:szCs w:val="19"/>
            </w:rPr>
            <w:fldChar w:fldCharType="begin"/>
          </w:r>
          <w:r w:rsidRPr="009A2F21">
            <w:rPr>
              <w:rFonts w:ascii="Arial" w:hAnsi="Arial" w:cs="Arial"/>
              <w:sz w:val="19"/>
              <w:szCs w:val="19"/>
            </w:rPr>
            <w:instrText xml:space="preserve"> TOC \o "1-2" \h \z \u </w:instrText>
          </w:r>
          <w:r w:rsidRPr="009A2F21">
            <w:rPr>
              <w:rFonts w:ascii="Arial" w:hAnsi="Arial" w:cs="Arial"/>
              <w:sz w:val="19"/>
              <w:szCs w:val="19"/>
            </w:rPr>
            <w:fldChar w:fldCharType="separate"/>
          </w:r>
          <w:hyperlink w:anchor="_Toc494287746" w:history="1">
            <w:r w:rsidR="009A2F21" w:rsidRPr="009A2F21">
              <w:rPr>
                <w:rStyle w:val="Hyperlink"/>
                <w:rFonts w:ascii="Arial" w:eastAsiaTheme="majorEastAsia" w:hAnsi="Arial" w:cs="Arial"/>
                <w:noProof/>
                <w:sz w:val="19"/>
                <w:szCs w:val="19"/>
              </w:rPr>
              <w:t>Acronyms</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_Toc494287746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iii</w:t>
            </w:r>
            <w:r w:rsidR="009A2F21" w:rsidRPr="009A2F21">
              <w:rPr>
                <w:rFonts w:ascii="Arial" w:hAnsi="Arial" w:cs="Arial"/>
                <w:noProof/>
                <w:webHidden/>
                <w:sz w:val="19"/>
                <w:szCs w:val="19"/>
              </w:rPr>
              <w:fldChar w:fldCharType="end"/>
            </w:r>
          </w:hyperlink>
        </w:p>
        <w:p w:rsidR="009A2F21" w:rsidRPr="009A2F21" w:rsidRDefault="00802F28">
          <w:pPr>
            <w:pStyle w:val="TOC1"/>
            <w:tabs>
              <w:tab w:val="right" w:leader="dot" w:pos="9016"/>
            </w:tabs>
            <w:rPr>
              <w:rFonts w:ascii="Arial" w:eastAsiaTheme="minorEastAsia" w:hAnsi="Arial" w:cs="Arial"/>
              <w:noProof/>
              <w:sz w:val="19"/>
              <w:szCs w:val="19"/>
              <w:lang w:eastAsia="en-AU"/>
            </w:rPr>
          </w:pPr>
          <w:hyperlink w:anchor="_Toc494287747" w:history="1">
            <w:r w:rsidR="009A2F21" w:rsidRPr="009A2F21">
              <w:rPr>
                <w:rStyle w:val="Hyperlink"/>
                <w:rFonts w:ascii="Arial" w:eastAsiaTheme="majorEastAsia" w:hAnsi="Arial" w:cs="Arial"/>
                <w:noProof/>
                <w:sz w:val="19"/>
                <w:szCs w:val="19"/>
              </w:rPr>
              <w:t>Glossary</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_Toc494287747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iv</w:t>
            </w:r>
            <w:r w:rsidR="009A2F21" w:rsidRPr="009A2F21">
              <w:rPr>
                <w:rFonts w:ascii="Arial" w:hAnsi="Arial" w:cs="Arial"/>
                <w:noProof/>
                <w:webHidden/>
                <w:sz w:val="19"/>
                <w:szCs w:val="19"/>
              </w:rPr>
              <w:fldChar w:fldCharType="end"/>
            </w:r>
          </w:hyperlink>
        </w:p>
        <w:p w:rsidR="009A2F21" w:rsidRPr="009A2F21" w:rsidRDefault="00802F28">
          <w:pPr>
            <w:pStyle w:val="TOC1"/>
            <w:tabs>
              <w:tab w:val="left" w:pos="400"/>
              <w:tab w:val="right" w:leader="dot" w:pos="9016"/>
            </w:tabs>
            <w:rPr>
              <w:rFonts w:ascii="Arial" w:eastAsiaTheme="minorEastAsia" w:hAnsi="Arial" w:cs="Arial"/>
              <w:noProof/>
              <w:sz w:val="19"/>
              <w:szCs w:val="19"/>
              <w:lang w:eastAsia="en-AU"/>
            </w:rPr>
          </w:pPr>
          <w:hyperlink w:anchor="_Toc494287748" w:history="1">
            <w:r w:rsidR="009A2F21" w:rsidRPr="009A2F21">
              <w:rPr>
                <w:rStyle w:val="Hyperlink"/>
                <w:rFonts w:ascii="Arial" w:eastAsiaTheme="majorEastAsia" w:hAnsi="Arial" w:cs="Arial"/>
                <w:noProof/>
                <w:sz w:val="19"/>
                <w:szCs w:val="19"/>
              </w:rPr>
              <w:t>1</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Introduction</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_Toc494287748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1</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49" w:history="1">
            <w:r w:rsidR="009A2F21" w:rsidRPr="009A2F21">
              <w:rPr>
                <w:rStyle w:val="Hyperlink"/>
                <w:rFonts w:ascii="Arial" w:eastAsiaTheme="majorEastAsia" w:hAnsi="Arial" w:cs="Arial"/>
                <w:noProof/>
                <w:sz w:val="19"/>
                <w:szCs w:val="19"/>
              </w:rPr>
              <w:t>1.1</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Background</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_Toc494287749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1</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50" w:history="1">
            <w:r w:rsidR="009A2F21" w:rsidRPr="009A2F21">
              <w:rPr>
                <w:rStyle w:val="Hyperlink"/>
                <w:rFonts w:ascii="Arial" w:eastAsiaTheme="majorEastAsia" w:hAnsi="Arial" w:cs="Arial"/>
                <w:noProof/>
                <w:sz w:val="19"/>
                <w:szCs w:val="19"/>
              </w:rPr>
              <w:t>1.2</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Structure of the Report</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_Toc494287750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1</w:t>
            </w:r>
            <w:r w:rsidR="009A2F21" w:rsidRPr="009A2F21">
              <w:rPr>
                <w:rFonts w:ascii="Arial" w:hAnsi="Arial" w:cs="Arial"/>
                <w:noProof/>
                <w:webHidden/>
                <w:sz w:val="19"/>
                <w:szCs w:val="19"/>
              </w:rPr>
              <w:fldChar w:fldCharType="end"/>
            </w:r>
          </w:hyperlink>
        </w:p>
        <w:p w:rsidR="009A2F21" w:rsidRPr="009A2F21" w:rsidRDefault="00802F28">
          <w:pPr>
            <w:pStyle w:val="TOC1"/>
            <w:tabs>
              <w:tab w:val="left" w:pos="400"/>
              <w:tab w:val="right" w:leader="dot" w:pos="9016"/>
            </w:tabs>
            <w:rPr>
              <w:rFonts w:ascii="Arial" w:eastAsiaTheme="minorEastAsia" w:hAnsi="Arial" w:cs="Arial"/>
              <w:noProof/>
              <w:sz w:val="19"/>
              <w:szCs w:val="19"/>
              <w:lang w:eastAsia="en-AU"/>
            </w:rPr>
          </w:pPr>
          <w:hyperlink w:anchor="_Toc494287751" w:history="1">
            <w:r w:rsidR="009A2F21" w:rsidRPr="009A2F21">
              <w:rPr>
                <w:rStyle w:val="Hyperlink"/>
                <w:rFonts w:ascii="Arial" w:eastAsiaTheme="majorEastAsia" w:hAnsi="Arial" w:cs="Arial"/>
                <w:noProof/>
                <w:sz w:val="19"/>
                <w:szCs w:val="19"/>
              </w:rPr>
              <w:t>2</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Stakeholder engagement</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_Toc494287751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3</w:t>
            </w:r>
            <w:r w:rsidR="009A2F21" w:rsidRPr="009A2F21">
              <w:rPr>
                <w:rFonts w:ascii="Arial" w:hAnsi="Arial" w:cs="Arial"/>
                <w:noProof/>
                <w:webHidden/>
                <w:sz w:val="19"/>
                <w:szCs w:val="19"/>
              </w:rPr>
              <w:fldChar w:fldCharType="end"/>
            </w:r>
          </w:hyperlink>
        </w:p>
        <w:p w:rsidR="009A2F21" w:rsidRPr="009A2F21" w:rsidRDefault="00802F28">
          <w:pPr>
            <w:pStyle w:val="TOC1"/>
            <w:tabs>
              <w:tab w:val="left" w:pos="400"/>
              <w:tab w:val="right" w:leader="dot" w:pos="9016"/>
            </w:tabs>
            <w:rPr>
              <w:rFonts w:ascii="Arial" w:eastAsiaTheme="minorEastAsia" w:hAnsi="Arial" w:cs="Arial"/>
              <w:noProof/>
              <w:sz w:val="19"/>
              <w:szCs w:val="19"/>
              <w:lang w:eastAsia="en-AU"/>
            </w:rPr>
          </w:pPr>
          <w:hyperlink w:anchor="_Toc494287752" w:history="1">
            <w:r w:rsidR="009A2F21" w:rsidRPr="009A2F21">
              <w:rPr>
                <w:rStyle w:val="Hyperlink"/>
                <w:rFonts w:ascii="Arial" w:eastAsiaTheme="majorEastAsia" w:hAnsi="Arial" w:cs="Arial"/>
                <w:noProof/>
                <w:sz w:val="19"/>
                <w:szCs w:val="19"/>
              </w:rPr>
              <w:t>3</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City of Melbourne strategic and community context</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_Toc494287752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3</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53" w:history="1">
            <w:r w:rsidR="009A2F21" w:rsidRPr="009A2F21">
              <w:rPr>
                <w:rStyle w:val="Hyperlink"/>
                <w:rFonts w:ascii="Arial" w:eastAsiaTheme="majorEastAsia" w:hAnsi="Arial" w:cs="Arial"/>
                <w:noProof/>
                <w:sz w:val="19"/>
                <w:szCs w:val="19"/>
              </w:rPr>
              <w:t>3.1</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Strategic role of the City of Melbourne</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_Toc494287753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3</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54" w:history="1">
            <w:r w:rsidR="009A2F21" w:rsidRPr="009A2F21">
              <w:rPr>
                <w:rStyle w:val="Hyperlink"/>
                <w:rFonts w:ascii="Arial" w:eastAsiaTheme="majorEastAsia" w:hAnsi="Arial" w:cs="Arial"/>
                <w:noProof/>
                <w:sz w:val="19"/>
                <w:szCs w:val="19"/>
              </w:rPr>
              <w:t>3.2</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Community</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_Toc494287754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4</w:t>
            </w:r>
            <w:r w:rsidR="009A2F21" w:rsidRPr="009A2F21">
              <w:rPr>
                <w:rFonts w:ascii="Arial" w:hAnsi="Arial" w:cs="Arial"/>
                <w:noProof/>
                <w:webHidden/>
                <w:sz w:val="19"/>
                <w:szCs w:val="19"/>
              </w:rPr>
              <w:fldChar w:fldCharType="end"/>
            </w:r>
          </w:hyperlink>
        </w:p>
        <w:p w:rsidR="009A2F21" w:rsidRPr="009A2F21" w:rsidRDefault="00802F28">
          <w:pPr>
            <w:pStyle w:val="TOC1"/>
            <w:tabs>
              <w:tab w:val="left" w:pos="400"/>
              <w:tab w:val="right" w:leader="dot" w:pos="9016"/>
            </w:tabs>
            <w:rPr>
              <w:rFonts w:ascii="Arial" w:eastAsiaTheme="minorEastAsia" w:hAnsi="Arial" w:cs="Arial"/>
              <w:noProof/>
              <w:sz w:val="19"/>
              <w:szCs w:val="19"/>
              <w:lang w:eastAsia="en-AU"/>
            </w:rPr>
          </w:pPr>
          <w:hyperlink w:anchor="_Toc494287755" w:history="1">
            <w:r w:rsidR="009A2F21" w:rsidRPr="009A2F21">
              <w:rPr>
                <w:rStyle w:val="Hyperlink"/>
                <w:rFonts w:ascii="Arial" w:eastAsiaTheme="majorEastAsia" w:hAnsi="Arial" w:cs="Arial"/>
                <w:noProof/>
                <w:sz w:val="19"/>
                <w:szCs w:val="19"/>
              </w:rPr>
              <w:t>4</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City of Melbourne gambling and gaming context</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_Toc494287755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8</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56" w:history="1">
            <w:r w:rsidR="009A2F21" w:rsidRPr="009A2F21">
              <w:rPr>
                <w:rStyle w:val="Hyperlink"/>
                <w:rFonts w:ascii="Arial" w:eastAsiaTheme="majorEastAsia" w:hAnsi="Arial" w:cs="Arial"/>
                <w:noProof/>
                <w:sz w:val="19"/>
                <w:szCs w:val="19"/>
              </w:rPr>
              <w:t>4.1</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Hotel and club venues with EGMs</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_Toc494287756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9</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57" w:history="1">
            <w:r w:rsidR="009A2F21" w:rsidRPr="009A2F21">
              <w:rPr>
                <w:rStyle w:val="Hyperlink"/>
                <w:rFonts w:ascii="Arial" w:eastAsiaTheme="majorEastAsia" w:hAnsi="Arial" w:cs="Arial"/>
                <w:noProof/>
                <w:sz w:val="19"/>
                <w:szCs w:val="19"/>
              </w:rPr>
              <w:t>4.2</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Crown Casino</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_Toc494287757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17</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58" w:history="1">
            <w:r w:rsidR="009A2F21" w:rsidRPr="009A2F21">
              <w:rPr>
                <w:rStyle w:val="Hyperlink"/>
                <w:rFonts w:ascii="Arial" w:eastAsiaTheme="majorEastAsia" w:hAnsi="Arial" w:cs="Arial"/>
                <w:noProof/>
                <w:sz w:val="19"/>
                <w:szCs w:val="19"/>
              </w:rPr>
              <w:t>4.3</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Keno and wagering venues</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_Toc494287758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18</w:t>
            </w:r>
            <w:r w:rsidR="009A2F21" w:rsidRPr="009A2F21">
              <w:rPr>
                <w:rFonts w:ascii="Arial" w:hAnsi="Arial" w:cs="Arial"/>
                <w:noProof/>
                <w:webHidden/>
                <w:sz w:val="19"/>
                <w:szCs w:val="19"/>
              </w:rPr>
              <w:fldChar w:fldCharType="end"/>
            </w:r>
          </w:hyperlink>
        </w:p>
        <w:p w:rsidR="009A2F21" w:rsidRPr="009A2F21" w:rsidRDefault="00802F28">
          <w:pPr>
            <w:pStyle w:val="TOC1"/>
            <w:tabs>
              <w:tab w:val="left" w:pos="400"/>
              <w:tab w:val="right" w:leader="dot" w:pos="9016"/>
            </w:tabs>
            <w:rPr>
              <w:rFonts w:ascii="Arial" w:eastAsiaTheme="minorEastAsia" w:hAnsi="Arial" w:cs="Arial"/>
              <w:noProof/>
              <w:sz w:val="19"/>
              <w:szCs w:val="19"/>
              <w:lang w:eastAsia="en-AU"/>
            </w:rPr>
          </w:pPr>
          <w:hyperlink w:anchor="_Toc494287759" w:history="1">
            <w:r w:rsidR="009A2F21" w:rsidRPr="009A2F21">
              <w:rPr>
                <w:rStyle w:val="Hyperlink"/>
                <w:rFonts w:ascii="Arial" w:eastAsiaTheme="majorEastAsia" w:hAnsi="Arial" w:cs="Arial"/>
                <w:noProof/>
                <w:sz w:val="19"/>
                <w:szCs w:val="19"/>
              </w:rPr>
              <w:t>5</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City of Melbourne Policy and Planning Framework</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_Toc494287759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20</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60" w:history="1">
            <w:r w:rsidR="009A2F21" w:rsidRPr="009A2F21">
              <w:rPr>
                <w:rStyle w:val="Hyperlink"/>
                <w:rFonts w:ascii="Arial" w:eastAsiaTheme="majorEastAsia" w:hAnsi="Arial" w:cs="Arial"/>
                <w:noProof/>
                <w:sz w:val="19"/>
                <w:szCs w:val="19"/>
              </w:rPr>
              <w:t>5.1</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Plan Melbourne</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_Toc494287760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20</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61" w:history="1">
            <w:r w:rsidR="009A2F21" w:rsidRPr="009A2F21">
              <w:rPr>
                <w:rStyle w:val="Hyperlink"/>
                <w:rFonts w:ascii="Arial" w:eastAsiaTheme="majorEastAsia" w:hAnsi="Arial" w:cs="Arial"/>
                <w:noProof/>
                <w:sz w:val="19"/>
                <w:szCs w:val="19"/>
              </w:rPr>
              <w:t>5.2</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Council strategic and policy framework</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_Toc494287761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21</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62" w:history="1">
            <w:r w:rsidR="009A2F21" w:rsidRPr="009A2F21">
              <w:rPr>
                <w:rStyle w:val="Hyperlink"/>
                <w:rFonts w:ascii="Arial" w:eastAsiaTheme="majorEastAsia" w:hAnsi="Arial" w:cs="Arial"/>
                <w:noProof/>
                <w:sz w:val="19"/>
                <w:szCs w:val="19"/>
              </w:rPr>
              <w:t>5.3</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Melbourne Planning Scheme</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_Toc494287762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23</w:t>
            </w:r>
            <w:r w:rsidR="009A2F21" w:rsidRPr="009A2F21">
              <w:rPr>
                <w:rFonts w:ascii="Arial" w:hAnsi="Arial" w:cs="Arial"/>
                <w:noProof/>
                <w:webHidden/>
                <w:sz w:val="19"/>
                <w:szCs w:val="19"/>
              </w:rPr>
              <w:fldChar w:fldCharType="end"/>
            </w:r>
          </w:hyperlink>
        </w:p>
        <w:p w:rsidR="009A2F21" w:rsidRPr="009A2F21" w:rsidRDefault="00802F28">
          <w:pPr>
            <w:pStyle w:val="TOC1"/>
            <w:tabs>
              <w:tab w:val="left" w:pos="400"/>
              <w:tab w:val="right" w:leader="dot" w:pos="9016"/>
            </w:tabs>
            <w:rPr>
              <w:rFonts w:ascii="Arial" w:eastAsiaTheme="minorEastAsia" w:hAnsi="Arial" w:cs="Arial"/>
              <w:noProof/>
              <w:sz w:val="19"/>
              <w:szCs w:val="19"/>
              <w:lang w:eastAsia="en-AU"/>
            </w:rPr>
          </w:pPr>
          <w:hyperlink w:anchor="_Toc494287763" w:history="1">
            <w:r w:rsidR="009A2F21" w:rsidRPr="009A2F21">
              <w:rPr>
                <w:rStyle w:val="Hyperlink"/>
                <w:rFonts w:ascii="Arial" w:eastAsiaTheme="majorEastAsia" w:hAnsi="Arial" w:cs="Arial"/>
                <w:noProof/>
                <w:sz w:val="19"/>
                <w:szCs w:val="19"/>
              </w:rPr>
              <w:t>6</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Regulatory and legislative framework</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_Toc494287763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30</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64" w:history="1">
            <w:r w:rsidR="009A2F21" w:rsidRPr="009A2F21">
              <w:rPr>
                <w:rStyle w:val="Hyperlink"/>
                <w:rFonts w:ascii="Arial" w:eastAsiaTheme="majorEastAsia" w:hAnsi="Arial" w:cs="Arial"/>
                <w:noProof/>
                <w:sz w:val="19"/>
                <w:szCs w:val="19"/>
              </w:rPr>
              <w:t>6.1</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Planning and local government legislation</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_Toc494287764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31</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65" w:history="1">
            <w:r w:rsidR="009A2F21" w:rsidRPr="009A2F21">
              <w:rPr>
                <w:rStyle w:val="Hyperlink"/>
                <w:rFonts w:ascii="Arial" w:eastAsiaTheme="majorEastAsia" w:hAnsi="Arial" w:cs="Arial"/>
                <w:noProof/>
                <w:sz w:val="19"/>
                <w:szCs w:val="19"/>
              </w:rPr>
              <w:t>6.2</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Gambling legislation</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_Toc494287765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32</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66" w:history="1">
            <w:r w:rsidR="009A2F21" w:rsidRPr="009A2F21">
              <w:rPr>
                <w:rStyle w:val="Hyperlink"/>
                <w:rFonts w:ascii="Arial" w:eastAsiaTheme="majorEastAsia" w:hAnsi="Arial" w:cs="Arial"/>
                <w:noProof/>
                <w:sz w:val="19"/>
                <w:szCs w:val="19"/>
              </w:rPr>
              <w:t>6.3</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Regulatory environment</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_Toc494287766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34</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67" w:history="1">
            <w:r w:rsidR="009A2F21" w:rsidRPr="009A2F21">
              <w:rPr>
                <w:rStyle w:val="Hyperlink"/>
                <w:rFonts w:ascii="Arial" w:eastAsiaTheme="majorEastAsia" w:hAnsi="Arial" w:cs="Arial"/>
                <w:noProof/>
                <w:sz w:val="19"/>
                <w:szCs w:val="19"/>
              </w:rPr>
              <w:t>6.4</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Council’s roles</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_Toc494287767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36</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68" w:history="1">
            <w:r w:rsidR="009A2F21" w:rsidRPr="009A2F21">
              <w:rPr>
                <w:rStyle w:val="Hyperlink"/>
                <w:rFonts w:ascii="Arial" w:eastAsiaTheme="majorEastAsia" w:hAnsi="Arial" w:cs="Arial"/>
                <w:noProof/>
                <w:sz w:val="19"/>
                <w:szCs w:val="19"/>
              </w:rPr>
              <w:t>6.5</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Gambling and planning considerations</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_Toc494287768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37</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69" w:history="1">
            <w:r w:rsidR="009A2F21" w:rsidRPr="009A2F21">
              <w:rPr>
                <w:rStyle w:val="Hyperlink"/>
                <w:rFonts w:ascii="Arial" w:eastAsiaTheme="majorEastAsia" w:hAnsi="Arial" w:cs="Arial"/>
                <w:noProof/>
                <w:sz w:val="19"/>
                <w:szCs w:val="19"/>
              </w:rPr>
              <w:t>6.6</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Harm minimisation</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_Toc494287769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39</w:t>
            </w:r>
            <w:r w:rsidR="009A2F21" w:rsidRPr="009A2F21">
              <w:rPr>
                <w:rFonts w:ascii="Arial" w:hAnsi="Arial" w:cs="Arial"/>
                <w:noProof/>
                <w:webHidden/>
                <w:sz w:val="19"/>
                <w:szCs w:val="19"/>
              </w:rPr>
              <w:fldChar w:fldCharType="end"/>
            </w:r>
          </w:hyperlink>
        </w:p>
        <w:p w:rsidR="009A2F21" w:rsidRPr="009A2F21" w:rsidRDefault="00802F28">
          <w:pPr>
            <w:pStyle w:val="TOC1"/>
            <w:tabs>
              <w:tab w:val="left" w:pos="400"/>
              <w:tab w:val="right" w:leader="dot" w:pos="9016"/>
            </w:tabs>
            <w:rPr>
              <w:rFonts w:ascii="Arial" w:eastAsiaTheme="minorEastAsia" w:hAnsi="Arial" w:cs="Arial"/>
              <w:noProof/>
              <w:sz w:val="19"/>
              <w:szCs w:val="19"/>
              <w:lang w:eastAsia="en-AU"/>
            </w:rPr>
          </w:pPr>
          <w:hyperlink w:anchor="_Toc494287770" w:history="1">
            <w:r w:rsidR="009A2F21" w:rsidRPr="009A2F21">
              <w:rPr>
                <w:rStyle w:val="Hyperlink"/>
                <w:rFonts w:ascii="Arial" w:eastAsiaTheme="majorEastAsia" w:hAnsi="Arial" w:cs="Arial"/>
                <w:noProof/>
                <w:sz w:val="19"/>
                <w:szCs w:val="19"/>
              </w:rPr>
              <w:t>7</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Relevant gaming and planning decisions</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_Toc494287770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42</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71" w:history="1">
            <w:r w:rsidR="009A2F21" w:rsidRPr="009A2F21">
              <w:rPr>
                <w:rStyle w:val="Hyperlink"/>
                <w:rFonts w:ascii="Arial" w:eastAsiaTheme="majorEastAsia" w:hAnsi="Arial" w:cs="Arial"/>
                <w:noProof/>
                <w:sz w:val="19"/>
                <w:szCs w:val="19"/>
              </w:rPr>
              <w:t>7.1</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City of Melbourne</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_Toc494287771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43</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72" w:history="1">
            <w:r w:rsidR="009A2F21" w:rsidRPr="009A2F21">
              <w:rPr>
                <w:rStyle w:val="Hyperlink"/>
                <w:rFonts w:ascii="Arial" w:eastAsiaTheme="majorEastAsia" w:hAnsi="Arial" w:cs="Arial"/>
                <w:noProof/>
                <w:sz w:val="19"/>
                <w:szCs w:val="19"/>
              </w:rPr>
              <w:t>7.2</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Key principles from gaming and planning decisions</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_Toc494287772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44</w:t>
            </w:r>
            <w:r w:rsidR="009A2F21" w:rsidRPr="009A2F21">
              <w:rPr>
                <w:rFonts w:ascii="Arial" w:hAnsi="Arial" w:cs="Arial"/>
                <w:noProof/>
                <w:webHidden/>
                <w:sz w:val="19"/>
                <w:szCs w:val="19"/>
              </w:rPr>
              <w:fldChar w:fldCharType="end"/>
            </w:r>
          </w:hyperlink>
        </w:p>
        <w:p w:rsidR="009A2F21" w:rsidRPr="009A2F21" w:rsidRDefault="00802F28">
          <w:pPr>
            <w:pStyle w:val="TOC1"/>
            <w:tabs>
              <w:tab w:val="left" w:pos="400"/>
              <w:tab w:val="right" w:leader="dot" w:pos="9016"/>
            </w:tabs>
            <w:rPr>
              <w:rFonts w:ascii="Arial" w:eastAsiaTheme="minorEastAsia" w:hAnsi="Arial" w:cs="Arial"/>
              <w:noProof/>
              <w:sz w:val="19"/>
              <w:szCs w:val="19"/>
              <w:lang w:eastAsia="en-AU"/>
            </w:rPr>
          </w:pPr>
          <w:hyperlink w:anchor="_Toc494287773" w:history="1">
            <w:r w:rsidR="009A2F21" w:rsidRPr="009A2F21">
              <w:rPr>
                <w:rStyle w:val="Hyperlink"/>
                <w:rFonts w:ascii="Arial" w:eastAsiaTheme="majorEastAsia" w:hAnsi="Arial" w:cs="Arial"/>
                <w:noProof/>
                <w:sz w:val="19"/>
                <w:szCs w:val="19"/>
              </w:rPr>
              <w:t>8</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Framework for assessment of socio-economic impacts of gambling harm</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_Toc494287773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47</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74" w:history="1">
            <w:r w:rsidR="009A2F21" w:rsidRPr="009A2F21">
              <w:rPr>
                <w:rStyle w:val="Hyperlink"/>
                <w:rFonts w:ascii="Arial" w:eastAsiaTheme="majorEastAsia" w:hAnsi="Arial" w:cs="Arial"/>
                <w:noProof/>
                <w:sz w:val="19"/>
                <w:szCs w:val="19"/>
              </w:rPr>
              <w:t>8.1</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Participation in gambling activities</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_Toc494287774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48</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75" w:history="1">
            <w:r w:rsidR="009A2F21" w:rsidRPr="009A2F21">
              <w:rPr>
                <w:rStyle w:val="Hyperlink"/>
                <w:rFonts w:ascii="Arial" w:eastAsiaTheme="majorEastAsia" w:hAnsi="Arial" w:cs="Arial"/>
                <w:noProof/>
                <w:sz w:val="19"/>
                <w:szCs w:val="19"/>
              </w:rPr>
              <w:t>8.2</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Prevalence of problem gambling</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_Toc494287775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50</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76" w:history="1">
            <w:r w:rsidR="009A2F21" w:rsidRPr="009A2F21">
              <w:rPr>
                <w:rStyle w:val="Hyperlink"/>
                <w:rFonts w:ascii="Arial" w:eastAsiaTheme="majorEastAsia" w:hAnsi="Arial" w:cs="Arial"/>
                <w:noProof/>
                <w:sz w:val="19"/>
                <w:szCs w:val="19"/>
              </w:rPr>
              <w:t>8.3</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Determinants of gambling-related harm</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_Toc494287776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50</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77" w:history="1">
            <w:r w:rsidR="009A2F21" w:rsidRPr="009A2F21">
              <w:rPr>
                <w:rStyle w:val="Hyperlink"/>
                <w:rFonts w:ascii="Arial" w:eastAsiaTheme="majorEastAsia" w:hAnsi="Arial" w:cs="Arial"/>
                <w:noProof/>
                <w:sz w:val="19"/>
                <w:szCs w:val="19"/>
              </w:rPr>
              <w:t>8.4</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Impacts of gambling</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_Toc494287777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64</w:t>
            </w:r>
            <w:r w:rsidR="009A2F21" w:rsidRPr="009A2F21">
              <w:rPr>
                <w:rFonts w:ascii="Arial" w:hAnsi="Arial" w:cs="Arial"/>
                <w:noProof/>
                <w:webHidden/>
                <w:sz w:val="19"/>
                <w:szCs w:val="19"/>
              </w:rPr>
              <w:fldChar w:fldCharType="end"/>
            </w:r>
          </w:hyperlink>
        </w:p>
        <w:p w:rsidR="009A2F21" w:rsidRPr="009A2F21" w:rsidRDefault="00802F28">
          <w:pPr>
            <w:pStyle w:val="TOC1"/>
            <w:tabs>
              <w:tab w:val="left" w:pos="400"/>
              <w:tab w:val="right" w:leader="dot" w:pos="9016"/>
            </w:tabs>
            <w:rPr>
              <w:rFonts w:ascii="Arial" w:eastAsiaTheme="minorEastAsia" w:hAnsi="Arial" w:cs="Arial"/>
              <w:noProof/>
              <w:sz w:val="19"/>
              <w:szCs w:val="19"/>
              <w:lang w:eastAsia="en-AU"/>
            </w:rPr>
          </w:pPr>
          <w:hyperlink w:anchor="_Toc494287778" w:history="1">
            <w:r w:rsidR="009A2F21" w:rsidRPr="009A2F21">
              <w:rPr>
                <w:rStyle w:val="Hyperlink"/>
                <w:rFonts w:ascii="Arial" w:eastAsiaTheme="majorEastAsia" w:hAnsi="Arial" w:cs="Arial"/>
                <w:noProof/>
                <w:sz w:val="19"/>
                <w:szCs w:val="19"/>
              </w:rPr>
              <w:t>9</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Framework for the revised Local Planning Policy for Gaming</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_Toc494287778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73</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79" w:history="1">
            <w:r w:rsidR="009A2F21" w:rsidRPr="009A2F21">
              <w:rPr>
                <w:rStyle w:val="Hyperlink"/>
                <w:rFonts w:ascii="Arial" w:eastAsiaTheme="majorEastAsia" w:hAnsi="Arial" w:cs="Arial"/>
                <w:noProof/>
                <w:sz w:val="19"/>
                <w:szCs w:val="19"/>
              </w:rPr>
              <w:t>9.1</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Review of municipal strategic statements</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_Toc494287779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74</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80" w:history="1">
            <w:r w:rsidR="009A2F21" w:rsidRPr="009A2F21">
              <w:rPr>
                <w:rStyle w:val="Hyperlink"/>
                <w:rFonts w:ascii="Arial" w:eastAsiaTheme="majorEastAsia" w:hAnsi="Arial" w:cs="Arial"/>
                <w:noProof/>
                <w:sz w:val="19"/>
                <w:szCs w:val="19"/>
              </w:rPr>
              <w:t>9.2</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Review of local planning policies for electronic gaming</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_Toc494287780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74</w:t>
            </w:r>
            <w:r w:rsidR="009A2F21" w:rsidRPr="009A2F21">
              <w:rPr>
                <w:rFonts w:ascii="Arial" w:hAnsi="Arial" w:cs="Arial"/>
                <w:noProof/>
                <w:webHidden/>
                <w:sz w:val="19"/>
                <w:szCs w:val="19"/>
              </w:rPr>
              <w:fldChar w:fldCharType="end"/>
            </w:r>
          </w:hyperlink>
        </w:p>
        <w:p w:rsidR="009A2F21" w:rsidRPr="009A2F21" w:rsidRDefault="00802F28">
          <w:pPr>
            <w:pStyle w:val="TOC2"/>
            <w:tabs>
              <w:tab w:val="left" w:pos="880"/>
              <w:tab w:val="right" w:leader="dot" w:pos="9016"/>
            </w:tabs>
            <w:rPr>
              <w:rFonts w:ascii="Arial" w:eastAsiaTheme="minorEastAsia" w:hAnsi="Arial" w:cs="Arial"/>
              <w:noProof/>
              <w:sz w:val="19"/>
              <w:szCs w:val="19"/>
              <w:lang w:eastAsia="en-AU"/>
            </w:rPr>
          </w:pPr>
          <w:hyperlink w:anchor="_Toc494287781" w:history="1">
            <w:r w:rsidR="009A2F21" w:rsidRPr="009A2F21">
              <w:rPr>
                <w:rStyle w:val="Hyperlink"/>
                <w:rFonts w:ascii="Arial" w:eastAsiaTheme="majorEastAsia" w:hAnsi="Arial" w:cs="Arial"/>
                <w:noProof/>
                <w:sz w:val="19"/>
                <w:szCs w:val="19"/>
              </w:rPr>
              <w:t>9.3</w:t>
            </w:r>
            <w:r w:rsidR="009A2F21" w:rsidRPr="009A2F21">
              <w:rPr>
                <w:rFonts w:ascii="Arial" w:eastAsiaTheme="minorEastAsia" w:hAnsi="Arial" w:cs="Arial"/>
                <w:noProof/>
                <w:sz w:val="19"/>
                <w:szCs w:val="19"/>
                <w:lang w:eastAsia="en-AU"/>
              </w:rPr>
              <w:tab/>
            </w:r>
            <w:r w:rsidR="009A2F21" w:rsidRPr="009A2F21">
              <w:rPr>
                <w:rStyle w:val="Hyperlink"/>
                <w:rFonts w:ascii="Arial" w:eastAsiaTheme="majorEastAsia" w:hAnsi="Arial" w:cs="Arial"/>
                <w:noProof/>
                <w:sz w:val="19"/>
                <w:szCs w:val="19"/>
              </w:rPr>
              <w:t>Review of Clause 52.28</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_Toc494287781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79</w:t>
            </w:r>
            <w:r w:rsidR="009A2F21" w:rsidRPr="009A2F21">
              <w:rPr>
                <w:rFonts w:ascii="Arial" w:hAnsi="Arial" w:cs="Arial"/>
                <w:noProof/>
                <w:webHidden/>
                <w:sz w:val="19"/>
                <w:szCs w:val="19"/>
              </w:rPr>
              <w:fldChar w:fldCharType="end"/>
            </w:r>
          </w:hyperlink>
        </w:p>
        <w:p w:rsidR="009A2F21" w:rsidRPr="009A2F21" w:rsidRDefault="00802F28">
          <w:pPr>
            <w:pStyle w:val="TOC1"/>
            <w:tabs>
              <w:tab w:val="right" w:leader="dot" w:pos="9016"/>
            </w:tabs>
            <w:rPr>
              <w:rFonts w:ascii="Arial" w:eastAsiaTheme="minorEastAsia" w:hAnsi="Arial" w:cs="Arial"/>
              <w:noProof/>
              <w:sz w:val="19"/>
              <w:szCs w:val="19"/>
              <w:lang w:eastAsia="en-AU"/>
            </w:rPr>
          </w:pPr>
          <w:hyperlink w:anchor="_Toc494287782" w:history="1">
            <w:r w:rsidR="009A2F21" w:rsidRPr="009A2F21">
              <w:rPr>
                <w:rStyle w:val="Hyperlink"/>
                <w:rFonts w:ascii="Arial" w:eastAsiaTheme="majorEastAsia" w:hAnsi="Arial" w:cs="Arial"/>
                <w:noProof/>
                <w:sz w:val="19"/>
                <w:szCs w:val="19"/>
              </w:rPr>
              <w:t>Appendix 1 – Bibliography and references</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_Toc494287782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81</w:t>
            </w:r>
            <w:r w:rsidR="009A2F21" w:rsidRPr="009A2F21">
              <w:rPr>
                <w:rFonts w:ascii="Arial" w:hAnsi="Arial" w:cs="Arial"/>
                <w:noProof/>
                <w:webHidden/>
                <w:sz w:val="19"/>
                <w:szCs w:val="19"/>
              </w:rPr>
              <w:fldChar w:fldCharType="end"/>
            </w:r>
          </w:hyperlink>
        </w:p>
        <w:p w:rsidR="009A2F21" w:rsidRPr="009A2F21" w:rsidRDefault="00802F28">
          <w:pPr>
            <w:pStyle w:val="TOC1"/>
            <w:tabs>
              <w:tab w:val="right" w:leader="dot" w:pos="9016"/>
            </w:tabs>
            <w:rPr>
              <w:rFonts w:ascii="Arial" w:eastAsiaTheme="minorEastAsia" w:hAnsi="Arial" w:cs="Arial"/>
              <w:noProof/>
              <w:sz w:val="19"/>
              <w:szCs w:val="19"/>
              <w:lang w:eastAsia="en-AU"/>
            </w:rPr>
          </w:pPr>
          <w:hyperlink w:anchor="_Toc494287783" w:history="1">
            <w:r w:rsidR="009A2F21" w:rsidRPr="009A2F21">
              <w:rPr>
                <w:rStyle w:val="Hyperlink"/>
                <w:rFonts w:ascii="Arial" w:eastAsiaTheme="majorEastAsia" w:hAnsi="Arial" w:cs="Arial"/>
                <w:noProof/>
                <w:sz w:val="19"/>
                <w:szCs w:val="19"/>
              </w:rPr>
              <w:t>Appendix 2 – Summary of stakeholder engagement discussions</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_Toc494287783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84</w:t>
            </w:r>
            <w:r w:rsidR="009A2F21" w:rsidRPr="009A2F21">
              <w:rPr>
                <w:rFonts w:ascii="Arial" w:hAnsi="Arial" w:cs="Arial"/>
                <w:noProof/>
                <w:webHidden/>
                <w:sz w:val="19"/>
                <w:szCs w:val="19"/>
              </w:rPr>
              <w:fldChar w:fldCharType="end"/>
            </w:r>
          </w:hyperlink>
        </w:p>
        <w:p w:rsidR="009A2F21" w:rsidRPr="009A2F21" w:rsidRDefault="00802F28">
          <w:pPr>
            <w:pStyle w:val="TOC1"/>
            <w:tabs>
              <w:tab w:val="right" w:leader="dot" w:pos="9016"/>
            </w:tabs>
            <w:rPr>
              <w:rFonts w:ascii="Arial" w:eastAsiaTheme="minorEastAsia" w:hAnsi="Arial" w:cs="Arial"/>
              <w:noProof/>
              <w:sz w:val="19"/>
              <w:szCs w:val="19"/>
              <w:lang w:eastAsia="en-AU"/>
            </w:rPr>
          </w:pPr>
          <w:hyperlink w:anchor="_Toc494287784" w:history="1">
            <w:r w:rsidR="009A2F21" w:rsidRPr="009A2F21">
              <w:rPr>
                <w:rStyle w:val="Hyperlink"/>
                <w:rFonts w:ascii="Arial" w:eastAsiaTheme="majorEastAsia" w:hAnsi="Arial" w:cs="Arial"/>
                <w:noProof/>
                <w:sz w:val="19"/>
                <w:szCs w:val="19"/>
              </w:rPr>
              <w:t>Appendix 3 – Snapshot of key gaming data</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_Toc494287784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89</w:t>
            </w:r>
            <w:r w:rsidR="009A2F21" w:rsidRPr="009A2F21">
              <w:rPr>
                <w:rFonts w:ascii="Arial" w:hAnsi="Arial" w:cs="Arial"/>
                <w:noProof/>
                <w:webHidden/>
                <w:sz w:val="19"/>
                <w:szCs w:val="19"/>
              </w:rPr>
              <w:fldChar w:fldCharType="end"/>
            </w:r>
          </w:hyperlink>
        </w:p>
        <w:p w:rsidR="009A2F21" w:rsidRPr="009A2F21" w:rsidRDefault="00802F28">
          <w:pPr>
            <w:pStyle w:val="TOC1"/>
            <w:tabs>
              <w:tab w:val="right" w:leader="dot" w:pos="9016"/>
            </w:tabs>
            <w:rPr>
              <w:rFonts w:ascii="Arial" w:eastAsiaTheme="minorEastAsia" w:hAnsi="Arial" w:cs="Arial"/>
              <w:noProof/>
              <w:sz w:val="19"/>
              <w:szCs w:val="19"/>
              <w:lang w:eastAsia="en-AU"/>
            </w:rPr>
          </w:pPr>
          <w:hyperlink w:anchor="_Toc494287785" w:history="1">
            <w:r w:rsidR="009A2F21" w:rsidRPr="009A2F21">
              <w:rPr>
                <w:rStyle w:val="Hyperlink"/>
                <w:rFonts w:ascii="Arial" w:eastAsiaTheme="majorEastAsia" w:hAnsi="Arial" w:cs="Arial"/>
                <w:noProof/>
                <w:sz w:val="19"/>
                <w:szCs w:val="19"/>
              </w:rPr>
              <w:t>Appendix 4 – Socio-economic profile of the community and risk factors for gambling-related harms</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_Toc494287785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90</w:t>
            </w:r>
            <w:r w:rsidR="009A2F21" w:rsidRPr="009A2F21">
              <w:rPr>
                <w:rFonts w:ascii="Arial" w:hAnsi="Arial" w:cs="Arial"/>
                <w:noProof/>
                <w:webHidden/>
                <w:sz w:val="19"/>
                <w:szCs w:val="19"/>
              </w:rPr>
              <w:fldChar w:fldCharType="end"/>
            </w:r>
          </w:hyperlink>
        </w:p>
        <w:p w:rsidR="009A2F21" w:rsidRPr="009A2F21" w:rsidRDefault="00802F28">
          <w:pPr>
            <w:pStyle w:val="TOC1"/>
            <w:tabs>
              <w:tab w:val="right" w:leader="dot" w:pos="9016"/>
            </w:tabs>
            <w:rPr>
              <w:rFonts w:ascii="Arial" w:eastAsiaTheme="minorEastAsia" w:hAnsi="Arial" w:cs="Arial"/>
              <w:noProof/>
              <w:sz w:val="19"/>
              <w:szCs w:val="19"/>
              <w:lang w:eastAsia="en-AU"/>
            </w:rPr>
          </w:pPr>
          <w:hyperlink w:anchor="_Toc494287786" w:history="1">
            <w:r w:rsidR="009A2F21" w:rsidRPr="009A2F21">
              <w:rPr>
                <w:rStyle w:val="Hyperlink"/>
                <w:rFonts w:ascii="Arial" w:eastAsiaTheme="majorEastAsia" w:hAnsi="Arial" w:cs="Arial"/>
                <w:noProof/>
                <w:sz w:val="19"/>
                <w:szCs w:val="19"/>
              </w:rPr>
              <w:t>Appendix 5 – Relevant gaming and planning permit decisions, City of Melbourne</w:t>
            </w:r>
            <w:r w:rsidR="009A2F21" w:rsidRPr="009A2F21">
              <w:rPr>
                <w:rFonts w:ascii="Arial" w:hAnsi="Arial" w:cs="Arial"/>
                <w:noProof/>
                <w:webHidden/>
                <w:sz w:val="19"/>
                <w:szCs w:val="19"/>
              </w:rPr>
              <w:tab/>
            </w:r>
            <w:r w:rsidR="009A2F21" w:rsidRPr="009A2F21">
              <w:rPr>
                <w:rFonts w:ascii="Arial" w:hAnsi="Arial" w:cs="Arial"/>
                <w:noProof/>
                <w:webHidden/>
                <w:sz w:val="19"/>
                <w:szCs w:val="19"/>
              </w:rPr>
              <w:fldChar w:fldCharType="begin"/>
            </w:r>
            <w:r w:rsidR="009A2F21" w:rsidRPr="009A2F21">
              <w:rPr>
                <w:rFonts w:ascii="Arial" w:hAnsi="Arial" w:cs="Arial"/>
                <w:noProof/>
                <w:webHidden/>
                <w:sz w:val="19"/>
                <w:szCs w:val="19"/>
              </w:rPr>
              <w:instrText xml:space="preserve"> PAGEREF _Toc494287786 \h </w:instrText>
            </w:r>
            <w:r w:rsidR="009A2F21" w:rsidRPr="009A2F21">
              <w:rPr>
                <w:rFonts w:ascii="Arial" w:hAnsi="Arial" w:cs="Arial"/>
                <w:noProof/>
                <w:webHidden/>
                <w:sz w:val="19"/>
                <w:szCs w:val="19"/>
              </w:rPr>
            </w:r>
            <w:r w:rsidR="009A2F21" w:rsidRPr="009A2F21">
              <w:rPr>
                <w:rFonts w:ascii="Arial" w:hAnsi="Arial" w:cs="Arial"/>
                <w:noProof/>
                <w:webHidden/>
                <w:sz w:val="19"/>
                <w:szCs w:val="19"/>
              </w:rPr>
              <w:fldChar w:fldCharType="separate"/>
            </w:r>
            <w:r w:rsidR="009A2F21" w:rsidRPr="009A2F21">
              <w:rPr>
                <w:rFonts w:ascii="Arial" w:hAnsi="Arial" w:cs="Arial"/>
                <w:noProof/>
                <w:webHidden/>
                <w:sz w:val="19"/>
                <w:szCs w:val="19"/>
              </w:rPr>
              <w:t>91</w:t>
            </w:r>
            <w:r w:rsidR="009A2F21" w:rsidRPr="009A2F21">
              <w:rPr>
                <w:rFonts w:ascii="Arial" w:hAnsi="Arial" w:cs="Arial"/>
                <w:noProof/>
                <w:webHidden/>
                <w:sz w:val="19"/>
                <w:szCs w:val="19"/>
              </w:rPr>
              <w:fldChar w:fldCharType="end"/>
            </w:r>
          </w:hyperlink>
        </w:p>
        <w:p w:rsidR="00375206" w:rsidRDefault="00375206" w:rsidP="00194DA6">
          <w:r w:rsidRPr="009A2F21">
            <w:rPr>
              <w:rFonts w:ascii="Arial" w:hAnsi="Arial" w:cs="Arial"/>
              <w:sz w:val="19"/>
              <w:szCs w:val="19"/>
            </w:rPr>
            <w:fldChar w:fldCharType="end"/>
          </w:r>
        </w:p>
      </w:sdtContent>
    </w:sdt>
    <w:p w:rsidR="00375206" w:rsidRPr="00F27E2F" w:rsidRDefault="00375206" w:rsidP="00194DA6">
      <w:pPr>
        <w:rPr>
          <w:rFonts w:ascii="CoM" w:hAnsi="CoM"/>
          <w:sz w:val="32"/>
          <w:szCs w:val="32"/>
        </w:rPr>
      </w:pPr>
      <w:r w:rsidRPr="00F27E2F">
        <w:rPr>
          <w:rFonts w:ascii="CoM" w:hAnsi="CoM"/>
          <w:sz w:val="32"/>
          <w:szCs w:val="32"/>
        </w:rPr>
        <w:t>Figures</w:t>
      </w:r>
    </w:p>
    <w:p w:rsidR="009A2F21" w:rsidRDefault="00261E6F">
      <w:pPr>
        <w:pStyle w:val="TableofFigures"/>
        <w:tabs>
          <w:tab w:val="right" w:leader="dot" w:pos="9016"/>
        </w:tabs>
        <w:rPr>
          <w:rFonts w:asciiTheme="minorHAnsi" w:eastAsiaTheme="minorEastAsia" w:hAnsiTheme="minorHAnsi" w:cstheme="minorBidi"/>
          <w:noProof/>
          <w:szCs w:val="22"/>
          <w:lang w:eastAsia="en-AU"/>
        </w:rPr>
      </w:pPr>
      <w:r w:rsidRPr="007F6078">
        <w:rPr>
          <w:rFonts w:ascii="Arial" w:hAnsi="Arial" w:cs="Arial"/>
          <w:sz w:val="20"/>
          <w:szCs w:val="20"/>
        </w:rPr>
        <w:fldChar w:fldCharType="begin"/>
      </w:r>
      <w:r w:rsidRPr="007F6078">
        <w:rPr>
          <w:rFonts w:ascii="Arial" w:hAnsi="Arial" w:cs="Arial"/>
          <w:sz w:val="20"/>
          <w:szCs w:val="20"/>
        </w:rPr>
        <w:instrText xml:space="preserve"> TOC \h \z \c "Figure" </w:instrText>
      </w:r>
      <w:r w:rsidRPr="007F6078">
        <w:rPr>
          <w:rFonts w:ascii="Arial" w:hAnsi="Arial" w:cs="Arial"/>
          <w:sz w:val="20"/>
          <w:szCs w:val="20"/>
        </w:rPr>
        <w:fldChar w:fldCharType="separate"/>
      </w:r>
      <w:hyperlink w:anchor="_Toc494287805" w:history="1">
        <w:r w:rsidR="009A2F21" w:rsidRPr="0054026E">
          <w:rPr>
            <w:rStyle w:val="Hyperlink"/>
            <w:rFonts w:eastAsiaTheme="majorEastAsia"/>
            <w:noProof/>
          </w:rPr>
          <w:t>Figure 1 – Structure of the Background Report</w:t>
        </w:r>
        <w:r w:rsidR="009A2F21">
          <w:rPr>
            <w:noProof/>
            <w:webHidden/>
          </w:rPr>
          <w:tab/>
        </w:r>
        <w:r w:rsidR="009A2F21">
          <w:rPr>
            <w:noProof/>
            <w:webHidden/>
          </w:rPr>
          <w:fldChar w:fldCharType="begin"/>
        </w:r>
        <w:r w:rsidR="009A2F21">
          <w:rPr>
            <w:noProof/>
            <w:webHidden/>
          </w:rPr>
          <w:instrText xml:space="preserve"> PAGEREF _Toc494287805 \h </w:instrText>
        </w:r>
        <w:r w:rsidR="009A2F21">
          <w:rPr>
            <w:noProof/>
            <w:webHidden/>
          </w:rPr>
        </w:r>
        <w:r w:rsidR="009A2F21">
          <w:rPr>
            <w:noProof/>
            <w:webHidden/>
          </w:rPr>
          <w:fldChar w:fldCharType="separate"/>
        </w:r>
        <w:r w:rsidR="009A2F21">
          <w:rPr>
            <w:noProof/>
            <w:webHidden/>
          </w:rPr>
          <w:t>2</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06" w:history="1">
        <w:r w:rsidR="009A2F21" w:rsidRPr="0054026E">
          <w:rPr>
            <w:rStyle w:val="Hyperlink"/>
            <w:rFonts w:eastAsiaTheme="majorEastAsia"/>
            <w:noProof/>
          </w:rPr>
          <w:t>Figure 2 – Estimated weekday night time daily population (aged 15 years plus), 2015</w:t>
        </w:r>
        <w:r w:rsidR="009A2F21">
          <w:rPr>
            <w:noProof/>
            <w:webHidden/>
          </w:rPr>
          <w:tab/>
        </w:r>
        <w:r w:rsidR="009A2F21">
          <w:rPr>
            <w:noProof/>
            <w:webHidden/>
          </w:rPr>
          <w:fldChar w:fldCharType="begin"/>
        </w:r>
        <w:r w:rsidR="009A2F21">
          <w:rPr>
            <w:noProof/>
            <w:webHidden/>
          </w:rPr>
          <w:instrText xml:space="preserve"> PAGEREF _Toc494287806 \h </w:instrText>
        </w:r>
        <w:r w:rsidR="009A2F21">
          <w:rPr>
            <w:noProof/>
            <w:webHidden/>
          </w:rPr>
        </w:r>
        <w:r w:rsidR="009A2F21">
          <w:rPr>
            <w:noProof/>
            <w:webHidden/>
          </w:rPr>
          <w:fldChar w:fldCharType="separate"/>
        </w:r>
        <w:r w:rsidR="009A2F21">
          <w:rPr>
            <w:noProof/>
            <w:webHidden/>
          </w:rPr>
          <w:t>5</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07" w:history="1">
        <w:r w:rsidR="009A2F21" w:rsidRPr="0054026E">
          <w:rPr>
            <w:rStyle w:val="Hyperlink"/>
            <w:rFonts w:eastAsiaTheme="majorEastAsia"/>
            <w:noProof/>
          </w:rPr>
          <w:t>Figure 3 – Breakdown of the City of Melbourne’s population, 2014 and 2030 (%)</w:t>
        </w:r>
        <w:r w:rsidR="009A2F21">
          <w:rPr>
            <w:noProof/>
            <w:webHidden/>
          </w:rPr>
          <w:tab/>
        </w:r>
        <w:r w:rsidR="009A2F21">
          <w:rPr>
            <w:noProof/>
            <w:webHidden/>
          </w:rPr>
          <w:fldChar w:fldCharType="begin"/>
        </w:r>
        <w:r w:rsidR="009A2F21">
          <w:rPr>
            <w:noProof/>
            <w:webHidden/>
          </w:rPr>
          <w:instrText xml:space="preserve"> PAGEREF _Toc494287807 \h </w:instrText>
        </w:r>
        <w:r w:rsidR="009A2F21">
          <w:rPr>
            <w:noProof/>
            <w:webHidden/>
          </w:rPr>
        </w:r>
        <w:r w:rsidR="009A2F21">
          <w:rPr>
            <w:noProof/>
            <w:webHidden/>
          </w:rPr>
          <w:fldChar w:fldCharType="separate"/>
        </w:r>
        <w:r w:rsidR="009A2F21">
          <w:rPr>
            <w:noProof/>
            <w:webHidden/>
          </w:rPr>
          <w:t>5</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08" w:history="1">
        <w:r w:rsidR="009A2F21" w:rsidRPr="0054026E">
          <w:rPr>
            <w:rStyle w:val="Hyperlink"/>
            <w:rFonts w:eastAsiaTheme="majorEastAsia"/>
            <w:noProof/>
          </w:rPr>
          <w:t>Figure 4 – Index of Relative Socio-Economic Disadvantage, 2011, City of Melbourne, Adjoining Municipalities and SA2</w:t>
        </w:r>
        <w:r w:rsidR="009A2F21">
          <w:rPr>
            <w:noProof/>
            <w:webHidden/>
          </w:rPr>
          <w:tab/>
        </w:r>
        <w:r w:rsidR="009A2F21">
          <w:rPr>
            <w:noProof/>
            <w:webHidden/>
          </w:rPr>
          <w:fldChar w:fldCharType="begin"/>
        </w:r>
        <w:r w:rsidR="009A2F21">
          <w:rPr>
            <w:noProof/>
            <w:webHidden/>
          </w:rPr>
          <w:instrText xml:space="preserve"> PAGEREF _Toc494287808 \h </w:instrText>
        </w:r>
        <w:r w:rsidR="009A2F21">
          <w:rPr>
            <w:noProof/>
            <w:webHidden/>
          </w:rPr>
        </w:r>
        <w:r w:rsidR="009A2F21">
          <w:rPr>
            <w:noProof/>
            <w:webHidden/>
          </w:rPr>
          <w:fldChar w:fldCharType="separate"/>
        </w:r>
        <w:r w:rsidR="009A2F21">
          <w:rPr>
            <w:noProof/>
            <w:webHidden/>
          </w:rPr>
          <w:t>6</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09" w:history="1">
        <w:r w:rsidR="009A2F21" w:rsidRPr="0054026E">
          <w:rPr>
            <w:rStyle w:val="Hyperlink"/>
            <w:rFonts w:eastAsiaTheme="majorEastAsia" w:cstheme="minorHAnsi"/>
            <w:noProof/>
          </w:rPr>
          <w:t>Figure 5 – Index of Relative Socio-Economic Disadvantage, 2011 by SA1</w:t>
        </w:r>
        <w:r w:rsidR="009A2F21">
          <w:rPr>
            <w:noProof/>
            <w:webHidden/>
          </w:rPr>
          <w:tab/>
        </w:r>
        <w:r w:rsidR="009A2F21">
          <w:rPr>
            <w:noProof/>
            <w:webHidden/>
          </w:rPr>
          <w:fldChar w:fldCharType="begin"/>
        </w:r>
        <w:r w:rsidR="009A2F21">
          <w:rPr>
            <w:noProof/>
            <w:webHidden/>
          </w:rPr>
          <w:instrText xml:space="preserve"> PAGEREF _Toc494287809 \h </w:instrText>
        </w:r>
        <w:r w:rsidR="009A2F21">
          <w:rPr>
            <w:noProof/>
            <w:webHidden/>
          </w:rPr>
        </w:r>
        <w:r w:rsidR="009A2F21">
          <w:rPr>
            <w:noProof/>
            <w:webHidden/>
          </w:rPr>
          <w:fldChar w:fldCharType="separate"/>
        </w:r>
        <w:r w:rsidR="009A2F21">
          <w:rPr>
            <w:noProof/>
            <w:webHidden/>
          </w:rPr>
          <w:t>7</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10" w:history="1">
        <w:r w:rsidR="009A2F21" w:rsidRPr="0054026E">
          <w:rPr>
            <w:rStyle w:val="Hyperlink"/>
            <w:rFonts w:eastAsiaTheme="majorEastAsia"/>
            <w:noProof/>
          </w:rPr>
          <w:t>Figure 6 – Capped and uncapped areas of the City of Melbourne</w:t>
        </w:r>
        <w:r w:rsidR="009A2F21">
          <w:rPr>
            <w:noProof/>
            <w:webHidden/>
          </w:rPr>
          <w:tab/>
        </w:r>
        <w:r w:rsidR="009A2F21">
          <w:rPr>
            <w:noProof/>
            <w:webHidden/>
          </w:rPr>
          <w:fldChar w:fldCharType="begin"/>
        </w:r>
        <w:r w:rsidR="009A2F21">
          <w:rPr>
            <w:noProof/>
            <w:webHidden/>
          </w:rPr>
          <w:instrText xml:space="preserve"> PAGEREF _Toc494287810 \h </w:instrText>
        </w:r>
        <w:r w:rsidR="009A2F21">
          <w:rPr>
            <w:noProof/>
            <w:webHidden/>
          </w:rPr>
        </w:r>
        <w:r w:rsidR="009A2F21">
          <w:rPr>
            <w:noProof/>
            <w:webHidden/>
          </w:rPr>
          <w:fldChar w:fldCharType="separate"/>
        </w:r>
        <w:r w:rsidR="009A2F21">
          <w:rPr>
            <w:noProof/>
            <w:webHidden/>
          </w:rPr>
          <w:t>9</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11" w:history="1">
        <w:r w:rsidR="009A2F21" w:rsidRPr="0054026E">
          <w:rPr>
            <w:rStyle w:val="Hyperlink"/>
            <w:rFonts w:eastAsiaTheme="majorEastAsia" w:cstheme="minorHAnsi"/>
            <w:noProof/>
          </w:rPr>
          <w:t>Figure 7 – Average expenditure clubs and hotels Melbourne compared with metropolitan LGAs, 2015-16</w:t>
        </w:r>
        <w:r w:rsidR="009A2F21">
          <w:rPr>
            <w:noProof/>
            <w:webHidden/>
          </w:rPr>
          <w:tab/>
        </w:r>
        <w:r w:rsidR="009A2F21">
          <w:rPr>
            <w:noProof/>
            <w:webHidden/>
          </w:rPr>
          <w:fldChar w:fldCharType="begin"/>
        </w:r>
        <w:r w:rsidR="009A2F21">
          <w:rPr>
            <w:noProof/>
            <w:webHidden/>
          </w:rPr>
          <w:instrText xml:space="preserve"> PAGEREF _Toc494287811 \h </w:instrText>
        </w:r>
        <w:r w:rsidR="009A2F21">
          <w:rPr>
            <w:noProof/>
            <w:webHidden/>
          </w:rPr>
        </w:r>
        <w:r w:rsidR="009A2F21">
          <w:rPr>
            <w:noProof/>
            <w:webHidden/>
          </w:rPr>
          <w:fldChar w:fldCharType="separate"/>
        </w:r>
        <w:r w:rsidR="009A2F21">
          <w:rPr>
            <w:noProof/>
            <w:webHidden/>
          </w:rPr>
          <w:t>14</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12" w:history="1">
        <w:r w:rsidR="009A2F21" w:rsidRPr="0054026E">
          <w:rPr>
            <w:rStyle w:val="Hyperlink"/>
            <w:rFonts w:eastAsiaTheme="majorEastAsia" w:cstheme="minorHAnsi"/>
            <w:noProof/>
          </w:rPr>
          <w:t>Figure 8 – Expenditure per attached EGM entitlement, 2015-16</w:t>
        </w:r>
        <w:r w:rsidR="009A2F21">
          <w:rPr>
            <w:noProof/>
            <w:webHidden/>
          </w:rPr>
          <w:tab/>
        </w:r>
        <w:r w:rsidR="009A2F21">
          <w:rPr>
            <w:noProof/>
            <w:webHidden/>
          </w:rPr>
          <w:fldChar w:fldCharType="begin"/>
        </w:r>
        <w:r w:rsidR="009A2F21">
          <w:rPr>
            <w:noProof/>
            <w:webHidden/>
          </w:rPr>
          <w:instrText xml:space="preserve"> PAGEREF _Toc494287812 \h </w:instrText>
        </w:r>
        <w:r w:rsidR="009A2F21">
          <w:rPr>
            <w:noProof/>
            <w:webHidden/>
          </w:rPr>
        </w:r>
        <w:r w:rsidR="009A2F21">
          <w:rPr>
            <w:noProof/>
            <w:webHidden/>
          </w:rPr>
          <w:fldChar w:fldCharType="separate"/>
        </w:r>
        <w:r w:rsidR="009A2F21">
          <w:rPr>
            <w:noProof/>
            <w:webHidden/>
          </w:rPr>
          <w:t>14</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13" w:history="1">
        <w:r w:rsidR="009A2F21" w:rsidRPr="0054026E">
          <w:rPr>
            <w:rStyle w:val="Hyperlink"/>
            <w:rFonts w:eastAsiaTheme="majorEastAsia" w:cstheme="minorHAnsi"/>
            <w:noProof/>
          </w:rPr>
          <w:t>Figure 9 - Expenditure per gaming venue, and number of attached EGM entitlements, City of Melbourne, 2015-16</w:t>
        </w:r>
        <w:r w:rsidR="009A2F21">
          <w:rPr>
            <w:noProof/>
            <w:webHidden/>
          </w:rPr>
          <w:tab/>
        </w:r>
        <w:r w:rsidR="009A2F21">
          <w:rPr>
            <w:noProof/>
            <w:webHidden/>
          </w:rPr>
          <w:fldChar w:fldCharType="begin"/>
        </w:r>
        <w:r w:rsidR="009A2F21">
          <w:rPr>
            <w:noProof/>
            <w:webHidden/>
          </w:rPr>
          <w:instrText xml:space="preserve"> PAGEREF _Toc494287813 \h </w:instrText>
        </w:r>
        <w:r w:rsidR="009A2F21">
          <w:rPr>
            <w:noProof/>
            <w:webHidden/>
          </w:rPr>
        </w:r>
        <w:r w:rsidR="009A2F21">
          <w:rPr>
            <w:noProof/>
            <w:webHidden/>
          </w:rPr>
          <w:fldChar w:fldCharType="separate"/>
        </w:r>
        <w:r w:rsidR="009A2F21">
          <w:rPr>
            <w:noProof/>
            <w:webHidden/>
          </w:rPr>
          <w:t>15</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14" w:history="1">
        <w:r w:rsidR="009A2F21" w:rsidRPr="0054026E">
          <w:rPr>
            <w:rStyle w:val="Hyperlink"/>
            <w:rFonts w:eastAsiaTheme="majorEastAsia" w:cstheme="minorHAnsi"/>
            <w:noProof/>
          </w:rPr>
          <w:t>Figure 10 – Crown Casino location</w:t>
        </w:r>
        <w:r w:rsidR="009A2F21">
          <w:rPr>
            <w:noProof/>
            <w:webHidden/>
          </w:rPr>
          <w:tab/>
        </w:r>
        <w:r w:rsidR="009A2F21">
          <w:rPr>
            <w:noProof/>
            <w:webHidden/>
          </w:rPr>
          <w:fldChar w:fldCharType="begin"/>
        </w:r>
        <w:r w:rsidR="009A2F21">
          <w:rPr>
            <w:noProof/>
            <w:webHidden/>
          </w:rPr>
          <w:instrText xml:space="preserve"> PAGEREF _Toc494287814 \h </w:instrText>
        </w:r>
        <w:r w:rsidR="009A2F21">
          <w:rPr>
            <w:noProof/>
            <w:webHidden/>
          </w:rPr>
        </w:r>
        <w:r w:rsidR="009A2F21">
          <w:rPr>
            <w:noProof/>
            <w:webHidden/>
          </w:rPr>
          <w:fldChar w:fldCharType="separate"/>
        </w:r>
        <w:r w:rsidR="009A2F21">
          <w:rPr>
            <w:noProof/>
            <w:webHidden/>
          </w:rPr>
          <w:t>18</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15" w:history="1">
        <w:r w:rsidR="009A2F21" w:rsidRPr="0054026E">
          <w:rPr>
            <w:rStyle w:val="Hyperlink"/>
            <w:rFonts w:eastAsiaTheme="majorEastAsia"/>
            <w:noProof/>
          </w:rPr>
          <w:t>Figure 11 – Keno and wagering (sports betting) facilities</w:t>
        </w:r>
        <w:r w:rsidR="009A2F21">
          <w:rPr>
            <w:noProof/>
            <w:webHidden/>
          </w:rPr>
          <w:tab/>
        </w:r>
        <w:r w:rsidR="009A2F21">
          <w:rPr>
            <w:noProof/>
            <w:webHidden/>
          </w:rPr>
          <w:fldChar w:fldCharType="begin"/>
        </w:r>
        <w:r w:rsidR="009A2F21">
          <w:rPr>
            <w:noProof/>
            <w:webHidden/>
          </w:rPr>
          <w:instrText xml:space="preserve"> PAGEREF _Toc494287815 \h </w:instrText>
        </w:r>
        <w:r w:rsidR="009A2F21">
          <w:rPr>
            <w:noProof/>
            <w:webHidden/>
          </w:rPr>
        </w:r>
        <w:r w:rsidR="009A2F21">
          <w:rPr>
            <w:noProof/>
            <w:webHidden/>
          </w:rPr>
          <w:fldChar w:fldCharType="separate"/>
        </w:r>
        <w:r w:rsidR="009A2F21">
          <w:rPr>
            <w:noProof/>
            <w:webHidden/>
          </w:rPr>
          <w:t>19</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16" w:history="1">
        <w:r w:rsidR="009A2F21" w:rsidRPr="0054026E">
          <w:rPr>
            <w:rStyle w:val="Hyperlink"/>
            <w:rFonts w:eastAsiaTheme="majorEastAsia"/>
            <w:noProof/>
          </w:rPr>
          <w:t>Figure 12 – Urban renewal areas, City of Melbourne</w:t>
        </w:r>
        <w:r w:rsidR="009A2F21">
          <w:rPr>
            <w:noProof/>
            <w:webHidden/>
          </w:rPr>
          <w:tab/>
        </w:r>
        <w:r w:rsidR="009A2F21">
          <w:rPr>
            <w:noProof/>
            <w:webHidden/>
          </w:rPr>
          <w:fldChar w:fldCharType="begin"/>
        </w:r>
        <w:r w:rsidR="009A2F21">
          <w:rPr>
            <w:noProof/>
            <w:webHidden/>
          </w:rPr>
          <w:instrText xml:space="preserve"> PAGEREF _Toc494287816 \h </w:instrText>
        </w:r>
        <w:r w:rsidR="009A2F21">
          <w:rPr>
            <w:noProof/>
            <w:webHidden/>
          </w:rPr>
        </w:r>
        <w:r w:rsidR="009A2F21">
          <w:rPr>
            <w:noProof/>
            <w:webHidden/>
          </w:rPr>
          <w:fldChar w:fldCharType="separate"/>
        </w:r>
        <w:r w:rsidR="009A2F21">
          <w:rPr>
            <w:noProof/>
            <w:webHidden/>
          </w:rPr>
          <w:t>23</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17" w:history="1">
        <w:r w:rsidR="009A2F21" w:rsidRPr="0054026E">
          <w:rPr>
            <w:rStyle w:val="Hyperlink"/>
            <w:rFonts w:eastAsiaTheme="majorEastAsia"/>
            <w:noProof/>
          </w:rPr>
          <w:t>Figure 13 - Council’s roles in addressing gambling-related harm</w:t>
        </w:r>
        <w:r w:rsidR="009A2F21">
          <w:rPr>
            <w:noProof/>
            <w:webHidden/>
          </w:rPr>
          <w:tab/>
        </w:r>
        <w:r w:rsidR="009A2F21">
          <w:rPr>
            <w:noProof/>
            <w:webHidden/>
          </w:rPr>
          <w:fldChar w:fldCharType="begin"/>
        </w:r>
        <w:r w:rsidR="009A2F21">
          <w:rPr>
            <w:noProof/>
            <w:webHidden/>
          </w:rPr>
          <w:instrText xml:space="preserve"> PAGEREF _Toc494287817 \h </w:instrText>
        </w:r>
        <w:r w:rsidR="009A2F21">
          <w:rPr>
            <w:noProof/>
            <w:webHidden/>
          </w:rPr>
        </w:r>
        <w:r w:rsidR="009A2F21">
          <w:rPr>
            <w:noProof/>
            <w:webHidden/>
          </w:rPr>
          <w:fldChar w:fldCharType="separate"/>
        </w:r>
        <w:r w:rsidR="009A2F21">
          <w:rPr>
            <w:noProof/>
            <w:webHidden/>
          </w:rPr>
          <w:t>36</w:t>
        </w:r>
        <w:r w:rsidR="009A2F21">
          <w:rPr>
            <w:noProof/>
            <w:webHidden/>
          </w:rPr>
          <w:fldChar w:fldCharType="end"/>
        </w:r>
      </w:hyperlink>
    </w:p>
    <w:p w:rsidR="00375206" w:rsidRDefault="00261E6F" w:rsidP="00194DA6">
      <w:r w:rsidRPr="007F6078">
        <w:rPr>
          <w:rFonts w:ascii="Arial" w:hAnsi="Arial" w:cs="Arial"/>
          <w:b/>
          <w:bCs/>
          <w:noProof/>
          <w:sz w:val="20"/>
          <w:szCs w:val="20"/>
          <w:lang w:val="en-US"/>
        </w:rPr>
        <w:fldChar w:fldCharType="end"/>
      </w:r>
    </w:p>
    <w:p w:rsidR="009A2F21" w:rsidRDefault="00375206" w:rsidP="00194DA6">
      <w:pPr>
        <w:rPr>
          <w:noProof/>
        </w:rPr>
      </w:pPr>
      <w:r w:rsidRPr="00F27E2F">
        <w:rPr>
          <w:rFonts w:ascii="CoM" w:hAnsi="CoM"/>
          <w:sz w:val="32"/>
          <w:szCs w:val="32"/>
        </w:rPr>
        <w:t>Tables</w:t>
      </w:r>
      <w:r>
        <w:rPr>
          <w:rFonts w:ascii="CoM" w:hAnsi="CoM"/>
          <w:sz w:val="32"/>
          <w:szCs w:val="32"/>
        </w:rPr>
        <w:fldChar w:fldCharType="begin"/>
      </w:r>
      <w:r w:rsidRPr="00F27E2F">
        <w:rPr>
          <w:rFonts w:ascii="CoM" w:hAnsi="CoM"/>
          <w:sz w:val="32"/>
          <w:szCs w:val="32"/>
        </w:rPr>
        <w:instrText xml:space="preserve"> TOC \h \z \c "Table" </w:instrText>
      </w:r>
      <w:r>
        <w:rPr>
          <w:rFonts w:ascii="CoM" w:hAnsi="CoM"/>
          <w:sz w:val="32"/>
          <w:szCs w:val="32"/>
        </w:rPr>
        <w:fldChar w:fldCharType="separate"/>
      </w:r>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18" w:history="1">
        <w:r w:rsidR="009A2F21" w:rsidRPr="0063520D">
          <w:rPr>
            <w:rStyle w:val="Hyperlink"/>
            <w:rFonts w:eastAsiaTheme="majorEastAsia"/>
            <w:noProof/>
          </w:rPr>
          <w:t>Table 1 – Expenditure at gaming venues within the City of Melbourne</w:t>
        </w:r>
        <w:r w:rsidR="009A2F21">
          <w:rPr>
            <w:noProof/>
            <w:webHidden/>
          </w:rPr>
          <w:tab/>
        </w:r>
        <w:r w:rsidR="009A2F21">
          <w:rPr>
            <w:noProof/>
            <w:webHidden/>
          </w:rPr>
          <w:fldChar w:fldCharType="begin"/>
        </w:r>
        <w:r w:rsidR="009A2F21">
          <w:rPr>
            <w:noProof/>
            <w:webHidden/>
          </w:rPr>
          <w:instrText xml:space="preserve"> PAGEREF _Toc494287818 \h </w:instrText>
        </w:r>
        <w:r w:rsidR="009A2F21">
          <w:rPr>
            <w:noProof/>
            <w:webHidden/>
          </w:rPr>
        </w:r>
        <w:r w:rsidR="009A2F21">
          <w:rPr>
            <w:noProof/>
            <w:webHidden/>
          </w:rPr>
          <w:fldChar w:fldCharType="separate"/>
        </w:r>
        <w:r w:rsidR="009A2F21">
          <w:rPr>
            <w:noProof/>
            <w:webHidden/>
          </w:rPr>
          <w:t>10</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19" w:history="1">
        <w:r w:rsidR="009A2F21" w:rsidRPr="0063520D">
          <w:rPr>
            <w:rStyle w:val="Hyperlink"/>
            <w:rFonts w:eastAsiaTheme="majorEastAsia"/>
            <w:noProof/>
          </w:rPr>
          <w:t>Table 2 – Change in EGM expenditure, EGM expenditure per adult and density of EGMs per 1,000 adults 2011-12 to 2015-16</w:t>
        </w:r>
        <w:r w:rsidR="009A2F21">
          <w:rPr>
            <w:noProof/>
            <w:webHidden/>
          </w:rPr>
          <w:tab/>
        </w:r>
        <w:r w:rsidR="009A2F21">
          <w:rPr>
            <w:noProof/>
            <w:webHidden/>
          </w:rPr>
          <w:fldChar w:fldCharType="begin"/>
        </w:r>
        <w:r w:rsidR="009A2F21">
          <w:rPr>
            <w:noProof/>
            <w:webHidden/>
          </w:rPr>
          <w:instrText xml:space="preserve"> PAGEREF _Toc494287819 \h </w:instrText>
        </w:r>
        <w:r w:rsidR="009A2F21">
          <w:rPr>
            <w:noProof/>
            <w:webHidden/>
          </w:rPr>
        </w:r>
        <w:r w:rsidR="009A2F21">
          <w:rPr>
            <w:noProof/>
            <w:webHidden/>
          </w:rPr>
          <w:fldChar w:fldCharType="separate"/>
        </w:r>
        <w:r w:rsidR="009A2F21">
          <w:rPr>
            <w:noProof/>
            <w:webHidden/>
          </w:rPr>
          <w:t>13</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20" w:history="1">
        <w:r w:rsidR="009A2F21" w:rsidRPr="0063520D">
          <w:rPr>
            <w:rStyle w:val="Hyperlink"/>
            <w:rFonts w:eastAsiaTheme="majorEastAsia"/>
            <w:noProof/>
          </w:rPr>
          <w:t>Table 3 – Principles and actions underpinning Council’s strategic and policy framework</w:t>
        </w:r>
        <w:r w:rsidR="009A2F21">
          <w:rPr>
            <w:noProof/>
            <w:webHidden/>
          </w:rPr>
          <w:tab/>
        </w:r>
        <w:r w:rsidR="009A2F21">
          <w:rPr>
            <w:noProof/>
            <w:webHidden/>
          </w:rPr>
          <w:fldChar w:fldCharType="begin"/>
        </w:r>
        <w:r w:rsidR="009A2F21">
          <w:rPr>
            <w:noProof/>
            <w:webHidden/>
          </w:rPr>
          <w:instrText xml:space="preserve"> PAGEREF _Toc494287820 \h </w:instrText>
        </w:r>
        <w:r w:rsidR="009A2F21">
          <w:rPr>
            <w:noProof/>
            <w:webHidden/>
          </w:rPr>
        </w:r>
        <w:r w:rsidR="009A2F21">
          <w:rPr>
            <w:noProof/>
            <w:webHidden/>
          </w:rPr>
          <w:fldChar w:fldCharType="separate"/>
        </w:r>
        <w:r w:rsidR="009A2F21">
          <w:rPr>
            <w:noProof/>
            <w:webHidden/>
          </w:rPr>
          <w:t>21</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21" w:history="1">
        <w:r w:rsidR="009A2F21" w:rsidRPr="0063520D">
          <w:rPr>
            <w:rStyle w:val="Hyperlink"/>
            <w:rFonts w:eastAsiaTheme="majorEastAsia"/>
            <w:noProof/>
          </w:rPr>
          <w:t>Table 4 – Relevant Clauses of the Melbourne Planning Scheme Local Planning Policy Framework</w:t>
        </w:r>
        <w:r w:rsidR="009A2F21">
          <w:rPr>
            <w:noProof/>
            <w:webHidden/>
          </w:rPr>
          <w:tab/>
        </w:r>
        <w:r w:rsidR="009A2F21">
          <w:rPr>
            <w:noProof/>
            <w:webHidden/>
          </w:rPr>
          <w:fldChar w:fldCharType="begin"/>
        </w:r>
        <w:r w:rsidR="009A2F21">
          <w:rPr>
            <w:noProof/>
            <w:webHidden/>
          </w:rPr>
          <w:instrText xml:space="preserve"> PAGEREF _Toc494287821 \h </w:instrText>
        </w:r>
        <w:r w:rsidR="009A2F21">
          <w:rPr>
            <w:noProof/>
            <w:webHidden/>
          </w:rPr>
        </w:r>
        <w:r w:rsidR="009A2F21">
          <w:rPr>
            <w:noProof/>
            <w:webHidden/>
          </w:rPr>
          <w:fldChar w:fldCharType="separate"/>
        </w:r>
        <w:r w:rsidR="009A2F21">
          <w:rPr>
            <w:noProof/>
            <w:webHidden/>
          </w:rPr>
          <w:t>24</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22" w:history="1">
        <w:r w:rsidR="009A2F21" w:rsidRPr="0063520D">
          <w:rPr>
            <w:rStyle w:val="Hyperlink"/>
            <w:rFonts w:eastAsiaTheme="majorEastAsia"/>
            <w:noProof/>
          </w:rPr>
          <w:t>Table 5 – Land use zones, gaming venues, City of Melbourne</w:t>
        </w:r>
        <w:r w:rsidR="009A2F21">
          <w:rPr>
            <w:noProof/>
            <w:webHidden/>
          </w:rPr>
          <w:tab/>
        </w:r>
        <w:r w:rsidR="009A2F21">
          <w:rPr>
            <w:noProof/>
            <w:webHidden/>
          </w:rPr>
          <w:fldChar w:fldCharType="begin"/>
        </w:r>
        <w:r w:rsidR="009A2F21">
          <w:rPr>
            <w:noProof/>
            <w:webHidden/>
          </w:rPr>
          <w:instrText xml:space="preserve"> PAGEREF _Toc494287822 \h </w:instrText>
        </w:r>
        <w:r w:rsidR="009A2F21">
          <w:rPr>
            <w:noProof/>
            <w:webHidden/>
          </w:rPr>
        </w:r>
        <w:r w:rsidR="009A2F21">
          <w:rPr>
            <w:noProof/>
            <w:webHidden/>
          </w:rPr>
          <w:fldChar w:fldCharType="separate"/>
        </w:r>
        <w:r w:rsidR="009A2F21">
          <w:rPr>
            <w:noProof/>
            <w:webHidden/>
          </w:rPr>
          <w:t>27</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23" w:history="1">
        <w:r w:rsidR="009A2F21" w:rsidRPr="0063520D">
          <w:rPr>
            <w:rStyle w:val="Hyperlink"/>
            <w:rFonts w:eastAsiaTheme="majorEastAsia"/>
            <w:noProof/>
          </w:rPr>
          <w:t>Table 6 – Areas of overlap between the different planning and gaming considerations</w:t>
        </w:r>
        <w:r w:rsidR="009A2F21">
          <w:rPr>
            <w:noProof/>
            <w:webHidden/>
          </w:rPr>
          <w:tab/>
        </w:r>
        <w:r w:rsidR="009A2F21">
          <w:rPr>
            <w:noProof/>
            <w:webHidden/>
          </w:rPr>
          <w:fldChar w:fldCharType="begin"/>
        </w:r>
        <w:r w:rsidR="009A2F21">
          <w:rPr>
            <w:noProof/>
            <w:webHidden/>
          </w:rPr>
          <w:instrText xml:space="preserve"> PAGEREF _Toc494287823 \h </w:instrText>
        </w:r>
        <w:r w:rsidR="009A2F21">
          <w:rPr>
            <w:noProof/>
            <w:webHidden/>
          </w:rPr>
        </w:r>
        <w:r w:rsidR="009A2F21">
          <w:rPr>
            <w:noProof/>
            <w:webHidden/>
          </w:rPr>
          <w:fldChar w:fldCharType="separate"/>
        </w:r>
        <w:r w:rsidR="009A2F21">
          <w:rPr>
            <w:noProof/>
            <w:webHidden/>
          </w:rPr>
          <w:t>38</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24" w:history="1">
        <w:r w:rsidR="009A2F21" w:rsidRPr="0063520D">
          <w:rPr>
            <w:rStyle w:val="Hyperlink"/>
            <w:rFonts w:eastAsiaTheme="majorEastAsia"/>
            <w:noProof/>
          </w:rPr>
          <w:t>Table 7 – Timeline of gaming venue applications from 2001, City of Melbourne</w:t>
        </w:r>
        <w:r w:rsidR="009A2F21">
          <w:rPr>
            <w:noProof/>
            <w:webHidden/>
          </w:rPr>
          <w:tab/>
        </w:r>
        <w:r w:rsidR="009A2F21">
          <w:rPr>
            <w:noProof/>
            <w:webHidden/>
          </w:rPr>
          <w:fldChar w:fldCharType="begin"/>
        </w:r>
        <w:r w:rsidR="009A2F21">
          <w:rPr>
            <w:noProof/>
            <w:webHidden/>
          </w:rPr>
          <w:instrText xml:space="preserve"> PAGEREF _Toc494287824 \h </w:instrText>
        </w:r>
        <w:r w:rsidR="009A2F21">
          <w:rPr>
            <w:noProof/>
            <w:webHidden/>
          </w:rPr>
        </w:r>
        <w:r w:rsidR="009A2F21">
          <w:rPr>
            <w:noProof/>
            <w:webHidden/>
          </w:rPr>
          <w:fldChar w:fldCharType="separate"/>
        </w:r>
        <w:r w:rsidR="009A2F21">
          <w:rPr>
            <w:noProof/>
            <w:webHidden/>
          </w:rPr>
          <w:t>43</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25" w:history="1">
        <w:r w:rsidR="009A2F21" w:rsidRPr="0063520D">
          <w:rPr>
            <w:rStyle w:val="Hyperlink"/>
            <w:rFonts w:eastAsiaTheme="majorEastAsia"/>
            <w:noProof/>
          </w:rPr>
          <w:t>Table 8 – Participation in gambling activities in Victoria in the past year, age comparisons with all Victorian adults</w:t>
        </w:r>
        <w:r w:rsidR="009A2F21">
          <w:rPr>
            <w:noProof/>
            <w:webHidden/>
          </w:rPr>
          <w:tab/>
        </w:r>
        <w:r w:rsidR="009A2F21">
          <w:rPr>
            <w:noProof/>
            <w:webHidden/>
          </w:rPr>
          <w:fldChar w:fldCharType="begin"/>
        </w:r>
        <w:r w:rsidR="009A2F21">
          <w:rPr>
            <w:noProof/>
            <w:webHidden/>
          </w:rPr>
          <w:instrText xml:space="preserve"> PAGEREF _Toc494287825 \h </w:instrText>
        </w:r>
        <w:r w:rsidR="009A2F21">
          <w:rPr>
            <w:noProof/>
            <w:webHidden/>
          </w:rPr>
        </w:r>
        <w:r w:rsidR="009A2F21">
          <w:rPr>
            <w:noProof/>
            <w:webHidden/>
          </w:rPr>
          <w:fldChar w:fldCharType="separate"/>
        </w:r>
        <w:r w:rsidR="009A2F21">
          <w:rPr>
            <w:noProof/>
            <w:webHidden/>
          </w:rPr>
          <w:t>49</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26" w:history="1">
        <w:r w:rsidR="009A2F21" w:rsidRPr="0063520D">
          <w:rPr>
            <w:rStyle w:val="Hyperlink"/>
            <w:rFonts w:eastAsiaTheme="majorEastAsia"/>
            <w:noProof/>
          </w:rPr>
          <w:t>Table 9 – Socio-economic and health determinants of gambling-related harms</w:t>
        </w:r>
        <w:r w:rsidR="009A2F21">
          <w:rPr>
            <w:noProof/>
            <w:webHidden/>
          </w:rPr>
          <w:tab/>
        </w:r>
        <w:r w:rsidR="009A2F21">
          <w:rPr>
            <w:noProof/>
            <w:webHidden/>
          </w:rPr>
          <w:fldChar w:fldCharType="begin"/>
        </w:r>
        <w:r w:rsidR="009A2F21">
          <w:rPr>
            <w:noProof/>
            <w:webHidden/>
          </w:rPr>
          <w:instrText xml:space="preserve"> PAGEREF _Toc494287826 \h </w:instrText>
        </w:r>
        <w:r w:rsidR="009A2F21">
          <w:rPr>
            <w:noProof/>
            <w:webHidden/>
          </w:rPr>
        </w:r>
        <w:r w:rsidR="009A2F21">
          <w:rPr>
            <w:noProof/>
            <w:webHidden/>
          </w:rPr>
          <w:fldChar w:fldCharType="separate"/>
        </w:r>
        <w:r w:rsidR="009A2F21">
          <w:rPr>
            <w:noProof/>
            <w:webHidden/>
          </w:rPr>
          <w:t>62</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27" w:history="1">
        <w:r w:rsidR="009A2F21" w:rsidRPr="0063520D">
          <w:rPr>
            <w:rStyle w:val="Hyperlink"/>
            <w:rFonts w:eastAsiaTheme="majorEastAsia"/>
            <w:noProof/>
          </w:rPr>
          <w:t>Table 10 – Summary of key features of selected local planning policies for gaming in Victoria</w:t>
        </w:r>
        <w:r w:rsidR="009A2F21">
          <w:rPr>
            <w:noProof/>
            <w:webHidden/>
          </w:rPr>
          <w:tab/>
        </w:r>
        <w:r w:rsidR="009A2F21">
          <w:rPr>
            <w:noProof/>
            <w:webHidden/>
          </w:rPr>
          <w:fldChar w:fldCharType="begin"/>
        </w:r>
        <w:r w:rsidR="009A2F21">
          <w:rPr>
            <w:noProof/>
            <w:webHidden/>
          </w:rPr>
          <w:instrText xml:space="preserve"> PAGEREF _Toc494287827 \h </w:instrText>
        </w:r>
        <w:r w:rsidR="009A2F21">
          <w:rPr>
            <w:noProof/>
            <w:webHidden/>
          </w:rPr>
        </w:r>
        <w:r w:rsidR="009A2F21">
          <w:rPr>
            <w:noProof/>
            <w:webHidden/>
          </w:rPr>
          <w:fldChar w:fldCharType="separate"/>
        </w:r>
        <w:r w:rsidR="009A2F21">
          <w:rPr>
            <w:noProof/>
            <w:webHidden/>
          </w:rPr>
          <w:t>76</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28" w:history="1">
        <w:r w:rsidR="009A2F21" w:rsidRPr="0063520D">
          <w:rPr>
            <w:rStyle w:val="Hyperlink"/>
            <w:rFonts w:eastAsiaTheme="majorEastAsia"/>
            <w:noProof/>
          </w:rPr>
          <w:t>Table 11 – Summary of application requirements of selected local planning policies for gaming in Victoria</w:t>
        </w:r>
        <w:r w:rsidR="009A2F21">
          <w:rPr>
            <w:noProof/>
            <w:webHidden/>
          </w:rPr>
          <w:tab/>
        </w:r>
        <w:r w:rsidR="009A2F21">
          <w:rPr>
            <w:noProof/>
            <w:webHidden/>
          </w:rPr>
          <w:fldChar w:fldCharType="begin"/>
        </w:r>
        <w:r w:rsidR="009A2F21">
          <w:rPr>
            <w:noProof/>
            <w:webHidden/>
          </w:rPr>
          <w:instrText xml:space="preserve"> PAGEREF _Toc494287828 \h </w:instrText>
        </w:r>
        <w:r w:rsidR="009A2F21">
          <w:rPr>
            <w:noProof/>
            <w:webHidden/>
          </w:rPr>
        </w:r>
        <w:r w:rsidR="009A2F21">
          <w:rPr>
            <w:noProof/>
            <w:webHidden/>
          </w:rPr>
          <w:fldChar w:fldCharType="separate"/>
        </w:r>
        <w:r w:rsidR="009A2F21">
          <w:rPr>
            <w:noProof/>
            <w:webHidden/>
          </w:rPr>
          <w:t>78</w:t>
        </w:r>
        <w:r w:rsidR="009A2F21">
          <w:rPr>
            <w:noProof/>
            <w:webHidden/>
          </w:rPr>
          <w:fldChar w:fldCharType="end"/>
        </w:r>
      </w:hyperlink>
    </w:p>
    <w:p w:rsidR="009A2F21" w:rsidRDefault="00802F28">
      <w:pPr>
        <w:pStyle w:val="TableofFigures"/>
        <w:tabs>
          <w:tab w:val="right" w:leader="dot" w:pos="9016"/>
        </w:tabs>
        <w:rPr>
          <w:rFonts w:asciiTheme="minorHAnsi" w:eastAsiaTheme="minorEastAsia" w:hAnsiTheme="minorHAnsi" w:cstheme="minorBidi"/>
          <w:noProof/>
          <w:szCs w:val="22"/>
          <w:lang w:eastAsia="en-AU"/>
        </w:rPr>
      </w:pPr>
      <w:hyperlink w:anchor="_Toc494287829" w:history="1">
        <w:r w:rsidR="009A2F21" w:rsidRPr="0063520D">
          <w:rPr>
            <w:rStyle w:val="Hyperlink"/>
            <w:rFonts w:eastAsiaTheme="majorEastAsia"/>
            <w:noProof/>
          </w:rPr>
          <w:t>Table 12 – Description of shopping complexes</w:t>
        </w:r>
        <w:r w:rsidR="009A2F21">
          <w:rPr>
            <w:noProof/>
            <w:webHidden/>
          </w:rPr>
          <w:tab/>
        </w:r>
        <w:r w:rsidR="009A2F21">
          <w:rPr>
            <w:noProof/>
            <w:webHidden/>
          </w:rPr>
          <w:fldChar w:fldCharType="begin"/>
        </w:r>
        <w:r w:rsidR="009A2F21">
          <w:rPr>
            <w:noProof/>
            <w:webHidden/>
          </w:rPr>
          <w:instrText xml:space="preserve"> PAGEREF _Toc494287829 \h </w:instrText>
        </w:r>
        <w:r w:rsidR="009A2F21">
          <w:rPr>
            <w:noProof/>
            <w:webHidden/>
          </w:rPr>
        </w:r>
        <w:r w:rsidR="009A2F21">
          <w:rPr>
            <w:noProof/>
            <w:webHidden/>
          </w:rPr>
          <w:fldChar w:fldCharType="separate"/>
        </w:r>
        <w:r w:rsidR="009A2F21">
          <w:rPr>
            <w:noProof/>
            <w:webHidden/>
          </w:rPr>
          <w:t>79</w:t>
        </w:r>
        <w:r w:rsidR="009A2F21">
          <w:rPr>
            <w:noProof/>
            <w:webHidden/>
          </w:rPr>
          <w:fldChar w:fldCharType="end"/>
        </w:r>
      </w:hyperlink>
    </w:p>
    <w:p w:rsidR="00375206" w:rsidRDefault="00375206" w:rsidP="00194DA6">
      <w:r>
        <w:fldChar w:fldCharType="end"/>
      </w:r>
      <w:r>
        <w:br w:type="page"/>
      </w:r>
    </w:p>
    <w:p w:rsidR="00C20E8B" w:rsidRPr="00F27E2F" w:rsidRDefault="00C20E8B" w:rsidP="00C20E8B">
      <w:pPr>
        <w:pStyle w:val="Heading1"/>
        <w:numPr>
          <w:ilvl w:val="0"/>
          <w:numId w:val="0"/>
        </w:numPr>
        <w:rPr>
          <w:rFonts w:ascii="CoM" w:hAnsi="CoM" w:cstheme="minorHAnsi"/>
          <w:b w:val="0"/>
          <w:sz w:val="32"/>
          <w:szCs w:val="32"/>
        </w:rPr>
      </w:pPr>
      <w:bookmarkStart w:id="2" w:name="_Toc494287746"/>
      <w:r w:rsidRPr="00F27E2F">
        <w:rPr>
          <w:rFonts w:ascii="CoM" w:hAnsi="CoM" w:cstheme="minorHAnsi"/>
          <w:b w:val="0"/>
          <w:sz w:val="32"/>
          <w:szCs w:val="32"/>
        </w:rPr>
        <w:t>Acronyms</w:t>
      </w:r>
      <w:bookmarkEnd w:id="2"/>
    </w:p>
    <w:tbl>
      <w:tblPr>
        <w:tblStyle w:val="GridTable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53"/>
      </w:tblGrid>
      <w:tr w:rsidR="00C20E8B" w:rsidRPr="00A0090B" w:rsidTr="00D171FC">
        <w:tc>
          <w:tcPr>
            <w:tcW w:w="2263" w:type="dxa"/>
          </w:tcPr>
          <w:p w:rsidR="00C20E8B" w:rsidRPr="00A0090B" w:rsidRDefault="00C20E8B" w:rsidP="00E84F8B">
            <w:pPr>
              <w:spacing w:after="120"/>
              <w:rPr>
                <w:rFonts w:cs="Arial"/>
                <w:b/>
              </w:rPr>
            </w:pPr>
            <w:r w:rsidRPr="00A0090B">
              <w:rPr>
                <w:rFonts w:cs="Arial"/>
                <w:b/>
              </w:rPr>
              <w:t>ABS</w:t>
            </w:r>
          </w:p>
        </w:tc>
        <w:tc>
          <w:tcPr>
            <w:tcW w:w="6753" w:type="dxa"/>
          </w:tcPr>
          <w:p w:rsidR="00C20E8B" w:rsidRPr="00A0090B" w:rsidRDefault="00C20E8B" w:rsidP="00E84F8B">
            <w:pPr>
              <w:spacing w:after="120"/>
              <w:rPr>
                <w:rFonts w:cs="Arial"/>
              </w:rPr>
            </w:pPr>
            <w:r w:rsidRPr="00A0090B">
              <w:rPr>
                <w:rFonts w:cs="Arial"/>
              </w:rPr>
              <w:t>Australian Bureau of Statistics</w:t>
            </w:r>
          </w:p>
        </w:tc>
      </w:tr>
      <w:tr w:rsidR="00C20E8B" w:rsidRPr="00A0090B" w:rsidTr="00D171FC">
        <w:tc>
          <w:tcPr>
            <w:tcW w:w="2263" w:type="dxa"/>
          </w:tcPr>
          <w:p w:rsidR="00C20E8B" w:rsidRPr="00A0090B" w:rsidRDefault="00C20E8B" w:rsidP="00E84F8B">
            <w:pPr>
              <w:spacing w:after="120"/>
              <w:rPr>
                <w:rFonts w:cs="Arial"/>
                <w:b/>
              </w:rPr>
            </w:pPr>
            <w:r w:rsidRPr="00A0090B">
              <w:rPr>
                <w:rFonts w:cs="Arial"/>
                <w:b/>
              </w:rPr>
              <w:t>CBD</w:t>
            </w:r>
          </w:p>
        </w:tc>
        <w:tc>
          <w:tcPr>
            <w:tcW w:w="6753" w:type="dxa"/>
          </w:tcPr>
          <w:p w:rsidR="00C20E8B" w:rsidRPr="00A0090B" w:rsidRDefault="00C20E8B" w:rsidP="00E84F8B">
            <w:pPr>
              <w:spacing w:after="120"/>
              <w:rPr>
                <w:rFonts w:cs="Arial"/>
              </w:rPr>
            </w:pPr>
            <w:r w:rsidRPr="00A0090B">
              <w:rPr>
                <w:rFonts w:cs="Arial"/>
              </w:rPr>
              <w:t>Central Business District</w:t>
            </w:r>
          </w:p>
        </w:tc>
      </w:tr>
      <w:tr w:rsidR="00C20E8B" w:rsidRPr="00A0090B" w:rsidTr="00D171FC">
        <w:tc>
          <w:tcPr>
            <w:tcW w:w="2263" w:type="dxa"/>
          </w:tcPr>
          <w:p w:rsidR="00C20E8B" w:rsidRPr="00A0090B" w:rsidRDefault="00C20E8B" w:rsidP="00E84F8B">
            <w:pPr>
              <w:spacing w:after="120"/>
              <w:rPr>
                <w:rFonts w:cs="Arial"/>
                <w:b/>
              </w:rPr>
            </w:pPr>
            <w:r w:rsidRPr="00A0090B">
              <w:rPr>
                <w:rFonts w:cs="Arial"/>
                <w:b/>
              </w:rPr>
              <w:t>EGM</w:t>
            </w:r>
          </w:p>
        </w:tc>
        <w:tc>
          <w:tcPr>
            <w:tcW w:w="6753" w:type="dxa"/>
          </w:tcPr>
          <w:p w:rsidR="00C20E8B" w:rsidRPr="00A0090B" w:rsidRDefault="00C20E8B" w:rsidP="00E84F8B">
            <w:pPr>
              <w:spacing w:after="120"/>
              <w:rPr>
                <w:rFonts w:cs="Arial"/>
              </w:rPr>
            </w:pPr>
            <w:r w:rsidRPr="00A0090B">
              <w:rPr>
                <w:rFonts w:cs="Arial"/>
              </w:rPr>
              <w:t>Electronic Gaming Machine</w:t>
            </w:r>
          </w:p>
        </w:tc>
      </w:tr>
      <w:tr w:rsidR="00C20E8B" w:rsidRPr="00A0090B" w:rsidTr="00D171FC">
        <w:trPr>
          <w:trHeight w:val="299"/>
        </w:trPr>
        <w:tc>
          <w:tcPr>
            <w:tcW w:w="2263" w:type="dxa"/>
          </w:tcPr>
          <w:p w:rsidR="00C20E8B" w:rsidRPr="00A0090B" w:rsidRDefault="00C20E8B" w:rsidP="00E84F8B">
            <w:pPr>
              <w:spacing w:after="120"/>
              <w:rPr>
                <w:rFonts w:cs="Arial"/>
                <w:b/>
              </w:rPr>
            </w:pPr>
            <w:r w:rsidRPr="00A0090B">
              <w:rPr>
                <w:rFonts w:cs="Arial"/>
                <w:b/>
              </w:rPr>
              <w:t>LGA</w:t>
            </w:r>
          </w:p>
        </w:tc>
        <w:tc>
          <w:tcPr>
            <w:tcW w:w="6753" w:type="dxa"/>
          </w:tcPr>
          <w:p w:rsidR="00C20E8B" w:rsidRPr="00A0090B" w:rsidRDefault="00C20E8B" w:rsidP="00E84F8B">
            <w:pPr>
              <w:spacing w:after="120"/>
              <w:rPr>
                <w:rFonts w:cs="Arial"/>
              </w:rPr>
            </w:pPr>
            <w:r w:rsidRPr="00A0090B">
              <w:rPr>
                <w:rFonts w:cs="Arial"/>
              </w:rPr>
              <w:t>Local Government Area</w:t>
            </w:r>
          </w:p>
        </w:tc>
      </w:tr>
      <w:tr w:rsidR="00C20E8B" w:rsidRPr="00A0090B" w:rsidTr="00D171FC">
        <w:tc>
          <w:tcPr>
            <w:tcW w:w="2263" w:type="dxa"/>
          </w:tcPr>
          <w:p w:rsidR="00C20E8B" w:rsidRPr="00A0090B" w:rsidRDefault="00C20E8B" w:rsidP="00E84F8B">
            <w:pPr>
              <w:spacing w:after="120"/>
              <w:rPr>
                <w:rFonts w:cs="Arial"/>
                <w:b/>
              </w:rPr>
            </w:pPr>
            <w:r w:rsidRPr="00A0090B">
              <w:rPr>
                <w:rFonts w:cs="Arial"/>
                <w:b/>
              </w:rPr>
              <w:t>LPPF</w:t>
            </w:r>
          </w:p>
        </w:tc>
        <w:tc>
          <w:tcPr>
            <w:tcW w:w="6753" w:type="dxa"/>
          </w:tcPr>
          <w:p w:rsidR="00C20E8B" w:rsidRPr="00A0090B" w:rsidRDefault="00C20E8B" w:rsidP="00E84F8B">
            <w:pPr>
              <w:spacing w:after="120"/>
              <w:rPr>
                <w:rFonts w:cs="Arial"/>
              </w:rPr>
            </w:pPr>
            <w:r w:rsidRPr="00A0090B">
              <w:rPr>
                <w:rFonts w:cs="Arial"/>
              </w:rPr>
              <w:t>Local Planning Policy Framework</w:t>
            </w:r>
          </w:p>
        </w:tc>
      </w:tr>
      <w:tr w:rsidR="00C20E8B" w:rsidRPr="00A0090B" w:rsidTr="00D171FC">
        <w:tc>
          <w:tcPr>
            <w:tcW w:w="2263" w:type="dxa"/>
          </w:tcPr>
          <w:p w:rsidR="00C20E8B" w:rsidRPr="00A0090B" w:rsidRDefault="00C20E8B" w:rsidP="00E84F8B">
            <w:pPr>
              <w:spacing w:after="120"/>
              <w:rPr>
                <w:rFonts w:cs="Arial"/>
                <w:b/>
              </w:rPr>
            </w:pPr>
            <w:r w:rsidRPr="00A0090B">
              <w:rPr>
                <w:rFonts w:cs="Arial"/>
                <w:b/>
              </w:rPr>
              <w:t>MSS</w:t>
            </w:r>
          </w:p>
        </w:tc>
        <w:tc>
          <w:tcPr>
            <w:tcW w:w="6753" w:type="dxa"/>
          </w:tcPr>
          <w:p w:rsidR="00C20E8B" w:rsidRPr="00A0090B" w:rsidRDefault="00C20E8B" w:rsidP="00E84F8B">
            <w:pPr>
              <w:spacing w:after="120"/>
              <w:rPr>
                <w:rFonts w:cs="Arial"/>
              </w:rPr>
            </w:pPr>
            <w:r w:rsidRPr="00A0090B">
              <w:rPr>
                <w:rFonts w:cs="Arial"/>
              </w:rPr>
              <w:t>Municipal Strategic Statement</w:t>
            </w:r>
          </w:p>
        </w:tc>
      </w:tr>
      <w:tr w:rsidR="00C20E8B" w:rsidRPr="00A0090B" w:rsidTr="00D171FC">
        <w:tc>
          <w:tcPr>
            <w:tcW w:w="2263" w:type="dxa"/>
          </w:tcPr>
          <w:p w:rsidR="00C20E8B" w:rsidRPr="00A0090B" w:rsidRDefault="00C20E8B" w:rsidP="00E84F8B">
            <w:pPr>
              <w:spacing w:after="120"/>
              <w:rPr>
                <w:rFonts w:cs="Arial"/>
                <w:b/>
              </w:rPr>
            </w:pPr>
            <w:r w:rsidRPr="00A0090B">
              <w:rPr>
                <w:rFonts w:cs="Arial"/>
                <w:b/>
              </w:rPr>
              <w:t>PSP</w:t>
            </w:r>
          </w:p>
        </w:tc>
        <w:tc>
          <w:tcPr>
            <w:tcW w:w="6753" w:type="dxa"/>
          </w:tcPr>
          <w:p w:rsidR="00C20E8B" w:rsidRPr="00A0090B" w:rsidRDefault="00C20E8B" w:rsidP="00E84F8B">
            <w:pPr>
              <w:spacing w:after="120"/>
              <w:rPr>
                <w:rFonts w:cs="Arial"/>
              </w:rPr>
            </w:pPr>
            <w:r w:rsidRPr="00A0090B">
              <w:rPr>
                <w:rFonts w:cs="Arial"/>
              </w:rPr>
              <w:t>Precinct Structure Plans</w:t>
            </w:r>
          </w:p>
        </w:tc>
      </w:tr>
      <w:tr w:rsidR="00C20E8B" w:rsidRPr="00A0090B" w:rsidTr="00D171FC">
        <w:tc>
          <w:tcPr>
            <w:tcW w:w="2263" w:type="dxa"/>
          </w:tcPr>
          <w:p w:rsidR="00C20E8B" w:rsidRPr="00A0090B" w:rsidRDefault="00C20E8B" w:rsidP="00E84F8B">
            <w:pPr>
              <w:spacing w:after="120"/>
              <w:rPr>
                <w:rFonts w:cs="Arial"/>
                <w:b/>
              </w:rPr>
            </w:pPr>
            <w:r w:rsidRPr="00A0090B">
              <w:rPr>
                <w:rFonts w:cs="Arial"/>
                <w:b/>
              </w:rPr>
              <w:t>RSG</w:t>
            </w:r>
          </w:p>
        </w:tc>
        <w:tc>
          <w:tcPr>
            <w:tcW w:w="6753" w:type="dxa"/>
          </w:tcPr>
          <w:p w:rsidR="00C20E8B" w:rsidRPr="00A0090B" w:rsidRDefault="00C20E8B" w:rsidP="00E84F8B">
            <w:pPr>
              <w:spacing w:after="120"/>
              <w:rPr>
                <w:rFonts w:cs="Arial"/>
              </w:rPr>
            </w:pPr>
            <w:r w:rsidRPr="00A0090B">
              <w:rPr>
                <w:rFonts w:cs="Arial"/>
              </w:rPr>
              <w:t>Responsible Service of Gambling</w:t>
            </w:r>
          </w:p>
        </w:tc>
      </w:tr>
      <w:tr w:rsidR="00C20E8B" w:rsidRPr="00A0090B" w:rsidTr="00D171FC">
        <w:tc>
          <w:tcPr>
            <w:tcW w:w="2263" w:type="dxa"/>
          </w:tcPr>
          <w:p w:rsidR="00C20E8B" w:rsidRPr="00A0090B" w:rsidRDefault="00C20E8B" w:rsidP="00E84F8B">
            <w:pPr>
              <w:spacing w:after="120"/>
              <w:rPr>
                <w:rFonts w:cs="Arial"/>
                <w:b/>
              </w:rPr>
            </w:pPr>
            <w:r w:rsidRPr="00A0090B">
              <w:rPr>
                <w:rFonts w:cs="Arial"/>
                <w:b/>
              </w:rPr>
              <w:t>RSL</w:t>
            </w:r>
          </w:p>
        </w:tc>
        <w:tc>
          <w:tcPr>
            <w:tcW w:w="6753" w:type="dxa"/>
          </w:tcPr>
          <w:p w:rsidR="00C20E8B" w:rsidRPr="00A0090B" w:rsidRDefault="00C20E8B" w:rsidP="00E84F8B">
            <w:pPr>
              <w:spacing w:after="120"/>
              <w:rPr>
                <w:rFonts w:cs="Arial"/>
              </w:rPr>
            </w:pPr>
            <w:r w:rsidRPr="00A0090B">
              <w:rPr>
                <w:rFonts w:cs="Arial"/>
              </w:rPr>
              <w:t>Returned and Services League of Australia</w:t>
            </w:r>
          </w:p>
        </w:tc>
      </w:tr>
      <w:tr w:rsidR="00C20E8B" w:rsidRPr="00A0090B" w:rsidTr="00D171FC">
        <w:tc>
          <w:tcPr>
            <w:tcW w:w="2263" w:type="dxa"/>
          </w:tcPr>
          <w:p w:rsidR="00C20E8B" w:rsidRPr="00A0090B" w:rsidRDefault="00C20E8B" w:rsidP="00E84F8B">
            <w:pPr>
              <w:spacing w:after="120"/>
              <w:rPr>
                <w:rFonts w:cs="Arial"/>
                <w:b/>
              </w:rPr>
            </w:pPr>
            <w:r>
              <w:rPr>
                <w:rFonts w:cs="Arial"/>
                <w:b/>
              </w:rPr>
              <w:t>SA</w:t>
            </w:r>
          </w:p>
        </w:tc>
        <w:tc>
          <w:tcPr>
            <w:tcW w:w="6753" w:type="dxa"/>
          </w:tcPr>
          <w:p w:rsidR="00C20E8B" w:rsidRPr="00A0090B" w:rsidRDefault="00C20E8B" w:rsidP="00E84F8B">
            <w:pPr>
              <w:spacing w:after="120"/>
              <w:rPr>
                <w:rFonts w:cs="Arial"/>
              </w:rPr>
            </w:pPr>
            <w:r>
              <w:rPr>
                <w:rFonts w:cs="Arial"/>
              </w:rPr>
              <w:t>Statistical Area</w:t>
            </w:r>
          </w:p>
        </w:tc>
      </w:tr>
      <w:tr w:rsidR="00C20E8B" w:rsidRPr="00A0090B" w:rsidTr="00D171FC">
        <w:tc>
          <w:tcPr>
            <w:tcW w:w="2263" w:type="dxa"/>
          </w:tcPr>
          <w:p w:rsidR="00C20E8B" w:rsidRPr="00A0090B" w:rsidRDefault="00C20E8B" w:rsidP="00E84F8B">
            <w:pPr>
              <w:spacing w:after="120"/>
              <w:rPr>
                <w:rFonts w:cs="Arial"/>
                <w:b/>
              </w:rPr>
            </w:pPr>
            <w:r w:rsidRPr="00A0090B">
              <w:rPr>
                <w:rFonts w:cs="Arial"/>
                <w:b/>
              </w:rPr>
              <w:t>SEIA</w:t>
            </w:r>
          </w:p>
        </w:tc>
        <w:tc>
          <w:tcPr>
            <w:tcW w:w="6753" w:type="dxa"/>
          </w:tcPr>
          <w:p w:rsidR="00C20E8B" w:rsidRPr="00A0090B" w:rsidRDefault="00C20E8B" w:rsidP="00E84F8B">
            <w:pPr>
              <w:spacing w:after="120"/>
              <w:rPr>
                <w:rFonts w:cs="Arial"/>
              </w:rPr>
            </w:pPr>
            <w:r w:rsidRPr="00A0090B">
              <w:rPr>
                <w:rFonts w:cs="Arial"/>
              </w:rPr>
              <w:t>Social and economic impact assessment</w:t>
            </w:r>
          </w:p>
        </w:tc>
      </w:tr>
      <w:tr w:rsidR="00C20E8B" w:rsidRPr="00A0090B" w:rsidTr="00D171FC">
        <w:tc>
          <w:tcPr>
            <w:tcW w:w="2263" w:type="dxa"/>
          </w:tcPr>
          <w:p w:rsidR="00C20E8B" w:rsidRPr="00A0090B" w:rsidRDefault="00C20E8B" w:rsidP="00E84F8B">
            <w:pPr>
              <w:spacing w:after="120"/>
              <w:rPr>
                <w:rFonts w:cs="Arial"/>
                <w:b/>
              </w:rPr>
            </w:pPr>
            <w:r w:rsidRPr="00A0090B">
              <w:rPr>
                <w:rFonts w:cs="Arial"/>
                <w:b/>
              </w:rPr>
              <w:t>SEIFA</w:t>
            </w:r>
          </w:p>
        </w:tc>
        <w:tc>
          <w:tcPr>
            <w:tcW w:w="6753" w:type="dxa"/>
          </w:tcPr>
          <w:p w:rsidR="00C20E8B" w:rsidRPr="00A0090B" w:rsidRDefault="00C20E8B" w:rsidP="00E84F8B">
            <w:pPr>
              <w:spacing w:after="120"/>
              <w:rPr>
                <w:rFonts w:cs="Arial"/>
              </w:rPr>
            </w:pPr>
            <w:r w:rsidRPr="00A0090B">
              <w:rPr>
                <w:rFonts w:cs="Arial"/>
              </w:rPr>
              <w:t>Socio-economic Index for Areas</w:t>
            </w:r>
          </w:p>
        </w:tc>
      </w:tr>
      <w:tr w:rsidR="00C20E8B" w:rsidRPr="00A0090B" w:rsidTr="00D171FC">
        <w:tc>
          <w:tcPr>
            <w:tcW w:w="2263" w:type="dxa"/>
          </w:tcPr>
          <w:p w:rsidR="00C20E8B" w:rsidRPr="00A0090B" w:rsidRDefault="00C20E8B" w:rsidP="00E84F8B">
            <w:pPr>
              <w:spacing w:after="120"/>
              <w:rPr>
                <w:rFonts w:cs="Arial"/>
                <w:b/>
              </w:rPr>
            </w:pPr>
            <w:r w:rsidRPr="00A0090B">
              <w:rPr>
                <w:rFonts w:cs="Arial"/>
                <w:b/>
              </w:rPr>
              <w:t>SIA</w:t>
            </w:r>
          </w:p>
        </w:tc>
        <w:tc>
          <w:tcPr>
            <w:tcW w:w="6753" w:type="dxa"/>
          </w:tcPr>
          <w:p w:rsidR="00C20E8B" w:rsidRPr="00A0090B" w:rsidRDefault="00C20E8B" w:rsidP="00E84F8B">
            <w:pPr>
              <w:spacing w:after="120"/>
              <w:rPr>
                <w:rFonts w:cs="Arial"/>
              </w:rPr>
            </w:pPr>
            <w:r w:rsidRPr="00A0090B">
              <w:rPr>
                <w:rFonts w:cs="Arial"/>
              </w:rPr>
              <w:t>Social impact assessment</w:t>
            </w:r>
          </w:p>
        </w:tc>
      </w:tr>
      <w:tr w:rsidR="00C20E8B" w:rsidRPr="00A0090B" w:rsidTr="00D171FC">
        <w:tc>
          <w:tcPr>
            <w:tcW w:w="2263" w:type="dxa"/>
          </w:tcPr>
          <w:p w:rsidR="00C20E8B" w:rsidRPr="00A0090B" w:rsidRDefault="00C20E8B" w:rsidP="00E84F8B">
            <w:pPr>
              <w:spacing w:after="120"/>
              <w:rPr>
                <w:rFonts w:cs="Arial"/>
                <w:b/>
              </w:rPr>
            </w:pPr>
            <w:r w:rsidRPr="00A0090B">
              <w:rPr>
                <w:rFonts w:cs="Arial"/>
                <w:b/>
              </w:rPr>
              <w:t>SLA</w:t>
            </w:r>
          </w:p>
        </w:tc>
        <w:tc>
          <w:tcPr>
            <w:tcW w:w="6753" w:type="dxa"/>
          </w:tcPr>
          <w:p w:rsidR="00C20E8B" w:rsidRPr="00A0090B" w:rsidRDefault="00C20E8B" w:rsidP="00E84F8B">
            <w:pPr>
              <w:spacing w:after="120"/>
              <w:rPr>
                <w:rFonts w:cs="Arial"/>
              </w:rPr>
            </w:pPr>
            <w:r w:rsidRPr="00A0090B">
              <w:rPr>
                <w:rFonts w:cs="Arial"/>
              </w:rPr>
              <w:t>Statistical Local Area</w:t>
            </w:r>
          </w:p>
        </w:tc>
      </w:tr>
      <w:tr w:rsidR="00C20E8B" w:rsidRPr="00A0090B" w:rsidTr="00D171FC">
        <w:tc>
          <w:tcPr>
            <w:tcW w:w="2263" w:type="dxa"/>
          </w:tcPr>
          <w:p w:rsidR="00C20E8B" w:rsidRPr="00A0090B" w:rsidRDefault="00C20E8B" w:rsidP="00E84F8B">
            <w:pPr>
              <w:spacing w:after="120"/>
              <w:rPr>
                <w:rFonts w:cs="Arial"/>
                <w:b/>
              </w:rPr>
            </w:pPr>
            <w:r w:rsidRPr="00A0090B">
              <w:rPr>
                <w:rFonts w:cs="Arial"/>
                <w:b/>
              </w:rPr>
              <w:t>SPPF</w:t>
            </w:r>
          </w:p>
        </w:tc>
        <w:tc>
          <w:tcPr>
            <w:tcW w:w="6753" w:type="dxa"/>
          </w:tcPr>
          <w:p w:rsidR="00C20E8B" w:rsidRPr="00A0090B" w:rsidRDefault="00C20E8B" w:rsidP="00E84F8B">
            <w:pPr>
              <w:spacing w:after="120"/>
              <w:rPr>
                <w:rFonts w:cs="Arial"/>
              </w:rPr>
            </w:pPr>
            <w:r w:rsidRPr="00A0090B">
              <w:rPr>
                <w:rFonts w:cs="Arial"/>
              </w:rPr>
              <w:t>State Planning Policy Framework</w:t>
            </w:r>
          </w:p>
        </w:tc>
      </w:tr>
      <w:tr w:rsidR="00C20E8B" w:rsidRPr="00A0090B" w:rsidTr="00D171FC">
        <w:tc>
          <w:tcPr>
            <w:tcW w:w="2263" w:type="dxa"/>
          </w:tcPr>
          <w:p w:rsidR="00C20E8B" w:rsidRPr="00A0090B" w:rsidRDefault="00C20E8B" w:rsidP="00E84F8B">
            <w:pPr>
              <w:spacing w:after="120"/>
              <w:rPr>
                <w:rFonts w:cs="Arial"/>
                <w:b/>
              </w:rPr>
            </w:pPr>
            <w:r>
              <w:rPr>
                <w:rFonts w:cs="Arial"/>
                <w:b/>
              </w:rPr>
              <w:t>SSC</w:t>
            </w:r>
          </w:p>
        </w:tc>
        <w:tc>
          <w:tcPr>
            <w:tcW w:w="6753" w:type="dxa"/>
          </w:tcPr>
          <w:p w:rsidR="00C20E8B" w:rsidRPr="00A0090B" w:rsidRDefault="00C20E8B" w:rsidP="00E84F8B">
            <w:pPr>
              <w:spacing w:after="120"/>
              <w:rPr>
                <w:rFonts w:cs="Arial"/>
              </w:rPr>
            </w:pPr>
            <w:r>
              <w:rPr>
                <w:rFonts w:cs="Arial"/>
              </w:rPr>
              <w:t>Statistical State Suburbs</w:t>
            </w:r>
          </w:p>
        </w:tc>
      </w:tr>
      <w:tr w:rsidR="00C20E8B" w:rsidRPr="00A0090B" w:rsidTr="00D171FC">
        <w:tc>
          <w:tcPr>
            <w:tcW w:w="2263" w:type="dxa"/>
          </w:tcPr>
          <w:p w:rsidR="00C20E8B" w:rsidRPr="00A0090B" w:rsidRDefault="00C20E8B" w:rsidP="00E84F8B">
            <w:pPr>
              <w:spacing w:after="120"/>
              <w:rPr>
                <w:rFonts w:cs="Arial"/>
                <w:b/>
              </w:rPr>
            </w:pPr>
            <w:r w:rsidRPr="00A0090B">
              <w:rPr>
                <w:rFonts w:cs="Arial"/>
                <w:b/>
              </w:rPr>
              <w:t>VCAT</w:t>
            </w:r>
          </w:p>
        </w:tc>
        <w:tc>
          <w:tcPr>
            <w:tcW w:w="6753" w:type="dxa"/>
          </w:tcPr>
          <w:p w:rsidR="00C20E8B" w:rsidRPr="00A0090B" w:rsidRDefault="00C20E8B" w:rsidP="00E84F8B">
            <w:pPr>
              <w:spacing w:after="120"/>
              <w:rPr>
                <w:rFonts w:cs="Arial"/>
              </w:rPr>
            </w:pPr>
            <w:r w:rsidRPr="00A0090B">
              <w:rPr>
                <w:rFonts w:cs="Arial"/>
              </w:rPr>
              <w:t>Victorian Civil and Administrative Tribunal</w:t>
            </w:r>
          </w:p>
        </w:tc>
      </w:tr>
      <w:tr w:rsidR="00C20E8B" w:rsidRPr="00A0090B" w:rsidTr="00D171FC">
        <w:tc>
          <w:tcPr>
            <w:tcW w:w="2263" w:type="dxa"/>
          </w:tcPr>
          <w:p w:rsidR="00C20E8B" w:rsidRPr="00A0090B" w:rsidRDefault="00C20E8B" w:rsidP="00E84F8B">
            <w:pPr>
              <w:spacing w:after="120"/>
              <w:rPr>
                <w:rFonts w:cs="Arial"/>
                <w:b/>
              </w:rPr>
            </w:pPr>
            <w:r w:rsidRPr="00A0090B">
              <w:rPr>
                <w:rFonts w:cs="Arial"/>
                <w:b/>
              </w:rPr>
              <w:t>VCEC</w:t>
            </w:r>
          </w:p>
        </w:tc>
        <w:tc>
          <w:tcPr>
            <w:tcW w:w="6753" w:type="dxa"/>
          </w:tcPr>
          <w:p w:rsidR="00C20E8B" w:rsidRPr="00A0090B" w:rsidRDefault="00C20E8B" w:rsidP="00E84F8B">
            <w:pPr>
              <w:spacing w:after="120"/>
              <w:rPr>
                <w:rFonts w:cs="Arial"/>
              </w:rPr>
            </w:pPr>
            <w:r w:rsidRPr="00A0090B">
              <w:rPr>
                <w:rFonts w:cs="Arial"/>
              </w:rPr>
              <w:t>Victorian Competition and Efficiency Commission</w:t>
            </w:r>
          </w:p>
        </w:tc>
      </w:tr>
      <w:tr w:rsidR="00C20E8B" w:rsidRPr="00A0090B" w:rsidTr="00D171FC">
        <w:tc>
          <w:tcPr>
            <w:tcW w:w="2263" w:type="dxa"/>
          </w:tcPr>
          <w:p w:rsidR="00C20E8B" w:rsidRPr="00A0090B" w:rsidRDefault="00C20E8B" w:rsidP="00E84F8B">
            <w:pPr>
              <w:spacing w:after="120"/>
              <w:rPr>
                <w:rFonts w:cs="Arial"/>
                <w:b/>
              </w:rPr>
            </w:pPr>
            <w:r w:rsidRPr="00A0090B">
              <w:rPr>
                <w:rFonts w:cs="Arial"/>
                <w:b/>
              </w:rPr>
              <w:t>VCGLR</w:t>
            </w:r>
          </w:p>
        </w:tc>
        <w:tc>
          <w:tcPr>
            <w:tcW w:w="6753" w:type="dxa"/>
          </w:tcPr>
          <w:p w:rsidR="00C20E8B" w:rsidRPr="00A0090B" w:rsidRDefault="00C20E8B" w:rsidP="00E84F8B">
            <w:pPr>
              <w:spacing w:after="120"/>
              <w:rPr>
                <w:rFonts w:cs="Arial"/>
              </w:rPr>
            </w:pPr>
            <w:r w:rsidRPr="00A0090B">
              <w:rPr>
                <w:rFonts w:cs="Arial"/>
              </w:rPr>
              <w:t>Victorian Commission for Gambling and Liquor Regulation</w:t>
            </w:r>
          </w:p>
        </w:tc>
      </w:tr>
    </w:tbl>
    <w:p w:rsidR="00C20E8B" w:rsidRPr="00A0090B" w:rsidRDefault="00C20E8B" w:rsidP="00C20E8B">
      <w:pPr>
        <w:ind w:left="720"/>
        <w:rPr>
          <w:rFonts w:cs="Arial"/>
        </w:rPr>
      </w:pPr>
    </w:p>
    <w:p w:rsidR="00C20E8B" w:rsidRPr="00A0090B" w:rsidRDefault="00C20E8B" w:rsidP="00C20E8B">
      <w:pPr>
        <w:ind w:left="720"/>
        <w:rPr>
          <w:rFonts w:eastAsiaTheme="majorEastAsia" w:cs="Arial"/>
          <w:b/>
          <w:bCs/>
          <w:color w:val="365F91" w:themeColor="accent1" w:themeShade="BF"/>
          <w:sz w:val="28"/>
          <w:szCs w:val="28"/>
        </w:rPr>
      </w:pPr>
      <w:r w:rsidRPr="00A0090B">
        <w:rPr>
          <w:rFonts w:cs="Arial"/>
        </w:rPr>
        <w:br w:type="page"/>
      </w:r>
    </w:p>
    <w:p w:rsidR="00B73347" w:rsidRPr="00F27E2F" w:rsidRDefault="00B73347" w:rsidP="00B73347">
      <w:pPr>
        <w:pStyle w:val="Heading1"/>
        <w:numPr>
          <w:ilvl w:val="0"/>
          <w:numId w:val="0"/>
        </w:numPr>
        <w:rPr>
          <w:rFonts w:ascii="CoM" w:hAnsi="CoM" w:cs="Arial"/>
          <w:b w:val="0"/>
          <w:sz w:val="32"/>
          <w:szCs w:val="32"/>
        </w:rPr>
      </w:pPr>
      <w:bookmarkStart w:id="3" w:name="_Toc469311842"/>
      <w:bookmarkStart w:id="4" w:name="_Toc475982173"/>
      <w:bookmarkStart w:id="5" w:name="_Toc485045043"/>
      <w:bookmarkStart w:id="6" w:name="_Toc494287747"/>
      <w:r w:rsidRPr="00F27E2F">
        <w:rPr>
          <w:rFonts w:ascii="CoM" w:hAnsi="CoM" w:cs="Arial"/>
          <w:b w:val="0"/>
          <w:sz w:val="32"/>
          <w:szCs w:val="32"/>
        </w:rPr>
        <w:t>Glossary</w:t>
      </w:r>
      <w:bookmarkEnd w:id="3"/>
      <w:bookmarkEnd w:id="4"/>
      <w:bookmarkEnd w:id="5"/>
      <w:bookmarkEnd w:id="6"/>
    </w:p>
    <w:tbl>
      <w:tblPr>
        <w:tblStyle w:val="GridTableLight"/>
        <w:tblW w:w="0" w:type="auto"/>
        <w:tblLook w:val="04A0" w:firstRow="1" w:lastRow="0" w:firstColumn="1" w:lastColumn="0" w:noHBand="0" w:noVBand="1"/>
      </w:tblPr>
      <w:tblGrid>
        <w:gridCol w:w="2263"/>
        <w:gridCol w:w="6753"/>
      </w:tblGrid>
      <w:tr w:rsidR="00B73347" w:rsidRPr="008525DC" w:rsidTr="003C1304">
        <w:tc>
          <w:tcPr>
            <w:tcW w:w="2263" w:type="dxa"/>
          </w:tcPr>
          <w:p w:rsidR="00B73347" w:rsidRPr="008525DC" w:rsidRDefault="00B73347" w:rsidP="003C1304">
            <w:pPr>
              <w:rPr>
                <w:rFonts w:cs="Calibri"/>
                <w:b/>
                <w:szCs w:val="22"/>
              </w:rPr>
            </w:pPr>
            <w:r w:rsidRPr="008525DC">
              <w:rPr>
                <w:rFonts w:cs="Calibri"/>
                <w:b/>
                <w:szCs w:val="22"/>
              </w:rPr>
              <w:t>Alternative non-gam</w:t>
            </w:r>
            <w:r w:rsidR="00A10032" w:rsidRPr="008525DC">
              <w:rPr>
                <w:rFonts w:cs="Calibri"/>
                <w:b/>
                <w:szCs w:val="22"/>
              </w:rPr>
              <w:t>bl</w:t>
            </w:r>
            <w:r w:rsidRPr="008525DC">
              <w:rPr>
                <w:rFonts w:cs="Calibri"/>
                <w:b/>
                <w:szCs w:val="22"/>
              </w:rPr>
              <w:t>ing entertainment and recreation facilities</w:t>
            </w:r>
          </w:p>
        </w:tc>
        <w:tc>
          <w:tcPr>
            <w:tcW w:w="6753" w:type="dxa"/>
          </w:tcPr>
          <w:p w:rsidR="00B73347" w:rsidRPr="008525DC" w:rsidRDefault="00B73347" w:rsidP="00A10032">
            <w:pPr>
              <w:rPr>
                <w:rFonts w:cs="Calibri"/>
                <w:szCs w:val="22"/>
              </w:rPr>
            </w:pPr>
            <w:r w:rsidRPr="008525DC">
              <w:rPr>
                <w:rFonts w:cs="Calibri"/>
                <w:szCs w:val="22"/>
              </w:rPr>
              <w:t>Alternative non-gaming entertainment and recreation facilities</w:t>
            </w:r>
            <w:r w:rsidR="00A10032" w:rsidRPr="008525DC">
              <w:rPr>
                <w:rFonts w:cs="Calibri"/>
                <w:szCs w:val="22"/>
              </w:rPr>
              <w:t xml:space="preserve"> include</w:t>
            </w:r>
            <w:r w:rsidRPr="008525DC">
              <w:rPr>
                <w:rFonts w:cs="Calibri"/>
                <w:szCs w:val="22"/>
              </w:rPr>
              <w:t xml:space="preserve"> </w:t>
            </w:r>
            <w:r w:rsidR="00A10032" w:rsidRPr="008525DC">
              <w:rPr>
                <w:rFonts w:cs="Calibri"/>
                <w:szCs w:val="22"/>
              </w:rPr>
              <w:t>hotels, clubs, cinemas, restaurants, bars, theatres, galleries, exhibition centres, sporting venues and indoor recreation facilities.</w:t>
            </w:r>
          </w:p>
        </w:tc>
      </w:tr>
      <w:tr w:rsidR="008525DC" w:rsidRPr="008525DC" w:rsidTr="003C1304">
        <w:tc>
          <w:tcPr>
            <w:tcW w:w="2263" w:type="dxa"/>
            <w:shd w:val="clear" w:color="auto" w:fill="auto"/>
          </w:tcPr>
          <w:p w:rsidR="008525DC" w:rsidRPr="008525DC" w:rsidRDefault="008525DC" w:rsidP="008525DC">
            <w:pPr>
              <w:rPr>
                <w:rFonts w:cs="Calibri"/>
                <w:b/>
                <w:szCs w:val="22"/>
              </w:rPr>
            </w:pPr>
            <w:r w:rsidRPr="008525DC">
              <w:rPr>
                <w:rFonts w:cs="Calibri"/>
                <w:b/>
                <w:szCs w:val="22"/>
              </w:rPr>
              <w:t>Cluster of gaming venues</w:t>
            </w:r>
          </w:p>
        </w:tc>
        <w:tc>
          <w:tcPr>
            <w:tcW w:w="6753" w:type="dxa"/>
            <w:shd w:val="clear" w:color="auto" w:fill="auto"/>
          </w:tcPr>
          <w:p w:rsidR="008525DC" w:rsidRPr="008525DC" w:rsidRDefault="008525DC" w:rsidP="008525DC">
            <w:pPr>
              <w:rPr>
                <w:rFonts w:cs="Calibri"/>
                <w:szCs w:val="22"/>
              </w:rPr>
            </w:pPr>
            <w:r w:rsidRPr="008525DC">
              <w:rPr>
                <w:rFonts w:cs="Calibri"/>
                <w:szCs w:val="22"/>
              </w:rPr>
              <w:t>Three gaming venues, including the proposal site, located within a radius of 400m</w:t>
            </w:r>
            <w:r w:rsidRPr="008525DC">
              <w:rPr>
                <w:rStyle w:val="FootnoteReference"/>
                <w:rFonts w:cs="Calibri"/>
                <w:szCs w:val="22"/>
              </w:rPr>
              <w:footnoteReference w:id="1"/>
            </w:r>
          </w:p>
        </w:tc>
      </w:tr>
      <w:tr w:rsidR="00B73347" w:rsidRPr="008525DC" w:rsidTr="003C1304">
        <w:tc>
          <w:tcPr>
            <w:tcW w:w="2263" w:type="dxa"/>
            <w:shd w:val="clear" w:color="auto" w:fill="auto"/>
          </w:tcPr>
          <w:p w:rsidR="00B73347" w:rsidRPr="008525DC" w:rsidRDefault="00B73347" w:rsidP="003C1304">
            <w:pPr>
              <w:rPr>
                <w:rFonts w:cs="Calibri"/>
                <w:b/>
                <w:szCs w:val="22"/>
              </w:rPr>
            </w:pPr>
            <w:r w:rsidRPr="008525DC">
              <w:rPr>
                <w:rFonts w:cs="Calibri"/>
                <w:b/>
                <w:szCs w:val="22"/>
              </w:rPr>
              <w:t>Convenience gaming venue</w:t>
            </w:r>
          </w:p>
        </w:tc>
        <w:tc>
          <w:tcPr>
            <w:tcW w:w="6753" w:type="dxa"/>
            <w:shd w:val="clear" w:color="auto" w:fill="auto"/>
          </w:tcPr>
          <w:p w:rsidR="00B73347" w:rsidRPr="008525DC" w:rsidRDefault="00B73347" w:rsidP="003C1304">
            <w:pPr>
              <w:rPr>
                <w:rFonts w:cs="Calibri"/>
                <w:szCs w:val="22"/>
              </w:rPr>
            </w:pPr>
            <w:r w:rsidRPr="008525DC">
              <w:rPr>
                <w:rFonts w:cs="Calibri"/>
                <w:szCs w:val="22"/>
              </w:rPr>
              <w:t>A venue located so as to encourage, or increase the likelihood of, spontaneous decisions to gamble. Convenience gaming venues are functionally and visually integrated with residential areas, strip shopping centres, shopping complexes, railway stations, transportation interchanges and community facilities involving a high concentration of people undertaking daily activities. Convenience gaming venues may include a limited rate of non-gaming social, leisure, entertainment and recreation facilities.</w:t>
            </w:r>
          </w:p>
        </w:tc>
      </w:tr>
      <w:tr w:rsidR="00B50CE7" w:rsidRPr="008525DC" w:rsidTr="003C1304">
        <w:tc>
          <w:tcPr>
            <w:tcW w:w="2263" w:type="dxa"/>
          </w:tcPr>
          <w:p w:rsidR="00B50CE7" w:rsidRPr="008525DC" w:rsidRDefault="00B50CE7" w:rsidP="003C1304">
            <w:pPr>
              <w:rPr>
                <w:rFonts w:cs="Calibri"/>
                <w:b/>
                <w:szCs w:val="22"/>
              </w:rPr>
            </w:pPr>
            <w:r w:rsidRPr="008525DC">
              <w:rPr>
                <w:rFonts w:cs="Calibri"/>
                <w:b/>
                <w:szCs w:val="22"/>
              </w:rPr>
              <w:t>Decile</w:t>
            </w:r>
          </w:p>
        </w:tc>
        <w:tc>
          <w:tcPr>
            <w:tcW w:w="6753" w:type="dxa"/>
          </w:tcPr>
          <w:p w:rsidR="00B50CE7" w:rsidRPr="008525DC" w:rsidRDefault="008E7994" w:rsidP="003C1304">
            <w:pPr>
              <w:rPr>
                <w:rFonts w:cs="Calibri"/>
                <w:szCs w:val="22"/>
              </w:rPr>
            </w:pPr>
            <w:r w:rsidRPr="008525DC">
              <w:rPr>
                <w:rFonts w:cs="Calibri"/>
                <w:szCs w:val="22"/>
              </w:rPr>
              <w:t xml:space="preserve">Localities </w:t>
            </w:r>
            <w:r w:rsidR="00B50CE7" w:rsidRPr="008525DC">
              <w:rPr>
                <w:rFonts w:cs="Calibri"/>
                <w:szCs w:val="22"/>
              </w:rPr>
              <w:t>are ordered from lowest to highest score</w:t>
            </w:r>
            <w:r w:rsidRPr="008525DC">
              <w:rPr>
                <w:rFonts w:cs="Calibri"/>
                <w:szCs w:val="22"/>
              </w:rPr>
              <w:t xml:space="preserve"> of Relative Socio-economic Disadvantage</w:t>
            </w:r>
            <w:r w:rsidR="00B50CE7" w:rsidRPr="008525DC">
              <w:rPr>
                <w:rFonts w:cs="Calibri"/>
                <w:szCs w:val="22"/>
              </w:rPr>
              <w:t>, the lowest 10</w:t>
            </w:r>
            <w:r w:rsidRPr="008525DC">
              <w:rPr>
                <w:rFonts w:cs="Calibri"/>
                <w:szCs w:val="22"/>
              </w:rPr>
              <w:t xml:space="preserve"> percent</w:t>
            </w:r>
            <w:r w:rsidR="00B50CE7" w:rsidRPr="008525DC">
              <w:rPr>
                <w:rFonts w:cs="Calibri"/>
                <w:szCs w:val="22"/>
              </w:rPr>
              <w:t xml:space="preserve"> of areas are given a decile number of 1, the next lowest 10</w:t>
            </w:r>
            <w:r w:rsidRPr="008525DC">
              <w:rPr>
                <w:rFonts w:cs="Calibri"/>
                <w:szCs w:val="22"/>
              </w:rPr>
              <w:t xml:space="preserve"> percent</w:t>
            </w:r>
            <w:r w:rsidR="00B50CE7" w:rsidRPr="008525DC">
              <w:rPr>
                <w:rFonts w:cs="Calibri"/>
                <w:szCs w:val="22"/>
              </w:rPr>
              <w:t xml:space="preserve"> of areas are given a decile number of 2 and so on, up to the highest 10</w:t>
            </w:r>
            <w:r w:rsidRPr="008525DC">
              <w:rPr>
                <w:rFonts w:cs="Calibri"/>
                <w:szCs w:val="22"/>
              </w:rPr>
              <w:t xml:space="preserve"> percent</w:t>
            </w:r>
            <w:r w:rsidR="00B50CE7" w:rsidRPr="008525DC">
              <w:rPr>
                <w:rFonts w:cs="Calibri"/>
                <w:szCs w:val="22"/>
              </w:rPr>
              <w:t xml:space="preserve"> of areas which are given a decile number of 10. This means that areas are divided up into ten equal sized groups, depending on their score.</w:t>
            </w:r>
            <w:r w:rsidRPr="008525DC">
              <w:rPr>
                <w:rStyle w:val="FootnoteReference"/>
                <w:rFonts w:cs="Calibri"/>
                <w:szCs w:val="22"/>
              </w:rPr>
              <w:footnoteReference w:id="2"/>
            </w:r>
          </w:p>
        </w:tc>
      </w:tr>
      <w:tr w:rsidR="00B73347" w:rsidRPr="008525DC" w:rsidTr="003C1304">
        <w:tc>
          <w:tcPr>
            <w:tcW w:w="2263" w:type="dxa"/>
          </w:tcPr>
          <w:p w:rsidR="00B73347" w:rsidRPr="008525DC" w:rsidRDefault="00B73347" w:rsidP="003C1304">
            <w:pPr>
              <w:rPr>
                <w:rFonts w:cs="Calibri"/>
                <w:b/>
                <w:szCs w:val="22"/>
              </w:rPr>
            </w:pPr>
            <w:r w:rsidRPr="008525DC">
              <w:rPr>
                <w:rFonts w:cs="Calibri"/>
                <w:b/>
                <w:szCs w:val="22"/>
              </w:rPr>
              <w:t>Destination gaming venue</w:t>
            </w:r>
          </w:p>
        </w:tc>
        <w:tc>
          <w:tcPr>
            <w:tcW w:w="6753" w:type="dxa"/>
          </w:tcPr>
          <w:p w:rsidR="00B73347" w:rsidRPr="008525DC" w:rsidRDefault="00B73347" w:rsidP="003C1304">
            <w:pPr>
              <w:rPr>
                <w:rFonts w:cs="Calibri"/>
                <w:szCs w:val="22"/>
              </w:rPr>
            </w:pPr>
            <w:r w:rsidRPr="008525DC">
              <w:rPr>
                <w:rFonts w:cs="Calibri"/>
                <w:szCs w:val="22"/>
              </w:rPr>
              <w:t>A venue located to encourage predetermined decisions to gamble. Destination gaming venues may be located on large sites that are functionally and visually separated from residential areas, strip shopping centres, shopping complexes, railway stations, transportation interchanges and community facilities involving a high concentration of people undertaking daily activities. Destination gaming venues also include a diverse range of non-gaming social, leisure, entertainment and recreation facilities.</w:t>
            </w:r>
          </w:p>
        </w:tc>
      </w:tr>
      <w:tr w:rsidR="00B73347" w:rsidRPr="008525DC" w:rsidTr="003C1304">
        <w:tc>
          <w:tcPr>
            <w:tcW w:w="2263" w:type="dxa"/>
          </w:tcPr>
          <w:p w:rsidR="00B73347" w:rsidRPr="008525DC" w:rsidRDefault="00B73347" w:rsidP="003C1304">
            <w:pPr>
              <w:rPr>
                <w:rFonts w:cs="Calibri"/>
                <w:b/>
                <w:szCs w:val="22"/>
              </w:rPr>
            </w:pPr>
            <w:r w:rsidRPr="008525DC">
              <w:rPr>
                <w:rFonts w:cs="Calibri"/>
                <w:b/>
                <w:szCs w:val="22"/>
              </w:rPr>
              <w:t>Gambling</w:t>
            </w:r>
          </w:p>
        </w:tc>
        <w:tc>
          <w:tcPr>
            <w:tcW w:w="6753" w:type="dxa"/>
          </w:tcPr>
          <w:p w:rsidR="00B73347" w:rsidRPr="008525DC" w:rsidRDefault="00B73347" w:rsidP="003C1304">
            <w:pPr>
              <w:rPr>
                <w:rFonts w:cs="Calibri"/>
                <w:szCs w:val="22"/>
              </w:rPr>
            </w:pPr>
            <w:r w:rsidRPr="008525DC">
              <w:rPr>
                <w:rFonts w:cs="Calibri"/>
                <w:szCs w:val="22"/>
              </w:rPr>
              <w:t>Changes to the</w:t>
            </w:r>
            <w:r w:rsidRPr="008525DC">
              <w:rPr>
                <w:rStyle w:val="apple-converted-space"/>
                <w:rFonts w:cs="Calibri"/>
                <w:color w:val="000000"/>
                <w:szCs w:val="22"/>
              </w:rPr>
              <w:t> </w:t>
            </w:r>
            <w:r w:rsidRPr="008525DC">
              <w:rPr>
                <w:rStyle w:val="Emphasis"/>
                <w:rFonts w:eastAsiaTheme="majorEastAsia" w:cs="Calibri"/>
                <w:color w:val="000000"/>
                <w:szCs w:val="22"/>
              </w:rPr>
              <w:t>Gambling Regulation Act 2003</w:t>
            </w:r>
            <w:r w:rsidRPr="008525DC">
              <w:rPr>
                <w:rStyle w:val="apple-converted-space"/>
                <w:rFonts w:cs="Calibri"/>
                <w:color w:val="000000"/>
                <w:szCs w:val="22"/>
              </w:rPr>
              <w:t> </w:t>
            </w:r>
            <w:r w:rsidRPr="008525DC">
              <w:rPr>
                <w:rFonts w:cs="Calibri"/>
                <w:szCs w:val="22"/>
              </w:rPr>
              <w:t>(the Act) came into effect on 1 July 2015. The new legislation provides, for the first time, a definition of gambling in the legislation</w:t>
            </w:r>
            <w:r w:rsidRPr="008525DC">
              <w:rPr>
                <w:rStyle w:val="FootnoteReference"/>
                <w:rFonts w:cs="Calibri"/>
                <w:szCs w:val="22"/>
              </w:rPr>
              <w:footnoteReference w:id="3"/>
            </w:r>
            <w:r w:rsidRPr="008525DC">
              <w:rPr>
                <w:rFonts w:cs="Calibri"/>
                <w:szCs w:val="22"/>
              </w:rPr>
              <w:t>.</w:t>
            </w:r>
          </w:p>
          <w:p w:rsidR="00B73347" w:rsidRPr="008525DC" w:rsidRDefault="00B73347" w:rsidP="003C1304">
            <w:pPr>
              <w:rPr>
                <w:rFonts w:cs="Calibri"/>
                <w:szCs w:val="22"/>
              </w:rPr>
            </w:pPr>
            <w:r w:rsidRPr="008525DC">
              <w:rPr>
                <w:rFonts w:cs="Calibri"/>
                <w:szCs w:val="22"/>
              </w:rPr>
              <w:t>Under the Act, gambling means an activity in which:</w:t>
            </w:r>
          </w:p>
          <w:p w:rsidR="00B73347" w:rsidRPr="008525DC" w:rsidRDefault="00B73347" w:rsidP="008525DC">
            <w:pPr>
              <w:ind w:left="720"/>
              <w:rPr>
                <w:rFonts w:cs="Calibri"/>
                <w:szCs w:val="22"/>
              </w:rPr>
            </w:pPr>
            <w:r w:rsidRPr="008525DC">
              <w:rPr>
                <w:rFonts w:cs="Calibri"/>
                <w:szCs w:val="22"/>
              </w:rPr>
              <w:t>(a) a prize of money or something else of val</w:t>
            </w:r>
            <w:r w:rsidR="00397893">
              <w:rPr>
                <w:rFonts w:cs="Calibri"/>
                <w:szCs w:val="22"/>
              </w:rPr>
              <w:t>ue is offered or can be won.</w:t>
            </w:r>
          </w:p>
          <w:p w:rsidR="00B73347" w:rsidRPr="008525DC" w:rsidRDefault="00B73347" w:rsidP="008525DC">
            <w:pPr>
              <w:ind w:left="720"/>
              <w:rPr>
                <w:rFonts w:cs="Calibri"/>
                <w:szCs w:val="22"/>
              </w:rPr>
            </w:pPr>
            <w:r w:rsidRPr="008525DC">
              <w:rPr>
                <w:rFonts w:cs="Calibri"/>
                <w:szCs w:val="22"/>
              </w:rPr>
              <w:t>(b) a person pays or stakes money or some other valuabl</w:t>
            </w:r>
            <w:r w:rsidR="00397893">
              <w:rPr>
                <w:rFonts w:cs="Calibri"/>
                <w:szCs w:val="22"/>
              </w:rPr>
              <w:t>e consideration to participate.</w:t>
            </w:r>
          </w:p>
          <w:p w:rsidR="00B73347" w:rsidRPr="008525DC" w:rsidRDefault="00B73347" w:rsidP="008525DC">
            <w:pPr>
              <w:ind w:left="720"/>
              <w:rPr>
                <w:rFonts w:cs="Calibri"/>
                <w:szCs w:val="22"/>
              </w:rPr>
            </w:pPr>
            <w:r w:rsidRPr="008525DC">
              <w:rPr>
                <w:rFonts w:cs="Calibri"/>
                <w:szCs w:val="22"/>
              </w:rPr>
              <w:t>(c) the outcome involves, or is presented as involving, an element of chance.</w:t>
            </w:r>
          </w:p>
          <w:p w:rsidR="00B73347" w:rsidRPr="008525DC" w:rsidRDefault="00B73347" w:rsidP="003C1304">
            <w:pPr>
              <w:rPr>
                <w:rFonts w:cs="Calibri"/>
                <w:szCs w:val="22"/>
              </w:rPr>
            </w:pPr>
            <w:r w:rsidRPr="008525DC">
              <w:rPr>
                <w:rFonts w:cs="Calibri"/>
                <w:szCs w:val="22"/>
              </w:rPr>
              <w:t>Even if the outcome of the activity can be influenced by a person’s skill, the activity may still be defined as gambling if it involves an element of chance.</w:t>
            </w:r>
          </w:p>
          <w:p w:rsidR="00B73347" w:rsidRPr="008525DC" w:rsidRDefault="00B73347" w:rsidP="003C1304">
            <w:pPr>
              <w:rPr>
                <w:rFonts w:cs="Calibri"/>
                <w:szCs w:val="22"/>
              </w:rPr>
            </w:pPr>
            <w:r w:rsidRPr="008525DC">
              <w:rPr>
                <w:rFonts w:cs="Calibri"/>
                <w:szCs w:val="22"/>
              </w:rPr>
              <w:t>The definition also states that any game that is played on a device or piece of equipment is considered to be gambling. This includes the use of EGMs.</w:t>
            </w:r>
          </w:p>
        </w:tc>
      </w:tr>
      <w:tr w:rsidR="00A10032" w:rsidRPr="008525DC" w:rsidTr="003C1304">
        <w:tc>
          <w:tcPr>
            <w:tcW w:w="2263" w:type="dxa"/>
          </w:tcPr>
          <w:p w:rsidR="00A10032" w:rsidRPr="008525DC" w:rsidRDefault="00A10032" w:rsidP="003C1304">
            <w:pPr>
              <w:rPr>
                <w:rFonts w:cs="Calibri"/>
                <w:b/>
                <w:szCs w:val="22"/>
              </w:rPr>
            </w:pPr>
            <w:r w:rsidRPr="008525DC">
              <w:rPr>
                <w:rFonts w:cs="Calibri"/>
                <w:b/>
                <w:szCs w:val="22"/>
              </w:rPr>
              <w:t>Gambling-related harm</w:t>
            </w:r>
          </w:p>
        </w:tc>
        <w:tc>
          <w:tcPr>
            <w:tcW w:w="6753" w:type="dxa"/>
          </w:tcPr>
          <w:p w:rsidR="00A10032" w:rsidRPr="008525DC" w:rsidRDefault="00A10032" w:rsidP="003C1304">
            <w:pPr>
              <w:rPr>
                <w:rFonts w:cs="Calibri"/>
                <w:szCs w:val="22"/>
              </w:rPr>
            </w:pPr>
            <w:r w:rsidRPr="008525DC">
              <w:rPr>
                <w:rFonts w:cs="Calibri"/>
                <w:szCs w:val="22"/>
              </w:rPr>
              <w:t>Any initial or exacerbated adverse consequence due to an engagement with gambling that leads to a decrement to the health or wellbeing of an individual, family unit, community or population.</w:t>
            </w:r>
            <w:r w:rsidRPr="008525DC">
              <w:rPr>
                <w:rStyle w:val="FootnoteReference"/>
                <w:rFonts w:cs="Calibri"/>
                <w:szCs w:val="22"/>
              </w:rPr>
              <w:footnoteReference w:id="4"/>
            </w:r>
          </w:p>
        </w:tc>
      </w:tr>
      <w:tr w:rsidR="00B73347" w:rsidRPr="008525DC" w:rsidTr="003C1304">
        <w:tc>
          <w:tcPr>
            <w:tcW w:w="2263" w:type="dxa"/>
          </w:tcPr>
          <w:p w:rsidR="00B73347" w:rsidRPr="008525DC" w:rsidRDefault="00B73347" w:rsidP="003C1304">
            <w:pPr>
              <w:rPr>
                <w:rFonts w:cs="Calibri"/>
                <w:b/>
                <w:szCs w:val="22"/>
              </w:rPr>
            </w:pPr>
            <w:r w:rsidRPr="008525DC">
              <w:rPr>
                <w:rFonts w:cs="Calibri"/>
                <w:b/>
                <w:szCs w:val="22"/>
              </w:rPr>
              <w:t>Gambling sensitive use</w:t>
            </w:r>
          </w:p>
        </w:tc>
        <w:tc>
          <w:tcPr>
            <w:tcW w:w="6753" w:type="dxa"/>
          </w:tcPr>
          <w:p w:rsidR="00B73347" w:rsidRPr="008525DC" w:rsidRDefault="00B73347" w:rsidP="003C1304">
            <w:pPr>
              <w:rPr>
                <w:rFonts w:cs="Calibri"/>
                <w:szCs w:val="22"/>
              </w:rPr>
            </w:pPr>
            <w:r w:rsidRPr="008525DC">
              <w:rPr>
                <w:rFonts w:cs="Calibri"/>
                <w:szCs w:val="22"/>
              </w:rPr>
              <w:t xml:space="preserve">The concept of ‘gambling sensitive uses’ has not been defined by the Tribunal or Planning Panels Victoria. However, they are generally understood to be </w:t>
            </w:r>
            <w:r w:rsidR="00A10032" w:rsidRPr="008525DC">
              <w:rPr>
                <w:rFonts w:cs="Calibri"/>
                <w:szCs w:val="22"/>
              </w:rPr>
              <w:t>a service or facility that is used by people experiencing or vulnerable to gambling-related harms such as the offices of specific problem gambling services, financial counselling services and material and financial aid services</w:t>
            </w:r>
          </w:p>
        </w:tc>
      </w:tr>
      <w:tr w:rsidR="00B73347" w:rsidRPr="008525DC" w:rsidTr="003C1304">
        <w:tc>
          <w:tcPr>
            <w:tcW w:w="2263" w:type="dxa"/>
          </w:tcPr>
          <w:p w:rsidR="00B73347" w:rsidRPr="008525DC" w:rsidRDefault="00B73347" w:rsidP="003C1304">
            <w:pPr>
              <w:rPr>
                <w:rFonts w:cs="Calibri"/>
                <w:b/>
                <w:szCs w:val="22"/>
              </w:rPr>
            </w:pPr>
            <w:r w:rsidRPr="008525DC">
              <w:rPr>
                <w:rFonts w:cs="Calibri"/>
                <w:b/>
                <w:szCs w:val="22"/>
              </w:rPr>
              <w:t>Gaming</w:t>
            </w:r>
          </w:p>
        </w:tc>
        <w:tc>
          <w:tcPr>
            <w:tcW w:w="6753" w:type="dxa"/>
          </w:tcPr>
          <w:p w:rsidR="00B73347" w:rsidRPr="008525DC" w:rsidRDefault="00B73347" w:rsidP="003C1304">
            <w:pPr>
              <w:rPr>
                <w:rFonts w:cs="Calibri"/>
                <w:szCs w:val="22"/>
              </w:rPr>
            </w:pPr>
            <w:r w:rsidRPr="008525DC">
              <w:rPr>
                <w:rFonts w:cs="Calibri"/>
                <w:szCs w:val="22"/>
              </w:rPr>
              <w:t>Gaming includes all legal forms of gambling other than wagering including lotteries, EGMs, casino table games, keno and minor gaming such as raffles</w:t>
            </w:r>
            <w:r w:rsidRPr="008525DC">
              <w:rPr>
                <w:rStyle w:val="FootnoteReference"/>
                <w:rFonts w:cs="Calibri"/>
                <w:szCs w:val="22"/>
              </w:rPr>
              <w:footnoteReference w:id="5"/>
            </w:r>
            <w:r w:rsidRPr="008525DC">
              <w:rPr>
                <w:rFonts w:cs="Calibri"/>
                <w:szCs w:val="22"/>
              </w:rPr>
              <w:t>.</w:t>
            </w:r>
          </w:p>
          <w:p w:rsidR="00B73347" w:rsidRPr="008525DC" w:rsidRDefault="00B73347" w:rsidP="003C1304">
            <w:pPr>
              <w:rPr>
                <w:rFonts w:cs="Calibri"/>
                <w:szCs w:val="22"/>
              </w:rPr>
            </w:pPr>
            <w:r w:rsidRPr="008525DC">
              <w:rPr>
                <w:rFonts w:cs="Calibri"/>
                <w:szCs w:val="22"/>
              </w:rPr>
              <w:t xml:space="preserve">Clause 72 </w:t>
            </w:r>
            <w:r w:rsidRPr="008525DC">
              <w:rPr>
                <w:rFonts w:cs="Calibri"/>
                <w:i/>
                <w:szCs w:val="22"/>
              </w:rPr>
              <w:t>General Terms</w:t>
            </w:r>
            <w:r w:rsidRPr="008525DC">
              <w:rPr>
                <w:rFonts w:cs="Calibri"/>
                <w:szCs w:val="22"/>
              </w:rPr>
              <w:t xml:space="preserve"> of the Melbourne Planning Scheme defines gaming as ‘the playing of a gaming machine’</w:t>
            </w:r>
            <w:r w:rsidRPr="008525DC">
              <w:rPr>
                <w:rFonts w:cs="Calibri"/>
                <w:i/>
                <w:szCs w:val="22"/>
              </w:rPr>
              <w:t>.</w:t>
            </w:r>
          </w:p>
        </w:tc>
      </w:tr>
      <w:tr w:rsidR="00B73347" w:rsidRPr="008525DC" w:rsidTr="003C1304">
        <w:tc>
          <w:tcPr>
            <w:tcW w:w="2263" w:type="dxa"/>
          </w:tcPr>
          <w:p w:rsidR="00B73347" w:rsidRPr="008525DC" w:rsidRDefault="00B73347" w:rsidP="0066463D">
            <w:pPr>
              <w:rPr>
                <w:rFonts w:cs="Calibri"/>
                <w:b/>
                <w:szCs w:val="22"/>
              </w:rPr>
            </w:pPr>
            <w:r w:rsidRPr="008525DC">
              <w:rPr>
                <w:rFonts w:cs="Calibri"/>
                <w:b/>
                <w:szCs w:val="22"/>
              </w:rPr>
              <w:t>Gaming equipment</w:t>
            </w:r>
            <w:r w:rsidRPr="008525DC">
              <w:rPr>
                <w:rStyle w:val="FootnoteReference"/>
                <w:rFonts w:cs="Calibri"/>
                <w:b/>
                <w:szCs w:val="22"/>
              </w:rPr>
              <w:footnoteReference w:id="6"/>
            </w:r>
          </w:p>
        </w:tc>
        <w:tc>
          <w:tcPr>
            <w:tcW w:w="6753" w:type="dxa"/>
          </w:tcPr>
          <w:p w:rsidR="00B73347" w:rsidRPr="00DF7C22" w:rsidRDefault="00B73347" w:rsidP="0066463D">
            <w:pPr>
              <w:rPr>
                <w:rFonts w:cs="Calibri"/>
                <w:szCs w:val="22"/>
              </w:rPr>
            </w:pPr>
            <w:r w:rsidRPr="008525DC">
              <w:rPr>
                <w:rStyle w:val="apple-converted-space"/>
                <w:rFonts w:eastAsiaTheme="majorEastAsia" w:cs="Calibri"/>
                <w:color w:val="000000"/>
                <w:szCs w:val="22"/>
              </w:rPr>
              <w:t> </w:t>
            </w:r>
            <w:r w:rsidRPr="00DF7C22">
              <w:rPr>
                <w:rFonts w:cs="Calibri"/>
                <w:szCs w:val="22"/>
              </w:rPr>
              <w:t>any device or thing (including chips) used, or capable of being used, for or in connection with gaming and includes—</w:t>
            </w:r>
          </w:p>
          <w:p w:rsidR="00CA1D0A" w:rsidRDefault="00CA1D0A" w:rsidP="0066463D">
            <w:pPr>
              <w:rPr>
                <w:rFonts w:cs="Calibri"/>
                <w:szCs w:val="22"/>
              </w:rPr>
            </w:pPr>
            <w:r>
              <w:rPr>
                <w:rFonts w:cs="Calibri"/>
                <w:szCs w:val="22"/>
              </w:rPr>
              <w:t>        (a)     a gaming machine.</w:t>
            </w:r>
          </w:p>
          <w:p w:rsidR="00B73347" w:rsidRPr="00DF7C22" w:rsidRDefault="00B73347" w:rsidP="0066463D">
            <w:pPr>
              <w:rPr>
                <w:rFonts w:cs="Calibri"/>
                <w:szCs w:val="22"/>
              </w:rPr>
            </w:pPr>
            <w:r w:rsidRPr="00DF7C22">
              <w:rPr>
                <w:rFonts w:cs="Calibri"/>
                <w:szCs w:val="22"/>
              </w:rPr>
              <w:t>        (b)    </w:t>
            </w:r>
            <w:r w:rsidRPr="00DF7C22">
              <w:rPr>
                <w:rStyle w:val="apple-converted-space"/>
                <w:rFonts w:eastAsiaTheme="majorEastAsia" w:cs="Calibri"/>
                <w:szCs w:val="22"/>
              </w:rPr>
              <w:t> </w:t>
            </w:r>
            <w:hyperlink r:id="rId11" w:anchor="linked_jackpot_equipment" w:history="1">
              <w:r w:rsidRPr="00DF7C22">
                <w:rPr>
                  <w:rStyle w:val="Hyperlink"/>
                  <w:rFonts w:eastAsiaTheme="majorEastAsia" w:cs="Calibri"/>
                  <w:color w:val="auto"/>
                  <w:szCs w:val="22"/>
                  <w:u w:val="none"/>
                </w:rPr>
                <w:t>linked jackpot equipment</w:t>
              </w:r>
            </w:hyperlink>
            <w:r w:rsidR="00CA1D0A">
              <w:rPr>
                <w:rStyle w:val="Hyperlink"/>
                <w:rFonts w:eastAsiaTheme="majorEastAsia" w:cs="Calibri"/>
                <w:color w:val="auto"/>
                <w:szCs w:val="22"/>
                <w:u w:val="none"/>
              </w:rPr>
              <w:t>.</w:t>
            </w:r>
          </w:p>
          <w:p w:rsidR="00B73347" w:rsidRPr="00DF7C22" w:rsidRDefault="00B73347" w:rsidP="0066463D">
            <w:pPr>
              <w:rPr>
                <w:rFonts w:cs="Calibri"/>
                <w:szCs w:val="22"/>
              </w:rPr>
            </w:pPr>
            <w:r w:rsidRPr="00DF7C22">
              <w:rPr>
                <w:rFonts w:cs="Calibri"/>
                <w:szCs w:val="22"/>
              </w:rPr>
              <w:t>        (c)     an</w:t>
            </w:r>
            <w:r w:rsidRPr="00DF7C22">
              <w:rPr>
                <w:rStyle w:val="apple-converted-space"/>
                <w:rFonts w:eastAsiaTheme="majorEastAsia" w:cs="Calibri"/>
                <w:szCs w:val="22"/>
              </w:rPr>
              <w:t> </w:t>
            </w:r>
            <w:hyperlink r:id="rId12" w:anchor="electronic_monitoring_system" w:history="1">
              <w:r w:rsidRPr="00DF7C22">
                <w:rPr>
                  <w:rStyle w:val="Hyperlink"/>
                  <w:rFonts w:eastAsiaTheme="majorEastAsia" w:cs="Calibri"/>
                  <w:color w:val="auto"/>
                  <w:szCs w:val="22"/>
                  <w:u w:val="none"/>
                </w:rPr>
                <w:t>electronic monitoring system</w:t>
              </w:r>
            </w:hyperlink>
            <w:r w:rsidR="00CA1D0A">
              <w:rPr>
                <w:rStyle w:val="Hyperlink"/>
                <w:rFonts w:eastAsiaTheme="majorEastAsia" w:cs="Calibri"/>
                <w:color w:val="auto"/>
                <w:szCs w:val="22"/>
                <w:u w:val="none"/>
              </w:rPr>
              <w:t>.</w:t>
            </w:r>
          </w:p>
          <w:p w:rsidR="00B73347" w:rsidRPr="00DF7C22" w:rsidRDefault="00B73347" w:rsidP="0066463D">
            <w:pPr>
              <w:rPr>
                <w:rFonts w:cs="Calibri"/>
                <w:szCs w:val="22"/>
              </w:rPr>
            </w:pPr>
            <w:r w:rsidRPr="00DF7C22">
              <w:rPr>
                <w:rFonts w:cs="Calibri"/>
                <w:szCs w:val="22"/>
              </w:rPr>
              <w:t>        (d)     a part of, or replacement part for, any such machine, equipment or system—</w:t>
            </w:r>
          </w:p>
          <w:p w:rsidR="00B73347" w:rsidRPr="00DF7C22" w:rsidRDefault="00B73347" w:rsidP="0066463D">
            <w:pPr>
              <w:rPr>
                <w:rFonts w:cs="Calibri"/>
                <w:szCs w:val="22"/>
              </w:rPr>
            </w:pPr>
            <w:r w:rsidRPr="00DF7C22">
              <w:rPr>
                <w:rFonts w:cs="Calibri"/>
                <w:szCs w:val="22"/>
              </w:rPr>
              <w:t>but does not include interactive</w:t>
            </w:r>
            <w:r w:rsidRPr="00DF7C22">
              <w:rPr>
                <w:rStyle w:val="apple-converted-space"/>
                <w:rFonts w:eastAsiaTheme="majorEastAsia" w:cs="Calibri"/>
                <w:szCs w:val="22"/>
              </w:rPr>
              <w:t> </w:t>
            </w:r>
            <w:hyperlink r:id="rId13" w:anchor="gaming_equipment" w:history="1">
              <w:r w:rsidRPr="00DF7C22">
                <w:rPr>
                  <w:rStyle w:val="Hyperlink"/>
                  <w:rFonts w:eastAsiaTheme="majorEastAsia" w:cs="Calibri"/>
                  <w:color w:val="auto"/>
                  <w:szCs w:val="22"/>
                  <w:u w:val="none"/>
                </w:rPr>
                <w:t>gaming equipment</w:t>
              </w:r>
            </w:hyperlink>
            <w:r w:rsidRPr="00DF7C22">
              <w:rPr>
                <w:rStyle w:val="apple-converted-space"/>
                <w:rFonts w:eastAsiaTheme="majorEastAsia" w:cs="Calibri"/>
                <w:szCs w:val="22"/>
              </w:rPr>
              <w:t> </w:t>
            </w:r>
            <w:r w:rsidRPr="00DF7C22">
              <w:rPr>
                <w:rFonts w:cs="Calibri"/>
                <w:szCs w:val="22"/>
              </w:rPr>
              <w:t>within the meaning of the</w:t>
            </w:r>
            <w:r w:rsidRPr="00DF7C22">
              <w:rPr>
                <w:rStyle w:val="apple-converted-space"/>
                <w:rFonts w:eastAsiaTheme="majorEastAsia" w:cs="Calibri"/>
                <w:szCs w:val="22"/>
              </w:rPr>
              <w:t> </w:t>
            </w:r>
            <w:r w:rsidRPr="00DF7C22">
              <w:rPr>
                <w:rFonts w:cs="Calibri"/>
                <w:bCs/>
                <w:i/>
                <w:szCs w:val="22"/>
              </w:rPr>
              <w:t>Interactive Gaming (Player Protection) Act 1999</w:t>
            </w:r>
            <w:r w:rsidRPr="00DF7C22">
              <w:rPr>
                <w:rStyle w:val="apple-converted-space"/>
                <w:rFonts w:eastAsiaTheme="majorEastAsia" w:cs="Calibri"/>
                <w:b/>
                <w:bCs/>
                <w:szCs w:val="22"/>
              </w:rPr>
              <w:t> </w:t>
            </w:r>
            <w:r w:rsidRPr="00DF7C22">
              <w:rPr>
                <w:rFonts w:cs="Calibri"/>
                <w:szCs w:val="22"/>
              </w:rPr>
              <w:t>that is used or intended to be used for the purposes of interactive</w:t>
            </w:r>
            <w:r w:rsidRPr="00DF7C22">
              <w:rPr>
                <w:rStyle w:val="apple-converted-space"/>
                <w:rFonts w:eastAsiaTheme="majorEastAsia" w:cs="Calibri"/>
                <w:szCs w:val="22"/>
              </w:rPr>
              <w:t> </w:t>
            </w:r>
            <w:hyperlink r:id="rId14" w:anchor="game" w:history="1">
              <w:r w:rsidRPr="00DF7C22">
                <w:rPr>
                  <w:rStyle w:val="Hyperlink"/>
                  <w:rFonts w:eastAsiaTheme="majorEastAsia" w:cs="Calibri"/>
                  <w:color w:val="auto"/>
                  <w:szCs w:val="22"/>
                  <w:u w:val="none"/>
                </w:rPr>
                <w:t>games</w:t>
              </w:r>
            </w:hyperlink>
            <w:r w:rsidRPr="00DF7C22">
              <w:rPr>
                <w:rStyle w:val="apple-converted-space"/>
                <w:rFonts w:eastAsiaTheme="majorEastAsia" w:cs="Calibri"/>
                <w:szCs w:val="22"/>
              </w:rPr>
              <w:t> </w:t>
            </w:r>
            <w:r w:rsidRPr="00DF7C22">
              <w:rPr>
                <w:rFonts w:cs="Calibri"/>
                <w:szCs w:val="22"/>
              </w:rPr>
              <w:t>within the meaning of that Act and n</w:t>
            </w:r>
            <w:r w:rsidR="00AA4757">
              <w:rPr>
                <w:rFonts w:cs="Calibri"/>
                <w:szCs w:val="22"/>
              </w:rPr>
              <w:t>ot for gaming of any other kind.</w:t>
            </w:r>
          </w:p>
          <w:p w:rsidR="00B73347" w:rsidRPr="008525DC" w:rsidRDefault="00B73347" w:rsidP="0066463D">
            <w:pPr>
              <w:rPr>
                <w:rFonts w:cs="Calibri"/>
                <w:szCs w:val="22"/>
              </w:rPr>
            </w:pPr>
          </w:p>
        </w:tc>
      </w:tr>
      <w:tr w:rsidR="00B73347" w:rsidRPr="008525DC" w:rsidTr="003C1304">
        <w:tc>
          <w:tcPr>
            <w:tcW w:w="2263" w:type="dxa"/>
          </w:tcPr>
          <w:p w:rsidR="00B73347" w:rsidRPr="008525DC" w:rsidRDefault="00B73347" w:rsidP="003C1304">
            <w:pPr>
              <w:rPr>
                <w:rFonts w:cs="Calibri"/>
                <w:b/>
                <w:szCs w:val="22"/>
              </w:rPr>
            </w:pPr>
            <w:r w:rsidRPr="008525DC">
              <w:rPr>
                <w:rFonts w:cs="Calibri"/>
                <w:b/>
                <w:szCs w:val="22"/>
              </w:rPr>
              <w:t>Gaming machine</w:t>
            </w:r>
          </w:p>
        </w:tc>
        <w:tc>
          <w:tcPr>
            <w:tcW w:w="6753" w:type="dxa"/>
          </w:tcPr>
          <w:p w:rsidR="00B73347" w:rsidRPr="008525DC" w:rsidRDefault="00B73347" w:rsidP="003C1304">
            <w:pPr>
              <w:rPr>
                <w:rFonts w:cs="Calibri"/>
                <w:szCs w:val="22"/>
              </w:rPr>
            </w:pPr>
            <w:r w:rsidRPr="008525DC">
              <w:rPr>
                <w:rFonts w:cs="Calibri"/>
                <w:szCs w:val="22"/>
              </w:rPr>
              <w:t xml:space="preserve">Also referred to as electronic gaming machines or EGMs, a gaming machine is defined by the </w:t>
            </w:r>
            <w:r w:rsidRPr="008525DC">
              <w:rPr>
                <w:rFonts w:cs="Calibri"/>
                <w:i/>
                <w:szCs w:val="22"/>
              </w:rPr>
              <w:t>Gambling Regulation Act 2003</w:t>
            </w:r>
            <w:r w:rsidRPr="008525DC">
              <w:rPr>
                <w:rFonts w:cs="Calibri"/>
                <w:szCs w:val="22"/>
              </w:rPr>
              <w:t xml:space="preserve"> as:</w:t>
            </w:r>
          </w:p>
          <w:p w:rsidR="00B73347" w:rsidRPr="008525DC" w:rsidRDefault="00B73347" w:rsidP="003C1304">
            <w:pPr>
              <w:rPr>
                <w:rFonts w:cs="Calibri"/>
                <w:szCs w:val="22"/>
              </w:rPr>
            </w:pPr>
            <w:r w:rsidRPr="008525DC">
              <w:rPr>
                <w:rFonts w:cs="Calibri"/>
                <w:szCs w:val="22"/>
              </w:rPr>
              <w:t xml:space="preserve">“Any device, whether wholly or partly mechanically or electronically operated, that is so designed that – </w:t>
            </w:r>
          </w:p>
          <w:p w:rsidR="00B73347" w:rsidRPr="008525DC" w:rsidRDefault="00B73347" w:rsidP="007D1909">
            <w:pPr>
              <w:pStyle w:val="ListParagraph"/>
              <w:numPr>
                <w:ilvl w:val="0"/>
                <w:numId w:val="78"/>
              </w:numPr>
              <w:spacing w:after="0"/>
              <w:ind w:left="714" w:hanging="357"/>
              <w:contextualSpacing w:val="0"/>
              <w:rPr>
                <w:rFonts w:cs="Calibri"/>
                <w:szCs w:val="22"/>
              </w:rPr>
            </w:pPr>
            <w:r w:rsidRPr="008525DC">
              <w:rPr>
                <w:rFonts w:cs="Calibri"/>
                <w:szCs w:val="22"/>
              </w:rPr>
              <w:t>it may be used for the purpose of playing a game of chance or a</w:t>
            </w:r>
            <w:r w:rsidR="00AA4757">
              <w:rPr>
                <w:rFonts w:cs="Calibri"/>
                <w:szCs w:val="22"/>
              </w:rPr>
              <w:t xml:space="preserve"> game of mixed chance and skill</w:t>
            </w:r>
          </w:p>
          <w:p w:rsidR="00B73347" w:rsidRPr="008525DC" w:rsidRDefault="00B73347" w:rsidP="007D1909">
            <w:pPr>
              <w:pStyle w:val="ListParagraph"/>
              <w:numPr>
                <w:ilvl w:val="0"/>
                <w:numId w:val="78"/>
              </w:numPr>
              <w:spacing w:after="0"/>
              <w:ind w:left="714" w:hanging="357"/>
              <w:contextualSpacing w:val="0"/>
              <w:rPr>
                <w:rFonts w:cs="Calibri"/>
                <w:szCs w:val="22"/>
              </w:rPr>
            </w:pPr>
            <w:r w:rsidRPr="008525DC">
              <w:rPr>
                <w:rFonts w:cs="Calibri"/>
                <w:szCs w:val="22"/>
              </w:rPr>
              <w:t>as a result of making a bet on the device, winnings may become payable.</w:t>
            </w:r>
          </w:p>
          <w:p w:rsidR="00B73347" w:rsidRPr="008525DC" w:rsidRDefault="00B73347" w:rsidP="003C1304">
            <w:pPr>
              <w:rPr>
                <w:rFonts w:cs="Calibri"/>
                <w:szCs w:val="22"/>
              </w:rPr>
            </w:pPr>
            <w:r w:rsidRPr="008525DC">
              <w:rPr>
                <w:rFonts w:cs="Calibri"/>
                <w:szCs w:val="22"/>
              </w:rPr>
              <w:t>A gaming machine has the same meaning in terms of Clause 72 of the Melbourne Planning Scheme.</w:t>
            </w:r>
          </w:p>
        </w:tc>
      </w:tr>
      <w:tr w:rsidR="00B73347" w:rsidRPr="008525DC" w:rsidTr="003C1304">
        <w:tc>
          <w:tcPr>
            <w:tcW w:w="2263" w:type="dxa"/>
          </w:tcPr>
          <w:p w:rsidR="00B73347" w:rsidRPr="008525DC" w:rsidRDefault="00B73347" w:rsidP="0066463D">
            <w:pPr>
              <w:rPr>
                <w:rFonts w:cs="Calibri"/>
                <w:b/>
                <w:szCs w:val="22"/>
              </w:rPr>
            </w:pPr>
            <w:r w:rsidRPr="008525DC">
              <w:rPr>
                <w:rFonts w:cs="Calibri"/>
                <w:b/>
                <w:szCs w:val="22"/>
              </w:rPr>
              <w:t>Gaming room</w:t>
            </w:r>
            <w:r w:rsidRPr="008525DC">
              <w:rPr>
                <w:rStyle w:val="FootnoteReference"/>
                <w:rFonts w:cs="Calibri"/>
                <w:b/>
                <w:szCs w:val="22"/>
              </w:rPr>
              <w:footnoteReference w:id="7"/>
            </w:r>
          </w:p>
        </w:tc>
        <w:tc>
          <w:tcPr>
            <w:tcW w:w="6753" w:type="dxa"/>
          </w:tcPr>
          <w:p w:rsidR="00B73347" w:rsidRPr="008525DC" w:rsidRDefault="00B73347" w:rsidP="0066463D">
            <w:pPr>
              <w:rPr>
                <w:rFonts w:cs="Calibri"/>
                <w:szCs w:val="22"/>
              </w:rPr>
            </w:pPr>
            <w:r w:rsidRPr="008525DC">
              <w:rPr>
                <w:rFonts w:cs="Calibri"/>
                <w:szCs w:val="22"/>
              </w:rPr>
              <w:t>A room in an approved venue in which gaming machines available for gaming are installed</w:t>
            </w:r>
          </w:p>
        </w:tc>
      </w:tr>
      <w:tr w:rsidR="00B73347" w:rsidRPr="008525DC" w:rsidTr="003C1304">
        <w:tc>
          <w:tcPr>
            <w:tcW w:w="2263" w:type="dxa"/>
          </w:tcPr>
          <w:p w:rsidR="00B73347" w:rsidRPr="008525DC" w:rsidRDefault="00B73347" w:rsidP="0066463D">
            <w:pPr>
              <w:rPr>
                <w:rFonts w:cs="Calibri"/>
                <w:b/>
                <w:szCs w:val="22"/>
              </w:rPr>
            </w:pPr>
            <w:r w:rsidRPr="008525DC">
              <w:rPr>
                <w:rFonts w:cs="Calibri"/>
                <w:b/>
                <w:szCs w:val="22"/>
              </w:rPr>
              <w:t>High Roller Room</w:t>
            </w:r>
            <w:r w:rsidRPr="008525DC">
              <w:rPr>
                <w:rStyle w:val="FootnoteReference"/>
                <w:rFonts w:cs="Calibri"/>
                <w:b/>
                <w:szCs w:val="22"/>
              </w:rPr>
              <w:footnoteReference w:id="8"/>
            </w:r>
          </w:p>
        </w:tc>
        <w:tc>
          <w:tcPr>
            <w:tcW w:w="6753" w:type="dxa"/>
          </w:tcPr>
          <w:p w:rsidR="00B73347" w:rsidRPr="008525DC" w:rsidRDefault="00B73347" w:rsidP="0066463D">
            <w:pPr>
              <w:rPr>
                <w:rFonts w:cs="Calibri"/>
                <w:szCs w:val="22"/>
              </w:rPr>
            </w:pPr>
            <w:r w:rsidRPr="008525DC">
              <w:rPr>
                <w:rFonts w:cs="Calibri"/>
                <w:szCs w:val="22"/>
              </w:rPr>
              <w:t>A room in a casino that is used substantially for gaming by international visitors to the casino</w:t>
            </w:r>
          </w:p>
        </w:tc>
      </w:tr>
      <w:tr w:rsidR="00B73347" w:rsidRPr="008525DC" w:rsidTr="003C1304">
        <w:tc>
          <w:tcPr>
            <w:tcW w:w="2263" w:type="dxa"/>
          </w:tcPr>
          <w:p w:rsidR="00B73347" w:rsidRPr="008525DC" w:rsidRDefault="00B73347" w:rsidP="0066463D">
            <w:pPr>
              <w:rPr>
                <w:rFonts w:cs="Calibri"/>
                <w:b/>
                <w:szCs w:val="22"/>
              </w:rPr>
            </w:pPr>
            <w:r w:rsidRPr="008525DC">
              <w:rPr>
                <w:rFonts w:cs="Calibri"/>
                <w:b/>
                <w:szCs w:val="22"/>
              </w:rPr>
              <w:t>Municipal and regional caps</w:t>
            </w:r>
          </w:p>
        </w:tc>
        <w:tc>
          <w:tcPr>
            <w:tcW w:w="6753" w:type="dxa"/>
          </w:tcPr>
          <w:p w:rsidR="00B73347" w:rsidRPr="008525DC" w:rsidRDefault="00B73347" w:rsidP="004F7C84">
            <w:pPr>
              <w:rPr>
                <w:rFonts w:cs="Calibri"/>
                <w:szCs w:val="22"/>
              </w:rPr>
            </w:pPr>
            <w:r w:rsidRPr="008525DC">
              <w:rPr>
                <w:rFonts w:cs="Calibri"/>
                <w:szCs w:val="22"/>
              </w:rPr>
              <w:t>This refers to the maximum permissible number of EGM entitlements under which gaming may be conducted in the municipality. The municipal and regional caps are described in the Ministerial Direction published on 15</w:t>
            </w:r>
            <w:r w:rsidRPr="008525DC">
              <w:rPr>
                <w:rFonts w:cs="Calibri"/>
                <w:szCs w:val="22"/>
                <w:vertAlign w:val="superscript"/>
              </w:rPr>
              <w:t>th</w:t>
            </w:r>
            <w:r w:rsidRPr="008525DC">
              <w:rPr>
                <w:rFonts w:cs="Calibri"/>
                <w:szCs w:val="22"/>
              </w:rPr>
              <w:t xml:space="preserve"> August 2012. The municipal cap is calculated at a maximum of ten EGM entitlements per 1,000 adults. Regional caps are applied to municipalities or specific postcodes within a municipality that have been identified as vulnerable to gambling-related harm due to their density of EGMs per 1,000 adults, level of socio-economic disadvantage and expenditure per adult on EGMs.</w:t>
            </w:r>
          </w:p>
        </w:tc>
      </w:tr>
      <w:tr w:rsidR="00B73347" w:rsidRPr="008525DC" w:rsidTr="003C1304">
        <w:tc>
          <w:tcPr>
            <w:tcW w:w="2263" w:type="dxa"/>
          </w:tcPr>
          <w:p w:rsidR="00B73347" w:rsidRPr="008525DC" w:rsidRDefault="00B73347" w:rsidP="0066463D">
            <w:pPr>
              <w:rPr>
                <w:rFonts w:cs="Calibri"/>
                <w:b/>
                <w:szCs w:val="22"/>
              </w:rPr>
            </w:pPr>
            <w:r w:rsidRPr="008525DC">
              <w:rPr>
                <w:rFonts w:cs="Calibri"/>
                <w:b/>
                <w:szCs w:val="22"/>
              </w:rPr>
              <w:t>Problem gambling</w:t>
            </w:r>
          </w:p>
        </w:tc>
        <w:tc>
          <w:tcPr>
            <w:tcW w:w="6753" w:type="dxa"/>
          </w:tcPr>
          <w:p w:rsidR="00B73347" w:rsidRPr="008525DC" w:rsidRDefault="00B73347" w:rsidP="0066463D">
            <w:pPr>
              <w:rPr>
                <w:rFonts w:cs="Calibri"/>
                <w:szCs w:val="22"/>
              </w:rPr>
            </w:pPr>
            <w:bookmarkStart w:id="7" w:name="_Hlk489973086"/>
            <w:r w:rsidRPr="008525DC">
              <w:rPr>
                <w:rFonts w:cs="Calibri"/>
                <w:szCs w:val="22"/>
              </w:rPr>
              <w:t>Problem gambling has been defined by experiencing difficulties in limiting money and/or time spent on gambling which leads to adverse consequences for the gambler, others, or for the community.</w:t>
            </w:r>
            <w:r w:rsidRPr="008525DC">
              <w:rPr>
                <w:rStyle w:val="FootnoteReference"/>
                <w:rFonts w:cs="Calibri"/>
                <w:szCs w:val="22"/>
              </w:rPr>
              <w:footnoteReference w:id="9"/>
            </w:r>
            <w:r w:rsidRPr="008525DC">
              <w:rPr>
                <w:rFonts w:cs="Calibri"/>
                <w:szCs w:val="22"/>
              </w:rPr>
              <w:t xml:space="preserve"> This definition contains reference to both gambling behaviours and harms. </w:t>
            </w:r>
            <w:bookmarkEnd w:id="7"/>
          </w:p>
        </w:tc>
      </w:tr>
      <w:tr w:rsidR="00B73347" w:rsidRPr="008525DC" w:rsidTr="003C1304">
        <w:tc>
          <w:tcPr>
            <w:tcW w:w="2263" w:type="dxa"/>
          </w:tcPr>
          <w:p w:rsidR="00B73347" w:rsidRPr="008525DC" w:rsidRDefault="00B73347" w:rsidP="0066463D">
            <w:pPr>
              <w:rPr>
                <w:rFonts w:cs="Calibri"/>
                <w:b/>
                <w:szCs w:val="22"/>
              </w:rPr>
            </w:pPr>
            <w:r w:rsidRPr="008525DC">
              <w:rPr>
                <w:rFonts w:cs="Calibri"/>
                <w:b/>
                <w:szCs w:val="22"/>
              </w:rPr>
              <w:t>Social housing</w:t>
            </w:r>
          </w:p>
        </w:tc>
        <w:tc>
          <w:tcPr>
            <w:tcW w:w="6753" w:type="dxa"/>
          </w:tcPr>
          <w:p w:rsidR="00B73347" w:rsidRPr="008525DC" w:rsidRDefault="00A10032" w:rsidP="0066463D">
            <w:pPr>
              <w:rPr>
                <w:rFonts w:cs="Calibri"/>
                <w:szCs w:val="22"/>
              </w:rPr>
            </w:pPr>
            <w:r w:rsidRPr="008525DC">
              <w:rPr>
                <w:rFonts w:cs="Calibri"/>
                <w:szCs w:val="22"/>
              </w:rPr>
              <w:t>Rental housing that is provided and/or managed by government or non-government organisations, including public and community housing.</w:t>
            </w:r>
            <w:r w:rsidRPr="008525DC">
              <w:rPr>
                <w:rStyle w:val="FootnoteReference"/>
                <w:rFonts w:cs="Calibri"/>
                <w:szCs w:val="22"/>
              </w:rPr>
              <w:footnoteReference w:id="10"/>
            </w:r>
          </w:p>
        </w:tc>
      </w:tr>
      <w:tr w:rsidR="008525DC" w:rsidRPr="008525DC" w:rsidTr="003C1304">
        <w:tc>
          <w:tcPr>
            <w:tcW w:w="2263" w:type="dxa"/>
          </w:tcPr>
          <w:p w:rsidR="008525DC" w:rsidRPr="008525DC" w:rsidRDefault="008525DC" w:rsidP="008525DC">
            <w:pPr>
              <w:rPr>
                <w:rFonts w:cs="Calibri"/>
                <w:b/>
                <w:szCs w:val="22"/>
              </w:rPr>
            </w:pPr>
            <w:r w:rsidRPr="008525DC">
              <w:rPr>
                <w:rFonts w:cs="Calibri"/>
                <w:b/>
                <w:szCs w:val="22"/>
              </w:rPr>
              <w:t>Statutory community contribution</w:t>
            </w:r>
          </w:p>
        </w:tc>
        <w:tc>
          <w:tcPr>
            <w:tcW w:w="6753" w:type="dxa"/>
          </w:tcPr>
          <w:p w:rsidR="008525DC" w:rsidRPr="008525DC" w:rsidRDefault="008525DC" w:rsidP="008525DC">
            <w:pPr>
              <w:rPr>
                <w:rFonts w:cs="Calibri"/>
                <w:szCs w:val="22"/>
              </w:rPr>
            </w:pPr>
            <w:r w:rsidRPr="008525DC">
              <w:rPr>
                <w:rFonts w:cs="Calibri"/>
                <w:szCs w:val="22"/>
              </w:rPr>
              <w:t>Contribution included in an annual audited community benefit statement lodged with the VCGLR</w:t>
            </w:r>
          </w:p>
        </w:tc>
      </w:tr>
    </w:tbl>
    <w:p w:rsidR="00B73347" w:rsidRDefault="00B73347" w:rsidP="00B73347">
      <w:pPr>
        <w:ind w:left="720"/>
      </w:pPr>
    </w:p>
    <w:p w:rsidR="00B73347" w:rsidRPr="00884187" w:rsidRDefault="00B73347" w:rsidP="00B73347">
      <w:pPr>
        <w:pStyle w:val="Heading4"/>
        <w:spacing w:before="0"/>
        <w:sectPr w:rsidR="00B73347" w:rsidRPr="00884187" w:rsidSect="00F27E2F">
          <w:headerReference w:type="even" r:id="rId15"/>
          <w:headerReference w:type="default" r:id="rId16"/>
          <w:footerReference w:type="default" r:id="rId17"/>
          <w:headerReference w:type="first" r:id="rId18"/>
          <w:footerReference w:type="first" r:id="rId19"/>
          <w:pgSz w:w="11906" w:h="16838"/>
          <w:pgMar w:top="1440" w:right="1440" w:bottom="1440" w:left="1440" w:header="708" w:footer="708" w:gutter="0"/>
          <w:pgNumType w:fmt="lowerRoman" w:start="1"/>
          <w:cols w:space="708"/>
          <w:titlePg/>
          <w:docGrid w:linePitch="360"/>
        </w:sectPr>
      </w:pPr>
    </w:p>
    <w:p w:rsidR="00816AB2" w:rsidRPr="00F27E2F" w:rsidRDefault="0086152E" w:rsidP="003136E6">
      <w:pPr>
        <w:pStyle w:val="Heading1"/>
        <w:spacing w:before="0" w:after="120"/>
        <w:rPr>
          <w:rFonts w:ascii="CoM" w:hAnsi="CoM"/>
          <w:b w:val="0"/>
          <w:sz w:val="38"/>
          <w:szCs w:val="38"/>
        </w:rPr>
      </w:pPr>
      <w:bookmarkStart w:id="8" w:name="_Toc494287748"/>
      <w:r w:rsidRPr="00F27E2F">
        <w:rPr>
          <w:rFonts w:ascii="CoM" w:hAnsi="CoM"/>
          <w:b w:val="0"/>
          <w:caps w:val="0"/>
          <w:sz w:val="38"/>
          <w:szCs w:val="38"/>
        </w:rPr>
        <w:t>Introduction</w:t>
      </w:r>
      <w:bookmarkEnd w:id="8"/>
    </w:p>
    <w:p w:rsidR="00816AB2" w:rsidRPr="00FC5226" w:rsidRDefault="0013297B" w:rsidP="00FC5226">
      <w:pPr>
        <w:pStyle w:val="Heading2"/>
      </w:pPr>
      <w:bookmarkStart w:id="9" w:name="_Toc494287749"/>
      <w:r w:rsidRPr="00FC5226">
        <w:t>Background</w:t>
      </w:r>
      <w:bookmarkEnd w:id="9"/>
    </w:p>
    <w:p w:rsidR="00C62436" w:rsidRDefault="005661AC" w:rsidP="00F0160A">
      <w:r>
        <w:t>The</w:t>
      </w:r>
      <w:r w:rsidR="00C62436">
        <w:t xml:space="preserve"> existing local planning policy for gaming </w:t>
      </w:r>
      <w:r>
        <w:t>(Clause 22.12 Gaming) was introduced into the Melbourne Planning Scheme when the new forma planning schemes came into operation in 1997. In 2006</w:t>
      </w:r>
      <w:r w:rsidR="00C62436">
        <w:t xml:space="preserve"> the Victoria Planning Provisions</w:t>
      </w:r>
      <w:r w:rsidR="008D3EF1">
        <w:t xml:space="preserve"> </w:t>
      </w:r>
      <w:r w:rsidR="0066463D">
        <w:t>introduced a state-</w:t>
      </w:r>
      <w:r w:rsidR="00C62436">
        <w:t>wide clause</w:t>
      </w:r>
      <w:r>
        <w:t xml:space="preserve"> (Clause 52.28 Gaming)</w:t>
      </w:r>
      <w:r w:rsidR="00C62436">
        <w:t xml:space="preserve"> that guides the location and operation of gaming machines</w:t>
      </w:r>
      <w:r>
        <w:t xml:space="preserve">. In recent years </w:t>
      </w:r>
      <w:r w:rsidR="00C62436">
        <w:t xml:space="preserve">there have been </w:t>
      </w:r>
      <w:r w:rsidR="00D171FC">
        <w:t>several</w:t>
      </w:r>
      <w:r w:rsidR="00C62436">
        <w:t xml:space="preserve"> significant changes to the regulatory framework within which gaming venues and electronic gaming machines (EGMs) operate in Victoria.</w:t>
      </w:r>
      <w:r w:rsidR="008D3EF1">
        <w:t xml:space="preserve"> Furthermore, the outcomes of gaming application licences and applications for planning permits in the municipality have established </w:t>
      </w:r>
      <w:r w:rsidR="00D171FC">
        <w:t>several</w:t>
      </w:r>
      <w:r w:rsidR="008D3EF1">
        <w:t xml:space="preserve"> decision-making principles that are likely to influence the future of gaming in the municipality.</w:t>
      </w:r>
    </w:p>
    <w:p w:rsidR="00C62436" w:rsidRDefault="00C62436" w:rsidP="00F0160A">
      <w:r>
        <w:t>On 19</w:t>
      </w:r>
      <w:r w:rsidRPr="0013297B">
        <w:rPr>
          <w:vertAlign w:val="superscript"/>
        </w:rPr>
        <w:t>th</w:t>
      </w:r>
      <w:r>
        <w:t xml:space="preserve"> July 2016, Melbourne City Council’s Future Melbourne Committee endorsed a review of Council’s </w:t>
      </w:r>
      <w:r w:rsidR="008D3EF1">
        <w:t>existing local planning policy for gaming to ensure that it reflects the current statutory and regulatory framework within which gaming takes place</w:t>
      </w:r>
      <w:r>
        <w:t xml:space="preserve">. </w:t>
      </w:r>
      <w:r w:rsidR="005661AC">
        <w:t>The City of Melbourne</w:t>
      </w:r>
      <w:r>
        <w:t xml:space="preserve"> has also recognised the need to prepare the </w:t>
      </w:r>
      <w:r w:rsidR="007B3C27">
        <w:t>Electronic Gaming Decision</w:t>
      </w:r>
      <w:r>
        <w:t>-Making Framework which, together with the revised Local Planning Policy for Electronic Gaming</w:t>
      </w:r>
      <w:r w:rsidR="008D3EF1">
        <w:t>, will guide Council in its various statutory responsibilities</w:t>
      </w:r>
      <w:r>
        <w:t xml:space="preserve">. </w:t>
      </w:r>
      <w:r w:rsidR="008D3EF1">
        <w:t>In particular, t</w:t>
      </w:r>
      <w:r>
        <w:t>hese documents will be used to prepare submissions on behalf of the community for applications for gaming licences assessed by the Gaming Commission, and assessing applications for planning permits for new gaming venues or top ups in existing gaming venues. They will also provide applicants with guidance on the type of information required to accompany a planning permit application.</w:t>
      </w:r>
    </w:p>
    <w:p w:rsidR="00F0160A" w:rsidRDefault="00F0160A" w:rsidP="00F0160A">
      <w:pPr>
        <w:pStyle w:val="Header"/>
        <w:spacing w:after="120"/>
        <w:rPr>
          <w:bCs/>
        </w:rPr>
      </w:pPr>
      <w:r>
        <w:t xml:space="preserve">The </w:t>
      </w:r>
      <w:r>
        <w:rPr>
          <w:bCs/>
          <w:i/>
        </w:rPr>
        <w:t xml:space="preserve">City of Melbourne </w:t>
      </w:r>
      <w:r w:rsidR="007B3C27">
        <w:rPr>
          <w:bCs/>
          <w:i/>
        </w:rPr>
        <w:t>Electronic Gaming Decision</w:t>
      </w:r>
      <w:r>
        <w:rPr>
          <w:bCs/>
          <w:i/>
        </w:rPr>
        <w:t xml:space="preserve">-Making Framework and Planning Policy Review Background Report </w:t>
      </w:r>
      <w:r>
        <w:rPr>
          <w:bCs/>
        </w:rPr>
        <w:t>(the Report) provides the evidence for these two documents.</w:t>
      </w:r>
    </w:p>
    <w:p w:rsidR="00F0160A" w:rsidRDefault="00F0160A" w:rsidP="00F0160A">
      <w:pPr>
        <w:rPr>
          <w:rFonts w:eastAsiaTheme="majorEastAsia" w:cs="Arial"/>
        </w:rPr>
      </w:pPr>
      <w:r w:rsidRPr="0066463D">
        <w:rPr>
          <w:rFonts w:eastAsiaTheme="majorEastAsia" w:cs="Arial"/>
        </w:rPr>
        <w:t>The information presented in the Report has been derived from three primary sources, namely a document review</w:t>
      </w:r>
      <w:r w:rsidR="005661AC">
        <w:rPr>
          <w:rFonts w:eastAsiaTheme="majorEastAsia" w:cs="Arial"/>
        </w:rPr>
        <w:t xml:space="preserve"> of re</w:t>
      </w:r>
      <w:r w:rsidR="00AA4757">
        <w:rPr>
          <w:rFonts w:eastAsiaTheme="majorEastAsia" w:cs="Arial"/>
        </w:rPr>
        <w:t>levant legislation and policies,</w:t>
      </w:r>
      <w:r w:rsidR="005661AC">
        <w:rPr>
          <w:rFonts w:eastAsiaTheme="majorEastAsia" w:cs="Arial"/>
        </w:rPr>
        <w:t xml:space="preserve"> </w:t>
      </w:r>
      <w:r w:rsidRPr="0066463D">
        <w:rPr>
          <w:rFonts w:eastAsiaTheme="majorEastAsia" w:cs="Arial"/>
        </w:rPr>
        <w:t>a</w:t>
      </w:r>
      <w:r w:rsidR="005661AC">
        <w:rPr>
          <w:rFonts w:eastAsiaTheme="majorEastAsia" w:cs="Arial"/>
        </w:rPr>
        <w:t xml:space="preserve"> review of the communi</w:t>
      </w:r>
      <w:r w:rsidR="00AA4757">
        <w:rPr>
          <w:rFonts w:eastAsiaTheme="majorEastAsia" w:cs="Arial"/>
        </w:rPr>
        <w:t>ty, land use and gaming context,</w:t>
      </w:r>
      <w:r w:rsidR="005661AC">
        <w:rPr>
          <w:rFonts w:eastAsiaTheme="majorEastAsia" w:cs="Arial"/>
        </w:rPr>
        <w:t xml:space="preserve"> and engagement with key stakeholders. </w:t>
      </w:r>
      <w:r w:rsidRPr="00764A62">
        <w:rPr>
          <w:rFonts w:eastAsiaTheme="majorEastAsia" w:cs="Arial"/>
        </w:rPr>
        <w:t>A full list of documents reviewed is included in Appendix 1.</w:t>
      </w:r>
    </w:p>
    <w:p w:rsidR="009D4F28" w:rsidRDefault="009D4F28" w:rsidP="00FC5226">
      <w:pPr>
        <w:pStyle w:val="Heading2"/>
      </w:pPr>
      <w:bookmarkStart w:id="10" w:name="_Toc494287750"/>
      <w:r>
        <w:t>Structure of the Report</w:t>
      </w:r>
      <w:bookmarkEnd w:id="10"/>
    </w:p>
    <w:p w:rsidR="009D4F28" w:rsidRDefault="009D4F28" w:rsidP="009D4F28">
      <w:pPr>
        <w:rPr>
          <w:rFonts w:eastAsiaTheme="majorEastAsia"/>
        </w:rPr>
      </w:pPr>
      <w:r>
        <w:rPr>
          <w:rFonts w:eastAsiaTheme="majorEastAsia"/>
        </w:rPr>
        <w:t>The Report consists of the following eight chapters (refer to Figure 1).</w:t>
      </w:r>
    </w:p>
    <w:p w:rsidR="009D4F28" w:rsidRDefault="009D4F28" w:rsidP="009D4F28">
      <w:pPr>
        <w:rPr>
          <w:rFonts w:eastAsiaTheme="majorEastAsia"/>
        </w:rPr>
      </w:pPr>
      <w:r>
        <w:rPr>
          <w:rFonts w:eastAsiaTheme="majorEastAsia"/>
        </w:rPr>
        <w:t xml:space="preserve">Each chapter commences with a summary of the key findings and the implications of these findings on the content and scope of the City of Melbourne </w:t>
      </w:r>
      <w:r w:rsidR="007B3C27">
        <w:rPr>
          <w:rFonts w:eastAsiaTheme="majorEastAsia"/>
        </w:rPr>
        <w:t>Electronic Gaming Decision</w:t>
      </w:r>
      <w:r>
        <w:rPr>
          <w:rFonts w:eastAsiaTheme="majorEastAsia"/>
        </w:rPr>
        <w:t>-Making Framework and Local Planning Policy for Gaming.</w:t>
      </w:r>
    </w:p>
    <w:p w:rsidR="00DD5CA0" w:rsidRDefault="001E166E" w:rsidP="00FC5226">
      <w:pPr>
        <w:pStyle w:val="Caption"/>
        <w:rPr>
          <w:rFonts w:eastAsiaTheme="majorEastAsia"/>
        </w:rPr>
      </w:pPr>
      <w:bookmarkStart w:id="11" w:name="_Toc494287805"/>
      <w:r>
        <w:t xml:space="preserve">Figure </w:t>
      </w:r>
      <w:r w:rsidR="00802F28">
        <w:fldChar w:fldCharType="begin"/>
      </w:r>
      <w:r w:rsidR="00802F28">
        <w:instrText xml:space="preserve"> SEQ Figure \* ARABIC </w:instrText>
      </w:r>
      <w:r w:rsidR="00802F28">
        <w:fldChar w:fldCharType="separate"/>
      </w:r>
      <w:r w:rsidR="002E7243">
        <w:rPr>
          <w:noProof/>
        </w:rPr>
        <w:t>1</w:t>
      </w:r>
      <w:r w:rsidR="00802F28">
        <w:rPr>
          <w:noProof/>
        </w:rPr>
        <w:fldChar w:fldCharType="end"/>
      </w:r>
      <w:r>
        <w:t xml:space="preserve"> – Structure of the Background Report</w:t>
      </w:r>
      <w:bookmarkEnd w:id="11"/>
    </w:p>
    <w:p w:rsidR="00A53E65" w:rsidRDefault="00FC5226" w:rsidP="00DD5CA0">
      <w:pPr>
        <w:rPr>
          <w:rFonts w:eastAsiaTheme="majorEastAsia"/>
        </w:rPr>
      </w:pPr>
      <w:r>
        <w:rPr>
          <w:noProof/>
          <w:lang w:eastAsia="en-AU"/>
        </w:rPr>
        <w:drawing>
          <wp:inline distT="0" distB="0" distL="0" distR="0" wp14:anchorId="32C7F6B3" wp14:editId="3C501030">
            <wp:extent cx="5475605" cy="7623174"/>
            <wp:effectExtent l="19050" t="0" r="10795" b="1651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6152E" w:rsidRDefault="0086152E">
      <w:pPr>
        <w:spacing w:line="276" w:lineRule="auto"/>
        <w:ind w:left="720"/>
      </w:pPr>
      <w:r>
        <w:br w:type="page"/>
      </w:r>
    </w:p>
    <w:p w:rsidR="00D44869" w:rsidRPr="00FC5226" w:rsidRDefault="00D44869" w:rsidP="00D44869">
      <w:pPr>
        <w:pStyle w:val="Heading1"/>
        <w:spacing w:before="0" w:after="120"/>
        <w:rPr>
          <w:rFonts w:ascii="CoM" w:hAnsi="CoM"/>
          <w:b w:val="0"/>
          <w:caps w:val="0"/>
          <w:sz w:val="38"/>
          <w:szCs w:val="38"/>
        </w:rPr>
      </w:pPr>
      <w:bookmarkStart w:id="12" w:name="_Toc494287751"/>
      <w:r w:rsidRPr="00FC5226">
        <w:rPr>
          <w:rFonts w:ascii="CoM" w:hAnsi="CoM"/>
          <w:b w:val="0"/>
          <w:caps w:val="0"/>
          <w:sz w:val="38"/>
          <w:szCs w:val="38"/>
        </w:rPr>
        <w:t>Stakeholder engagement</w:t>
      </w:r>
      <w:bookmarkEnd w:id="12"/>
    </w:p>
    <w:p w:rsidR="00D44869" w:rsidRDefault="00D44869" w:rsidP="00D44869">
      <w:r>
        <w:t>Stakeholder engagement was undertaken to gain insights of key agencies and the gaming industry on to inform the preparation of the Decision-Making Framework and the Local Planning Policy for Gaming.</w:t>
      </w:r>
    </w:p>
    <w:p w:rsidR="00D44869" w:rsidRDefault="00D44869" w:rsidP="00D44869">
      <w:r>
        <w:t>The following key findings arose out of the discussions with venue operators and agencies (see Appendix 3 for a more detailed summary):</w:t>
      </w:r>
    </w:p>
    <w:p w:rsidR="00D44869" w:rsidRDefault="00D44869" w:rsidP="007D1909">
      <w:pPr>
        <w:pStyle w:val="ListParagraph"/>
        <w:numPr>
          <w:ilvl w:val="0"/>
          <w:numId w:val="75"/>
        </w:numPr>
        <w:spacing w:after="120"/>
        <w:contextualSpacing w:val="0"/>
      </w:pPr>
      <w:r>
        <w:t>There was consensus that Council plays an important role in facilitating collaboration between the gaming industry, Council and other stakeholders, and raising awareness in the community about the potential harms associated with gambling. Stakeholders also noted that the gambling patron profile is diverse and transient, and comes from a wide catchment</w:t>
      </w:r>
      <w:r w:rsidR="0092252C">
        <w:t>.</w:t>
      </w:r>
    </w:p>
    <w:p w:rsidR="00AE19F1" w:rsidRDefault="00AE19F1" w:rsidP="00AE19F1">
      <w:pPr>
        <w:pStyle w:val="ListParagraph"/>
        <w:numPr>
          <w:ilvl w:val="0"/>
          <w:numId w:val="75"/>
        </w:numPr>
        <w:spacing w:after="120"/>
      </w:pPr>
      <w:r>
        <w:t>There was a strong desire among the venue operators and the agencies to be involved in the ongoing development of both the Gaming Decision-Making Framework and the Local Planning Policy for Gaming.</w:t>
      </w:r>
    </w:p>
    <w:p w:rsidR="0092252C" w:rsidRDefault="00D44869" w:rsidP="0092252C">
      <w:pPr>
        <w:pStyle w:val="ListParagraph"/>
        <w:numPr>
          <w:ilvl w:val="0"/>
          <w:numId w:val="75"/>
        </w:numPr>
        <w:spacing w:after="120"/>
        <w:contextualSpacing w:val="0"/>
      </w:pPr>
      <w:r>
        <w:t>The venue operators felt that the most effective harm minimisation measure was staff training. Club venue operators felt that there should be greater acknowledgement of the cash and in-kind contributions the</w:t>
      </w:r>
      <w:r w:rsidR="0031578B">
        <w:t>ir venues made to the community</w:t>
      </w:r>
      <w:r w:rsidR="0092252C">
        <w:t>, and that this was</w:t>
      </w:r>
      <w:r w:rsidR="0092252C" w:rsidRPr="0092252C">
        <w:t xml:space="preserve"> </w:t>
      </w:r>
      <w:r w:rsidR="0092252C">
        <w:t>primarily due to the revenue derived from the EGMs. In general venue operators felt that there may be some modest growth in the demand for EGM gambling in the future.</w:t>
      </w:r>
    </w:p>
    <w:p w:rsidR="0092252C" w:rsidRDefault="0092252C" w:rsidP="0092252C">
      <w:pPr>
        <w:pStyle w:val="ListParagraph"/>
        <w:numPr>
          <w:ilvl w:val="0"/>
          <w:numId w:val="75"/>
        </w:numPr>
        <w:spacing w:after="120"/>
        <w:contextualSpacing w:val="0"/>
      </w:pPr>
      <w:r>
        <w:t>Risk factors for gambling-related harms included socio-economic disadvantage, life circumstances such as loneliness, boredom and social isolation, being a member of a specific group such as Aboriginal, homeless, students, young and older people, poor mental health, and accessibility to EGMs. The main impacts of gambling-related harms included compromised mental health and wellbeing, homelessness and relationship breakdown.</w:t>
      </w:r>
    </w:p>
    <w:p w:rsidR="0092252C" w:rsidRDefault="0092252C" w:rsidP="0092252C">
      <w:pPr>
        <w:pStyle w:val="ListParagraph"/>
        <w:numPr>
          <w:ilvl w:val="0"/>
          <w:numId w:val="75"/>
        </w:numPr>
        <w:spacing w:after="120"/>
        <w:contextualSpacing w:val="0"/>
      </w:pPr>
      <w:r>
        <w:t>Agencies and venue operators felt that Council plays a leadership role in advocacy, collaboration, information dissemination and managing EGM gambling in the municipality.</w:t>
      </w:r>
    </w:p>
    <w:p w:rsidR="0092252C" w:rsidRDefault="0092252C" w:rsidP="0092252C">
      <w:pPr>
        <w:pStyle w:val="ListParagraph"/>
        <w:numPr>
          <w:ilvl w:val="0"/>
          <w:numId w:val="75"/>
        </w:numPr>
        <w:spacing w:after="120"/>
        <w:contextualSpacing w:val="0"/>
      </w:pPr>
      <w:r w:rsidRPr="00D34DE4">
        <w:t xml:space="preserve">The </w:t>
      </w:r>
      <w:r>
        <w:t>Electronic Gaming Decision-Making Framework and Local Planning Policy for Gaming should adopt a balanced approach to the management of EGMs in the municipality.</w:t>
      </w:r>
    </w:p>
    <w:p w:rsidR="00D44869" w:rsidRPr="0031578B" w:rsidRDefault="0092252C" w:rsidP="0092252C">
      <w:pPr>
        <w:pStyle w:val="ListParagraph"/>
        <w:numPr>
          <w:ilvl w:val="0"/>
          <w:numId w:val="75"/>
        </w:numPr>
        <w:spacing w:after="120"/>
        <w:contextualSpacing w:val="0"/>
      </w:pPr>
      <w:r>
        <w:t>The Electronic Gaming Decision-Making Framework should describe a range of strategies that guide a ‘whole of Council approach’ that guide Councils roles in the prevention and minimisation of gambling-related harms.</w:t>
      </w:r>
    </w:p>
    <w:p w:rsidR="00706330" w:rsidRPr="00FC5226" w:rsidRDefault="0086152E" w:rsidP="00FC5226">
      <w:pPr>
        <w:pStyle w:val="Heading1"/>
        <w:spacing w:before="0" w:after="120"/>
        <w:rPr>
          <w:rFonts w:ascii="CoM" w:hAnsi="CoM"/>
          <w:b w:val="0"/>
          <w:caps w:val="0"/>
          <w:sz w:val="38"/>
          <w:szCs w:val="38"/>
        </w:rPr>
      </w:pPr>
      <w:bookmarkStart w:id="13" w:name="_Toc494287752"/>
      <w:r w:rsidRPr="00FC5226">
        <w:rPr>
          <w:rFonts w:ascii="CoM" w:hAnsi="CoM"/>
          <w:b w:val="0"/>
          <w:caps w:val="0"/>
          <w:sz w:val="38"/>
          <w:szCs w:val="38"/>
        </w:rPr>
        <w:t xml:space="preserve">City </w:t>
      </w:r>
      <w:r w:rsidR="00051F9D" w:rsidRPr="00FC5226">
        <w:rPr>
          <w:rFonts w:ascii="CoM" w:hAnsi="CoM"/>
          <w:b w:val="0"/>
          <w:caps w:val="0"/>
          <w:sz w:val="38"/>
          <w:szCs w:val="38"/>
        </w:rPr>
        <w:t>o</w:t>
      </w:r>
      <w:r w:rsidRPr="00FC5226">
        <w:rPr>
          <w:rFonts w:ascii="CoM" w:hAnsi="CoM"/>
          <w:b w:val="0"/>
          <w:caps w:val="0"/>
          <w:sz w:val="38"/>
          <w:szCs w:val="38"/>
        </w:rPr>
        <w:t xml:space="preserve">f Melbourne </w:t>
      </w:r>
      <w:r w:rsidR="00433CC9" w:rsidRPr="00FC5226">
        <w:rPr>
          <w:rFonts w:ascii="CoM" w:hAnsi="CoM"/>
          <w:b w:val="0"/>
          <w:caps w:val="0"/>
          <w:sz w:val="38"/>
          <w:szCs w:val="38"/>
        </w:rPr>
        <w:t>s</w:t>
      </w:r>
      <w:r w:rsidRPr="00FC5226">
        <w:rPr>
          <w:rFonts w:ascii="CoM" w:hAnsi="CoM"/>
          <w:b w:val="0"/>
          <w:caps w:val="0"/>
          <w:sz w:val="38"/>
          <w:szCs w:val="38"/>
        </w:rPr>
        <w:t xml:space="preserve">trategic </w:t>
      </w:r>
      <w:r w:rsidR="00433CC9" w:rsidRPr="00FC5226">
        <w:rPr>
          <w:rFonts w:ascii="CoM" w:hAnsi="CoM"/>
          <w:b w:val="0"/>
          <w:caps w:val="0"/>
          <w:sz w:val="38"/>
          <w:szCs w:val="38"/>
        </w:rPr>
        <w:t>a</w:t>
      </w:r>
      <w:r w:rsidRPr="00FC5226">
        <w:rPr>
          <w:rFonts w:ascii="CoM" w:hAnsi="CoM"/>
          <w:b w:val="0"/>
          <w:caps w:val="0"/>
          <w:sz w:val="38"/>
          <w:szCs w:val="38"/>
        </w:rPr>
        <w:t xml:space="preserve">nd </w:t>
      </w:r>
      <w:r w:rsidR="00433CC9" w:rsidRPr="00FC5226">
        <w:rPr>
          <w:rFonts w:ascii="CoM" w:hAnsi="CoM"/>
          <w:b w:val="0"/>
          <w:caps w:val="0"/>
          <w:sz w:val="38"/>
          <w:szCs w:val="38"/>
        </w:rPr>
        <w:t>c</w:t>
      </w:r>
      <w:r w:rsidRPr="00FC5226">
        <w:rPr>
          <w:rFonts w:ascii="CoM" w:hAnsi="CoM"/>
          <w:b w:val="0"/>
          <w:caps w:val="0"/>
          <w:sz w:val="38"/>
          <w:szCs w:val="38"/>
        </w:rPr>
        <w:t xml:space="preserve">ommunity </w:t>
      </w:r>
      <w:r w:rsidR="00433CC9" w:rsidRPr="00FC5226">
        <w:rPr>
          <w:rFonts w:ascii="CoM" w:hAnsi="CoM"/>
          <w:b w:val="0"/>
          <w:caps w:val="0"/>
          <w:sz w:val="38"/>
          <w:szCs w:val="38"/>
        </w:rPr>
        <w:t>c</w:t>
      </w:r>
      <w:r w:rsidRPr="00FC5226">
        <w:rPr>
          <w:rFonts w:ascii="CoM" w:hAnsi="CoM"/>
          <w:b w:val="0"/>
          <w:caps w:val="0"/>
          <w:sz w:val="38"/>
          <w:szCs w:val="38"/>
        </w:rPr>
        <w:t>ontext</w:t>
      </w:r>
      <w:bookmarkEnd w:id="13"/>
    </w:p>
    <w:p w:rsidR="00F8009B" w:rsidRDefault="00F8009B" w:rsidP="00F8009B">
      <w:r>
        <w:t xml:space="preserve">This Chapter discusses the strategic role that the City of Melbourne plays in </w:t>
      </w:r>
      <w:r w:rsidR="0091423E">
        <w:t>Victoria. It also describes the municipality’s community in terms of its residents, users and socio-economic profile.</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B45E83" w:rsidTr="00B45E83">
        <w:tc>
          <w:tcPr>
            <w:tcW w:w="9016" w:type="dxa"/>
            <w:shd w:val="clear" w:color="auto" w:fill="D9D9D9" w:themeFill="background1" w:themeFillShade="D9"/>
          </w:tcPr>
          <w:p w:rsidR="00B45E83" w:rsidRDefault="00B45E83" w:rsidP="00B45E83">
            <w:pPr>
              <w:spacing w:after="120"/>
              <w:rPr>
                <w:b/>
              </w:rPr>
            </w:pPr>
            <w:r>
              <w:rPr>
                <w:b/>
              </w:rPr>
              <w:t>Key findings</w:t>
            </w:r>
          </w:p>
          <w:p w:rsidR="00B45E83" w:rsidRDefault="00B45E83" w:rsidP="00B45E83">
            <w:pPr>
              <w:spacing w:after="120"/>
            </w:pPr>
            <w:r>
              <w:t>The City of Melbourne is Victoria’s major economic, cultural, commercial, leisure, entertainment and research centre. It also is home to many residents. The City is expected to experience significant population growth in the urban renewal areas.</w:t>
            </w:r>
          </w:p>
          <w:p w:rsidR="00B45E83" w:rsidRPr="00B45E83" w:rsidRDefault="00B45E83" w:rsidP="00B45E83">
            <w:pPr>
              <w:spacing w:after="120"/>
            </w:pPr>
            <w:r>
              <w:t xml:space="preserve">The community of Melbourne consist of residents, workers, students and visitors. Although the municipality would not be considered to be socio-economically disadvantaged, there are pockets of disadvantage throughout the municipality. In addition, there are concentrations of homelessness and students throughout the municipality, both of which are considered to be at an elevated risk of gambling-related harms. </w:t>
            </w:r>
          </w:p>
        </w:tc>
      </w:tr>
    </w:tbl>
    <w:p w:rsidR="00B45E83" w:rsidRDefault="00B45E83" w:rsidP="00B45E83"/>
    <w:tbl>
      <w:tblPr>
        <w:tblStyle w:val="TableGrid"/>
        <w:tblW w:w="0" w:type="auto"/>
        <w:shd w:val="clear" w:color="auto" w:fill="D9D9D9" w:themeFill="background1" w:themeFillShade="D9"/>
        <w:tblLook w:val="04A0" w:firstRow="1" w:lastRow="0" w:firstColumn="1" w:lastColumn="0" w:noHBand="0" w:noVBand="1"/>
      </w:tblPr>
      <w:tblGrid>
        <w:gridCol w:w="9016"/>
      </w:tblGrid>
      <w:tr w:rsidR="00B45E83" w:rsidTr="00B45E83">
        <w:tc>
          <w:tcPr>
            <w:tcW w:w="9016" w:type="dxa"/>
            <w:shd w:val="clear" w:color="auto" w:fill="D9D9D9" w:themeFill="background1" w:themeFillShade="D9"/>
          </w:tcPr>
          <w:p w:rsidR="00B45E83" w:rsidRDefault="00B45E83" w:rsidP="00B45E83">
            <w:pPr>
              <w:spacing w:after="120"/>
              <w:rPr>
                <w:b/>
              </w:rPr>
            </w:pPr>
            <w:r>
              <w:rPr>
                <w:b/>
              </w:rPr>
              <w:t xml:space="preserve">Implications for the </w:t>
            </w:r>
            <w:r w:rsidR="007B3C27">
              <w:rPr>
                <w:b/>
              </w:rPr>
              <w:t>Electronic Gaming Decision</w:t>
            </w:r>
            <w:r>
              <w:rPr>
                <w:b/>
              </w:rPr>
              <w:t>-Making Framework and Local Planning Policy for Gaming</w:t>
            </w:r>
          </w:p>
          <w:p w:rsidR="0060035B" w:rsidRPr="0060035B" w:rsidRDefault="0060035B" w:rsidP="00B45E83">
            <w:pPr>
              <w:spacing w:after="120"/>
            </w:pPr>
            <w:r>
              <w:t>Gambling venues are part of the entertainment offer in the municipality. However, their location and operation needs to be managed in order to protect specific groups within the municipality that are at an elevated risk of gambling-related harm.</w:t>
            </w:r>
          </w:p>
        </w:tc>
      </w:tr>
    </w:tbl>
    <w:p w:rsidR="00B45E83" w:rsidRPr="00F8009B" w:rsidRDefault="00B45E83" w:rsidP="00B45E83"/>
    <w:p w:rsidR="00B73347" w:rsidRDefault="0058293A" w:rsidP="00FC5226">
      <w:pPr>
        <w:pStyle w:val="Heading2"/>
      </w:pPr>
      <w:bookmarkStart w:id="14" w:name="_Toc494287753"/>
      <w:bookmarkStart w:id="15" w:name="_Hlk489967902"/>
      <w:r>
        <w:t>Strategic role of the City of Melbourne</w:t>
      </w:r>
      <w:bookmarkEnd w:id="14"/>
    </w:p>
    <w:p w:rsidR="00A70DA5" w:rsidRDefault="0058293A" w:rsidP="0058293A">
      <w:r>
        <w:t xml:space="preserve">Melbourne is Victoria’s capital city and is the heart of the City of Melbourne. It is the location for many of Victoria’s premier economic and cultural infrastructure, providing a range of commercial, cultural, </w:t>
      </w:r>
      <w:r w:rsidR="00A70DA5">
        <w:t>leisure</w:t>
      </w:r>
      <w:r>
        <w:t xml:space="preserve">, entertainment, research, </w:t>
      </w:r>
      <w:r w:rsidR="00A70DA5">
        <w:t>education and residential uses.</w:t>
      </w:r>
    </w:p>
    <w:p w:rsidR="00686889" w:rsidRPr="009D0DC3" w:rsidRDefault="00686889" w:rsidP="00686889">
      <w:pPr>
        <w:rPr>
          <w:rFonts w:cstheme="minorHAnsi"/>
        </w:rPr>
      </w:pPr>
      <w:r w:rsidRPr="009D0DC3">
        <w:rPr>
          <w:rFonts w:cstheme="minorHAnsi"/>
        </w:rPr>
        <w:t>The City of Melbourne is adjoined by the Cities of Maribyrnong and Hobsons Bay to the west, Moonee Valley to the north-west, Moreland to the north, Yarra and Stonnington to the east, and Port Phillip to the south.</w:t>
      </w:r>
    </w:p>
    <w:p w:rsidR="00A70DA5" w:rsidRPr="0099464A" w:rsidRDefault="005661AC" w:rsidP="00A70DA5">
      <w:pPr>
        <w:rPr>
          <w:rFonts w:cstheme="minorHAnsi"/>
        </w:rPr>
      </w:pPr>
      <w:r>
        <w:t xml:space="preserve">Melbourne’s ‘Hoddle Grid’ </w:t>
      </w:r>
      <w:r w:rsidR="0058293A">
        <w:t>operates 24 hours a day, seven days a week,</w:t>
      </w:r>
      <w:r w:rsidR="00A70DA5">
        <w:t xml:space="preserve"> providing the venue for major events and festivals that attract visitors from the metropolitan area, Victoria, interstate and globally</w:t>
      </w:r>
      <w:r w:rsidR="0058293A">
        <w:t>.</w:t>
      </w:r>
      <w:r w:rsidR="00A70DA5">
        <w:rPr>
          <w:rStyle w:val="FootnoteReference"/>
        </w:rPr>
        <w:footnoteReference w:id="11"/>
      </w:r>
      <w:r w:rsidR="0058293A">
        <w:t xml:space="preserve">  </w:t>
      </w:r>
      <w:r w:rsidR="00A70DA5">
        <w:rPr>
          <w:rFonts w:cstheme="minorHAnsi"/>
        </w:rPr>
        <w:t>It also</w:t>
      </w:r>
      <w:r w:rsidR="00A70DA5" w:rsidRPr="0099464A">
        <w:rPr>
          <w:rFonts w:cstheme="minorHAnsi"/>
        </w:rPr>
        <w:t xml:space="preserve"> acts as a major transport hub, linking the city with metropolitan Melbourne and regional Victoria.</w:t>
      </w:r>
    </w:p>
    <w:p w:rsidR="00706330" w:rsidRDefault="008F68AA" w:rsidP="00FC5226">
      <w:pPr>
        <w:pStyle w:val="Heading2"/>
      </w:pPr>
      <w:bookmarkStart w:id="16" w:name="_Toc494287754"/>
      <w:bookmarkEnd w:id="15"/>
      <w:r>
        <w:t>Community</w:t>
      </w:r>
      <w:bookmarkEnd w:id="16"/>
    </w:p>
    <w:p w:rsidR="00706330" w:rsidRDefault="00706330" w:rsidP="00706330">
      <w:pPr>
        <w:pStyle w:val="Heading3"/>
      </w:pPr>
      <w:r>
        <w:t>Residential</w:t>
      </w:r>
    </w:p>
    <w:p w:rsidR="00706330" w:rsidRDefault="00706330" w:rsidP="00706330">
      <w:r>
        <w:t>In 2017 the residential population of the City of Melbourne is estimated to be 137,542. It is projected to increase to 202,000 by the year 2030.</w:t>
      </w:r>
      <w:r>
        <w:rPr>
          <w:rStyle w:val="FootnoteReference"/>
        </w:rPr>
        <w:footnoteReference w:id="12"/>
      </w:r>
      <w:r w:rsidR="0031578B">
        <w:t xml:space="preserve">  </w:t>
      </w:r>
      <w:r w:rsidR="00A70DA5">
        <w:t>In 2016 residential density was highest</w:t>
      </w:r>
      <w:r>
        <w:t xml:space="preserve"> the Hoddle Grid</w:t>
      </w:r>
      <w:r w:rsidR="00A70DA5">
        <w:t xml:space="preserve">. </w:t>
      </w:r>
      <w:r>
        <w:t>Carlton, North Melbourne and Southbank</w:t>
      </w:r>
      <w:r w:rsidR="00A70DA5">
        <w:t xml:space="preserve"> had relatively high residential densities</w:t>
      </w:r>
      <w:r>
        <w:t>.</w:t>
      </w:r>
    </w:p>
    <w:p w:rsidR="00706330" w:rsidRDefault="00706330" w:rsidP="00706330">
      <w:r>
        <w:t xml:space="preserve">The areas projected to experience the largest residential population increase are located in the western portions of the municipality, </w:t>
      </w:r>
      <w:r w:rsidR="00E149FB">
        <w:t>Fishermans Bend</w:t>
      </w:r>
      <w:r>
        <w:t>, West Melbourne and Docklands</w:t>
      </w:r>
      <w:r w:rsidR="003C1304">
        <w:t>.</w:t>
      </w:r>
      <w:r>
        <w:t xml:space="preserve"> The Hoddle Grid is expected to experience a modest increase in residential population. East Melbourne and Parkville are expected to experience the smallest growth in residential population</w:t>
      </w:r>
      <w:r w:rsidR="003C1304">
        <w:t>.</w:t>
      </w:r>
      <w:r w:rsidR="0031578B">
        <w:t xml:space="preserve">  </w:t>
      </w:r>
      <w:r>
        <w:t>It is projected that</w:t>
      </w:r>
      <w:r w:rsidR="00A70DA5">
        <w:t xml:space="preserve"> residential density will continue to be highest in</w:t>
      </w:r>
      <w:r>
        <w:t xml:space="preserve"> the Hoddle Grid and Southbank in the future</w:t>
      </w:r>
      <w:r w:rsidR="00A70DA5">
        <w:t>.</w:t>
      </w:r>
    </w:p>
    <w:p w:rsidR="00706330" w:rsidRDefault="00706330" w:rsidP="00706330">
      <w:pPr>
        <w:pStyle w:val="Heading3"/>
      </w:pPr>
      <w:r>
        <w:t>Users</w:t>
      </w:r>
    </w:p>
    <w:p w:rsidR="004214A4" w:rsidRDefault="003401F1" w:rsidP="00706330">
      <w:r>
        <w:t xml:space="preserve">The City of Melbourne Daily Population Estimates and Forecasts (2015 update) found that in </w:t>
      </w:r>
      <w:r w:rsidR="00786FCE">
        <w:t xml:space="preserve">2014 </w:t>
      </w:r>
      <w:r>
        <w:t>there were</w:t>
      </w:r>
      <w:r w:rsidR="00786FCE">
        <w:t xml:space="preserve"> </w:t>
      </w:r>
      <w:r w:rsidR="00786FCE" w:rsidRPr="007622BE">
        <w:t xml:space="preserve">854,000 </w:t>
      </w:r>
      <w:bookmarkStart w:id="17" w:name="_Hlk489967500"/>
      <w:r w:rsidR="00786FCE">
        <w:t>daily users</w:t>
      </w:r>
      <w:r>
        <w:t xml:space="preserve"> in the municipality consisting of </w:t>
      </w:r>
      <w:r w:rsidR="00786FCE">
        <w:t>residents, workers, students and visitors</w:t>
      </w:r>
      <w:r w:rsidR="004214A4">
        <w:t>.</w:t>
      </w:r>
    </w:p>
    <w:bookmarkEnd w:id="17"/>
    <w:p w:rsidR="004214A4" w:rsidRDefault="004214A4" w:rsidP="008B0946">
      <w:r>
        <w:t>This study also found that:</w:t>
      </w:r>
    </w:p>
    <w:p w:rsidR="004214A4" w:rsidRDefault="004214A4" w:rsidP="007D1909">
      <w:pPr>
        <w:pStyle w:val="ListParagraph"/>
        <w:numPr>
          <w:ilvl w:val="0"/>
          <w:numId w:val="60"/>
        </w:numPr>
        <w:spacing w:after="120"/>
        <w:contextualSpacing w:val="0"/>
      </w:pPr>
      <w:r>
        <w:t xml:space="preserve">In 2014, approximately 390,000 people were present in the City on a weekday night, of whom the largest proportions were residents over the age of 15 and workers (refer to Figure </w:t>
      </w:r>
      <w:r w:rsidR="00D9712C">
        <w:t>2</w:t>
      </w:r>
      <w:r w:rsidR="0031578B">
        <w:t>)</w:t>
      </w:r>
    </w:p>
    <w:p w:rsidR="008B0946" w:rsidRDefault="008B0946" w:rsidP="007D1909">
      <w:pPr>
        <w:pStyle w:val="ListParagraph"/>
        <w:numPr>
          <w:ilvl w:val="0"/>
          <w:numId w:val="60"/>
        </w:numPr>
        <w:spacing w:after="120"/>
        <w:contextualSpacing w:val="0"/>
      </w:pPr>
      <w:r>
        <w:t>The weekend daily population consists primarily of visitors and residents while the weekday popula</w:t>
      </w:r>
      <w:r w:rsidR="0031578B">
        <w:t>tion consists mainly of workers</w:t>
      </w:r>
    </w:p>
    <w:p w:rsidR="008B0946" w:rsidRDefault="008B0946" w:rsidP="007D1909">
      <w:pPr>
        <w:pStyle w:val="ListParagraph"/>
        <w:numPr>
          <w:ilvl w:val="0"/>
          <w:numId w:val="60"/>
        </w:numPr>
        <w:spacing w:after="120"/>
        <w:contextualSpacing w:val="0"/>
      </w:pPr>
      <w:r>
        <w:t>The number of weekend visitors peaks at approximately 23,000 people between the hours of 1pm and 4pm.</w:t>
      </w:r>
    </w:p>
    <w:p w:rsidR="008B0946" w:rsidRDefault="008B0946" w:rsidP="008B0946">
      <w:r>
        <w:t>These figures illustrate that the City of Melbourne functions as a 24 hour city.</w:t>
      </w:r>
    </w:p>
    <w:p w:rsidR="004214A4" w:rsidRDefault="004214A4" w:rsidP="004214A4">
      <w:pPr>
        <w:pStyle w:val="Caption"/>
      </w:pPr>
      <w:bookmarkStart w:id="18" w:name="_Toc494287806"/>
      <w:r>
        <w:t xml:space="preserve">Figure </w:t>
      </w:r>
      <w:r w:rsidR="00802F28">
        <w:fldChar w:fldCharType="begin"/>
      </w:r>
      <w:r w:rsidR="00802F28">
        <w:instrText xml:space="preserve"> SEQ Figure \* ARABIC </w:instrText>
      </w:r>
      <w:r w:rsidR="00802F28">
        <w:fldChar w:fldCharType="separate"/>
      </w:r>
      <w:r w:rsidR="002E7243">
        <w:rPr>
          <w:noProof/>
        </w:rPr>
        <w:t>2</w:t>
      </w:r>
      <w:r w:rsidR="00802F28">
        <w:rPr>
          <w:noProof/>
        </w:rPr>
        <w:fldChar w:fldCharType="end"/>
      </w:r>
      <w:r>
        <w:t xml:space="preserve"> – Estimated weekday night time daily population (aged 15 years plus), 201</w:t>
      </w:r>
      <w:r w:rsidR="0031578B">
        <w:t>5</w:t>
      </w:r>
      <w:bookmarkEnd w:id="18"/>
    </w:p>
    <w:p w:rsidR="004214A4" w:rsidRDefault="004214A4" w:rsidP="004214A4">
      <w:r>
        <w:rPr>
          <w:noProof/>
          <w:lang w:eastAsia="en-AU"/>
        </w:rPr>
        <w:drawing>
          <wp:inline distT="0" distB="0" distL="0" distR="0" wp14:anchorId="204BD51F" wp14:editId="183BD8C3">
            <wp:extent cx="5731510" cy="3409950"/>
            <wp:effectExtent l="0" t="0" r="2540" b="0"/>
            <wp:docPr id="34" name="Chart 3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D0878E7-CC86-434B-8F03-04E3922F90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214A4" w:rsidRDefault="004214A4" w:rsidP="004214A4">
      <w:r>
        <w:t>Source: City of Melbourne Population Daily Population Estimates and Forecasts, October 2015</w:t>
      </w:r>
    </w:p>
    <w:p w:rsidR="00706330" w:rsidRDefault="003401F1" w:rsidP="00706330">
      <w:r>
        <w:t xml:space="preserve">This study </w:t>
      </w:r>
      <w:r w:rsidR="00BD737A">
        <w:t xml:space="preserve">projected that </w:t>
      </w:r>
      <w:r w:rsidR="00BD737A" w:rsidRPr="007622BE">
        <w:t>the total number of daily population to the city is to experience an average growth of 2.0 per cent annually between 2014 and 2030. This will see a million people travelling to the city in 2022 on an average weekday.</w:t>
      </w:r>
      <w:r w:rsidR="00BD737A">
        <w:rPr>
          <w:rStyle w:val="FootnoteReference"/>
        </w:rPr>
        <w:footnoteReference w:id="13"/>
      </w:r>
      <w:r w:rsidR="00BD737A" w:rsidRPr="007622BE">
        <w:t xml:space="preserve"> </w:t>
      </w:r>
      <w:r w:rsidR="00BD737A">
        <w:t xml:space="preserve">It is further projected that </w:t>
      </w:r>
      <w:r w:rsidR="00706330">
        <w:t>in 20</w:t>
      </w:r>
      <w:r w:rsidR="007E26A6">
        <w:t>30</w:t>
      </w:r>
      <w:r w:rsidR="00706330">
        <w:t>, the largest components will still be workers and metropolitan visitors. However, it is projected that residents will form a larger proportion of the total population in 20</w:t>
      </w:r>
      <w:r w:rsidR="007E26A6">
        <w:t>3</w:t>
      </w:r>
      <w:r w:rsidR="00706330">
        <w:t xml:space="preserve">0 compared with 2017 (refer to Figure </w:t>
      </w:r>
      <w:r w:rsidR="00592DC4">
        <w:t>3</w:t>
      </w:r>
      <w:r w:rsidR="00706330">
        <w:t>)</w:t>
      </w:r>
      <w:r w:rsidR="003C1304">
        <w:t>.</w:t>
      </w:r>
    </w:p>
    <w:p w:rsidR="00706330" w:rsidRDefault="00706330" w:rsidP="00706330">
      <w:pPr>
        <w:pStyle w:val="Caption"/>
      </w:pPr>
      <w:bookmarkStart w:id="19" w:name="_Toc494287807"/>
      <w:r>
        <w:t xml:space="preserve">Figure </w:t>
      </w:r>
      <w:r w:rsidR="00802F28">
        <w:fldChar w:fldCharType="begin"/>
      </w:r>
      <w:r w:rsidR="00802F28">
        <w:instrText xml:space="preserve"> SEQ Figure \* ARA</w:instrText>
      </w:r>
      <w:r w:rsidR="00802F28">
        <w:instrText xml:space="preserve">BIC </w:instrText>
      </w:r>
      <w:r w:rsidR="00802F28">
        <w:fldChar w:fldCharType="separate"/>
      </w:r>
      <w:r w:rsidR="002E7243">
        <w:rPr>
          <w:noProof/>
        </w:rPr>
        <w:t>3</w:t>
      </w:r>
      <w:r w:rsidR="00802F28">
        <w:rPr>
          <w:noProof/>
        </w:rPr>
        <w:fldChar w:fldCharType="end"/>
      </w:r>
      <w:r>
        <w:t xml:space="preserve"> – Breakdown of the City of Melbourne’s population, 201</w:t>
      </w:r>
      <w:r w:rsidR="004214A4">
        <w:t>4</w:t>
      </w:r>
      <w:r>
        <w:t xml:space="preserve"> and 2030</w:t>
      </w:r>
      <w:r w:rsidR="00786FCE">
        <w:t xml:space="preserve"> (%)</w:t>
      </w:r>
      <w:bookmarkEnd w:id="19"/>
    </w:p>
    <w:p w:rsidR="00786FCE" w:rsidRPr="00786FCE" w:rsidRDefault="004214A4" w:rsidP="00786FCE">
      <w:r>
        <w:rPr>
          <w:noProof/>
          <w:lang w:eastAsia="en-AU"/>
        </w:rPr>
        <w:drawing>
          <wp:inline distT="0" distB="0" distL="0" distR="0" wp14:anchorId="4AF763CA" wp14:editId="0FBC2A02">
            <wp:extent cx="5795963" cy="2743200"/>
            <wp:effectExtent l="0" t="0" r="14605" b="0"/>
            <wp:docPr id="35" name="Chart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4BD81AF-632E-4F58-9D13-2A876D56A6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214A4" w:rsidRDefault="004214A4" w:rsidP="004214A4">
      <w:r>
        <w:t>Source: City of Melbourne Population Daily Population Estimates and Forecasts, October 2015</w:t>
      </w:r>
    </w:p>
    <w:p w:rsidR="00BC43D5" w:rsidRPr="00BC43D5" w:rsidRDefault="00BC43D5" w:rsidP="00706330">
      <w:pPr>
        <w:pStyle w:val="Heading3"/>
        <w:spacing w:before="40" w:after="0" w:line="259" w:lineRule="auto"/>
        <w:rPr>
          <w:rFonts w:asciiTheme="minorHAnsi" w:hAnsiTheme="minorHAnsi" w:cstheme="minorHAnsi"/>
        </w:rPr>
      </w:pPr>
      <w:r>
        <w:rPr>
          <w:rFonts w:asciiTheme="minorHAnsi" w:hAnsiTheme="minorHAnsi" w:cstheme="minorHAnsi"/>
        </w:rPr>
        <w:t>Socio-economic profile</w:t>
      </w:r>
    </w:p>
    <w:p w:rsidR="00BC43D5" w:rsidRDefault="00BC43D5" w:rsidP="00706330">
      <w:r>
        <w:t>A detailed description of the socio-economic factors that influence the municipality’s vulnerability to gambling-related harms is provided in Section 7.3.6 and Appendix 3.</w:t>
      </w:r>
    </w:p>
    <w:p w:rsidR="00AD57A1" w:rsidRDefault="00706330" w:rsidP="00706330">
      <w:bookmarkStart w:id="20" w:name="_Hlk489967583"/>
      <w:r>
        <w:t>Overall the City of Melbourne does not display high levels of socio-economic disadvantage</w:t>
      </w:r>
      <w:r w:rsidR="00606435">
        <w:t xml:space="preserve"> as it has a relatively high SEIFA (socio-economic index for areas) score compared with many adjoining municipalities</w:t>
      </w:r>
      <w:r>
        <w:t xml:space="preserve"> (refer to Figure </w:t>
      </w:r>
      <w:r w:rsidR="00592DC4">
        <w:t>4</w:t>
      </w:r>
      <w:r>
        <w:t xml:space="preserve">). </w:t>
      </w:r>
      <w:r w:rsidR="006F04BE">
        <w:t xml:space="preserve">A SEIFA score is standardised score calculated by the Australian Bureau of Statistics where a score of 1000 is average, and the middle two thirds of SEIFA scores fall between 900 and 1100. </w:t>
      </w:r>
      <w:r w:rsidR="00AD57A1">
        <w:t xml:space="preserve">The </w:t>
      </w:r>
      <w:r w:rsidR="008B0946">
        <w:t>statistical areas 2 (</w:t>
      </w:r>
      <w:r w:rsidR="00AD57A1">
        <w:t>SA2</w:t>
      </w:r>
      <w:r w:rsidR="008B0946">
        <w:t xml:space="preserve">) </w:t>
      </w:r>
      <w:r w:rsidR="00AD57A1">
        <w:t>with relatively high socio-economic disadvantage are Carlton and North Melbourne.</w:t>
      </w:r>
      <w:r w:rsidR="007C4597">
        <w:t xml:space="preserve"> This socio-economic profile does not take into account the level of </w:t>
      </w:r>
      <w:r w:rsidR="007B3C27">
        <w:t>disadvantage amongst</w:t>
      </w:r>
      <w:r w:rsidR="007C4597">
        <w:t xml:space="preserve"> the City’s </w:t>
      </w:r>
      <w:r w:rsidR="007B3C27">
        <w:t xml:space="preserve">workers, </w:t>
      </w:r>
      <w:r w:rsidR="007C4597">
        <w:t>visitor</w:t>
      </w:r>
      <w:r w:rsidR="007B3C27">
        <w:t>s</w:t>
      </w:r>
      <w:r w:rsidR="007C4597">
        <w:t xml:space="preserve"> and homeless</w:t>
      </w:r>
      <w:r w:rsidR="007B3C27">
        <w:t>ness sector</w:t>
      </w:r>
      <w:r w:rsidR="007C4597">
        <w:t>.</w:t>
      </w:r>
      <w:r w:rsidR="003524E8">
        <w:t xml:space="preserve"> </w:t>
      </w:r>
    </w:p>
    <w:p w:rsidR="008B0946" w:rsidRPr="008B0946" w:rsidRDefault="00AD57A1" w:rsidP="008B0946">
      <w:pPr>
        <w:pStyle w:val="Caption"/>
      </w:pPr>
      <w:bookmarkStart w:id="21" w:name="_Toc494287808"/>
      <w:bookmarkEnd w:id="20"/>
      <w:r>
        <w:t xml:space="preserve">Figure </w:t>
      </w:r>
      <w:r w:rsidR="00802F28">
        <w:fldChar w:fldCharType="begin"/>
      </w:r>
      <w:r w:rsidR="00802F28">
        <w:instrText xml:space="preserve"> SEQ Figure \* ARABIC </w:instrText>
      </w:r>
      <w:r w:rsidR="00802F28">
        <w:fldChar w:fldCharType="separate"/>
      </w:r>
      <w:r w:rsidR="002E7243">
        <w:rPr>
          <w:noProof/>
        </w:rPr>
        <w:t>4</w:t>
      </w:r>
      <w:r w:rsidR="00802F28">
        <w:rPr>
          <w:noProof/>
        </w:rPr>
        <w:fldChar w:fldCharType="end"/>
      </w:r>
      <w:r>
        <w:t xml:space="preserve"> – Index of Relative Socio-Economic Disadvantage, 2011, City of Melbourne, Adjoining Municipalities and SA2</w:t>
      </w:r>
      <w:bookmarkEnd w:id="21"/>
    </w:p>
    <w:p w:rsidR="00706330" w:rsidRDefault="00AD57A1" w:rsidP="008B0946">
      <w:r>
        <w:rPr>
          <w:noProof/>
          <w:lang w:eastAsia="en-AU"/>
        </w:rPr>
        <w:drawing>
          <wp:inline distT="0" distB="0" distL="0" distR="0" wp14:anchorId="40A4383D" wp14:editId="770E47C3">
            <wp:extent cx="5142865" cy="4271963"/>
            <wp:effectExtent l="0" t="0" r="635" b="14605"/>
            <wp:docPr id="1"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7289FDCB-B01A-4B4A-8A8B-1A7CD23B13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706330">
        <w:t xml:space="preserve"> </w:t>
      </w:r>
    </w:p>
    <w:p w:rsidR="008B0946" w:rsidRDefault="008B0946" w:rsidP="008B0946">
      <w:r>
        <w:t>Source: ABS Census of Population and Housing</w:t>
      </w:r>
    </w:p>
    <w:p w:rsidR="008B0946" w:rsidRDefault="008B0946" w:rsidP="008B0946">
      <w:r>
        <w:t xml:space="preserve">There are also concentrations of significant socio-economic disadvantage distributed throughout the municipality (refer to Figure </w:t>
      </w:r>
      <w:r w:rsidR="007823FB">
        <w:t>5</w:t>
      </w:r>
      <w:r>
        <w:t>).</w:t>
      </w:r>
    </w:p>
    <w:p w:rsidR="00AD57A1" w:rsidRDefault="00706330" w:rsidP="00AD57A1">
      <w:pPr>
        <w:pStyle w:val="Caption"/>
        <w:rPr>
          <w:rFonts w:cstheme="minorHAnsi"/>
        </w:rPr>
      </w:pPr>
      <w:bookmarkStart w:id="22" w:name="_Toc494287809"/>
      <w:r w:rsidRPr="0099464A">
        <w:rPr>
          <w:rFonts w:cstheme="minorHAnsi"/>
        </w:rPr>
        <w:t xml:space="preserve">Figure </w:t>
      </w:r>
      <w:r w:rsidRPr="0099464A">
        <w:rPr>
          <w:rFonts w:cstheme="minorHAnsi"/>
        </w:rPr>
        <w:fldChar w:fldCharType="begin"/>
      </w:r>
      <w:r w:rsidRPr="0099464A">
        <w:rPr>
          <w:rFonts w:cstheme="minorHAnsi"/>
        </w:rPr>
        <w:instrText xml:space="preserve"> SEQ Figure \* ARABIC </w:instrText>
      </w:r>
      <w:r w:rsidRPr="0099464A">
        <w:rPr>
          <w:rFonts w:cstheme="minorHAnsi"/>
        </w:rPr>
        <w:fldChar w:fldCharType="separate"/>
      </w:r>
      <w:r w:rsidR="002E7243">
        <w:rPr>
          <w:rFonts w:cstheme="minorHAnsi"/>
          <w:noProof/>
        </w:rPr>
        <w:t>5</w:t>
      </w:r>
      <w:r w:rsidRPr="0099464A">
        <w:rPr>
          <w:rFonts w:cstheme="minorHAnsi"/>
          <w:noProof/>
        </w:rPr>
        <w:fldChar w:fldCharType="end"/>
      </w:r>
      <w:r w:rsidRPr="0099464A">
        <w:rPr>
          <w:rFonts w:cstheme="minorHAnsi"/>
        </w:rPr>
        <w:t xml:space="preserve"> – Index of Relative Socio-Economic Disadvantage, 2011 by SA1</w:t>
      </w:r>
      <w:r w:rsidR="008E7994">
        <w:rPr>
          <w:rStyle w:val="FootnoteReference"/>
          <w:rFonts w:cstheme="minorHAnsi"/>
        </w:rPr>
        <w:footnoteReference w:id="14"/>
      </w:r>
      <w:bookmarkEnd w:id="2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03"/>
        <w:gridCol w:w="2339"/>
      </w:tblGrid>
      <w:tr w:rsidR="00AD57A1" w:rsidTr="00AD57A1">
        <w:tc>
          <w:tcPr>
            <w:tcW w:w="6732" w:type="dxa"/>
          </w:tcPr>
          <w:p w:rsidR="00AD57A1" w:rsidRDefault="00AD57A1" w:rsidP="00AD57A1">
            <w:pPr>
              <w:pStyle w:val="Caption"/>
              <w:rPr>
                <w:rFonts w:cstheme="minorHAnsi"/>
              </w:rPr>
            </w:pPr>
            <w:r w:rsidRPr="0099464A">
              <w:rPr>
                <w:rFonts w:cstheme="minorHAnsi"/>
                <w:noProof/>
                <w:lang w:eastAsia="en-AU"/>
              </w:rPr>
              <w:drawing>
                <wp:inline distT="0" distB="0" distL="0" distR="0" wp14:anchorId="79E3E83E" wp14:editId="37517BA6">
                  <wp:extent cx="4373612" cy="3481058"/>
                  <wp:effectExtent l="0" t="0" r="825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88135" cy="3492617"/>
                          </a:xfrm>
                          <a:prstGeom prst="rect">
                            <a:avLst/>
                          </a:prstGeom>
                        </pic:spPr>
                      </pic:pic>
                    </a:graphicData>
                  </a:graphic>
                </wp:inline>
              </w:drawing>
            </w:r>
          </w:p>
        </w:tc>
        <w:tc>
          <w:tcPr>
            <w:tcW w:w="2284" w:type="dxa"/>
          </w:tcPr>
          <w:p w:rsidR="00AD57A1" w:rsidRDefault="00AD57A1" w:rsidP="00AD57A1">
            <w:pPr>
              <w:pStyle w:val="Caption"/>
              <w:rPr>
                <w:rFonts w:cstheme="minorHAnsi"/>
              </w:rPr>
            </w:pPr>
            <w:r w:rsidRPr="0099464A">
              <w:rPr>
                <w:rFonts w:cstheme="minorHAnsi"/>
                <w:noProof/>
                <w:lang w:eastAsia="en-AU"/>
              </w:rPr>
              <w:drawing>
                <wp:inline distT="0" distB="0" distL="0" distR="0" wp14:anchorId="4C016326" wp14:editId="6C458C75">
                  <wp:extent cx="1384897" cy="1223604"/>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88561" cy="1226842"/>
                          </a:xfrm>
                          <a:prstGeom prst="rect">
                            <a:avLst/>
                          </a:prstGeom>
                        </pic:spPr>
                      </pic:pic>
                    </a:graphicData>
                  </a:graphic>
                </wp:inline>
              </w:drawing>
            </w:r>
          </w:p>
        </w:tc>
      </w:tr>
    </w:tbl>
    <w:p w:rsidR="00706330" w:rsidRPr="0099464A" w:rsidRDefault="00AD57A1" w:rsidP="00706330">
      <w:pPr>
        <w:rPr>
          <w:rFonts w:cstheme="minorHAnsi"/>
        </w:rPr>
      </w:pPr>
      <w:r>
        <w:t xml:space="preserve">Source: </w:t>
      </w:r>
      <w:hyperlink r:id="rId30" w:history="1">
        <w:r w:rsidR="00706330" w:rsidRPr="0099464A">
          <w:rPr>
            <w:rStyle w:val="Hyperlink"/>
            <w:rFonts w:cstheme="minorHAnsi"/>
          </w:rPr>
          <w:t>https://map.aurin.org.au/</w:t>
        </w:r>
      </w:hyperlink>
      <w:r w:rsidR="00706330" w:rsidRPr="0099464A">
        <w:rPr>
          <w:rFonts w:cstheme="minorHAnsi"/>
        </w:rPr>
        <w:t xml:space="preserve"> </w:t>
      </w:r>
    </w:p>
    <w:p w:rsidR="00706330" w:rsidRPr="0099464A" w:rsidRDefault="00706330" w:rsidP="00706330">
      <w:pPr>
        <w:rPr>
          <w:rFonts w:cstheme="minorHAnsi"/>
        </w:rPr>
      </w:pPr>
    </w:p>
    <w:p w:rsidR="00CE444F" w:rsidRDefault="00CE444F">
      <w:pPr>
        <w:spacing w:line="276" w:lineRule="auto"/>
        <w:ind w:left="720"/>
        <w:rPr>
          <w:rFonts w:asciiTheme="minorHAnsi" w:eastAsiaTheme="majorEastAsia" w:hAnsiTheme="minorHAnsi" w:cstheme="minorHAnsi"/>
          <w:b/>
          <w:bCs/>
          <w:caps/>
          <w:color w:val="365F91" w:themeColor="accent1" w:themeShade="BF"/>
          <w:sz w:val="28"/>
          <w:szCs w:val="28"/>
        </w:rPr>
      </w:pPr>
      <w:r>
        <w:rPr>
          <w:rFonts w:asciiTheme="minorHAnsi" w:hAnsiTheme="minorHAnsi" w:cstheme="minorHAnsi"/>
        </w:rPr>
        <w:br w:type="page"/>
      </w:r>
    </w:p>
    <w:p w:rsidR="00706330" w:rsidRPr="00FC5226" w:rsidRDefault="00051F9D" w:rsidP="00FC5226">
      <w:pPr>
        <w:pStyle w:val="Heading1"/>
        <w:spacing w:before="0" w:after="120"/>
        <w:rPr>
          <w:rFonts w:ascii="CoM" w:hAnsi="CoM"/>
          <w:b w:val="0"/>
          <w:caps w:val="0"/>
          <w:sz w:val="38"/>
          <w:szCs w:val="38"/>
        </w:rPr>
      </w:pPr>
      <w:bookmarkStart w:id="23" w:name="_Toc494287755"/>
      <w:r w:rsidRPr="00FC5226">
        <w:rPr>
          <w:rFonts w:ascii="CoM" w:hAnsi="CoM"/>
          <w:b w:val="0"/>
          <w:caps w:val="0"/>
          <w:sz w:val="38"/>
          <w:szCs w:val="38"/>
        </w:rPr>
        <w:t xml:space="preserve">City of Melbourne </w:t>
      </w:r>
      <w:r w:rsidR="00433CC9" w:rsidRPr="00FC5226">
        <w:rPr>
          <w:rFonts w:ascii="CoM" w:hAnsi="CoM"/>
          <w:b w:val="0"/>
          <w:caps w:val="0"/>
          <w:sz w:val="38"/>
          <w:szCs w:val="38"/>
        </w:rPr>
        <w:t>g</w:t>
      </w:r>
      <w:r w:rsidRPr="00FC5226">
        <w:rPr>
          <w:rFonts w:ascii="CoM" w:hAnsi="CoM"/>
          <w:b w:val="0"/>
          <w:caps w:val="0"/>
          <w:sz w:val="38"/>
          <w:szCs w:val="38"/>
        </w:rPr>
        <w:t>ambling</w:t>
      </w:r>
      <w:r w:rsidR="00433CC9" w:rsidRPr="00FC5226">
        <w:rPr>
          <w:rFonts w:ascii="CoM" w:hAnsi="CoM"/>
          <w:b w:val="0"/>
          <w:caps w:val="0"/>
          <w:sz w:val="38"/>
          <w:szCs w:val="38"/>
        </w:rPr>
        <w:t xml:space="preserve"> a</w:t>
      </w:r>
      <w:r w:rsidRPr="00FC5226">
        <w:rPr>
          <w:rFonts w:ascii="CoM" w:hAnsi="CoM"/>
          <w:b w:val="0"/>
          <w:caps w:val="0"/>
          <w:sz w:val="38"/>
          <w:szCs w:val="38"/>
        </w:rPr>
        <w:t xml:space="preserve">nd </w:t>
      </w:r>
      <w:r w:rsidR="00433CC9" w:rsidRPr="00FC5226">
        <w:rPr>
          <w:rFonts w:ascii="CoM" w:hAnsi="CoM"/>
          <w:b w:val="0"/>
          <w:caps w:val="0"/>
          <w:sz w:val="38"/>
          <w:szCs w:val="38"/>
        </w:rPr>
        <w:t>g</w:t>
      </w:r>
      <w:r w:rsidRPr="00FC5226">
        <w:rPr>
          <w:rFonts w:ascii="CoM" w:hAnsi="CoM"/>
          <w:b w:val="0"/>
          <w:caps w:val="0"/>
          <w:sz w:val="38"/>
          <w:szCs w:val="38"/>
        </w:rPr>
        <w:t xml:space="preserve">aming </w:t>
      </w:r>
      <w:r w:rsidR="00433CC9" w:rsidRPr="00FC5226">
        <w:rPr>
          <w:rFonts w:ascii="CoM" w:hAnsi="CoM"/>
          <w:b w:val="0"/>
          <w:caps w:val="0"/>
          <w:sz w:val="38"/>
          <w:szCs w:val="38"/>
        </w:rPr>
        <w:t>c</w:t>
      </w:r>
      <w:r w:rsidRPr="00FC5226">
        <w:rPr>
          <w:rFonts w:ascii="CoM" w:hAnsi="CoM"/>
          <w:b w:val="0"/>
          <w:caps w:val="0"/>
          <w:sz w:val="38"/>
          <w:szCs w:val="38"/>
        </w:rPr>
        <w:t>ontext</w:t>
      </w:r>
      <w:bookmarkEnd w:id="23"/>
    </w:p>
    <w:p w:rsidR="00706330" w:rsidRDefault="00706330" w:rsidP="00706330">
      <w:pPr>
        <w:rPr>
          <w:rFonts w:cstheme="minorHAnsi"/>
        </w:rPr>
      </w:pPr>
      <w:r w:rsidRPr="0099464A">
        <w:rPr>
          <w:rFonts w:cstheme="minorHAnsi"/>
        </w:rPr>
        <w:t xml:space="preserve">This </w:t>
      </w:r>
      <w:r w:rsidR="00FF2AC9">
        <w:rPr>
          <w:rFonts w:cstheme="minorHAnsi"/>
        </w:rPr>
        <w:t>Chapter</w:t>
      </w:r>
      <w:r w:rsidRPr="0099464A">
        <w:rPr>
          <w:rFonts w:cstheme="minorHAnsi"/>
        </w:rPr>
        <w:t xml:space="preserve"> discusses the in-venue gambling activities that occur in t</w:t>
      </w:r>
      <w:r w:rsidR="006D76C5">
        <w:rPr>
          <w:rFonts w:cstheme="minorHAnsi"/>
        </w:rPr>
        <w:t>hree different settings namely EGM</w:t>
      </w:r>
      <w:r w:rsidRPr="0099464A">
        <w:rPr>
          <w:rFonts w:cstheme="minorHAnsi"/>
        </w:rPr>
        <w:t xml:space="preserve"> gambling taking place in gaming venues (hotels and clubs</w:t>
      </w:r>
      <w:r w:rsidR="009B7E75">
        <w:rPr>
          <w:rFonts w:cstheme="minorHAnsi"/>
        </w:rPr>
        <w:t>),</w:t>
      </w:r>
      <w:r w:rsidRPr="004D38FC">
        <w:rPr>
          <w:rFonts w:cstheme="minorHAnsi"/>
        </w:rPr>
        <w:t xml:space="preserve"> </w:t>
      </w:r>
      <w:r w:rsidRPr="0099464A">
        <w:rPr>
          <w:rFonts w:cstheme="minorHAnsi"/>
        </w:rPr>
        <w:t xml:space="preserve">the suite of gambling activities that occur at Crown Casino, </w:t>
      </w:r>
      <w:r>
        <w:rPr>
          <w:rFonts w:cstheme="minorHAnsi"/>
        </w:rPr>
        <w:t xml:space="preserve">and </w:t>
      </w:r>
      <w:r w:rsidRPr="0099464A">
        <w:rPr>
          <w:rFonts w:cstheme="minorHAnsi"/>
        </w:rPr>
        <w:t>Keno and wagering</w:t>
      </w:r>
      <w:r w:rsidR="009B7E75">
        <w:rPr>
          <w:rFonts w:cstheme="minorHAnsi"/>
        </w:rPr>
        <w:t>/sports betting</w:t>
      </w:r>
      <w:r w:rsidRPr="0099464A">
        <w:rPr>
          <w:rFonts w:cstheme="minorHAnsi"/>
        </w:rPr>
        <w:t xml:space="preserve"> occurring</w:t>
      </w:r>
      <w:r w:rsidR="006D76C5">
        <w:rPr>
          <w:rFonts w:cstheme="minorHAnsi"/>
        </w:rPr>
        <w:t xml:space="preserve"> in venues that do not operate EGMs</w:t>
      </w:r>
      <w:r w:rsidRPr="0099464A">
        <w:rPr>
          <w:rFonts w:cstheme="minorHAnsi"/>
        </w:rPr>
        <w:t xml:space="preserve">.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60035B" w:rsidTr="0060035B">
        <w:tc>
          <w:tcPr>
            <w:tcW w:w="9016" w:type="dxa"/>
            <w:shd w:val="clear" w:color="auto" w:fill="D9D9D9" w:themeFill="background1" w:themeFillShade="D9"/>
          </w:tcPr>
          <w:p w:rsidR="0060035B" w:rsidRDefault="0060035B" w:rsidP="00C3752A">
            <w:pPr>
              <w:spacing w:after="120"/>
              <w:rPr>
                <w:rFonts w:cstheme="minorHAnsi"/>
                <w:b/>
              </w:rPr>
            </w:pPr>
            <w:r>
              <w:rPr>
                <w:rFonts w:cstheme="minorHAnsi"/>
                <w:b/>
              </w:rPr>
              <w:t>Key findings</w:t>
            </w:r>
          </w:p>
          <w:p w:rsidR="00B32FA4" w:rsidRDefault="00B32FA4" w:rsidP="00C3752A">
            <w:pPr>
              <w:spacing w:after="120"/>
              <w:rPr>
                <w:rFonts w:cstheme="minorHAnsi"/>
              </w:rPr>
            </w:pPr>
            <w:r>
              <w:rPr>
                <w:rFonts w:cstheme="minorHAnsi"/>
              </w:rPr>
              <w:t xml:space="preserve">The City of Melbourne has 11 gaming venues, </w:t>
            </w:r>
            <w:r w:rsidR="00301F3F">
              <w:rPr>
                <w:rFonts w:cstheme="minorHAnsi"/>
              </w:rPr>
              <w:t>four of which are clubs and seven of which are hotels. The municipality is covered by both a regional and a municipal cap on the number of EGMs. However, the Hoddle Grid, which is where nine of the 11 gaming venues are located, is not subject to either a municipal or a regional cap. The other two gaming venues are located in the regional cap which is an area considered to be at an elevated risk of gambling-related harms.</w:t>
            </w:r>
          </w:p>
          <w:p w:rsidR="00301F3F" w:rsidRDefault="00301F3F" w:rsidP="00C3752A">
            <w:pPr>
              <w:spacing w:after="120"/>
              <w:rPr>
                <w:rFonts w:cstheme="minorHAnsi"/>
              </w:rPr>
            </w:pPr>
            <w:r>
              <w:rPr>
                <w:rFonts w:cstheme="minorHAnsi"/>
              </w:rPr>
              <w:t>Compared with adjoining municipalities and metropolitan Melbourne, the City of Melbourne</w:t>
            </w:r>
            <w:r w:rsidR="00AE19F1">
              <w:rPr>
                <w:rFonts w:cstheme="minorHAnsi"/>
              </w:rPr>
              <w:t xml:space="preserve"> has</w:t>
            </w:r>
            <w:r>
              <w:rPr>
                <w:rFonts w:cstheme="minorHAnsi"/>
              </w:rPr>
              <w:t>:</w:t>
            </w:r>
          </w:p>
          <w:p w:rsidR="00301F3F" w:rsidRDefault="00301F3F" w:rsidP="007D1909">
            <w:pPr>
              <w:pStyle w:val="ListParagraph"/>
              <w:numPr>
                <w:ilvl w:val="0"/>
                <w:numId w:val="71"/>
              </w:numPr>
              <w:spacing w:after="120"/>
              <w:contextualSpacing w:val="0"/>
              <w:rPr>
                <w:rFonts w:cstheme="minorHAnsi"/>
              </w:rPr>
            </w:pPr>
            <w:r w:rsidRPr="00301F3F">
              <w:rPr>
                <w:rFonts w:cstheme="minorHAnsi"/>
              </w:rPr>
              <w:t>large gaming venues and high total EGM expenditure and EGM expenditure per venue</w:t>
            </w:r>
          </w:p>
          <w:p w:rsidR="00301F3F" w:rsidRDefault="00301F3F" w:rsidP="007D1909">
            <w:pPr>
              <w:pStyle w:val="ListParagraph"/>
              <w:numPr>
                <w:ilvl w:val="0"/>
                <w:numId w:val="71"/>
              </w:numPr>
              <w:spacing w:after="120"/>
              <w:contextualSpacing w:val="0"/>
              <w:rPr>
                <w:rFonts w:cstheme="minorHAnsi"/>
              </w:rPr>
            </w:pPr>
            <w:r w:rsidRPr="00301F3F">
              <w:rPr>
                <w:rFonts w:cstheme="minorHAnsi"/>
              </w:rPr>
              <w:t>an average expenditure per EGM, EGM expenditure per adult and density of EGMs per 1,000 adults</w:t>
            </w:r>
          </w:p>
          <w:p w:rsidR="00301F3F" w:rsidRPr="00301F3F" w:rsidRDefault="00301F3F" w:rsidP="007D1909">
            <w:pPr>
              <w:pStyle w:val="ListParagraph"/>
              <w:numPr>
                <w:ilvl w:val="0"/>
                <w:numId w:val="71"/>
              </w:numPr>
              <w:spacing w:after="120"/>
              <w:contextualSpacing w:val="0"/>
              <w:rPr>
                <w:rFonts w:cstheme="minorHAnsi"/>
              </w:rPr>
            </w:pPr>
            <w:r>
              <w:rPr>
                <w:rFonts w:cstheme="minorHAnsi"/>
              </w:rPr>
              <w:t>relatively high growth in EGM expenditure and reduction in EGM density per 1,000 adults</w:t>
            </w:r>
            <w:r w:rsidRPr="00301F3F">
              <w:rPr>
                <w:rFonts w:cstheme="minorHAnsi"/>
              </w:rPr>
              <w:t>.</w:t>
            </w:r>
          </w:p>
          <w:p w:rsidR="00301F3F" w:rsidRDefault="00C3752A" w:rsidP="00C3752A">
            <w:pPr>
              <w:spacing w:after="120"/>
              <w:rPr>
                <w:rFonts w:cstheme="minorHAnsi"/>
              </w:rPr>
            </w:pPr>
            <w:r>
              <w:rPr>
                <w:rFonts w:cstheme="minorHAnsi"/>
              </w:rPr>
              <w:t>The following features differentiate the City of Melbourne’s gaming venues from gaming venues in suburban municipalities and regional Victoria:</w:t>
            </w:r>
          </w:p>
          <w:p w:rsidR="00C3752A" w:rsidRDefault="00C3752A" w:rsidP="007D1909">
            <w:pPr>
              <w:pStyle w:val="ListParagraph"/>
              <w:numPr>
                <w:ilvl w:val="0"/>
                <w:numId w:val="72"/>
              </w:numPr>
              <w:spacing w:after="120"/>
              <w:contextualSpacing w:val="0"/>
              <w:rPr>
                <w:rFonts w:cstheme="minorHAnsi"/>
              </w:rPr>
            </w:pPr>
            <w:r>
              <w:rPr>
                <w:rFonts w:cstheme="minorHAnsi"/>
              </w:rPr>
              <w:t>presence of Crown Casino which is both a competitor and influences the overall expenditure on and availabil</w:t>
            </w:r>
            <w:r w:rsidR="00AA4757">
              <w:rPr>
                <w:rFonts w:cstheme="minorHAnsi"/>
              </w:rPr>
              <w:t>ity of EGMs in the municipality</w:t>
            </w:r>
          </w:p>
          <w:p w:rsidR="00C3752A" w:rsidRDefault="00C3752A" w:rsidP="007D1909">
            <w:pPr>
              <w:pStyle w:val="ListParagraph"/>
              <w:numPr>
                <w:ilvl w:val="0"/>
                <w:numId w:val="72"/>
              </w:numPr>
              <w:spacing w:after="120"/>
              <w:contextualSpacing w:val="0"/>
              <w:rPr>
                <w:rFonts w:cstheme="minorHAnsi"/>
              </w:rPr>
            </w:pPr>
            <w:r>
              <w:rPr>
                <w:rFonts w:cstheme="minorHAnsi"/>
              </w:rPr>
              <w:t>more diver</w:t>
            </w:r>
            <w:r w:rsidR="00AA4757">
              <w:rPr>
                <w:rFonts w:cstheme="minorHAnsi"/>
              </w:rPr>
              <w:t>se and transient patron profile</w:t>
            </w:r>
          </w:p>
          <w:p w:rsidR="00C3752A" w:rsidRDefault="00C3752A" w:rsidP="007D1909">
            <w:pPr>
              <w:pStyle w:val="ListParagraph"/>
              <w:numPr>
                <w:ilvl w:val="0"/>
                <w:numId w:val="72"/>
              </w:numPr>
              <w:spacing w:after="120"/>
              <w:contextualSpacing w:val="0"/>
              <w:rPr>
                <w:rFonts w:cstheme="minorHAnsi"/>
              </w:rPr>
            </w:pPr>
            <w:r>
              <w:rPr>
                <w:rFonts w:cstheme="minorHAnsi"/>
              </w:rPr>
              <w:t>permitted to ap</w:t>
            </w:r>
            <w:r w:rsidR="00AA4757">
              <w:rPr>
                <w:rFonts w:cstheme="minorHAnsi"/>
              </w:rPr>
              <w:t>ply to operate 24 hours per day</w:t>
            </w:r>
          </w:p>
          <w:p w:rsidR="00C3752A" w:rsidRDefault="00C3752A" w:rsidP="007D1909">
            <w:pPr>
              <w:pStyle w:val="ListParagraph"/>
              <w:numPr>
                <w:ilvl w:val="0"/>
                <w:numId w:val="72"/>
              </w:numPr>
              <w:spacing w:after="120"/>
              <w:contextualSpacing w:val="0"/>
              <w:rPr>
                <w:rFonts w:cstheme="minorHAnsi"/>
              </w:rPr>
            </w:pPr>
            <w:r>
              <w:rPr>
                <w:rFonts w:cstheme="minorHAnsi"/>
              </w:rPr>
              <w:t>smaller range of non-gambling leisure and entertainment f</w:t>
            </w:r>
            <w:r w:rsidR="00AA4757">
              <w:rPr>
                <w:rFonts w:cstheme="minorHAnsi"/>
              </w:rPr>
              <w:t>acilities provided in the venue</w:t>
            </w:r>
          </w:p>
          <w:p w:rsidR="00C3752A" w:rsidRDefault="00C3752A" w:rsidP="007D1909">
            <w:pPr>
              <w:pStyle w:val="ListParagraph"/>
              <w:numPr>
                <w:ilvl w:val="0"/>
                <w:numId w:val="72"/>
              </w:numPr>
              <w:spacing w:after="120"/>
              <w:contextualSpacing w:val="0"/>
              <w:rPr>
                <w:rFonts w:cstheme="minorHAnsi"/>
              </w:rPr>
            </w:pPr>
            <w:r>
              <w:rPr>
                <w:rFonts w:cstheme="minorHAnsi"/>
              </w:rPr>
              <w:t>surrounded by a larger number of non-gambling enter</w:t>
            </w:r>
            <w:r w:rsidR="00AA4757">
              <w:rPr>
                <w:rFonts w:cstheme="minorHAnsi"/>
              </w:rPr>
              <w:t>tainment and leisure activities</w:t>
            </w:r>
          </w:p>
          <w:p w:rsidR="00C3752A" w:rsidRDefault="00C3752A" w:rsidP="007D1909">
            <w:pPr>
              <w:pStyle w:val="ListParagraph"/>
              <w:numPr>
                <w:ilvl w:val="0"/>
                <w:numId w:val="72"/>
              </w:numPr>
              <w:spacing w:after="120"/>
              <w:contextualSpacing w:val="0"/>
              <w:rPr>
                <w:rFonts w:cstheme="minorHAnsi"/>
              </w:rPr>
            </w:pPr>
            <w:r>
              <w:rPr>
                <w:rFonts w:cstheme="minorHAnsi"/>
              </w:rPr>
              <w:t>close proximity to facilities associated with day to day activities increasing the r</w:t>
            </w:r>
            <w:r w:rsidR="00AA4757">
              <w:rPr>
                <w:rFonts w:cstheme="minorHAnsi"/>
              </w:rPr>
              <w:t>isk of convenience gambling</w:t>
            </w:r>
          </w:p>
          <w:p w:rsidR="00C3752A" w:rsidRPr="00C3752A" w:rsidRDefault="00C3752A" w:rsidP="007D1909">
            <w:pPr>
              <w:pStyle w:val="ListParagraph"/>
              <w:numPr>
                <w:ilvl w:val="0"/>
                <w:numId w:val="72"/>
              </w:numPr>
              <w:spacing w:after="120"/>
              <w:contextualSpacing w:val="0"/>
              <w:rPr>
                <w:rFonts w:cstheme="minorHAnsi"/>
              </w:rPr>
            </w:pPr>
            <w:r>
              <w:rPr>
                <w:rFonts w:cstheme="minorHAnsi"/>
              </w:rPr>
              <w:t>physical location and size limits expansion and does not allow for on-site car parking.</w:t>
            </w:r>
          </w:p>
        </w:tc>
      </w:tr>
    </w:tbl>
    <w:p w:rsidR="0060035B" w:rsidRDefault="0060035B" w:rsidP="00706330">
      <w:pPr>
        <w:rPr>
          <w:rFonts w:cstheme="minorHAnsi"/>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60035B" w:rsidTr="0060035B">
        <w:tc>
          <w:tcPr>
            <w:tcW w:w="9016" w:type="dxa"/>
            <w:shd w:val="clear" w:color="auto" w:fill="D9D9D9" w:themeFill="background1" w:themeFillShade="D9"/>
          </w:tcPr>
          <w:p w:rsidR="0060035B" w:rsidRDefault="0060035B" w:rsidP="0060035B">
            <w:pPr>
              <w:spacing w:after="120"/>
              <w:rPr>
                <w:rFonts w:cstheme="minorHAnsi"/>
                <w:b/>
              </w:rPr>
            </w:pPr>
            <w:r>
              <w:rPr>
                <w:rFonts w:cstheme="minorHAnsi"/>
                <w:b/>
              </w:rPr>
              <w:t xml:space="preserve">Implications for the </w:t>
            </w:r>
            <w:r w:rsidR="007B3C27">
              <w:rPr>
                <w:rFonts w:cstheme="minorHAnsi"/>
                <w:b/>
              </w:rPr>
              <w:t>Electronic Gaming Decision</w:t>
            </w:r>
            <w:r>
              <w:rPr>
                <w:rFonts w:cstheme="minorHAnsi"/>
                <w:b/>
              </w:rPr>
              <w:t>-Making Framework and Local Planning Policy for Gaming</w:t>
            </w:r>
          </w:p>
          <w:p w:rsidR="00EC5056" w:rsidRDefault="00EC5056" w:rsidP="0060035B">
            <w:pPr>
              <w:spacing w:after="120"/>
              <w:rPr>
                <w:rFonts w:cstheme="minorHAnsi"/>
              </w:rPr>
            </w:pPr>
            <w:bookmarkStart w:id="24" w:name="_Hlk489968922"/>
            <w:r>
              <w:rPr>
                <w:rFonts w:cstheme="minorHAnsi"/>
              </w:rPr>
              <w:t xml:space="preserve">The strategies and guidelines in the </w:t>
            </w:r>
            <w:r w:rsidR="007B3C27">
              <w:rPr>
                <w:rFonts w:cstheme="minorHAnsi"/>
              </w:rPr>
              <w:t>Electronic Gaming Decision</w:t>
            </w:r>
            <w:r>
              <w:rPr>
                <w:rFonts w:cstheme="minorHAnsi"/>
              </w:rPr>
              <w:t>-Making Framework and Local Planning Policy for Gaming will need to acknowledge the impact that Crown Casino has on EGM expenditure</w:t>
            </w:r>
            <w:r w:rsidR="00547764">
              <w:rPr>
                <w:rFonts w:cstheme="minorHAnsi"/>
              </w:rPr>
              <w:t xml:space="preserve"> and</w:t>
            </w:r>
            <w:r>
              <w:rPr>
                <w:rFonts w:cstheme="minorHAnsi"/>
              </w:rPr>
              <w:t xml:space="preserve"> density of EGMs per 1,000 adults</w:t>
            </w:r>
            <w:r w:rsidR="00547764">
              <w:rPr>
                <w:rFonts w:cstheme="minorHAnsi"/>
              </w:rPr>
              <w:t>, and the unique features of the City’s gaming venues.</w:t>
            </w:r>
          </w:p>
          <w:p w:rsidR="00301F3F" w:rsidRPr="00301F3F" w:rsidRDefault="00301F3F" w:rsidP="0060035B">
            <w:pPr>
              <w:spacing w:after="120"/>
              <w:rPr>
                <w:rFonts w:cstheme="minorHAnsi"/>
              </w:rPr>
            </w:pPr>
            <w:r>
              <w:rPr>
                <w:rFonts w:cstheme="minorHAnsi"/>
              </w:rPr>
              <w:t>The Local Planning Policy for Gaming will need to guide the location and operation across all areas of the municipality, including areas that are subject to both a regional and municipal cap, and the Hoddle Grid which is not capped.</w:t>
            </w:r>
            <w:bookmarkEnd w:id="24"/>
          </w:p>
        </w:tc>
      </w:tr>
    </w:tbl>
    <w:p w:rsidR="0060035B" w:rsidRPr="0099464A" w:rsidRDefault="0060035B" w:rsidP="00706330">
      <w:pPr>
        <w:rPr>
          <w:rFonts w:cstheme="minorHAnsi"/>
        </w:rPr>
      </w:pPr>
    </w:p>
    <w:p w:rsidR="00706330" w:rsidRPr="0099464A" w:rsidRDefault="00C019B5" w:rsidP="00FC5226">
      <w:pPr>
        <w:pStyle w:val="Heading2"/>
      </w:pPr>
      <w:bookmarkStart w:id="25" w:name="_Toc494287756"/>
      <w:r>
        <w:t>Hotel and club v</w:t>
      </w:r>
      <w:r w:rsidR="009B7E75">
        <w:t>e</w:t>
      </w:r>
      <w:r w:rsidR="00706330" w:rsidRPr="0099464A">
        <w:t xml:space="preserve">nues with </w:t>
      </w:r>
      <w:r w:rsidR="006D76C5">
        <w:t>EGMs</w:t>
      </w:r>
      <w:bookmarkEnd w:id="25"/>
    </w:p>
    <w:p w:rsidR="009A785E" w:rsidRPr="006050BD" w:rsidRDefault="009A785E" w:rsidP="003E439B">
      <w:pPr>
        <w:pStyle w:val="Heading3"/>
        <w:spacing w:before="40" w:after="0" w:line="259" w:lineRule="auto"/>
        <w:rPr>
          <w:rFonts w:asciiTheme="minorHAnsi" w:hAnsiTheme="minorHAnsi" w:cstheme="minorHAnsi"/>
        </w:rPr>
      </w:pPr>
      <w:bookmarkStart w:id="26" w:name="_Hlk489617442"/>
      <w:r w:rsidRPr="006050BD">
        <w:rPr>
          <w:rFonts w:asciiTheme="minorHAnsi" w:hAnsiTheme="minorHAnsi" w:cstheme="minorHAnsi"/>
        </w:rPr>
        <w:t>Municipal and regional caps</w:t>
      </w:r>
    </w:p>
    <w:p w:rsidR="00A04EFC" w:rsidRPr="00C90160" w:rsidRDefault="00A04EFC" w:rsidP="00C90160">
      <w:pPr>
        <w:rPr>
          <w:rFonts w:cstheme="minorHAnsi"/>
        </w:rPr>
      </w:pPr>
      <w:bookmarkStart w:id="27" w:name="_Hlk489617606"/>
      <w:r w:rsidRPr="00C90160">
        <w:rPr>
          <w:rFonts w:cstheme="minorHAnsi"/>
        </w:rPr>
        <w:t xml:space="preserve">The Victorian Government has imposed a municipal cap of 10 EGM entitlements per 1,000 adults, and a regional cap for </w:t>
      </w:r>
      <w:r w:rsidR="00C90160">
        <w:rPr>
          <w:rFonts w:cstheme="minorHAnsi"/>
        </w:rPr>
        <w:t xml:space="preserve">20 </w:t>
      </w:r>
      <w:r w:rsidRPr="00C90160">
        <w:rPr>
          <w:rFonts w:cstheme="minorHAnsi"/>
        </w:rPr>
        <w:t>local governments that have relatively high densities of EGMs, high expenditure and concentrations of socio-economic disadvantage. Regional caps were introduced in 2001 and municipal caps were introduced in 2009. These limits are reviewed by the Minister every five years. This maximum number is a limit rather than a target, and does not mean that EGMs can be automatically added to a municipal district.</w:t>
      </w:r>
    </w:p>
    <w:p w:rsidR="00C90160" w:rsidRPr="00525AC6" w:rsidRDefault="00C90160" w:rsidP="009A785E">
      <w:pPr>
        <w:rPr>
          <w:rFonts w:cstheme="minorHAnsi"/>
        </w:rPr>
      </w:pPr>
      <w:r w:rsidRPr="00525AC6">
        <w:rPr>
          <w:rFonts w:cstheme="minorHAnsi"/>
        </w:rPr>
        <w:t xml:space="preserve">The City of Melbourne is subject to both a municipal and a regional cap. The regional cap covers Carlton, North Melbourne, Flemington and Kensington and is subject </w:t>
      </w:r>
      <w:r w:rsidR="00AE19F1" w:rsidRPr="00525AC6">
        <w:rPr>
          <w:rFonts w:cstheme="minorHAnsi"/>
        </w:rPr>
        <w:t>to a maximum of 1</w:t>
      </w:r>
      <w:r w:rsidR="00525AC6" w:rsidRPr="00525AC6">
        <w:rPr>
          <w:rFonts w:cstheme="minorHAnsi"/>
        </w:rPr>
        <w:t>49</w:t>
      </w:r>
      <w:r w:rsidRPr="00525AC6">
        <w:rPr>
          <w:rFonts w:cstheme="minorHAnsi"/>
        </w:rPr>
        <w:t xml:space="preserve"> EGMs. </w:t>
      </w:r>
      <w:r w:rsidR="00525AC6" w:rsidRPr="00525AC6">
        <w:rPr>
          <w:rFonts w:cstheme="minorHAnsi"/>
        </w:rPr>
        <w:t xml:space="preserve">This has reduced recently from 177 machines as a result of changes from the State Government announced in September 2017. </w:t>
      </w:r>
      <w:r w:rsidRPr="00525AC6">
        <w:rPr>
          <w:rFonts w:cstheme="minorHAnsi"/>
        </w:rPr>
        <w:t xml:space="preserve">The maximum number of EGMs permitted in the area covered by the municipal cap in </w:t>
      </w:r>
      <w:r w:rsidR="009740E9">
        <w:rPr>
          <w:rFonts w:cstheme="minorHAnsi"/>
        </w:rPr>
        <w:t>143</w:t>
      </w:r>
      <w:r w:rsidRPr="00525AC6">
        <w:rPr>
          <w:rFonts w:cstheme="minorHAnsi"/>
        </w:rPr>
        <w:t xml:space="preserve"> EGMs</w:t>
      </w:r>
      <w:r w:rsidR="006050BD" w:rsidRPr="00525AC6">
        <w:rPr>
          <w:rFonts w:cstheme="minorHAnsi"/>
        </w:rPr>
        <w:t xml:space="preserve"> (refer to Figure </w:t>
      </w:r>
      <w:r w:rsidR="00D9712C" w:rsidRPr="00525AC6">
        <w:rPr>
          <w:rFonts w:cstheme="minorHAnsi"/>
        </w:rPr>
        <w:t>6</w:t>
      </w:r>
      <w:r w:rsidR="006050BD" w:rsidRPr="00525AC6">
        <w:rPr>
          <w:rFonts w:cstheme="minorHAnsi"/>
        </w:rPr>
        <w:t>)</w:t>
      </w:r>
      <w:r w:rsidRPr="00525AC6">
        <w:rPr>
          <w:rFonts w:cstheme="minorHAnsi"/>
        </w:rPr>
        <w:t>.</w:t>
      </w:r>
    </w:p>
    <w:p w:rsidR="009A785E" w:rsidRDefault="00C90160" w:rsidP="009A785E">
      <w:r>
        <w:t xml:space="preserve">In addition, the </w:t>
      </w:r>
      <w:r w:rsidR="007B3C27">
        <w:t>Hoddle Grid</w:t>
      </w:r>
      <w:r>
        <w:t>, Southbank and Docklands are subject to neither the regional nor the municipal cap. There is therefore no maximum number of EGMs that may be permitted in these three localities.</w:t>
      </w:r>
      <w:r w:rsidR="006050BD">
        <w:t xml:space="preserve"> Crown Casino is located in the uncapped area of the municipality (refer to Figure </w:t>
      </w:r>
      <w:r w:rsidR="006F7C42">
        <w:t>6</w:t>
      </w:r>
      <w:r w:rsidR="006050BD">
        <w:t>).</w:t>
      </w:r>
    </w:p>
    <w:p w:rsidR="00C90160" w:rsidRDefault="00C90160" w:rsidP="009A785E">
      <w:r>
        <w:t>Nine of the 11 existing gaming venues are located in the part of the municipality that is not subject to either a regional or a municipal cap. The other two gaming venues are located in the area covered by the regional cap</w:t>
      </w:r>
      <w:r w:rsidR="006050BD">
        <w:t xml:space="preserve">. </w:t>
      </w:r>
      <w:r w:rsidR="00525AC6" w:rsidRPr="00525AC6">
        <w:t>At present, these two venues are collectively operating at the maximum capacity of the cap (149 machines).  Therefore no further EGMs will be permitted in this region.</w:t>
      </w:r>
    </w:p>
    <w:p w:rsidR="006050BD" w:rsidRDefault="006050BD" w:rsidP="006050BD">
      <w:pPr>
        <w:pStyle w:val="Caption"/>
      </w:pPr>
      <w:bookmarkStart w:id="28" w:name="_Toc494287810"/>
      <w:r w:rsidRPr="006F7C42">
        <w:t xml:space="preserve">Figure </w:t>
      </w:r>
      <w:r w:rsidR="00802F28">
        <w:fldChar w:fldCharType="begin"/>
      </w:r>
      <w:r w:rsidR="00802F28">
        <w:instrText xml:space="preserve"> SEQ Figure \* ARABIC </w:instrText>
      </w:r>
      <w:r w:rsidR="00802F28">
        <w:fldChar w:fldCharType="separate"/>
      </w:r>
      <w:r w:rsidR="002E7243">
        <w:rPr>
          <w:noProof/>
        </w:rPr>
        <w:t>6</w:t>
      </w:r>
      <w:r w:rsidR="00802F28">
        <w:rPr>
          <w:noProof/>
        </w:rPr>
        <w:fldChar w:fldCharType="end"/>
      </w:r>
      <w:r w:rsidRPr="006F7C42">
        <w:t xml:space="preserve"> – Capped and uncapped areas of the City of Melbourne</w:t>
      </w:r>
      <w:bookmarkEnd w:id="28"/>
    </w:p>
    <w:bookmarkEnd w:id="27"/>
    <w:p w:rsidR="00AE19F1" w:rsidRDefault="00AE19F1" w:rsidP="009A785E">
      <w:pPr>
        <w:rPr>
          <w:noProof/>
          <w:lang w:eastAsia="en-AU"/>
        </w:rPr>
      </w:pPr>
      <w:r>
        <w:rPr>
          <w:noProof/>
          <w:lang w:eastAsia="en-AU"/>
        </w:rPr>
        <w:drawing>
          <wp:inline distT="0" distB="0" distL="0" distR="0" wp14:anchorId="08430BD5" wp14:editId="0F299757">
            <wp:extent cx="5217865" cy="3695700"/>
            <wp:effectExtent l="0" t="0" r="1905"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31"/>
                    <a:srcRect t="826" b="17303"/>
                    <a:stretch/>
                  </pic:blipFill>
                  <pic:spPr bwMode="auto">
                    <a:xfrm>
                      <a:off x="0" y="0"/>
                      <a:ext cx="5217144" cy="3695189"/>
                    </a:xfrm>
                    <a:prstGeom prst="rect">
                      <a:avLst/>
                    </a:prstGeom>
                    <a:ln>
                      <a:noFill/>
                    </a:ln>
                    <a:extLst>
                      <a:ext uri="{53640926-AAD7-44D8-BBD7-CCE9431645EC}">
                        <a14:shadowObscured xmlns:a14="http://schemas.microsoft.com/office/drawing/2010/main"/>
                      </a:ext>
                    </a:extLst>
                  </pic:spPr>
                </pic:pic>
              </a:graphicData>
            </a:graphic>
          </wp:inline>
        </w:drawing>
      </w:r>
    </w:p>
    <w:p w:rsidR="006050BD" w:rsidRDefault="00AE19F1" w:rsidP="009A785E">
      <w:r>
        <w:rPr>
          <w:noProof/>
          <w:lang w:eastAsia="en-AU"/>
        </w:rPr>
        <w:drawing>
          <wp:inline distT="0" distB="0" distL="0" distR="0" wp14:anchorId="2515A0A1" wp14:editId="65E2273C">
            <wp:extent cx="3648075" cy="752836"/>
            <wp:effectExtent l="0" t="0" r="0" b="9525"/>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2"/>
                    <a:stretch>
                      <a:fillRect/>
                    </a:stretch>
                  </pic:blipFill>
                  <pic:spPr>
                    <a:xfrm>
                      <a:off x="0" y="0"/>
                      <a:ext cx="3654007" cy="754060"/>
                    </a:xfrm>
                    <a:prstGeom prst="rect">
                      <a:avLst/>
                    </a:prstGeom>
                  </pic:spPr>
                </pic:pic>
              </a:graphicData>
            </a:graphic>
          </wp:inline>
        </w:drawing>
      </w:r>
    </w:p>
    <w:bookmarkEnd w:id="26"/>
    <w:p w:rsidR="006F7C42" w:rsidRDefault="006F7C42" w:rsidP="006F7C42">
      <w:r>
        <w:t>Source: City of Melbourne</w:t>
      </w:r>
    </w:p>
    <w:p w:rsidR="00C019B5" w:rsidRPr="00C019B5" w:rsidRDefault="003E439B" w:rsidP="003E439B">
      <w:pPr>
        <w:pStyle w:val="Heading3"/>
        <w:spacing w:before="40" w:after="0" w:line="259" w:lineRule="auto"/>
        <w:rPr>
          <w:rFonts w:asciiTheme="minorHAnsi" w:hAnsiTheme="minorHAnsi" w:cstheme="minorHAnsi"/>
        </w:rPr>
      </w:pPr>
      <w:r>
        <w:rPr>
          <w:rFonts w:asciiTheme="minorHAnsi" w:hAnsiTheme="minorHAnsi" w:cstheme="minorHAnsi"/>
        </w:rPr>
        <w:t>Key features of the City of Melbourne’s gaming venues</w:t>
      </w:r>
      <w:r w:rsidRPr="0099464A">
        <w:rPr>
          <w:rFonts w:asciiTheme="minorHAnsi" w:hAnsiTheme="minorHAnsi" w:cstheme="minorHAnsi"/>
        </w:rPr>
        <w:t xml:space="preserve"> </w:t>
      </w:r>
    </w:p>
    <w:p w:rsidR="003E439B" w:rsidRDefault="00083A1E" w:rsidP="003E439B">
      <w:pPr>
        <w:rPr>
          <w:rFonts w:cstheme="minorHAnsi"/>
        </w:rPr>
      </w:pPr>
      <w:r>
        <w:rPr>
          <w:rFonts w:cstheme="minorHAnsi"/>
        </w:rPr>
        <w:t>In the Financial Year 2015-</w:t>
      </w:r>
      <w:r w:rsidR="003E439B" w:rsidRPr="0099464A">
        <w:rPr>
          <w:rFonts w:cstheme="minorHAnsi"/>
        </w:rPr>
        <w:t xml:space="preserve">16 the City of Melbourne had 11 operating gaming venues, nine of which are located in </w:t>
      </w:r>
      <w:r w:rsidR="003A0451">
        <w:rPr>
          <w:rFonts w:cstheme="minorHAnsi"/>
        </w:rPr>
        <w:t>Hoddle Grid</w:t>
      </w:r>
      <w:r w:rsidR="003E439B">
        <w:rPr>
          <w:rFonts w:cstheme="minorHAnsi"/>
        </w:rPr>
        <w:t>, one of which is located in Carlton and one of which is located in Flemington</w:t>
      </w:r>
      <w:r w:rsidR="003E439B" w:rsidRPr="0099464A">
        <w:rPr>
          <w:rFonts w:cstheme="minorHAnsi"/>
        </w:rPr>
        <w:t xml:space="preserve"> (refer to Figure </w:t>
      </w:r>
      <w:r w:rsidR="000D05E9">
        <w:rPr>
          <w:rFonts w:cstheme="minorHAnsi"/>
        </w:rPr>
        <w:t>6 and Table 1</w:t>
      </w:r>
      <w:r w:rsidR="003E439B" w:rsidRPr="0099464A">
        <w:rPr>
          <w:rFonts w:cstheme="minorHAnsi"/>
        </w:rPr>
        <w:t>).</w:t>
      </w:r>
    </w:p>
    <w:p w:rsidR="003E439B" w:rsidRDefault="003E439B" w:rsidP="003E439B">
      <w:pPr>
        <w:rPr>
          <w:rFonts w:cstheme="minorHAnsi"/>
        </w:rPr>
      </w:pPr>
      <w:r>
        <w:rPr>
          <w:rFonts w:cstheme="minorHAnsi"/>
        </w:rPr>
        <w:t>In this Financial Year:</w:t>
      </w:r>
    </w:p>
    <w:p w:rsidR="003E439B" w:rsidRDefault="003E439B" w:rsidP="007D1909">
      <w:pPr>
        <w:pStyle w:val="ListParagraph"/>
        <w:numPr>
          <w:ilvl w:val="0"/>
          <w:numId w:val="59"/>
        </w:numPr>
        <w:spacing w:after="120"/>
        <w:contextualSpacing w:val="0"/>
        <w:rPr>
          <w:rFonts w:cstheme="minorHAnsi"/>
        </w:rPr>
      </w:pPr>
      <w:r>
        <w:rPr>
          <w:rFonts w:cstheme="minorHAnsi"/>
        </w:rPr>
        <w:t>Expenditure across the 11 g</w:t>
      </w:r>
      <w:r w:rsidR="00083A1E">
        <w:rPr>
          <w:rFonts w:cstheme="minorHAnsi"/>
        </w:rPr>
        <w:t>aming venues was $79,770,052.63</w:t>
      </w:r>
    </w:p>
    <w:p w:rsidR="003E439B" w:rsidRDefault="003E439B" w:rsidP="007D1909">
      <w:pPr>
        <w:pStyle w:val="ListParagraph"/>
        <w:numPr>
          <w:ilvl w:val="0"/>
          <w:numId w:val="59"/>
        </w:numPr>
        <w:spacing w:after="120"/>
        <w:contextualSpacing w:val="0"/>
        <w:rPr>
          <w:rFonts w:cstheme="minorHAnsi"/>
        </w:rPr>
      </w:pPr>
      <w:r>
        <w:rPr>
          <w:rFonts w:cstheme="minorHAnsi"/>
        </w:rPr>
        <w:t>There were 746 attached (opera</w:t>
      </w:r>
      <w:r w:rsidR="00083A1E">
        <w:rPr>
          <w:rFonts w:cstheme="minorHAnsi"/>
        </w:rPr>
        <w:t>ting) EGMs and 779 EGM licences</w:t>
      </w:r>
    </w:p>
    <w:p w:rsidR="003E439B" w:rsidRDefault="003E439B" w:rsidP="007D1909">
      <w:pPr>
        <w:pStyle w:val="ListParagraph"/>
        <w:numPr>
          <w:ilvl w:val="0"/>
          <w:numId w:val="59"/>
        </w:numPr>
        <w:spacing w:after="120"/>
        <w:contextualSpacing w:val="0"/>
        <w:rPr>
          <w:rFonts w:cstheme="minorHAnsi"/>
        </w:rPr>
      </w:pPr>
      <w:r>
        <w:rPr>
          <w:rFonts w:cstheme="minorHAnsi"/>
        </w:rPr>
        <w:t xml:space="preserve">Clocks at Flinders Street Station and Bourke Hill’s Welcome Stranger had the most operating EGMs and </w:t>
      </w:r>
      <w:r w:rsidR="00083A1E">
        <w:rPr>
          <w:rFonts w:cstheme="minorHAnsi"/>
        </w:rPr>
        <w:t>EGM licences (100 EGMs)</w:t>
      </w:r>
    </w:p>
    <w:p w:rsidR="003E439B" w:rsidRDefault="003E439B" w:rsidP="007D1909">
      <w:pPr>
        <w:pStyle w:val="ListParagraph"/>
        <w:numPr>
          <w:ilvl w:val="0"/>
          <w:numId w:val="59"/>
        </w:numPr>
        <w:spacing w:after="120"/>
        <w:contextualSpacing w:val="0"/>
        <w:rPr>
          <w:rFonts w:cstheme="minorHAnsi"/>
        </w:rPr>
      </w:pPr>
      <w:r>
        <w:rPr>
          <w:rFonts w:cstheme="minorHAnsi"/>
        </w:rPr>
        <w:t>EGM expenditure was highest at Bourke Hill’s Welcome Stranger and the Mercure Grand on Swanston</w:t>
      </w:r>
      <w:r w:rsidR="00301F3F">
        <w:rPr>
          <w:rFonts w:cstheme="minorHAnsi"/>
        </w:rPr>
        <w:t>.</w:t>
      </w:r>
    </w:p>
    <w:p w:rsidR="003E439B" w:rsidRDefault="003E439B" w:rsidP="007D1909">
      <w:pPr>
        <w:pStyle w:val="ListParagraph"/>
        <w:numPr>
          <w:ilvl w:val="0"/>
          <w:numId w:val="59"/>
        </w:numPr>
        <w:spacing w:after="120"/>
        <w:contextualSpacing w:val="0"/>
        <w:rPr>
          <w:rFonts w:cstheme="minorHAnsi"/>
        </w:rPr>
      </w:pPr>
      <w:r>
        <w:rPr>
          <w:rFonts w:cstheme="minorHAnsi"/>
        </w:rPr>
        <w:t>The venues with the least number of operating EGMs and EGM licences were the Batman’s Hill on Collins and the Celtic Club. These venues also had the lowest EGM expenditure.</w:t>
      </w:r>
    </w:p>
    <w:p w:rsidR="000D05E9" w:rsidRDefault="000D05E9" w:rsidP="000D05E9">
      <w:pPr>
        <w:pStyle w:val="Caption"/>
      </w:pPr>
      <w:bookmarkStart w:id="29" w:name="_Toc494206919"/>
      <w:bookmarkStart w:id="30" w:name="_Toc494287818"/>
      <w:r w:rsidRPr="00083A1E">
        <w:t xml:space="preserve">Table </w:t>
      </w:r>
      <w:r w:rsidR="00802F28">
        <w:fldChar w:fldCharType="begin"/>
      </w:r>
      <w:r w:rsidR="00802F28">
        <w:instrText xml:space="preserve"> SEQ Table \* ARABIC </w:instrText>
      </w:r>
      <w:r w:rsidR="00802F28">
        <w:fldChar w:fldCharType="separate"/>
      </w:r>
      <w:r w:rsidRPr="00083A1E">
        <w:rPr>
          <w:noProof/>
        </w:rPr>
        <w:t>1</w:t>
      </w:r>
      <w:r w:rsidR="00802F28">
        <w:rPr>
          <w:noProof/>
        </w:rPr>
        <w:fldChar w:fldCharType="end"/>
      </w:r>
      <w:r w:rsidRPr="00083A1E">
        <w:t xml:space="preserve"> – Expenditure at gaming venues within the City of Melbourne</w:t>
      </w:r>
      <w:bookmarkEnd w:id="29"/>
      <w:bookmarkEnd w:id="30"/>
    </w:p>
    <w:tbl>
      <w:tblPr>
        <w:tblStyle w:val="ListTable3"/>
        <w:tblW w:w="5000" w:type="pct"/>
        <w:tblLayout w:type="fixed"/>
        <w:tblLook w:val="04A0" w:firstRow="1" w:lastRow="0" w:firstColumn="1" w:lastColumn="0" w:noHBand="0" w:noVBand="1"/>
      </w:tblPr>
      <w:tblGrid>
        <w:gridCol w:w="577"/>
        <w:gridCol w:w="1743"/>
        <w:gridCol w:w="2035"/>
        <w:gridCol w:w="1309"/>
        <w:gridCol w:w="1120"/>
        <w:gridCol w:w="767"/>
        <w:gridCol w:w="1691"/>
      </w:tblGrid>
      <w:tr w:rsidR="003E439B" w:rsidRPr="00276EB8" w:rsidTr="00276EB8">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312" w:type="pct"/>
          </w:tcPr>
          <w:p w:rsidR="003E439B" w:rsidRPr="00276EB8" w:rsidRDefault="003E439B" w:rsidP="00276EB8">
            <w:pPr>
              <w:jc w:val="center"/>
              <w:rPr>
                <w:rFonts w:cs="Calibri"/>
                <w:bCs w:val="0"/>
                <w:szCs w:val="22"/>
                <w:lang w:eastAsia="en-AU"/>
              </w:rPr>
            </w:pPr>
            <w:r w:rsidRPr="00276EB8">
              <w:rPr>
                <w:rFonts w:cs="Calibri"/>
                <w:bCs w:val="0"/>
                <w:szCs w:val="22"/>
                <w:lang w:eastAsia="en-AU"/>
              </w:rPr>
              <w:t>Ref No.</w:t>
            </w:r>
          </w:p>
        </w:tc>
        <w:tc>
          <w:tcPr>
            <w:tcW w:w="943" w:type="pct"/>
          </w:tcPr>
          <w:p w:rsidR="003E439B" w:rsidRPr="00276EB8" w:rsidRDefault="003E439B" w:rsidP="00276EB8">
            <w:pPr>
              <w:jc w:val="center"/>
              <w:cnfStyle w:val="100000000000" w:firstRow="1" w:lastRow="0" w:firstColumn="0" w:lastColumn="0" w:oddVBand="0" w:evenVBand="0" w:oddHBand="0" w:evenHBand="0" w:firstRowFirstColumn="0" w:firstRowLastColumn="0" w:lastRowFirstColumn="0" w:lastRowLastColumn="0"/>
              <w:rPr>
                <w:rFonts w:cs="Calibri"/>
                <w:bCs w:val="0"/>
                <w:szCs w:val="22"/>
                <w:lang w:eastAsia="en-AU"/>
              </w:rPr>
            </w:pPr>
            <w:r w:rsidRPr="00276EB8">
              <w:rPr>
                <w:rFonts w:cs="Calibri"/>
                <w:bCs w:val="0"/>
                <w:szCs w:val="22"/>
                <w:lang w:eastAsia="en-AU"/>
              </w:rPr>
              <w:t>Venue</w:t>
            </w:r>
          </w:p>
        </w:tc>
        <w:tc>
          <w:tcPr>
            <w:tcW w:w="1101" w:type="pct"/>
          </w:tcPr>
          <w:p w:rsidR="003E439B" w:rsidRPr="00276EB8" w:rsidRDefault="003E439B" w:rsidP="00276EB8">
            <w:pPr>
              <w:jc w:val="center"/>
              <w:cnfStyle w:val="100000000000" w:firstRow="1" w:lastRow="0" w:firstColumn="0" w:lastColumn="0" w:oddVBand="0" w:evenVBand="0" w:oddHBand="0" w:evenHBand="0" w:firstRowFirstColumn="0" w:firstRowLastColumn="0" w:lastRowFirstColumn="0" w:lastRowLastColumn="0"/>
              <w:rPr>
                <w:rFonts w:cs="Calibri"/>
                <w:bCs w:val="0"/>
                <w:szCs w:val="22"/>
                <w:lang w:eastAsia="en-AU"/>
              </w:rPr>
            </w:pPr>
            <w:r w:rsidRPr="00276EB8">
              <w:rPr>
                <w:rFonts w:cs="Calibri"/>
                <w:bCs w:val="0"/>
                <w:szCs w:val="22"/>
                <w:lang w:eastAsia="en-AU"/>
              </w:rPr>
              <w:t>Address</w:t>
            </w:r>
          </w:p>
        </w:tc>
        <w:tc>
          <w:tcPr>
            <w:tcW w:w="708" w:type="pct"/>
          </w:tcPr>
          <w:p w:rsidR="003E439B" w:rsidRDefault="003E439B" w:rsidP="00276EB8">
            <w:pPr>
              <w:jc w:val="center"/>
              <w:cnfStyle w:val="100000000000" w:firstRow="1" w:lastRow="0" w:firstColumn="0" w:lastColumn="0" w:oddVBand="0" w:evenVBand="0" w:oddHBand="0" w:evenHBand="0" w:firstRowFirstColumn="0" w:firstRowLastColumn="0" w:lastRowFirstColumn="0" w:lastRowLastColumn="0"/>
              <w:rPr>
                <w:rFonts w:cs="Calibri"/>
                <w:szCs w:val="22"/>
                <w:lang w:eastAsia="en-AU"/>
              </w:rPr>
            </w:pPr>
            <w:r w:rsidRPr="00276EB8">
              <w:rPr>
                <w:rFonts w:cs="Calibri"/>
                <w:szCs w:val="22"/>
                <w:lang w:eastAsia="en-AU"/>
              </w:rPr>
              <w:t>Attached</w:t>
            </w:r>
            <w:r>
              <w:rPr>
                <w:rFonts w:cs="Calibri"/>
                <w:szCs w:val="22"/>
                <w:lang w:eastAsia="en-AU"/>
              </w:rPr>
              <w:t>/</w:t>
            </w:r>
          </w:p>
          <w:p w:rsidR="003E439B" w:rsidRPr="00276EB8" w:rsidRDefault="003E439B" w:rsidP="00276EB8">
            <w:pPr>
              <w:jc w:val="center"/>
              <w:cnfStyle w:val="100000000000" w:firstRow="1" w:lastRow="0" w:firstColumn="0" w:lastColumn="0" w:oddVBand="0" w:evenVBand="0" w:oddHBand="0" w:evenHBand="0" w:firstRowFirstColumn="0" w:firstRowLastColumn="0" w:lastRowFirstColumn="0" w:lastRowLastColumn="0"/>
              <w:rPr>
                <w:rFonts w:cs="Calibri"/>
                <w:szCs w:val="22"/>
                <w:lang w:eastAsia="en-AU"/>
              </w:rPr>
            </w:pPr>
            <w:r>
              <w:rPr>
                <w:rFonts w:cs="Calibri"/>
                <w:szCs w:val="22"/>
                <w:lang w:eastAsia="en-AU"/>
              </w:rPr>
              <w:t>operating</w:t>
            </w:r>
            <w:r w:rsidRPr="00276EB8">
              <w:rPr>
                <w:rFonts w:cs="Calibri"/>
                <w:szCs w:val="22"/>
                <w:lang w:eastAsia="en-AU"/>
              </w:rPr>
              <w:t xml:space="preserve"> EGMs</w:t>
            </w:r>
          </w:p>
        </w:tc>
        <w:tc>
          <w:tcPr>
            <w:tcW w:w="606" w:type="pct"/>
          </w:tcPr>
          <w:p w:rsidR="003E439B" w:rsidRPr="00276EB8" w:rsidRDefault="003E439B" w:rsidP="00276EB8">
            <w:pPr>
              <w:jc w:val="center"/>
              <w:cnfStyle w:val="100000000000" w:firstRow="1" w:lastRow="0" w:firstColumn="0" w:lastColumn="0" w:oddVBand="0" w:evenVBand="0" w:oddHBand="0" w:evenHBand="0" w:firstRowFirstColumn="0" w:firstRowLastColumn="0" w:lastRowFirstColumn="0" w:lastRowLastColumn="0"/>
              <w:rPr>
                <w:rFonts w:cs="Calibri"/>
                <w:szCs w:val="22"/>
                <w:lang w:eastAsia="en-AU"/>
              </w:rPr>
            </w:pPr>
            <w:r w:rsidRPr="00276EB8">
              <w:rPr>
                <w:rFonts w:cs="Calibri"/>
                <w:szCs w:val="22"/>
                <w:lang w:eastAsia="en-AU"/>
              </w:rPr>
              <w:t>Licensed E</w:t>
            </w:r>
            <w:r>
              <w:rPr>
                <w:rFonts w:cs="Calibri"/>
                <w:szCs w:val="22"/>
                <w:lang w:eastAsia="en-AU"/>
              </w:rPr>
              <w:t>GM</w:t>
            </w:r>
            <w:r w:rsidRPr="00276EB8">
              <w:rPr>
                <w:rFonts w:cs="Calibri"/>
                <w:szCs w:val="22"/>
                <w:lang w:eastAsia="en-AU"/>
              </w:rPr>
              <w:t>'s</w:t>
            </w:r>
          </w:p>
        </w:tc>
        <w:tc>
          <w:tcPr>
            <w:tcW w:w="415" w:type="pct"/>
          </w:tcPr>
          <w:p w:rsidR="003E439B" w:rsidRPr="00276EB8" w:rsidRDefault="003E439B" w:rsidP="00276EB8">
            <w:pPr>
              <w:jc w:val="center"/>
              <w:cnfStyle w:val="100000000000" w:firstRow="1" w:lastRow="0" w:firstColumn="0" w:lastColumn="0" w:oddVBand="0" w:evenVBand="0" w:oddHBand="0" w:evenHBand="0" w:firstRowFirstColumn="0" w:firstRowLastColumn="0" w:lastRowFirstColumn="0" w:lastRowLastColumn="0"/>
              <w:rPr>
                <w:rFonts w:cs="Calibri"/>
                <w:szCs w:val="22"/>
                <w:lang w:eastAsia="en-AU"/>
              </w:rPr>
            </w:pPr>
            <w:r w:rsidRPr="00276EB8">
              <w:rPr>
                <w:rFonts w:cs="Calibri"/>
                <w:szCs w:val="22"/>
                <w:lang w:eastAsia="en-AU"/>
              </w:rPr>
              <w:t>Type</w:t>
            </w:r>
          </w:p>
        </w:tc>
        <w:tc>
          <w:tcPr>
            <w:tcW w:w="915" w:type="pct"/>
          </w:tcPr>
          <w:p w:rsidR="003E439B" w:rsidRPr="00276EB8" w:rsidRDefault="003E439B" w:rsidP="00276EB8">
            <w:pPr>
              <w:jc w:val="center"/>
              <w:cnfStyle w:val="100000000000" w:firstRow="1" w:lastRow="0" w:firstColumn="0" w:lastColumn="0" w:oddVBand="0" w:evenVBand="0" w:oddHBand="0" w:evenHBand="0" w:firstRowFirstColumn="0" w:firstRowLastColumn="0" w:lastRowFirstColumn="0" w:lastRowLastColumn="0"/>
              <w:rPr>
                <w:rFonts w:cs="Calibri"/>
                <w:szCs w:val="22"/>
                <w:lang w:eastAsia="en-AU"/>
              </w:rPr>
            </w:pPr>
            <w:r w:rsidRPr="00276EB8">
              <w:rPr>
                <w:rFonts w:cs="Calibri"/>
                <w:szCs w:val="22"/>
                <w:lang w:eastAsia="en-AU"/>
              </w:rPr>
              <w:t>Expenditure</w:t>
            </w:r>
            <w:r>
              <w:rPr>
                <w:rFonts w:cs="Calibri"/>
                <w:szCs w:val="22"/>
                <w:lang w:eastAsia="en-AU"/>
              </w:rPr>
              <w:t xml:space="preserve"> 2015-16</w:t>
            </w:r>
          </w:p>
        </w:tc>
      </w:tr>
      <w:tr w:rsidR="003E439B" w:rsidRPr="009B7E75" w:rsidTr="00276EB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2" w:type="pct"/>
            <w:hideMark/>
          </w:tcPr>
          <w:p w:rsidR="003E439B" w:rsidRPr="009B7E75" w:rsidRDefault="003E439B" w:rsidP="009B7E75">
            <w:pPr>
              <w:jc w:val="right"/>
              <w:rPr>
                <w:rFonts w:cs="Calibri"/>
                <w:b w:val="0"/>
                <w:szCs w:val="22"/>
                <w:lang w:eastAsia="en-AU"/>
              </w:rPr>
            </w:pPr>
            <w:r w:rsidRPr="009B7E75">
              <w:rPr>
                <w:rFonts w:cs="Calibri"/>
                <w:b w:val="0"/>
                <w:szCs w:val="22"/>
                <w:lang w:eastAsia="en-AU"/>
              </w:rPr>
              <w:t>1</w:t>
            </w:r>
          </w:p>
        </w:tc>
        <w:tc>
          <w:tcPr>
            <w:tcW w:w="943" w:type="pct"/>
            <w:hideMark/>
          </w:tcPr>
          <w:p w:rsidR="003E439B" w:rsidRPr="009B7E75" w:rsidRDefault="00802F28" w:rsidP="009B7E75">
            <w:pPr>
              <w:cnfStyle w:val="000000100000" w:firstRow="0" w:lastRow="0" w:firstColumn="0" w:lastColumn="0" w:oddVBand="0" w:evenVBand="0" w:oddHBand="1" w:evenHBand="0" w:firstRowFirstColumn="0" w:firstRowLastColumn="0" w:lastRowFirstColumn="0" w:lastRowLastColumn="0"/>
              <w:rPr>
                <w:rFonts w:cs="Calibri"/>
                <w:bCs/>
                <w:color w:val="000000"/>
                <w:szCs w:val="22"/>
                <w:lang w:eastAsia="en-AU"/>
              </w:rPr>
            </w:pPr>
            <w:hyperlink r:id="rId33" w:history="1">
              <w:r w:rsidR="003E439B" w:rsidRPr="009B7E75">
                <w:rPr>
                  <w:rFonts w:cs="Calibri"/>
                  <w:bCs/>
                  <w:color w:val="000000"/>
                  <w:szCs w:val="22"/>
                  <w:lang w:eastAsia="en-AU"/>
                </w:rPr>
                <w:t>Batman's Hill On Collins</w:t>
              </w:r>
            </w:hyperlink>
          </w:p>
        </w:tc>
        <w:tc>
          <w:tcPr>
            <w:tcW w:w="1101" w:type="pct"/>
            <w:hideMark/>
          </w:tcPr>
          <w:p w:rsidR="003E439B" w:rsidRPr="009B7E75" w:rsidRDefault="003E439B" w:rsidP="009B7E75">
            <w:pP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623 Collins Street</w:t>
            </w:r>
            <w:r>
              <w:rPr>
                <w:rFonts w:cs="Calibri"/>
                <w:bCs/>
                <w:szCs w:val="22"/>
                <w:lang w:eastAsia="en-AU"/>
              </w:rPr>
              <w:t>, Melbourne</w:t>
            </w:r>
          </w:p>
        </w:tc>
        <w:tc>
          <w:tcPr>
            <w:tcW w:w="708" w:type="pct"/>
            <w:hideMark/>
          </w:tcPr>
          <w:p w:rsidR="003E439B" w:rsidRPr="009B7E75" w:rsidRDefault="003E439B" w:rsidP="009B7E75">
            <w:pPr>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22</w:t>
            </w:r>
          </w:p>
        </w:tc>
        <w:tc>
          <w:tcPr>
            <w:tcW w:w="606" w:type="pct"/>
            <w:hideMark/>
          </w:tcPr>
          <w:p w:rsidR="003E439B" w:rsidRPr="009B7E75" w:rsidRDefault="003E439B" w:rsidP="009B7E75">
            <w:pPr>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22</w:t>
            </w:r>
          </w:p>
        </w:tc>
        <w:tc>
          <w:tcPr>
            <w:tcW w:w="415" w:type="pct"/>
            <w:hideMark/>
          </w:tcPr>
          <w:p w:rsidR="003E439B" w:rsidRPr="009B7E75" w:rsidRDefault="003E439B" w:rsidP="009B7E75">
            <w:pPr>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Hotel</w:t>
            </w:r>
          </w:p>
        </w:tc>
        <w:tc>
          <w:tcPr>
            <w:tcW w:w="915" w:type="pct"/>
            <w:hideMark/>
          </w:tcPr>
          <w:p w:rsidR="003E439B" w:rsidRPr="009B7E75" w:rsidRDefault="003E439B" w:rsidP="009B7E75">
            <w:pPr>
              <w:jc w:val="right"/>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$2,128,548.88</w:t>
            </w:r>
          </w:p>
        </w:tc>
      </w:tr>
      <w:tr w:rsidR="003E439B" w:rsidRPr="009B7E75" w:rsidTr="00276EB8">
        <w:trPr>
          <w:trHeight w:val="435"/>
        </w:trPr>
        <w:tc>
          <w:tcPr>
            <w:cnfStyle w:val="001000000000" w:firstRow="0" w:lastRow="0" w:firstColumn="1" w:lastColumn="0" w:oddVBand="0" w:evenVBand="0" w:oddHBand="0" w:evenHBand="0" w:firstRowFirstColumn="0" w:firstRowLastColumn="0" w:lastRowFirstColumn="0" w:lastRowLastColumn="0"/>
            <w:tcW w:w="312" w:type="pct"/>
            <w:hideMark/>
          </w:tcPr>
          <w:p w:rsidR="003E439B" w:rsidRPr="009B7E75" w:rsidRDefault="003E439B" w:rsidP="009B7E75">
            <w:pPr>
              <w:jc w:val="right"/>
              <w:rPr>
                <w:rFonts w:cs="Calibri"/>
                <w:b w:val="0"/>
                <w:szCs w:val="22"/>
                <w:lang w:eastAsia="en-AU"/>
              </w:rPr>
            </w:pPr>
            <w:r w:rsidRPr="009B7E75">
              <w:rPr>
                <w:rFonts w:cs="Calibri"/>
                <w:b w:val="0"/>
                <w:szCs w:val="22"/>
                <w:lang w:eastAsia="en-AU"/>
              </w:rPr>
              <w:t>2</w:t>
            </w:r>
          </w:p>
        </w:tc>
        <w:tc>
          <w:tcPr>
            <w:tcW w:w="943" w:type="pct"/>
            <w:hideMark/>
          </w:tcPr>
          <w:p w:rsidR="003E439B" w:rsidRPr="009B7E75" w:rsidRDefault="00802F28" w:rsidP="009B7E75">
            <w:pPr>
              <w:cnfStyle w:val="000000000000" w:firstRow="0" w:lastRow="0" w:firstColumn="0" w:lastColumn="0" w:oddVBand="0" w:evenVBand="0" w:oddHBand="0" w:evenHBand="0" w:firstRowFirstColumn="0" w:firstRowLastColumn="0" w:lastRowFirstColumn="0" w:lastRowLastColumn="0"/>
              <w:rPr>
                <w:rFonts w:cs="Calibri"/>
                <w:bCs/>
                <w:color w:val="000000"/>
                <w:szCs w:val="22"/>
                <w:lang w:eastAsia="en-AU"/>
              </w:rPr>
            </w:pPr>
            <w:hyperlink r:id="rId34" w:history="1">
              <w:r w:rsidR="003E439B" w:rsidRPr="009B7E75">
                <w:rPr>
                  <w:rFonts w:cs="Calibri"/>
                  <w:bCs/>
                  <w:color w:val="000000"/>
                  <w:szCs w:val="22"/>
                  <w:lang w:eastAsia="en-AU"/>
                </w:rPr>
                <w:t>Bourke Hill's Welcome Stranger</w:t>
              </w:r>
            </w:hyperlink>
          </w:p>
        </w:tc>
        <w:tc>
          <w:tcPr>
            <w:tcW w:w="1101" w:type="pct"/>
            <w:hideMark/>
          </w:tcPr>
          <w:p w:rsidR="003E439B" w:rsidRPr="009B7E75" w:rsidRDefault="003E439B" w:rsidP="009B7E75">
            <w:pP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128 Bourke Street</w:t>
            </w:r>
            <w:r>
              <w:rPr>
                <w:rFonts w:cs="Calibri"/>
                <w:bCs/>
                <w:szCs w:val="22"/>
                <w:lang w:eastAsia="en-AU"/>
              </w:rPr>
              <w:t>, Melbourne</w:t>
            </w:r>
          </w:p>
        </w:tc>
        <w:tc>
          <w:tcPr>
            <w:tcW w:w="708" w:type="pct"/>
            <w:hideMark/>
          </w:tcPr>
          <w:p w:rsidR="003E439B" w:rsidRPr="009B7E75" w:rsidRDefault="003E439B" w:rsidP="009B7E75">
            <w:pPr>
              <w:jc w:val="cente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100</w:t>
            </w:r>
          </w:p>
        </w:tc>
        <w:tc>
          <w:tcPr>
            <w:tcW w:w="606" w:type="pct"/>
            <w:hideMark/>
          </w:tcPr>
          <w:p w:rsidR="003E439B" w:rsidRPr="009B7E75" w:rsidRDefault="003E439B" w:rsidP="009B7E75">
            <w:pPr>
              <w:jc w:val="cente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100</w:t>
            </w:r>
          </w:p>
        </w:tc>
        <w:tc>
          <w:tcPr>
            <w:tcW w:w="415" w:type="pct"/>
            <w:hideMark/>
          </w:tcPr>
          <w:p w:rsidR="003E439B" w:rsidRPr="009B7E75" w:rsidRDefault="003E439B" w:rsidP="009B7E75">
            <w:pPr>
              <w:jc w:val="cente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Hotel</w:t>
            </w:r>
          </w:p>
        </w:tc>
        <w:tc>
          <w:tcPr>
            <w:tcW w:w="915" w:type="pct"/>
            <w:hideMark/>
          </w:tcPr>
          <w:p w:rsidR="003E439B" w:rsidRPr="009B7E75" w:rsidRDefault="003E439B" w:rsidP="009B7E75">
            <w:pPr>
              <w:jc w:val="right"/>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$14,811,751.51</w:t>
            </w:r>
          </w:p>
        </w:tc>
      </w:tr>
      <w:tr w:rsidR="003E439B" w:rsidRPr="009B7E75" w:rsidTr="00276EB8">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12" w:type="pct"/>
            <w:hideMark/>
          </w:tcPr>
          <w:p w:rsidR="003E439B" w:rsidRPr="009B7E75" w:rsidRDefault="003E439B" w:rsidP="009B7E75">
            <w:pPr>
              <w:jc w:val="right"/>
              <w:rPr>
                <w:rFonts w:cs="Calibri"/>
                <w:b w:val="0"/>
                <w:szCs w:val="22"/>
                <w:lang w:eastAsia="en-AU"/>
              </w:rPr>
            </w:pPr>
            <w:r w:rsidRPr="009B7E75">
              <w:rPr>
                <w:rFonts w:cs="Calibri"/>
                <w:b w:val="0"/>
                <w:szCs w:val="22"/>
                <w:lang w:eastAsia="en-AU"/>
              </w:rPr>
              <w:t>3</w:t>
            </w:r>
          </w:p>
        </w:tc>
        <w:tc>
          <w:tcPr>
            <w:tcW w:w="943" w:type="pct"/>
            <w:hideMark/>
          </w:tcPr>
          <w:p w:rsidR="003E439B" w:rsidRPr="009B7E75" w:rsidRDefault="00802F28" w:rsidP="009B7E75">
            <w:pPr>
              <w:cnfStyle w:val="000000100000" w:firstRow="0" w:lastRow="0" w:firstColumn="0" w:lastColumn="0" w:oddVBand="0" w:evenVBand="0" w:oddHBand="1" w:evenHBand="0" w:firstRowFirstColumn="0" w:firstRowLastColumn="0" w:lastRowFirstColumn="0" w:lastRowLastColumn="0"/>
              <w:rPr>
                <w:rFonts w:cs="Calibri"/>
                <w:bCs/>
                <w:color w:val="000000"/>
                <w:szCs w:val="22"/>
                <w:lang w:eastAsia="en-AU"/>
              </w:rPr>
            </w:pPr>
            <w:hyperlink r:id="rId35" w:history="1">
              <w:r w:rsidR="003E439B" w:rsidRPr="009B7E75">
                <w:rPr>
                  <w:rFonts w:cs="Calibri"/>
                  <w:bCs/>
                  <w:color w:val="000000"/>
                  <w:szCs w:val="22"/>
                  <w:lang w:eastAsia="en-AU"/>
                </w:rPr>
                <w:t>Celtic Club</w:t>
              </w:r>
            </w:hyperlink>
          </w:p>
        </w:tc>
        <w:tc>
          <w:tcPr>
            <w:tcW w:w="1101" w:type="pct"/>
            <w:hideMark/>
          </w:tcPr>
          <w:p w:rsidR="003E439B" w:rsidRPr="009B7E75" w:rsidRDefault="003E439B" w:rsidP="009B7E75">
            <w:pP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316 - 320 Queen Street</w:t>
            </w:r>
            <w:r>
              <w:rPr>
                <w:rFonts w:cs="Calibri"/>
                <w:bCs/>
                <w:szCs w:val="22"/>
                <w:lang w:eastAsia="en-AU"/>
              </w:rPr>
              <w:t>, Melbourne</w:t>
            </w:r>
          </w:p>
        </w:tc>
        <w:tc>
          <w:tcPr>
            <w:tcW w:w="708" w:type="pct"/>
            <w:hideMark/>
          </w:tcPr>
          <w:p w:rsidR="003E439B" w:rsidRPr="009B7E75" w:rsidRDefault="003E439B" w:rsidP="009B7E75">
            <w:pPr>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41</w:t>
            </w:r>
          </w:p>
        </w:tc>
        <w:tc>
          <w:tcPr>
            <w:tcW w:w="606" w:type="pct"/>
            <w:hideMark/>
          </w:tcPr>
          <w:p w:rsidR="003E439B" w:rsidRPr="009B7E75" w:rsidRDefault="003E439B" w:rsidP="009B7E75">
            <w:pPr>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46</w:t>
            </w:r>
          </w:p>
        </w:tc>
        <w:tc>
          <w:tcPr>
            <w:tcW w:w="415" w:type="pct"/>
            <w:hideMark/>
          </w:tcPr>
          <w:p w:rsidR="003E439B" w:rsidRPr="009B7E75" w:rsidRDefault="003E439B" w:rsidP="009B7E75">
            <w:pPr>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Club</w:t>
            </w:r>
          </w:p>
        </w:tc>
        <w:tc>
          <w:tcPr>
            <w:tcW w:w="915" w:type="pct"/>
            <w:hideMark/>
          </w:tcPr>
          <w:p w:rsidR="003E439B" w:rsidRPr="009B7E75" w:rsidRDefault="003E439B" w:rsidP="009B7E75">
            <w:pPr>
              <w:jc w:val="right"/>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$1,003,056.27</w:t>
            </w:r>
          </w:p>
        </w:tc>
      </w:tr>
      <w:tr w:rsidR="003E439B" w:rsidRPr="009B7E75" w:rsidTr="00276EB8">
        <w:trPr>
          <w:trHeight w:val="435"/>
        </w:trPr>
        <w:tc>
          <w:tcPr>
            <w:cnfStyle w:val="001000000000" w:firstRow="0" w:lastRow="0" w:firstColumn="1" w:lastColumn="0" w:oddVBand="0" w:evenVBand="0" w:oddHBand="0" w:evenHBand="0" w:firstRowFirstColumn="0" w:firstRowLastColumn="0" w:lastRowFirstColumn="0" w:lastRowLastColumn="0"/>
            <w:tcW w:w="312" w:type="pct"/>
            <w:hideMark/>
          </w:tcPr>
          <w:p w:rsidR="003E439B" w:rsidRPr="009B7E75" w:rsidRDefault="003E439B" w:rsidP="009B7E75">
            <w:pPr>
              <w:jc w:val="right"/>
              <w:rPr>
                <w:rFonts w:cs="Calibri"/>
                <w:b w:val="0"/>
                <w:color w:val="000000"/>
                <w:szCs w:val="22"/>
                <w:lang w:eastAsia="en-AU"/>
              </w:rPr>
            </w:pPr>
            <w:r w:rsidRPr="009B7E75">
              <w:rPr>
                <w:rFonts w:cs="Calibri"/>
                <w:b w:val="0"/>
                <w:color w:val="000000"/>
                <w:szCs w:val="22"/>
                <w:lang w:eastAsia="en-AU"/>
              </w:rPr>
              <w:t>4</w:t>
            </w:r>
          </w:p>
        </w:tc>
        <w:tc>
          <w:tcPr>
            <w:tcW w:w="943" w:type="pct"/>
            <w:hideMark/>
          </w:tcPr>
          <w:p w:rsidR="003E439B" w:rsidRPr="009B7E75" w:rsidRDefault="00802F28" w:rsidP="009B7E75">
            <w:pPr>
              <w:cnfStyle w:val="000000000000" w:firstRow="0" w:lastRow="0" w:firstColumn="0" w:lastColumn="0" w:oddVBand="0" w:evenVBand="0" w:oddHBand="0" w:evenHBand="0" w:firstRowFirstColumn="0" w:firstRowLastColumn="0" w:lastRowFirstColumn="0" w:lastRowLastColumn="0"/>
              <w:rPr>
                <w:rFonts w:cs="Calibri"/>
                <w:bCs/>
                <w:color w:val="000000"/>
                <w:szCs w:val="22"/>
                <w:lang w:eastAsia="en-AU"/>
              </w:rPr>
            </w:pPr>
            <w:hyperlink r:id="rId36" w:history="1">
              <w:r w:rsidR="003E439B" w:rsidRPr="009B7E75">
                <w:rPr>
                  <w:rFonts w:cs="Calibri"/>
                  <w:bCs/>
                  <w:color w:val="000000"/>
                  <w:szCs w:val="22"/>
                  <w:lang w:eastAsia="en-AU"/>
                </w:rPr>
                <w:t>Clocks At Flinders Street Station</w:t>
              </w:r>
            </w:hyperlink>
          </w:p>
        </w:tc>
        <w:tc>
          <w:tcPr>
            <w:tcW w:w="1101" w:type="pct"/>
            <w:hideMark/>
          </w:tcPr>
          <w:p w:rsidR="003E439B" w:rsidRPr="009B7E75" w:rsidRDefault="003E439B" w:rsidP="009B7E75">
            <w:pP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Shop 17, Flinders Street Railway Station</w:t>
            </w:r>
            <w:r>
              <w:rPr>
                <w:rFonts w:cs="Calibri"/>
                <w:bCs/>
                <w:szCs w:val="22"/>
                <w:lang w:eastAsia="en-AU"/>
              </w:rPr>
              <w:t>, Melbourne</w:t>
            </w:r>
          </w:p>
        </w:tc>
        <w:tc>
          <w:tcPr>
            <w:tcW w:w="708" w:type="pct"/>
            <w:hideMark/>
          </w:tcPr>
          <w:p w:rsidR="003E439B" w:rsidRPr="009B7E75" w:rsidRDefault="003E439B" w:rsidP="009B7E75">
            <w:pPr>
              <w:jc w:val="cente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100</w:t>
            </w:r>
          </w:p>
        </w:tc>
        <w:tc>
          <w:tcPr>
            <w:tcW w:w="606" w:type="pct"/>
            <w:hideMark/>
          </w:tcPr>
          <w:p w:rsidR="003E439B" w:rsidRPr="009B7E75" w:rsidRDefault="003E439B" w:rsidP="009B7E75">
            <w:pPr>
              <w:jc w:val="cente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100</w:t>
            </w:r>
          </w:p>
        </w:tc>
        <w:tc>
          <w:tcPr>
            <w:tcW w:w="415" w:type="pct"/>
            <w:hideMark/>
          </w:tcPr>
          <w:p w:rsidR="003E439B" w:rsidRPr="009B7E75" w:rsidRDefault="003E439B" w:rsidP="009B7E75">
            <w:pPr>
              <w:jc w:val="cente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Club</w:t>
            </w:r>
          </w:p>
        </w:tc>
        <w:tc>
          <w:tcPr>
            <w:tcW w:w="915" w:type="pct"/>
            <w:hideMark/>
          </w:tcPr>
          <w:p w:rsidR="003E439B" w:rsidRPr="009B7E75" w:rsidRDefault="003E439B" w:rsidP="009B7E75">
            <w:pPr>
              <w:jc w:val="right"/>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$9,766,899.09</w:t>
            </w:r>
          </w:p>
        </w:tc>
      </w:tr>
      <w:tr w:rsidR="003E439B" w:rsidRPr="009B7E75" w:rsidTr="00276EB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12" w:type="pct"/>
            <w:hideMark/>
          </w:tcPr>
          <w:p w:rsidR="003E439B" w:rsidRPr="009B7E75" w:rsidRDefault="003E439B" w:rsidP="009B7E75">
            <w:pPr>
              <w:jc w:val="right"/>
              <w:rPr>
                <w:rFonts w:cs="Calibri"/>
                <w:b w:val="0"/>
                <w:szCs w:val="22"/>
                <w:lang w:eastAsia="en-AU"/>
              </w:rPr>
            </w:pPr>
            <w:r w:rsidRPr="009B7E75">
              <w:rPr>
                <w:rFonts w:cs="Calibri"/>
                <w:b w:val="0"/>
                <w:szCs w:val="22"/>
                <w:lang w:eastAsia="en-AU"/>
              </w:rPr>
              <w:t>5</w:t>
            </w:r>
          </w:p>
        </w:tc>
        <w:tc>
          <w:tcPr>
            <w:tcW w:w="943" w:type="pct"/>
            <w:hideMark/>
          </w:tcPr>
          <w:p w:rsidR="003E439B" w:rsidRPr="009B7E75" w:rsidRDefault="00802F28" w:rsidP="009B7E75">
            <w:pPr>
              <w:cnfStyle w:val="000000100000" w:firstRow="0" w:lastRow="0" w:firstColumn="0" w:lastColumn="0" w:oddVBand="0" w:evenVBand="0" w:oddHBand="1" w:evenHBand="0" w:firstRowFirstColumn="0" w:firstRowLastColumn="0" w:lastRowFirstColumn="0" w:lastRowLastColumn="0"/>
              <w:rPr>
                <w:rFonts w:cs="Calibri"/>
                <w:bCs/>
                <w:color w:val="000000"/>
                <w:szCs w:val="22"/>
                <w:lang w:eastAsia="en-AU"/>
              </w:rPr>
            </w:pPr>
            <w:hyperlink r:id="rId37" w:history="1">
              <w:r w:rsidR="003E439B" w:rsidRPr="009B7E75">
                <w:rPr>
                  <w:rFonts w:cs="Calibri"/>
                  <w:bCs/>
                  <w:color w:val="000000"/>
                  <w:szCs w:val="22"/>
                  <w:lang w:eastAsia="en-AU"/>
                </w:rPr>
                <w:t>Golden Nugget</w:t>
              </w:r>
            </w:hyperlink>
          </w:p>
        </w:tc>
        <w:tc>
          <w:tcPr>
            <w:tcW w:w="1101" w:type="pct"/>
            <w:hideMark/>
          </w:tcPr>
          <w:p w:rsidR="003E439B" w:rsidRPr="009B7E75" w:rsidRDefault="003E439B" w:rsidP="009B7E75">
            <w:pP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117 Lonsdale Street</w:t>
            </w:r>
            <w:r>
              <w:rPr>
                <w:rFonts w:cs="Calibri"/>
                <w:bCs/>
                <w:szCs w:val="22"/>
                <w:lang w:eastAsia="en-AU"/>
              </w:rPr>
              <w:t>, Melbourne</w:t>
            </w:r>
          </w:p>
        </w:tc>
        <w:tc>
          <w:tcPr>
            <w:tcW w:w="708" w:type="pct"/>
            <w:hideMark/>
          </w:tcPr>
          <w:p w:rsidR="003E439B" w:rsidRPr="009B7E75" w:rsidRDefault="003E439B" w:rsidP="009B7E75">
            <w:pPr>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60</w:t>
            </w:r>
          </w:p>
        </w:tc>
        <w:tc>
          <w:tcPr>
            <w:tcW w:w="606" w:type="pct"/>
            <w:hideMark/>
          </w:tcPr>
          <w:p w:rsidR="003E439B" w:rsidRPr="009B7E75" w:rsidRDefault="003E439B" w:rsidP="009B7E75">
            <w:pPr>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60</w:t>
            </w:r>
          </w:p>
        </w:tc>
        <w:tc>
          <w:tcPr>
            <w:tcW w:w="415" w:type="pct"/>
            <w:hideMark/>
          </w:tcPr>
          <w:p w:rsidR="003E439B" w:rsidRPr="009B7E75" w:rsidRDefault="003E439B" w:rsidP="009B7E75">
            <w:pPr>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Hotel</w:t>
            </w:r>
          </w:p>
        </w:tc>
        <w:tc>
          <w:tcPr>
            <w:tcW w:w="915" w:type="pct"/>
            <w:hideMark/>
          </w:tcPr>
          <w:p w:rsidR="003E439B" w:rsidRPr="009B7E75" w:rsidRDefault="003E439B" w:rsidP="009B7E75">
            <w:pPr>
              <w:jc w:val="right"/>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$8,911,058.65</w:t>
            </w:r>
          </w:p>
        </w:tc>
      </w:tr>
      <w:tr w:rsidR="003E439B" w:rsidRPr="009B7E75" w:rsidTr="00276EB8">
        <w:trPr>
          <w:trHeight w:val="465"/>
        </w:trPr>
        <w:tc>
          <w:tcPr>
            <w:cnfStyle w:val="001000000000" w:firstRow="0" w:lastRow="0" w:firstColumn="1" w:lastColumn="0" w:oddVBand="0" w:evenVBand="0" w:oddHBand="0" w:evenHBand="0" w:firstRowFirstColumn="0" w:firstRowLastColumn="0" w:lastRowFirstColumn="0" w:lastRowLastColumn="0"/>
            <w:tcW w:w="312" w:type="pct"/>
            <w:hideMark/>
          </w:tcPr>
          <w:p w:rsidR="003E439B" w:rsidRPr="009B7E75" w:rsidRDefault="003E439B" w:rsidP="009B7E75">
            <w:pPr>
              <w:jc w:val="right"/>
              <w:rPr>
                <w:rFonts w:cs="Calibri"/>
                <w:b w:val="0"/>
                <w:szCs w:val="22"/>
                <w:lang w:eastAsia="en-AU"/>
              </w:rPr>
            </w:pPr>
            <w:r w:rsidRPr="009B7E75">
              <w:rPr>
                <w:rFonts w:cs="Calibri"/>
                <w:b w:val="0"/>
                <w:szCs w:val="22"/>
                <w:lang w:eastAsia="en-AU"/>
              </w:rPr>
              <w:t>6</w:t>
            </w:r>
          </w:p>
        </w:tc>
        <w:tc>
          <w:tcPr>
            <w:tcW w:w="943" w:type="pct"/>
            <w:hideMark/>
          </w:tcPr>
          <w:p w:rsidR="003E439B" w:rsidRPr="009B7E75" w:rsidRDefault="00802F28" w:rsidP="009B7E75">
            <w:pPr>
              <w:cnfStyle w:val="000000000000" w:firstRow="0" w:lastRow="0" w:firstColumn="0" w:lastColumn="0" w:oddVBand="0" w:evenVBand="0" w:oddHBand="0" w:evenHBand="0" w:firstRowFirstColumn="0" w:firstRowLastColumn="0" w:lastRowFirstColumn="0" w:lastRowLastColumn="0"/>
              <w:rPr>
                <w:rFonts w:cs="Calibri"/>
                <w:bCs/>
                <w:color w:val="000000"/>
                <w:szCs w:val="22"/>
                <w:lang w:eastAsia="en-AU"/>
              </w:rPr>
            </w:pPr>
            <w:hyperlink r:id="rId38" w:history="1">
              <w:r w:rsidR="003E439B" w:rsidRPr="009B7E75">
                <w:rPr>
                  <w:rFonts w:cs="Calibri"/>
                  <w:bCs/>
                  <w:color w:val="000000"/>
                  <w:szCs w:val="22"/>
                  <w:lang w:eastAsia="en-AU"/>
                </w:rPr>
                <w:t>Headquarters Tavern</w:t>
              </w:r>
            </w:hyperlink>
          </w:p>
        </w:tc>
        <w:tc>
          <w:tcPr>
            <w:tcW w:w="1101" w:type="pct"/>
            <w:hideMark/>
          </w:tcPr>
          <w:p w:rsidR="003E439B" w:rsidRPr="009B7E75" w:rsidRDefault="003E439B" w:rsidP="009B7E75">
            <w:pPr>
              <w:cnfStyle w:val="000000000000" w:firstRow="0" w:lastRow="0" w:firstColumn="0" w:lastColumn="0" w:oddVBand="0" w:evenVBand="0" w:oddHBand="0" w:evenHBand="0" w:firstRowFirstColumn="0" w:firstRowLastColumn="0" w:lastRowFirstColumn="0" w:lastRowLastColumn="0"/>
              <w:rPr>
                <w:rFonts w:cs="Calibri"/>
                <w:color w:val="000000"/>
                <w:szCs w:val="22"/>
                <w:lang w:eastAsia="en-AU"/>
              </w:rPr>
            </w:pPr>
            <w:r w:rsidRPr="009B7E75">
              <w:rPr>
                <w:rFonts w:cs="Calibri"/>
                <w:color w:val="000000"/>
                <w:szCs w:val="22"/>
                <w:lang w:eastAsia="en-AU"/>
              </w:rPr>
              <w:t>Epsom Road</w:t>
            </w:r>
            <w:r>
              <w:rPr>
                <w:rFonts w:cs="Calibri"/>
                <w:color w:val="000000"/>
                <w:szCs w:val="22"/>
                <w:lang w:eastAsia="en-AU"/>
              </w:rPr>
              <w:t>, Flemington</w:t>
            </w:r>
          </w:p>
        </w:tc>
        <w:tc>
          <w:tcPr>
            <w:tcW w:w="708" w:type="pct"/>
            <w:hideMark/>
          </w:tcPr>
          <w:p w:rsidR="003E439B" w:rsidRPr="009B7E75" w:rsidRDefault="003E439B" w:rsidP="009B7E75">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lang w:eastAsia="en-AU"/>
              </w:rPr>
            </w:pPr>
            <w:r w:rsidRPr="009B7E75">
              <w:rPr>
                <w:rFonts w:cs="Calibri"/>
                <w:color w:val="000000"/>
                <w:szCs w:val="22"/>
                <w:lang w:eastAsia="en-AU"/>
              </w:rPr>
              <w:t>80</w:t>
            </w:r>
          </w:p>
        </w:tc>
        <w:tc>
          <w:tcPr>
            <w:tcW w:w="606" w:type="pct"/>
            <w:hideMark/>
          </w:tcPr>
          <w:p w:rsidR="003E439B" w:rsidRPr="009B7E75" w:rsidRDefault="003E439B" w:rsidP="009B7E75">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lang w:eastAsia="en-AU"/>
              </w:rPr>
            </w:pPr>
            <w:r w:rsidRPr="009B7E75">
              <w:rPr>
                <w:rFonts w:cs="Calibri"/>
                <w:color w:val="000000"/>
                <w:szCs w:val="22"/>
                <w:lang w:eastAsia="en-AU"/>
              </w:rPr>
              <w:t>80</w:t>
            </w:r>
          </w:p>
        </w:tc>
        <w:tc>
          <w:tcPr>
            <w:tcW w:w="415" w:type="pct"/>
            <w:hideMark/>
          </w:tcPr>
          <w:p w:rsidR="003E439B" w:rsidRPr="009B7E75" w:rsidRDefault="003E439B" w:rsidP="009B7E75">
            <w:pPr>
              <w:jc w:val="center"/>
              <w:cnfStyle w:val="000000000000" w:firstRow="0" w:lastRow="0" w:firstColumn="0" w:lastColumn="0" w:oddVBand="0" w:evenVBand="0" w:oddHBand="0" w:evenHBand="0" w:firstRowFirstColumn="0" w:firstRowLastColumn="0" w:lastRowFirstColumn="0" w:lastRowLastColumn="0"/>
              <w:rPr>
                <w:rFonts w:cs="Calibri"/>
                <w:szCs w:val="22"/>
                <w:lang w:eastAsia="en-AU"/>
              </w:rPr>
            </w:pPr>
            <w:r w:rsidRPr="009B7E75">
              <w:rPr>
                <w:rFonts w:cs="Calibri"/>
                <w:szCs w:val="22"/>
                <w:lang w:eastAsia="en-AU"/>
              </w:rPr>
              <w:t>Club</w:t>
            </w:r>
          </w:p>
        </w:tc>
        <w:tc>
          <w:tcPr>
            <w:tcW w:w="915" w:type="pct"/>
            <w:hideMark/>
          </w:tcPr>
          <w:p w:rsidR="003E439B" w:rsidRPr="009B7E75" w:rsidRDefault="003E439B" w:rsidP="009B7E75">
            <w:pPr>
              <w:jc w:val="right"/>
              <w:cnfStyle w:val="000000000000" w:firstRow="0" w:lastRow="0" w:firstColumn="0" w:lastColumn="0" w:oddVBand="0" w:evenVBand="0" w:oddHBand="0" w:evenHBand="0" w:firstRowFirstColumn="0" w:firstRowLastColumn="0" w:lastRowFirstColumn="0" w:lastRowLastColumn="0"/>
              <w:rPr>
                <w:rFonts w:cs="Calibri"/>
                <w:szCs w:val="22"/>
                <w:lang w:eastAsia="en-AU"/>
              </w:rPr>
            </w:pPr>
            <w:r w:rsidRPr="009B7E75">
              <w:rPr>
                <w:rFonts w:cs="Calibri"/>
                <w:szCs w:val="22"/>
                <w:lang w:eastAsia="en-AU"/>
              </w:rPr>
              <w:t>$3,667,433.16</w:t>
            </w:r>
          </w:p>
        </w:tc>
      </w:tr>
      <w:tr w:rsidR="003E439B" w:rsidRPr="009B7E75" w:rsidTr="00276EB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12" w:type="pct"/>
            <w:hideMark/>
          </w:tcPr>
          <w:p w:rsidR="003E439B" w:rsidRPr="009B7E75" w:rsidRDefault="003E439B" w:rsidP="009B7E75">
            <w:pPr>
              <w:jc w:val="right"/>
              <w:rPr>
                <w:rFonts w:cs="Calibri"/>
                <w:b w:val="0"/>
                <w:szCs w:val="22"/>
                <w:lang w:eastAsia="en-AU"/>
              </w:rPr>
            </w:pPr>
            <w:r w:rsidRPr="009B7E75">
              <w:rPr>
                <w:rFonts w:cs="Calibri"/>
                <w:b w:val="0"/>
                <w:szCs w:val="22"/>
                <w:lang w:eastAsia="en-AU"/>
              </w:rPr>
              <w:t>7</w:t>
            </w:r>
          </w:p>
        </w:tc>
        <w:tc>
          <w:tcPr>
            <w:tcW w:w="943" w:type="pct"/>
            <w:hideMark/>
          </w:tcPr>
          <w:p w:rsidR="003E439B" w:rsidRPr="009B7E75" w:rsidRDefault="00802F28" w:rsidP="009B7E75">
            <w:pPr>
              <w:cnfStyle w:val="000000100000" w:firstRow="0" w:lastRow="0" w:firstColumn="0" w:lastColumn="0" w:oddVBand="0" w:evenVBand="0" w:oddHBand="1" w:evenHBand="0" w:firstRowFirstColumn="0" w:firstRowLastColumn="0" w:lastRowFirstColumn="0" w:lastRowLastColumn="0"/>
              <w:rPr>
                <w:rFonts w:cs="Calibri"/>
                <w:bCs/>
                <w:color w:val="000000"/>
                <w:szCs w:val="22"/>
                <w:lang w:eastAsia="en-AU"/>
              </w:rPr>
            </w:pPr>
            <w:hyperlink r:id="rId39" w:history="1">
              <w:r w:rsidR="003E439B" w:rsidRPr="009B7E75">
                <w:rPr>
                  <w:rFonts w:cs="Calibri"/>
                  <w:bCs/>
                  <w:color w:val="000000"/>
                  <w:szCs w:val="22"/>
                  <w:lang w:eastAsia="en-AU"/>
                </w:rPr>
                <w:t>Mail Exchange Hotel</w:t>
              </w:r>
            </w:hyperlink>
          </w:p>
        </w:tc>
        <w:tc>
          <w:tcPr>
            <w:tcW w:w="1101" w:type="pct"/>
            <w:hideMark/>
          </w:tcPr>
          <w:p w:rsidR="003E439B" w:rsidRPr="009B7E75" w:rsidRDefault="003E439B" w:rsidP="009B7E75">
            <w:pP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688 Bourke Street</w:t>
            </w:r>
            <w:r>
              <w:rPr>
                <w:rFonts w:cs="Calibri"/>
                <w:bCs/>
                <w:szCs w:val="22"/>
                <w:lang w:eastAsia="en-AU"/>
              </w:rPr>
              <w:t>, Melbourne</w:t>
            </w:r>
          </w:p>
        </w:tc>
        <w:tc>
          <w:tcPr>
            <w:tcW w:w="708" w:type="pct"/>
            <w:hideMark/>
          </w:tcPr>
          <w:p w:rsidR="003E439B" w:rsidRPr="009B7E75" w:rsidRDefault="003E439B" w:rsidP="009B7E75">
            <w:pPr>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80</w:t>
            </w:r>
          </w:p>
        </w:tc>
        <w:tc>
          <w:tcPr>
            <w:tcW w:w="606" w:type="pct"/>
            <w:hideMark/>
          </w:tcPr>
          <w:p w:rsidR="003E439B" w:rsidRPr="009B7E75" w:rsidRDefault="003E439B" w:rsidP="009B7E75">
            <w:pPr>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80</w:t>
            </w:r>
          </w:p>
        </w:tc>
        <w:tc>
          <w:tcPr>
            <w:tcW w:w="415" w:type="pct"/>
            <w:hideMark/>
          </w:tcPr>
          <w:p w:rsidR="003E439B" w:rsidRPr="009B7E75" w:rsidRDefault="003E439B" w:rsidP="009B7E75">
            <w:pPr>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Hotel</w:t>
            </w:r>
          </w:p>
        </w:tc>
        <w:tc>
          <w:tcPr>
            <w:tcW w:w="915" w:type="pct"/>
            <w:hideMark/>
          </w:tcPr>
          <w:p w:rsidR="003E439B" w:rsidRPr="009B7E75" w:rsidRDefault="003E439B" w:rsidP="009B7E75">
            <w:pPr>
              <w:jc w:val="right"/>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$7,672,422.10</w:t>
            </w:r>
          </w:p>
        </w:tc>
      </w:tr>
      <w:tr w:rsidR="003E439B" w:rsidRPr="009B7E75" w:rsidTr="00276EB8">
        <w:trPr>
          <w:trHeight w:val="465"/>
        </w:trPr>
        <w:tc>
          <w:tcPr>
            <w:cnfStyle w:val="001000000000" w:firstRow="0" w:lastRow="0" w:firstColumn="1" w:lastColumn="0" w:oddVBand="0" w:evenVBand="0" w:oddHBand="0" w:evenHBand="0" w:firstRowFirstColumn="0" w:firstRowLastColumn="0" w:lastRowFirstColumn="0" w:lastRowLastColumn="0"/>
            <w:tcW w:w="312" w:type="pct"/>
            <w:hideMark/>
          </w:tcPr>
          <w:p w:rsidR="003E439B" w:rsidRPr="009B7E75" w:rsidRDefault="003E439B" w:rsidP="009B7E75">
            <w:pPr>
              <w:jc w:val="right"/>
              <w:rPr>
                <w:rFonts w:cs="Calibri"/>
                <w:b w:val="0"/>
                <w:szCs w:val="22"/>
                <w:lang w:eastAsia="en-AU"/>
              </w:rPr>
            </w:pPr>
            <w:r w:rsidRPr="009B7E75">
              <w:rPr>
                <w:rFonts w:cs="Calibri"/>
                <w:b w:val="0"/>
                <w:szCs w:val="22"/>
                <w:lang w:eastAsia="en-AU"/>
              </w:rPr>
              <w:t>8</w:t>
            </w:r>
          </w:p>
        </w:tc>
        <w:tc>
          <w:tcPr>
            <w:tcW w:w="943" w:type="pct"/>
            <w:hideMark/>
          </w:tcPr>
          <w:p w:rsidR="003E439B" w:rsidRPr="009B7E75" w:rsidRDefault="00802F28" w:rsidP="009B7E75">
            <w:pPr>
              <w:cnfStyle w:val="000000000000" w:firstRow="0" w:lastRow="0" w:firstColumn="0" w:lastColumn="0" w:oddVBand="0" w:evenVBand="0" w:oddHBand="0" w:evenHBand="0" w:firstRowFirstColumn="0" w:firstRowLastColumn="0" w:lastRowFirstColumn="0" w:lastRowLastColumn="0"/>
              <w:rPr>
                <w:rFonts w:cs="Calibri"/>
                <w:bCs/>
                <w:color w:val="000000"/>
                <w:szCs w:val="22"/>
                <w:lang w:eastAsia="en-AU"/>
              </w:rPr>
            </w:pPr>
            <w:hyperlink r:id="rId40" w:history="1">
              <w:r w:rsidR="003E439B" w:rsidRPr="009B7E75">
                <w:rPr>
                  <w:rFonts w:cs="Calibri"/>
                  <w:bCs/>
                  <w:color w:val="000000"/>
                  <w:szCs w:val="22"/>
                  <w:lang w:eastAsia="en-AU"/>
                </w:rPr>
                <w:t>Mercure Grand Hotel On Swanston</w:t>
              </w:r>
            </w:hyperlink>
          </w:p>
        </w:tc>
        <w:tc>
          <w:tcPr>
            <w:tcW w:w="1101" w:type="pct"/>
            <w:hideMark/>
          </w:tcPr>
          <w:p w:rsidR="003E439B" w:rsidRPr="009B7E75" w:rsidRDefault="003E439B" w:rsidP="009B7E75">
            <w:pP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195 Swanston Street</w:t>
            </w:r>
            <w:r>
              <w:rPr>
                <w:rFonts w:cs="Calibri"/>
                <w:bCs/>
                <w:szCs w:val="22"/>
                <w:lang w:eastAsia="en-AU"/>
              </w:rPr>
              <w:t>, Melbourne</w:t>
            </w:r>
          </w:p>
        </w:tc>
        <w:tc>
          <w:tcPr>
            <w:tcW w:w="708" w:type="pct"/>
            <w:hideMark/>
          </w:tcPr>
          <w:p w:rsidR="003E439B" w:rsidRPr="009B7E75" w:rsidRDefault="003E439B" w:rsidP="009B7E75">
            <w:pPr>
              <w:jc w:val="cente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90</w:t>
            </w:r>
          </w:p>
        </w:tc>
        <w:tc>
          <w:tcPr>
            <w:tcW w:w="606" w:type="pct"/>
            <w:hideMark/>
          </w:tcPr>
          <w:p w:rsidR="003E439B" w:rsidRPr="009B7E75" w:rsidRDefault="003E439B" w:rsidP="009B7E75">
            <w:pPr>
              <w:jc w:val="cente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90</w:t>
            </w:r>
          </w:p>
        </w:tc>
        <w:tc>
          <w:tcPr>
            <w:tcW w:w="415" w:type="pct"/>
            <w:hideMark/>
          </w:tcPr>
          <w:p w:rsidR="003E439B" w:rsidRPr="009B7E75" w:rsidRDefault="003E439B" w:rsidP="009B7E75">
            <w:pPr>
              <w:jc w:val="cente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Hotel</w:t>
            </w:r>
          </w:p>
        </w:tc>
        <w:tc>
          <w:tcPr>
            <w:tcW w:w="915" w:type="pct"/>
            <w:hideMark/>
          </w:tcPr>
          <w:p w:rsidR="003E439B" w:rsidRPr="009B7E75" w:rsidRDefault="003E439B" w:rsidP="009B7E75">
            <w:pPr>
              <w:jc w:val="right"/>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$14,758,532.66</w:t>
            </w:r>
          </w:p>
        </w:tc>
      </w:tr>
      <w:tr w:rsidR="003E439B" w:rsidRPr="009B7E75" w:rsidTr="00276EB8">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12" w:type="pct"/>
            <w:hideMark/>
          </w:tcPr>
          <w:p w:rsidR="003E439B" w:rsidRPr="009B7E75" w:rsidRDefault="003E439B" w:rsidP="009B7E75">
            <w:pPr>
              <w:jc w:val="right"/>
              <w:rPr>
                <w:rFonts w:cs="Calibri"/>
                <w:b w:val="0"/>
                <w:szCs w:val="22"/>
                <w:lang w:eastAsia="en-AU"/>
              </w:rPr>
            </w:pPr>
            <w:r w:rsidRPr="009B7E75">
              <w:rPr>
                <w:rFonts w:cs="Calibri"/>
                <w:b w:val="0"/>
                <w:szCs w:val="22"/>
                <w:lang w:eastAsia="en-AU"/>
              </w:rPr>
              <w:t>10</w:t>
            </w:r>
          </w:p>
        </w:tc>
        <w:tc>
          <w:tcPr>
            <w:tcW w:w="943" w:type="pct"/>
            <w:hideMark/>
          </w:tcPr>
          <w:p w:rsidR="003E439B" w:rsidRPr="009B7E75" w:rsidRDefault="003E439B" w:rsidP="009B7E75">
            <w:pPr>
              <w:cnfStyle w:val="000000100000" w:firstRow="0" w:lastRow="0" w:firstColumn="0" w:lastColumn="0" w:oddVBand="0" w:evenVBand="0" w:oddHBand="1" w:evenHBand="0" w:firstRowFirstColumn="0" w:firstRowLastColumn="0" w:lastRowFirstColumn="0" w:lastRowLastColumn="0"/>
              <w:rPr>
                <w:rFonts w:cs="Calibri"/>
                <w:bCs/>
                <w:color w:val="000000"/>
                <w:szCs w:val="22"/>
                <w:lang w:eastAsia="en-AU"/>
              </w:rPr>
            </w:pPr>
            <w:r w:rsidRPr="009B7E75">
              <w:rPr>
                <w:rFonts w:cs="Calibri"/>
                <w:bCs/>
                <w:color w:val="000000"/>
                <w:szCs w:val="22"/>
                <w:lang w:eastAsia="en-AU"/>
              </w:rPr>
              <w:t>Players On Lygon</w:t>
            </w:r>
          </w:p>
        </w:tc>
        <w:tc>
          <w:tcPr>
            <w:tcW w:w="1101" w:type="pct"/>
            <w:hideMark/>
          </w:tcPr>
          <w:p w:rsidR="003E439B" w:rsidRPr="009B7E75" w:rsidRDefault="003E439B" w:rsidP="009B7E75">
            <w:pP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9B7E75">
              <w:rPr>
                <w:rFonts w:cs="Calibri"/>
                <w:color w:val="000000"/>
                <w:szCs w:val="22"/>
                <w:lang w:eastAsia="en-AU"/>
              </w:rPr>
              <w:t>186-200 Lygon Street</w:t>
            </w:r>
            <w:r>
              <w:rPr>
                <w:rFonts w:cs="Calibri"/>
                <w:color w:val="000000"/>
                <w:szCs w:val="22"/>
                <w:lang w:eastAsia="en-AU"/>
              </w:rPr>
              <w:t>, Carlton</w:t>
            </w:r>
          </w:p>
        </w:tc>
        <w:tc>
          <w:tcPr>
            <w:tcW w:w="708" w:type="pct"/>
            <w:hideMark/>
          </w:tcPr>
          <w:p w:rsidR="003E439B" w:rsidRPr="009B7E75" w:rsidRDefault="003E439B" w:rsidP="009B7E75">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9B7E75">
              <w:rPr>
                <w:rFonts w:cs="Calibri"/>
                <w:color w:val="000000"/>
                <w:szCs w:val="22"/>
                <w:lang w:eastAsia="en-AU"/>
              </w:rPr>
              <w:t>69</w:t>
            </w:r>
          </w:p>
        </w:tc>
        <w:tc>
          <w:tcPr>
            <w:tcW w:w="606" w:type="pct"/>
            <w:hideMark/>
          </w:tcPr>
          <w:p w:rsidR="003E439B" w:rsidRPr="009B7E75" w:rsidRDefault="003E439B" w:rsidP="009B7E75">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9B7E75">
              <w:rPr>
                <w:rFonts w:cs="Calibri"/>
                <w:color w:val="000000"/>
                <w:szCs w:val="22"/>
                <w:lang w:eastAsia="en-AU"/>
              </w:rPr>
              <w:t>75</w:t>
            </w:r>
          </w:p>
        </w:tc>
        <w:tc>
          <w:tcPr>
            <w:tcW w:w="415" w:type="pct"/>
            <w:hideMark/>
          </w:tcPr>
          <w:p w:rsidR="003E439B" w:rsidRPr="009B7E75" w:rsidRDefault="003E439B" w:rsidP="009B7E75">
            <w:pPr>
              <w:jc w:val="center"/>
              <w:cnfStyle w:val="000000100000" w:firstRow="0" w:lastRow="0" w:firstColumn="0" w:lastColumn="0" w:oddVBand="0" w:evenVBand="0" w:oddHBand="1" w:evenHBand="0" w:firstRowFirstColumn="0" w:firstRowLastColumn="0" w:lastRowFirstColumn="0" w:lastRowLastColumn="0"/>
              <w:rPr>
                <w:rFonts w:cs="Calibri"/>
                <w:szCs w:val="22"/>
                <w:lang w:eastAsia="en-AU"/>
              </w:rPr>
            </w:pPr>
            <w:r w:rsidRPr="009B7E75">
              <w:rPr>
                <w:rFonts w:cs="Calibri"/>
                <w:szCs w:val="22"/>
                <w:lang w:eastAsia="en-AU"/>
              </w:rPr>
              <w:t>Hotel</w:t>
            </w:r>
          </w:p>
        </w:tc>
        <w:tc>
          <w:tcPr>
            <w:tcW w:w="915" w:type="pct"/>
            <w:hideMark/>
          </w:tcPr>
          <w:p w:rsidR="003E439B" w:rsidRPr="009B7E75" w:rsidRDefault="003E439B" w:rsidP="009B7E75">
            <w:pPr>
              <w:jc w:val="right"/>
              <w:cnfStyle w:val="000000100000" w:firstRow="0" w:lastRow="0" w:firstColumn="0" w:lastColumn="0" w:oddVBand="0" w:evenVBand="0" w:oddHBand="1" w:evenHBand="0" w:firstRowFirstColumn="0" w:firstRowLastColumn="0" w:lastRowFirstColumn="0" w:lastRowLastColumn="0"/>
              <w:rPr>
                <w:rFonts w:cs="Calibri"/>
                <w:szCs w:val="22"/>
                <w:lang w:eastAsia="en-AU"/>
              </w:rPr>
            </w:pPr>
            <w:r w:rsidRPr="009B7E75">
              <w:rPr>
                <w:rFonts w:cs="Calibri"/>
                <w:szCs w:val="22"/>
                <w:lang w:eastAsia="en-AU"/>
              </w:rPr>
              <w:t>$7,268,007.36</w:t>
            </w:r>
          </w:p>
        </w:tc>
      </w:tr>
      <w:tr w:rsidR="003E439B" w:rsidRPr="009B7E75" w:rsidTr="00276EB8">
        <w:trPr>
          <w:trHeight w:val="285"/>
        </w:trPr>
        <w:tc>
          <w:tcPr>
            <w:cnfStyle w:val="001000000000" w:firstRow="0" w:lastRow="0" w:firstColumn="1" w:lastColumn="0" w:oddVBand="0" w:evenVBand="0" w:oddHBand="0" w:evenHBand="0" w:firstRowFirstColumn="0" w:firstRowLastColumn="0" w:lastRowFirstColumn="0" w:lastRowLastColumn="0"/>
            <w:tcW w:w="312" w:type="pct"/>
            <w:hideMark/>
          </w:tcPr>
          <w:p w:rsidR="003E439B" w:rsidRPr="009B7E75" w:rsidRDefault="003E439B" w:rsidP="009B7E75">
            <w:pPr>
              <w:jc w:val="right"/>
              <w:rPr>
                <w:rFonts w:cs="Calibri"/>
                <w:b w:val="0"/>
                <w:color w:val="000000"/>
                <w:szCs w:val="22"/>
                <w:lang w:eastAsia="en-AU"/>
              </w:rPr>
            </w:pPr>
            <w:r w:rsidRPr="009B7E75">
              <w:rPr>
                <w:rFonts w:cs="Calibri"/>
                <w:b w:val="0"/>
                <w:color w:val="000000"/>
                <w:szCs w:val="22"/>
                <w:lang w:eastAsia="en-AU"/>
              </w:rPr>
              <w:t>11</w:t>
            </w:r>
          </w:p>
        </w:tc>
        <w:tc>
          <w:tcPr>
            <w:tcW w:w="943" w:type="pct"/>
            <w:hideMark/>
          </w:tcPr>
          <w:p w:rsidR="003E439B" w:rsidRPr="009B7E75" w:rsidRDefault="00802F28" w:rsidP="009B7E75">
            <w:pPr>
              <w:cnfStyle w:val="000000000000" w:firstRow="0" w:lastRow="0" w:firstColumn="0" w:lastColumn="0" w:oddVBand="0" w:evenVBand="0" w:oddHBand="0" w:evenHBand="0" w:firstRowFirstColumn="0" w:firstRowLastColumn="0" w:lastRowFirstColumn="0" w:lastRowLastColumn="0"/>
              <w:rPr>
                <w:rFonts w:cs="Calibri"/>
                <w:bCs/>
                <w:color w:val="000000"/>
                <w:szCs w:val="22"/>
                <w:lang w:eastAsia="en-AU"/>
              </w:rPr>
            </w:pPr>
            <w:hyperlink r:id="rId41" w:history="1">
              <w:r w:rsidR="003E439B" w:rsidRPr="009B7E75">
                <w:rPr>
                  <w:rFonts w:cs="Calibri"/>
                  <w:bCs/>
                  <w:color w:val="000000"/>
                  <w:szCs w:val="22"/>
                  <w:lang w:eastAsia="en-AU"/>
                </w:rPr>
                <w:t>Shanghai Club</w:t>
              </w:r>
            </w:hyperlink>
          </w:p>
        </w:tc>
        <w:tc>
          <w:tcPr>
            <w:tcW w:w="1101" w:type="pct"/>
            <w:hideMark/>
          </w:tcPr>
          <w:p w:rsidR="003E439B" w:rsidRPr="009B7E75" w:rsidRDefault="003E439B" w:rsidP="009B7E75">
            <w:pP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242-244 Little Bourke Street</w:t>
            </w:r>
            <w:r>
              <w:rPr>
                <w:rFonts w:cs="Calibri"/>
                <w:bCs/>
                <w:szCs w:val="22"/>
                <w:lang w:eastAsia="en-AU"/>
              </w:rPr>
              <w:t>, Melbourne</w:t>
            </w:r>
          </w:p>
        </w:tc>
        <w:tc>
          <w:tcPr>
            <w:tcW w:w="708" w:type="pct"/>
            <w:hideMark/>
          </w:tcPr>
          <w:p w:rsidR="003E439B" w:rsidRPr="009B7E75" w:rsidRDefault="003E439B" w:rsidP="009B7E75">
            <w:pPr>
              <w:jc w:val="cente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48</w:t>
            </w:r>
          </w:p>
        </w:tc>
        <w:tc>
          <w:tcPr>
            <w:tcW w:w="606" w:type="pct"/>
            <w:hideMark/>
          </w:tcPr>
          <w:p w:rsidR="003E439B" w:rsidRPr="009B7E75" w:rsidRDefault="003E439B" w:rsidP="009B7E75">
            <w:pPr>
              <w:jc w:val="cente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48</w:t>
            </w:r>
          </w:p>
        </w:tc>
        <w:tc>
          <w:tcPr>
            <w:tcW w:w="415" w:type="pct"/>
            <w:hideMark/>
          </w:tcPr>
          <w:p w:rsidR="003E439B" w:rsidRPr="009B7E75" w:rsidRDefault="003E439B" w:rsidP="009B7E75">
            <w:pPr>
              <w:jc w:val="cente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Hotel</w:t>
            </w:r>
          </w:p>
        </w:tc>
        <w:tc>
          <w:tcPr>
            <w:tcW w:w="915" w:type="pct"/>
            <w:hideMark/>
          </w:tcPr>
          <w:p w:rsidR="003E439B" w:rsidRPr="009B7E75" w:rsidRDefault="003E439B" w:rsidP="009B7E75">
            <w:pPr>
              <w:jc w:val="right"/>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$3,561,416.52</w:t>
            </w:r>
          </w:p>
        </w:tc>
      </w:tr>
      <w:tr w:rsidR="003E439B" w:rsidRPr="009B7E75" w:rsidTr="00276EB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12" w:type="pct"/>
            <w:hideMark/>
          </w:tcPr>
          <w:p w:rsidR="003E439B" w:rsidRPr="009B7E75" w:rsidRDefault="003E439B" w:rsidP="009B7E75">
            <w:pPr>
              <w:jc w:val="right"/>
              <w:rPr>
                <w:rFonts w:cs="Calibri"/>
                <w:b w:val="0"/>
                <w:szCs w:val="22"/>
                <w:lang w:eastAsia="en-AU"/>
              </w:rPr>
            </w:pPr>
            <w:r w:rsidRPr="009B7E75">
              <w:rPr>
                <w:rFonts w:cs="Calibri"/>
                <w:b w:val="0"/>
                <w:szCs w:val="22"/>
                <w:lang w:eastAsia="en-AU"/>
              </w:rPr>
              <w:t>12</w:t>
            </w:r>
          </w:p>
        </w:tc>
        <w:tc>
          <w:tcPr>
            <w:tcW w:w="943" w:type="pct"/>
            <w:hideMark/>
          </w:tcPr>
          <w:p w:rsidR="003E439B" w:rsidRPr="009B7E75" w:rsidRDefault="00802F28" w:rsidP="009B7E75">
            <w:pPr>
              <w:cnfStyle w:val="000000100000" w:firstRow="0" w:lastRow="0" w:firstColumn="0" w:lastColumn="0" w:oddVBand="0" w:evenVBand="0" w:oddHBand="1" w:evenHBand="0" w:firstRowFirstColumn="0" w:firstRowLastColumn="0" w:lastRowFirstColumn="0" w:lastRowLastColumn="0"/>
              <w:rPr>
                <w:rFonts w:cs="Calibri"/>
                <w:bCs/>
                <w:color w:val="000000"/>
                <w:szCs w:val="22"/>
                <w:lang w:eastAsia="en-AU"/>
              </w:rPr>
            </w:pPr>
            <w:hyperlink r:id="rId42" w:history="1">
              <w:r w:rsidR="003E439B" w:rsidRPr="009B7E75">
                <w:rPr>
                  <w:rFonts w:cs="Calibri"/>
                  <w:bCs/>
                  <w:color w:val="000000"/>
                  <w:szCs w:val="22"/>
                  <w:lang w:eastAsia="en-AU"/>
                </w:rPr>
                <w:t>The Meeting Place</w:t>
              </w:r>
            </w:hyperlink>
          </w:p>
        </w:tc>
        <w:tc>
          <w:tcPr>
            <w:tcW w:w="1101" w:type="pct"/>
            <w:hideMark/>
          </w:tcPr>
          <w:p w:rsidR="003E439B" w:rsidRPr="009B7E75" w:rsidRDefault="003E439B" w:rsidP="009B7E75">
            <w:pP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315-321 Elizabeth Street</w:t>
            </w:r>
            <w:r>
              <w:rPr>
                <w:rFonts w:cs="Calibri"/>
                <w:bCs/>
                <w:szCs w:val="22"/>
                <w:lang w:eastAsia="en-AU"/>
              </w:rPr>
              <w:t>, Melbourne</w:t>
            </w:r>
          </w:p>
        </w:tc>
        <w:tc>
          <w:tcPr>
            <w:tcW w:w="708" w:type="pct"/>
            <w:hideMark/>
          </w:tcPr>
          <w:p w:rsidR="003E439B" w:rsidRPr="009B7E75" w:rsidRDefault="003E439B" w:rsidP="009B7E75">
            <w:pPr>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56</w:t>
            </w:r>
          </w:p>
        </w:tc>
        <w:tc>
          <w:tcPr>
            <w:tcW w:w="606" w:type="pct"/>
            <w:hideMark/>
          </w:tcPr>
          <w:p w:rsidR="003E439B" w:rsidRPr="009B7E75" w:rsidRDefault="003E439B" w:rsidP="009B7E75">
            <w:pPr>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76</w:t>
            </w:r>
          </w:p>
        </w:tc>
        <w:tc>
          <w:tcPr>
            <w:tcW w:w="415" w:type="pct"/>
            <w:hideMark/>
          </w:tcPr>
          <w:p w:rsidR="003E439B" w:rsidRPr="009B7E75" w:rsidRDefault="003E439B" w:rsidP="009B7E75">
            <w:pPr>
              <w:jc w:val="center"/>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Club</w:t>
            </w:r>
          </w:p>
        </w:tc>
        <w:tc>
          <w:tcPr>
            <w:tcW w:w="915" w:type="pct"/>
            <w:hideMark/>
          </w:tcPr>
          <w:p w:rsidR="003E439B" w:rsidRPr="009B7E75" w:rsidRDefault="003E439B" w:rsidP="009B7E75">
            <w:pPr>
              <w:jc w:val="right"/>
              <w:cnfStyle w:val="000000100000" w:firstRow="0" w:lastRow="0" w:firstColumn="0" w:lastColumn="0" w:oddVBand="0" w:evenVBand="0" w:oddHBand="1" w:evenHBand="0" w:firstRowFirstColumn="0" w:firstRowLastColumn="0" w:lastRowFirstColumn="0" w:lastRowLastColumn="0"/>
              <w:rPr>
                <w:rFonts w:cs="Calibri"/>
                <w:bCs/>
                <w:szCs w:val="22"/>
                <w:lang w:eastAsia="en-AU"/>
              </w:rPr>
            </w:pPr>
            <w:r w:rsidRPr="009B7E75">
              <w:rPr>
                <w:rFonts w:cs="Calibri"/>
                <w:bCs/>
                <w:szCs w:val="22"/>
                <w:lang w:eastAsia="en-AU"/>
              </w:rPr>
              <w:t>$6,220,926.43</w:t>
            </w:r>
          </w:p>
        </w:tc>
      </w:tr>
      <w:tr w:rsidR="003E439B" w:rsidRPr="009B7E75" w:rsidTr="00276EB8">
        <w:trPr>
          <w:trHeight w:val="360"/>
        </w:trPr>
        <w:tc>
          <w:tcPr>
            <w:cnfStyle w:val="001000000000" w:firstRow="0" w:lastRow="0" w:firstColumn="1" w:lastColumn="0" w:oddVBand="0" w:evenVBand="0" w:oddHBand="0" w:evenHBand="0" w:firstRowFirstColumn="0" w:firstRowLastColumn="0" w:lastRowFirstColumn="0" w:lastRowLastColumn="0"/>
            <w:tcW w:w="312" w:type="pct"/>
            <w:hideMark/>
          </w:tcPr>
          <w:p w:rsidR="003E439B" w:rsidRPr="009B7E75" w:rsidRDefault="003E439B" w:rsidP="009B7E75">
            <w:pPr>
              <w:jc w:val="right"/>
              <w:rPr>
                <w:rFonts w:cs="Calibri"/>
                <w:b w:val="0"/>
                <w:szCs w:val="22"/>
                <w:lang w:eastAsia="en-AU"/>
              </w:rPr>
            </w:pPr>
          </w:p>
        </w:tc>
        <w:tc>
          <w:tcPr>
            <w:tcW w:w="943" w:type="pct"/>
            <w:noWrap/>
            <w:hideMark/>
          </w:tcPr>
          <w:p w:rsidR="003E439B" w:rsidRPr="009B7E75" w:rsidRDefault="003E439B" w:rsidP="009B7E75">
            <w:pP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r w:rsidRPr="009B7E75">
              <w:rPr>
                <w:rFonts w:cs="Calibri"/>
                <w:bCs/>
                <w:szCs w:val="22"/>
                <w:lang w:eastAsia="en-AU"/>
              </w:rPr>
              <w:t>City of Melbourne</w:t>
            </w:r>
          </w:p>
        </w:tc>
        <w:tc>
          <w:tcPr>
            <w:tcW w:w="1101" w:type="pct"/>
            <w:hideMark/>
          </w:tcPr>
          <w:p w:rsidR="003E439B" w:rsidRPr="009B7E75" w:rsidRDefault="003E439B" w:rsidP="009B7E75">
            <w:pPr>
              <w:cnfStyle w:val="000000000000" w:firstRow="0" w:lastRow="0" w:firstColumn="0" w:lastColumn="0" w:oddVBand="0" w:evenVBand="0" w:oddHBand="0" w:evenHBand="0" w:firstRowFirstColumn="0" w:firstRowLastColumn="0" w:lastRowFirstColumn="0" w:lastRowLastColumn="0"/>
              <w:rPr>
                <w:rFonts w:cs="Calibri"/>
                <w:bCs/>
                <w:szCs w:val="22"/>
                <w:lang w:eastAsia="en-AU"/>
              </w:rPr>
            </w:pPr>
          </w:p>
        </w:tc>
        <w:tc>
          <w:tcPr>
            <w:tcW w:w="708" w:type="pct"/>
            <w:hideMark/>
          </w:tcPr>
          <w:p w:rsidR="003E439B" w:rsidRPr="009B7E75" w:rsidRDefault="003E439B" w:rsidP="009B7E75">
            <w:pPr>
              <w:jc w:val="center"/>
              <w:cnfStyle w:val="000000000000" w:firstRow="0" w:lastRow="0" w:firstColumn="0" w:lastColumn="0" w:oddVBand="0" w:evenVBand="0" w:oddHBand="0" w:evenHBand="0" w:firstRowFirstColumn="0" w:firstRowLastColumn="0" w:lastRowFirstColumn="0" w:lastRowLastColumn="0"/>
              <w:rPr>
                <w:rFonts w:cs="Calibri"/>
                <w:szCs w:val="22"/>
                <w:lang w:eastAsia="en-AU"/>
              </w:rPr>
            </w:pPr>
            <w:r w:rsidRPr="009B7E75">
              <w:rPr>
                <w:rFonts w:cs="Calibri"/>
                <w:szCs w:val="22"/>
                <w:lang w:eastAsia="en-AU"/>
              </w:rPr>
              <w:t>746</w:t>
            </w:r>
          </w:p>
        </w:tc>
        <w:tc>
          <w:tcPr>
            <w:tcW w:w="606" w:type="pct"/>
            <w:hideMark/>
          </w:tcPr>
          <w:p w:rsidR="003E439B" w:rsidRPr="009B7E75" w:rsidRDefault="003E439B" w:rsidP="009B7E75">
            <w:pPr>
              <w:jc w:val="center"/>
              <w:cnfStyle w:val="000000000000" w:firstRow="0" w:lastRow="0" w:firstColumn="0" w:lastColumn="0" w:oddVBand="0" w:evenVBand="0" w:oddHBand="0" w:evenHBand="0" w:firstRowFirstColumn="0" w:firstRowLastColumn="0" w:lastRowFirstColumn="0" w:lastRowLastColumn="0"/>
              <w:rPr>
                <w:rFonts w:cs="Calibri"/>
                <w:szCs w:val="22"/>
                <w:lang w:eastAsia="en-AU"/>
              </w:rPr>
            </w:pPr>
            <w:r w:rsidRPr="009B7E75">
              <w:rPr>
                <w:rFonts w:cs="Calibri"/>
                <w:szCs w:val="22"/>
                <w:lang w:eastAsia="en-AU"/>
              </w:rPr>
              <w:t>779</w:t>
            </w:r>
          </w:p>
        </w:tc>
        <w:tc>
          <w:tcPr>
            <w:tcW w:w="415" w:type="pct"/>
            <w:hideMark/>
          </w:tcPr>
          <w:p w:rsidR="003E439B" w:rsidRPr="009B7E75" w:rsidRDefault="003E439B" w:rsidP="009B7E75">
            <w:pPr>
              <w:jc w:val="center"/>
              <w:cnfStyle w:val="000000000000" w:firstRow="0" w:lastRow="0" w:firstColumn="0" w:lastColumn="0" w:oddVBand="0" w:evenVBand="0" w:oddHBand="0" w:evenHBand="0" w:firstRowFirstColumn="0" w:firstRowLastColumn="0" w:lastRowFirstColumn="0" w:lastRowLastColumn="0"/>
              <w:rPr>
                <w:rFonts w:cs="Calibri"/>
                <w:szCs w:val="22"/>
                <w:lang w:eastAsia="en-AU"/>
              </w:rPr>
            </w:pPr>
          </w:p>
        </w:tc>
        <w:tc>
          <w:tcPr>
            <w:tcW w:w="915" w:type="pct"/>
            <w:hideMark/>
          </w:tcPr>
          <w:p w:rsidR="003E439B" w:rsidRPr="009B7E75" w:rsidRDefault="003E439B" w:rsidP="009B7E75">
            <w:pPr>
              <w:jc w:val="right"/>
              <w:cnfStyle w:val="000000000000" w:firstRow="0" w:lastRow="0" w:firstColumn="0" w:lastColumn="0" w:oddVBand="0" w:evenVBand="0" w:oddHBand="0" w:evenHBand="0" w:firstRowFirstColumn="0" w:firstRowLastColumn="0" w:lastRowFirstColumn="0" w:lastRowLastColumn="0"/>
              <w:rPr>
                <w:rFonts w:cs="Calibri"/>
                <w:szCs w:val="22"/>
                <w:lang w:eastAsia="en-AU"/>
              </w:rPr>
            </w:pPr>
            <w:r w:rsidRPr="009B7E75">
              <w:rPr>
                <w:rFonts w:cs="Calibri"/>
                <w:szCs w:val="22"/>
                <w:lang w:eastAsia="en-AU"/>
              </w:rPr>
              <w:t>$79,770,052.63</w:t>
            </w:r>
          </w:p>
        </w:tc>
      </w:tr>
    </w:tbl>
    <w:p w:rsidR="003E439B" w:rsidRDefault="003E439B" w:rsidP="003E439B">
      <w:pPr>
        <w:rPr>
          <w:rFonts w:eastAsiaTheme="majorEastAsia"/>
        </w:rPr>
      </w:pPr>
      <w:r>
        <w:rPr>
          <w:rFonts w:eastAsiaTheme="majorEastAsia"/>
        </w:rPr>
        <w:t>Source: VCGLR</w:t>
      </w:r>
    </w:p>
    <w:p w:rsidR="00706330" w:rsidRPr="0099464A" w:rsidRDefault="00706330" w:rsidP="00706330">
      <w:pPr>
        <w:pStyle w:val="Heading3"/>
        <w:spacing w:before="40" w:after="0" w:line="259" w:lineRule="auto"/>
        <w:rPr>
          <w:rFonts w:asciiTheme="minorHAnsi" w:hAnsiTheme="minorHAnsi" w:cstheme="minorHAnsi"/>
        </w:rPr>
      </w:pPr>
      <w:r w:rsidRPr="0099464A">
        <w:rPr>
          <w:rFonts w:asciiTheme="minorHAnsi" w:hAnsiTheme="minorHAnsi" w:cstheme="minorHAnsi"/>
        </w:rPr>
        <w:t xml:space="preserve">City of Melbourne relative </w:t>
      </w:r>
      <w:r w:rsidR="003E439B">
        <w:rPr>
          <w:rFonts w:asciiTheme="minorHAnsi" w:hAnsiTheme="minorHAnsi" w:cstheme="minorHAnsi"/>
        </w:rPr>
        <w:t>to adjoining municipalities and metropolitan Melbourne</w:t>
      </w:r>
    </w:p>
    <w:p w:rsidR="00DB5C06" w:rsidRDefault="00DB5C06" w:rsidP="00DB5C06">
      <w:pPr>
        <w:pStyle w:val="Heading4"/>
      </w:pPr>
      <w:r>
        <w:t>Financial year 2015</w:t>
      </w:r>
      <w:r w:rsidR="00083A1E">
        <w:t>-</w:t>
      </w:r>
      <w:r>
        <w:t>16</w:t>
      </w:r>
    </w:p>
    <w:p w:rsidR="00706330" w:rsidRPr="0099464A" w:rsidRDefault="00C019B5" w:rsidP="00706330">
      <w:pPr>
        <w:rPr>
          <w:rFonts w:cstheme="minorHAnsi"/>
        </w:rPr>
      </w:pPr>
      <w:bookmarkStart w:id="31" w:name="_Hlk489968415"/>
      <w:bookmarkStart w:id="32" w:name="_Hlk490056617"/>
      <w:r>
        <w:rPr>
          <w:rFonts w:cstheme="minorHAnsi"/>
        </w:rPr>
        <w:t>In the</w:t>
      </w:r>
      <w:r w:rsidR="00083A1E">
        <w:rPr>
          <w:rFonts w:cstheme="minorHAnsi"/>
        </w:rPr>
        <w:t xml:space="preserve"> Financial Year 2015-</w:t>
      </w:r>
      <w:r w:rsidR="00706330" w:rsidRPr="0099464A">
        <w:rPr>
          <w:rFonts w:cstheme="minorHAnsi"/>
        </w:rPr>
        <w:t>16</w:t>
      </w:r>
      <w:r>
        <w:rPr>
          <w:rFonts w:cstheme="minorHAnsi"/>
        </w:rPr>
        <w:t>, compared with the adjoining municipalities, metropolitan Melbourne and Victoria,</w:t>
      </w:r>
      <w:r w:rsidR="00706330" w:rsidRPr="0099464A">
        <w:rPr>
          <w:rFonts w:cstheme="minorHAnsi"/>
        </w:rPr>
        <w:t xml:space="preserve"> the City of Melbourne had</w:t>
      </w:r>
      <w:r>
        <w:rPr>
          <w:rFonts w:cstheme="minorHAnsi"/>
        </w:rPr>
        <w:t xml:space="preserve"> (refer to Appendix 2 and Figure </w:t>
      </w:r>
      <w:r w:rsidR="0031578B">
        <w:rPr>
          <w:rFonts w:cstheme="minorHAnsi"/>
        </w:rPr>
        <w:t>7</w:t>
      </w:r>
      <w:r>
        <w:rPr>
          <w:rFonts w:cstheme="minorHAnsi"/>
        </w:rPr>
        <w:t>)</w:t>
      </w:r>
      <w:r w:rsidR="00706330" w:rsidRPr="0099464A">
        <w:rPr>
          <w:rFonts w:cstheme="minorHAnsi"/>
        </w:rPr>
        <w:t>:</w:t>
      </w:r>
    </w:p>
    <w:p w:rsidR="00706330" w:rsidRPr="0099464A" w:rsidRDefault="00706330" w:rsidP="007D1909">
      <w:pPr>
        <w:pStyle w:val="ListParagraph"/>
        <w:numPr>
          <w:ilvl w:val="0"/>
          <w:numId w:val="20"/>
        </w:numPr>
        <w:spacing w:after="120"/>
        <w:ind w:left="714" w:hanging="357"/>
        <w:contextualSpacing w:val="0"/>
        <w:rPr>
          <w:rFonts w:cstheme="minorHAnsi"/>
          <w:szCs w:val="22"/>
        </w:rPr>
      </w:pPr>
      <w:r w:rsidRPr="0099464A">
        <w:rPr>
          <w:rFonts w:cstheme="minorHAnsi"/>
          <w:szCs w:val="22"/>
        </w:rPr>
        <w:t>the most EGMs</w:t>
      </w:r>
      <w:r w:rsidR="00AA4757">
        <w:rPr>
          <w:rFonts w:cstheme="minorHAnsi"/>
          <w:szCs w:val="22"/>
        </w:rPr>
        <w:t xml:space="preserve"> and largest average venue size</w:t>
      </w:r>
    </w:p>
    <w:p w:rsidR="00706330" w:rsidRPr="0099464A" w:rsidRDefault="00706330" w:rsidP="007D1909">
      <w:pPr>
        <w:pStyle w:val="ListParagraph"/>
        <w:numPr>
          <w:ilvl w:val="0"/>
          <w:numId w:val="20"/>
        </w:numPr>
        <w:spacing w:after="120"/>
        <w:ind w:left="714" w:hanging="357"/>
        <w:contextualSpacing w:val="0"/>
        <w:rPr>
          <w:rFonts w:cstheme="minorHAnsi"/>
          <w:szCs w:val="22"/>
        </w:rPr>
      </w:pPr>
      <w:r w:rsidRPr="0099464A">
        <w:rPr>
          <w:rFonts w:cstheme="minorHAnsi"/>
          <w:szCs w:val="22"/>
        </w:rPr>
        <w:t xml:space="preserve">the highest overall </w:t>
      </w:r>
      <w:r w:rsidR="00301F3F">
        <w:rPr>
          <w:rFonts w:cstheme="minorHAnsi"/>
          <w:szCs w:val="22"/>
        </w:rPr>
        <w:t xml:space="preserve">EGM </w:t>
      </w:r>
      <w:r w:rsidRPr="0099464A">
        <w:rPr>
          <w:rFonts w:cstheme="minorHAnsi"/>
          <w:szCs w:val="22"/>
        </w:rPr>
        <w:t xml:space="preserve">expenditure and </w:t>
      </w:r>
      <w:r w:rsidR="00301F3F">
        <w:rPr>
          <w:rFonts w:cstheme="minorHAnsi"/>
          <w:szCs w:val="22"/>
        </w:rPr>
        <w:t xml:space="preserve">EGM </w:t>
      </w:r>
      <w:r w:rsidR="00AA4757">
        <w:rPr>
          <w:rFonts w:cstheme="minorHAnsi"/>
          <w:szCs w:val="22"/>
        </w:rPr>
        <w:t>expenditure per venue</w:t>
      </w:r>
    </w:p>
    <w:bookmarkEnd w:id="31"/>
    <w:p w:rsidR="00706330" w:rsidRPr="0099464A" w:rsidRDefault="00706330" w:rsidP="007D1909">
      <w:pPr>
        <w:pStyle w:val="ListParagraph"/>
        <w:numPr>
          <w:ilvl w:val="0"/>
          <w:numId w:val="20"/>
        </w:numPr>
        <w:spacing w:after="120"/>
        <w:ind w:left="714" w:hanging="357"/>
        <w:contextualSpacing w:val="0"/>
        <w:rPr>
          <w:rFonts w:cstheme="minorHAnsi"/>
          <w:szCs w:val="22"/>
        </w:rPr>
      </w:pPr>
      <w:r w:rsidRPr="0099464A">
        <w:rPr>
          <w:rFonts w:cstheme="minorHAnsi"/>
          <w:szCs w:val="22"/>
        </w:rPr>
        <w:t xml:space="preserve">equal second </w:t>
      </w:r>
      <w:r w:rsidR="00AA4757">
        <w:rPr>
          <w:rFonts w:cstheme="minorHAnsi"/>
          <w:szCs w:val="22"/>
        </w:rPr>
        <w:t>highest number of gaming venues</w:t>
      </w:r>
    </w:p>
    <w:p w:rsidR="00706330" w:rsidRPr="0099464A" w:rsidRDefault="00706330" w:rsidP="007D1909">
      <w:pPr>
        <w:pStyle w:val="ListParagraph"/>
        <w:numPr>
          <w:ilvl w:val="0"/>
          <w:numId w:val="20"/>
        </w:numPr>
        <w:spacing w:after="120"/>
        <w:ind w:left="714" w:hanging="357"/>
        <w:contextualSpacing w:val="0"/>
        <w:rPr>
          <w:rFonts w:cstheme="minorHAnsi"/>
          <w:szCs w:val="22"/>
        </w:rPr>
      </w:pPr>
      <w:r w:rsidRPr="0099464A">
        <w:rPr>
          <w:rFonts w:cstheme="minorHAnsi"/>
          <w:szCs w:val="22"/>
        </w:rPr>
        <w:t xml:space="preserve">the third highest number of adults per venue, expenditure per EGM and </w:t>
      </w:r>
      <w:r w:rsidR="00301F3F">
        <w:rPr>
          <w:rFonts w:cstheme="minorHAnsi"/>
          <w:szCs w:val="22"/>
        </w:rPr>
        <w:t xml:space="preserve">EGM </w:t>
      </w:r>
      <w:r w:rsidRPr="0099464A">
        <w:rPr>
          <w:rFonts w:cstheme="minorHAnsi"/>
          <w:szCs w:val="22"/>
        </w:rPr>
        <w:t>expenditure per</w:t>
      </w:r>
      <w:r w:rsidR="00AA4757">
        <w:rPr>
          <w:rFonts w:cstheme="minorHAnsi"/>
          <w:szCs w:val="22"/>
        </w:rPr>
        <w:t xml:space="preserve"> adult</w:t>
      </w:r>
    </w:p>
    <w:p w:rsidR="00706330" w:rsidRDefault="00706330" w:rsidP="007D1909">
      <w:pPr>
        <w:pStyle w:val="ListParagraph"/>
        <w:numPr>
          <w:ilvl w:val="0"/>
          <w:numId w:val="20"/>
        </w:numPr>
        <w:spacing w:after="120"/>
        <w:ind w:left="714" w:hanging="357"/>
        <w:contextualSpacing w:val="0"/>
        <w:rPr>
          <w:rFonts w:cstheme="minorHAnsi"/>
          <w:szCs w:val="22"/>
        </w:rPr>
      </w:pPr>
      <w:r w:rsidRPr="0099464A">
        <w:rPr>
          <w:rFonts w:cstheme="minorHAnsi"/>
          <w:szCs w:val="22"/>
        </w:rPr>
        <w:t>the fourth highest density of EGMs per 1,000 adults (based on the number of residents in the City of Melbourne).</w:t>
      </w:r>
    </w:p>
    <w:bookmarkEnd w:id="32"/>
    <w:p w:rsidR="00FC24CD" w:rsidRDefault="00FC24CD" w:rsidP="00FC24CD">
      <w:pPr>
        <w:pStyle w:val="Caption"/>
        <w:rPr>
          <w:rFonts w:cstheme="minorHAnsi"/>
          <w:szCs w:val="22"/>
        </w:rPr>
      </w:pPr>
      <w:r>
        <w:t xml:space="preserve">Figure </w:t>
      </w:r>
      <w:r w:rsidR="0031578B">
        <w:t>7</w:t>
      </w:r>
      <w:r>
        <w:t xml:space="preserve"> – Key gaming indicators 2015-16, City of Melbourne compared with adjoining municipalities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gridCol w:w="1600"/>
      </w:tblGrid>
      <w:tr w:rsidR="00353AB5" w:rsidTr="00FC24CD">
        <w:trPr>
          <w:trHeight w:val="5346"/>
        </w:trPr>
        <w:tc>
          <w:tcPr>
            <w:tcW w:w="7416" w:type="dxa"/>
            <w:shd w:val="clear" w:color="auto" w:fill="auto"/>
          </w:tcPr>
          <w:p w:rsidR="00353AB5" w:rsidRDefault="00353AB5" w:rsidP="00353AB5">
            <w:pPr>
              <w:rPr>
                <w:rFonts w:cstheme="minorHAnsi"/>
                <w:szCs w:val="22"/>
              </w:rPr>
            </w:pPr>
            <w:r>
              <w:rPr>
                <w:noProof/>
                <w:lang w:eastAsia="en-AU"/>
              </w:rPr>
              <w:drawing>
                <wp:inline distT="0" distB="0" distL="0" distR="0" wp14:anchorId="666DA0B4" wp14:editId="7742205C">
                  <wp:extent cx="4572000" cy="3474246"/>
                  <wp:effectExtent l="0" t="0" r="0" b="12065"/>
                  <wp:docPr id="16" name="Chart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CE9228A-6F22-4C3C-BD5C-A7328C1B039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6" name="Chart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CCE9228A-6F22-4C3C-BD5C-A7328C1B039D}"/>
                              </a:ext>
                            </a:extLst>
                          </pic:cNvPr>
                          <pic:cNvPicPr>
                            <a:picLocks noGrp="1" noRot="1" noChangeAspect="1" noMove="1" noResize="1" noEditPoints="1" noAdjustHandles="1" noChangeArrowheads="1" noChangeShapeType="1"/>
                          </pic:cNvPicPr>
                        </pic:nvPicPr>
                        <pic:blipFill>
                          <a:blip r:embed="rId43"/>
                          <a:stretch>
                            <a:fillRect/>
                          </a:stretch>
                        </pic:blipFill>
                        <pic:spPr>
                          <a:xfrm>
                            <a:off x="0" y="0"/>
                            <a:ext cx="4572000" cy="3474085"/>
                          </a:xfrm>
                          <a:prstGeom prst="rect">
                            <a:avLst/>
                          </a:prstGeom>
                        </pic:spPr>
                      </pic:pic>
                    </a:graphicData>
                  </a:graphic>
                </wp:inline>
              </w:drawing>
            </w:r>
          </w:p>
        </w:tc>
        <w:tc>
          <w:tcPr>
            <w:tcW w:w="1600" w:type="dxa"/>
            <w:vAlign w:val="center"/>
          </w:tcPr>
          <w:p w:rsidR="00353AB5" w:rsidRPr="00FC24CD" w:rsidRDefault="00FC24CD" w:rsidP="00353AB5">
            <w:pPr>
              <w:rPr>
                <w:rFonts w:cstheme="minorHAnsi"/>
                <w:b/>
                <w:szCs w:val="22"/>
              </w:rPr>
            </w:pPr>
            <w:r w:rsidRPr="00FC24CD">
              <w:rPr>
                <w:rFonts w:cstheme="minorHAnsi"/>
                <w:b/>
                <w:szCs w:val="22"/>
              </w:rPr>
              <w:t>Total EGM expenditure</w:t>
            </w:r>
          </w:p>
        </w:tc>
      </w:tr>
      <w:tr w:rsidR="00353AB5" w:rsidTr="00FC24CD">
        <w:tc>
          <w:tcPr>
            <w:tcW w:w="7416" w:type="dxa"/>
          </w:tcPr>
          <w:p w:rsidR="00353AB5" w:rsidRDefault="00FC24CD" w:rsidP="00353AB5">
            <w:pPr>
              <w:rPr>
                <w:rFonts w:cstheme="minorHAnsi"/>
                <w:szCs w:val="22"/>
              </w:rPr>
            </w:pPr>
            <w:r>
              <w:rPr>
                <w:noProof/>
                <w:lang w:eastAsia="en-AU"/>
              </w:rPr>
              <w:drawing>
                <wp:inline distT="0" distB="0" distL="0" distR="0" wp14:anchorId="1FE64F85" wp14:editId="5FC66339">
                  <wp:extent cx="4572000" cy="2743200"/>
                  <wp:effectExtent l="0" t="0" r="0" b="0"/>
                  <wp:docPr id="25" name="Chart 2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F15940C-AE92-414B-B828-10AF70A5E73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5" name="Chart 2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F15940C-AE92-414B-B828-10AF70A5E73C}"/>
                              </a:ext>
                            </a:extLst>
                          </pic:cNvPr>
                          <pic:cNvPicPr>
                            <a:picLocks noGrp="1" noRot="1" noChangeAspect="1" noMove="1" noResize="1" noEditPoints="1" noAdjustHandles="1" noChangeArrowheads="1" noChangeShapeType="1"/>
                          </pic:cNvPicPr>
                        </pic:nvPicPr>
                        <pic:blipFill>
                          <a:blip r:embed="rId44"/>
                          <a:stretch>
                            <a:fillRect/>
                          </a:stretch>
                        </pic:blipFill>
                        <pic:spPr>
                          <a:xfrm>
                            <a:off x="0" y="0"/>
                            <a:ext cx="4572000" cy="2743200"/>
                          </a:xfrm>
                          <a:prstGeom prst="rect">
                            <a:avLst/>
                          </a:prstGeom>
                        </pic:spPr>
                      </pic:pic>
                    </a:graphicData>
                  </a:graphic>
                </wp:inline>
              </w:drawing>
            </w:r>
          </w:p>
        </w:tc>
        <w:tc>
          <w:tcPr>
            <w:tcW w:w="1600" w:type="dxa"/>
            <w:vAlign w:val="center"/>
          </w:tcPr>
          <w:p w:rsidR="00353AB5" w:rsidRPr="00FC24CD" w:rsidRDefault="00FC24CD" w:rsidP="00353AB5">
            <w:pPr>
              <w:rPr>
                <w:rFonts w:cstheme="minorHAnsi"/>
                <w:b/>
                <w:szCs w:val="22"/>
              </w:rPr>
            </w:pPr>
            <w:r w:rsidRPr="00FC24CD">
              <w:rPr>
                <w:rFonts w:cstheme="minorHAnsi"/>
                <w:b/>
                <w:szCs w:val="22"/>
              </w:rPr>
              <w:t>Expenditure per adult</w:t>
            </w:r>
          </w:p>
        </w:tc>
      </w:tr>
      <w:tr w:rsidR="00353AB5" w:rsidTr="00FC24CD">
        <w:tc>
          <w:tcPr>
            <w:tcW w:w="7416" w:type="dxa"/>
          </w:tcPr>
          <w:p w:rsidR="00353AB5" w:rsidRDefault="00FC24CD" w:rsidP="00353AB5">
            <w:pPr>
              <w:rPr>
                <w:rFonts w:cstheme="minorHAnsi"/>
                <w:szCs w:val="22"/>
              </w:rPr>
            </w:pPr>
            <w:r>
              <w:rPr>
                <w:noProof/>
                <w:lang w:eastAsia="en-AU"/>
              </w:rPr>
              <w:drawing>
                <wp:inline distT="0" distB="0" distL="0" distR="0" wp14:anchorId="529A06D9" wp14:editId="4DE5A545">
                  <wp:extent cx="4572000" cy="2743200"/>
                  <wp:effectExtent l="0" t="0" r="0" b="0"/>
                  <wp:docPr id="24" name="Chart 2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DDF6003-D0EB-4CA5-A0E6-DD128305419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4" name="Chart 2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8DDF6003-D0EB-4CA5-A0E6-DD1283054192}"/>
                              </a:ext>
                            </a:extLst>
                          </pic:cNvPr>
                          <pic:cNvPicPr>
                            <a:picLocks noGrp="1" noRot="1" noChangeAspect="1" noMove="1" noResize="1" noEditPoints="1" noAdjustHandles="1" noChangeArrowheads="1" noChangeShapeType="1"/>
                          </pic:cNvPicPr>
                        </pic:nvPicPr>
                        <pic:blipFill>
                          <a:blip r:embed="rId45"/>
                          <a:stretch>
                            <a:fillRect/>
                          </a:stretch>
                        </pic:blipFill>
                        <pic:spPr>
                          <a:xfrm>
                            <a:off x="0" y="0"/>
                            <a:ext cx="4572000" cy="2743200"/>
                          </a:xfrm>
                          <a:prstGeom prst="rect">
                            <a:avLst/>
                          </a:prstGeom>
                        </pic:spPr>
                      </pic:pic>
                    </a:graphicData>
                  </a:graphic>
                </wp:inline>
              </w:drawing>
            </w:r>
          </w:p>
        </w:tc>
        <w:tc>
          <w:tcPr>
            <w:tcW w:w="1600" w:type="dxa"/>
            <w:vAlign w:val="center"/>
          </w:tcPr>
          <w:p w:rsidR="00353AB5" w:rsidRPr="00FC24CD" w:rsidRDefault="00FC24CD" w:rsidP="00353AB5">
            <w:pPr>
              <w:rPr>
                <w:rFonts w:cstheme="minorHAnsi"/>
                <w:b/>
                <w:szCs w:val="22"/>
              </w:rPr>
            </w:pPr>
            <w:r w:rsidRPr="00FC24CD">
              <w:rPr>
                <w:rFonts w:cstheme="minorHAnsi"/>
                <w:b/>
                <w:szCs w:val="22"/>
              </w:rPr>
              <w:t>EGM density per 1,000 adults</w:t>
            </w:r>
          </w:p>
        </w:tc>
      </w:tr>
    </w:tbl>
    <w:p w:rsidR="00353AB5" w:rsidRDefault="00FC24CD" w:rsidP="00353AB5">
      <w:pPr>
        <w:rPr>
          <w:rFonts w:cstheme="minorHAnsi"/>
          <w:szCs w:val="22"/>
        </w:rPr>
      </w:pPr>
      <w:r>
        <w:rPr>
          <w:rFonts w:cstheme="minorHAnsi"/>
          <w:szCs w:val="22"/>
        </w:rPr>
        <w:t>Source: VCGLR</w:t>
      </w:r>
    </w:p>
    <w:p w:rsidR="00E813E9" w:rsidRDefault="00E813E9" w:rsidP="00E813E9">
      <w:pPr>
        <w:pStyle w:val="Heading4"/>
        <w:rPr>
          <w:rFonts w:asciiTheme="minorHAnsi" w:hAnsiTheme="minorHAnsi" w:cstheme="minorHAnsi"/>
        </w:rPr>
      </w:pPr>
      <w:r w:rsidRPr="0099464A">
        <w:rPr>
          <w:rFonts w:asciiTheme="minorHAnsi" w:hAnsiTheme="minorHAnsi" w:cstheme="minorHAnsi"/>
        </w:rPr>
        <w:t xml:space="preserve">Change </w:t>
      </w:r>
      <w:r w:rsidR="00083A1E">
        <w:rPr>
          <w:rFonts w:asciiTheme="minorHAnsi" w:hAnsiTheme="minorHAnsi" w:cstheme="minorHAnsi"/>
        </w:rPr>
        <w:t>between Financial Years 2011-12 and 2015-</w:t>
      </w:r>
      <w:r w:rsidR="00DB5C06">
        <w:rPr>
          <w:rFonts w:asciiTheme="minorHAnsi" w:hAnsiTheme="minorHAnsi" w:cstheme="minorHAnsi"/>
        </w:rPr>
        <w:t>16</w:t>
      </w:r>
    </w:p>
    <w:p w:rsidR="00116E19" w:rsidRDefault="00083A1E" w:rsidP="00DB5C06">
      <w:r>
        <w:t>Between 2011-</w:t>
      </w:r>
      <w:r w:rsidR="00116E19">
        <w:t>12 and 2015</w:t>
      </w:r>
      <w:r>
        <w:t>-</w:t>
      </w:r>
      <w:r w:rsidR="00116E19">
        <w:t xml:space="preserve">16 total EGM expenditure in the City of Melbourne increased (refer to Table </w:t>
      </w:r>
      <w:r w:rsidR="00FE262B">
        <w:t>2</w:t>
      </w:r>
      <w:r w:rsidR="00116E19">
        <w:t xml:space="preserve">). This is even though the municipality experienced a reduction in the density of EGMs per 1,000 adults and total EGM expenditure decreased across metropolitan municipalities and all adjoining municipalities </w:t>
      </w:r>
      <w:r w:rsidR="00301F3F">
        <w:t>except for</w:t>
      </w:r>
      <w:r w:rsidR="00116E19">
        <w:t xml:space="preserve"> the City of Yarra</w:t>
      </w:r>
      <w:r w:rsidR="0033013A">
        <w:t>.</w:t>
      </w:r>
    </w:p>
    <w:p w:rsidR="00212177" w:rsidRDefault="00212177" w:rsidP="00DB5C06">
      <w:r>
        <w:t xml:space="preserve">The reduction in density of EGMs in the City of Melbourne </w:t>
      </w:r>
      <w:r w:rsidR="00116E19">
        <w:t xml:space="preserve">and increase in expenditure are </w:t>
      </w:r>
      <w:r>
        <w:t xml:space="preserve">likely to be as a result of the </w:t>
      </w:r>
      <w:r w:rsidR="002E455D">
        <w:t xml:space="preserve">significant </w:t>
      </w:r>
      <w:r>
        <w:t xml:space="preserve">growth in </w:t>
      </w:r>
      <w:r w:rsidR="002E455D">
        <w:t xml:space="preserve">the adult </w:t>
      </w:r>
      <w:r>
        <w:t>population</w:t>
      </w:r>
      <w:r w:rsidR="00116E19">
        <w:t xml:space="preserve"> in this period (refer to Table </w:t>
      </w:r>
      <w:r w:rsidR="0033013A">
        <w:t>2</w:t>
      </w:r>
      <w:r w:rsidR="00116E19">
        <w:t>)</w:t>
      </w:r>
      <w:r w:rsidR="002E455D">
        <w:t>.</w:t>
      </w:r>
      <w:r>
        <w:t xml:space="preserve"> </w:t>
      </w:r>
    </w:p>
    <w:p w:rsidR="00592DC4" w:rsidRDefault="00592DC4">
      <w:pPr>
        <w:spacing w:line="276" w:lineRule="auto"/>
        <w:ind w:left="720"/>
        <w:rPr>
          <w:rFonts w:cs="Arial"/>
          <w:b/>
          <w:bCs/>
          <w:color w:val="1F497D" w:themeColor="text2"/>
          <w:szCs w:val="18"/>
        </w:rPr>
      </w:pPr>
      <w:r>
        <w:br w:type="page"/>
      </w:r>
    </w:p>
    <w:p w:rsidR="00083A1E" w:rsidRDefault="00083A1E" w:rsidP="00083A1E">
      <w:pPr>
        <w:pStyle w:val="Caption"/>
      </w:pPr>
      <w:bookmarkStart w:id="33" w:name="_Toc494206920"/>
      <w:bookmarkStart w:id="34" w:name="_Toc494287819"/>
      <w:r w:rsidRPr="00083A1E">
        <w:t xml:space="preserve">Table </w:t>
      </w:r>
      <w:r w:rsidR="00802F28">
        <w:fldChar w:fldCharType="begin"/>
      </w:r>
      <w:r w:rsidR="00802F28">
        <w:instrText xml:space="preserve"> SEQ Table \* ARABIC </w:instrText>
      </w:r>
      <w:r w:rsidR="00802F28">
        <w:fldChar w:fldCharType="separate"/>
      </w:r>
      <w:r w:rsidRPr="00083A1E">
        <w:rPr>
          <w:noProof/>
        </w:rPr>
        <w:t>2</w:t>
      </w:r>
      <w:r w:rsidR="00802F28">
        <w:rPr>
          <w:noProof/>
        </w:rPr>
        <w:fldChar w:fldCharType="end"/>
      </w:r>
      <w:r w:rsidRPr="00083A1E">
        <w:t xml:space="preserve"> – Change in EGM expenditure, EGM expenditure per adult and density of EGMs per 1,000 adults 2011-12 to 2015-16</w:t>
      </w:r>
      <w:bookmarkEnd w:id="33"/>
      <w:bookmarkEnd w:id="34"/>
    </w:p>
    <w:tbl>
      <w:tblPr>
        <w:tblStyle w:val="ListTable3"/>
        <w:tblW w:w="5000" w:type="pct"/>
        <w:tblLayout w:type="fixed"/>
        <w:tblLook w:val="04A0" w:firstRow="1" w:lastRow="0" w:firstColumn="1" w:lastColumn="0" w:noHBand="0" w:noVBand="1"/>
      </w:tblPr>
      <w:tblGrid>
        <w:gridCol w:w="2172"/>
        <w:gridCol w:w="1767"/>
        <w:gridCol w:w="1769"/>
        <w:gridCol w:w="1767"/>
        <w:gridCol w:w="1767"/>
      </w:tblGrid>
      <w:tr w:rsidR="00212177" w:rsidRPr="00DB5C06" w:rsidTr="002E455D">
        <w:trPr>
          <w:cnfStyle w:val="100000000000" w:firstRow="1" w:lastRow="0" w:firstColumn="0" w:lastColumn="0" w:oddVBand="0" w:evenVBand="0" w:oddHBand="0" w:evenHBand="0" w:firstRowFirstColumn="0" w:firstRowLastColumn="0" w:lastRowFirstColumn="0" w:lastRowLastColumn="0"/>
          <w:trHeight w:val="285"/>
        </w:trPr>
        <w:tc>
          <w:tcPr>
            <w:cnfStyle w:val="001000000100" w:firstRow="0" w:lastRow="0" w:firstColumn="1" w:lastColumn="0" w:oddVBand="0" w:evenVBand="0" w:oddHBand="0" w:evenHBand="0" w:firstRowFirstColumn="1" w:firstRowLastColumn="0" w:lastRowFirstColumn="0" w:lastRowLastColumn="0"/>
            <w:tcW w:w="1175" w:type="pct"/>
            <w:noWrap/>
            <w:vAlign w:val="center"/>
            <w:hideMark/>
          </w:tcPr>
          <w:p w:rsidR="00212177" w:rsidRPr="00DB5C06" w:rsidRDefault="00212177" w:rsidP="00DB5C06">
            <w:pPr>
              <w:rPr>
                <w:rFonts w:ascii="Times New Roman" w:hAnsi="Times New Roman"/>
                <w:sz w:val="24"/>
                <w:szCs w:val="20"/>
                <w:lang w:eastAsia="en-AU"/>
              </w:rPr>
            </w:pPr>
            <w:bookmarkStart w:id="35" w:name="_Hlk484170648"/>
          </w:p>
        </w:tc>
        <w:tc>
          <w:tcPr>
            <w:tcW w:w="956" w:type="pct"/>
            <w:noWrap/>
            <w:vAlign w:val="center"/>
            <w:hideMark/>
          </w:tcPr>
          <w:p w:rsidR="00212177" w:rsidRPr="00DB5C06" w:rsidRDefault="00212177" w:rsidP="00DB5C06">
            <w:pPr>
              <w:jc w:val="center"/>
              <w:cnfStyle w:val="100000000000" w:firstRow="1" w:lastRow="0" w:firstColumn="0" w:lastColumn="0" w:oddVBand="0" w:evenVBand="0" w:oddHBand="0" w:evenHBand="0" w:firstRowFirstColumn="0" w:firstRowLastColumn="0" w:lastRowFirstColumn="0" w:lastRowLastColumn="0"/>
              <w:rPr>
                <w:rFonts w:cs="Calibri"/>
                <w:szCs w:val="22"/>
                <w:lang w:eastAsia="en-AU"/>
              </w:rPr>
            </w:pPr>
            <w:r>
              <w:rPr>
                <w:rFonts w:cs="Calibri"/>
                <w:szCs w:val="22"/>
                <w:lang w:eastAsia="en-AU"/>
              </w:rPr>
              <w:t>Total EGM expenditure</w:t>
            </w:r>
            <w:r w:rsidRPr="00DB5C06">
              <w:rPr>
                <w:rFonts w:cs="Calibri"/>
                <w:szCs w:val="22"/>
                <w:lang w:eastAsia="en-AU"/>
              </w:rPr>
              <w:t xml:space="preserve"> </w:t>
            </w:r>
          </w:p>
        </w:tc>
        <w:tc>
          <w:tcPr>
            <w:tcW w:w="957" w:type="pct"/>
            <w:noWrap/>
            <w:vAlign w:val="center"/>
            <w:hideMark/>
          </w:tcPr>
          <w:p w:rsidR="00212177" w:rsidRPr="00DB5C06" w:rsidRDefault="00212177" w:rsidP="00DB5C06">
            <w:pPr>
              <w:jc w:val="center"/>
              <w:cnfStyle w:val="100000000000" w:firstRow="1" w:lastRow="0" w:firstColumn="0" w:lastColumn="0" w:oddVBand="0" w:evenVBand="0" w:oddHBand="0" w:evenHBand="0" w:firstRowFirstColumn="0" w:firstRowLastColumn="0" w:lastRowFirstColumn="0" w:lastRowLastColumn="0"/>
              <w:rPr>
                <w:rFonts w:cs="Calibri"/>
                <w:szCs w:val="22"/>
                <w:lang w:eastAsia="en-AU"/>
              </w:rPr>
            </w:pPr>
            <w:r>
              <w:rPr>
                <w:rFonts w:cs="Calibri"/>
                <w:szCs w:val="22"/>
                <w:lang w:eastAsia="en-AU"/>
              </w:rPr>
              <w:t>EGM expenditure per adult</w:t>
            </w:r>
          </w:p>
        </w:tc>
        <w:tc>
          <w:tcPr>
            <w:tcW w:w="956" w:type="pct"/>
            <w:noWrap/>
            <w:vAlign w:val="center"/>
            <w:hideMark/>
          </w:tcPr>
          <w:p w:rsidR="00212177" w:rsidRPr="00DB5C06" w:rsidRDefault="00212177" w:rsidP="00DB5C06">
            <w:pPr>
              <w:jc w:val="center"/>
              <w:cnfStyle w:val="100000000000" w:firstRow="1" w:lastRow="0" w:firstColumn="0" w:lastColumn="0" w:oddVBand="0" w:evenVBand="0" w:oddHBand="0" w:evenHBand="0" w:firstRowFirstColumn="0" w:firstRowLastColumn="0" w:lastRowFirstColumn="0" w:lastRowLastColumn="0"/>
              <w:rPr>
                <w:rFonts w:cs="Calibri"/>
                <w:szCs w:val="22"/>
                <w:lang w:eastAsia="en-AU"/>
              </w:rPr>
            </w:pPr>
            <w:r>
              <w:rPr>
                <w:rFonts w:cs="Calibri"/>
                <w:szCs w:val="22"/>
                <w:lang w:eastAsia="en-AU"/>
              </w:rPr>
              <w:t>Density of EGMs per 1,000 adults</w:t>
            </w:r>
          </w:p>
        </w:tc>
        <w:tc>
          <w:tcPr>
            <w:tcW w:w="956" w:type="pct"/>
            <w:vAlign w:val="center"/>
          </w:tcPr>
          <w:p w:rsidR="00212177" w:rsidRDefault="002E455D" w:rsidP="00DB5C06">
            <w:pPr>
              <w:jc w:val="center"/>
              <w:cnfStyle w:val="100000000000" w:firstRow="1" w:lastRow="0" w:firstColumn="0" w:lastColumn="0" w:oddVBand="0" w:evenVBand="0" w:oddHBand="0" w:evenHBand="0" w:firstRowFirstColumn="0" w:firstRowLastColumn="0" w:lastRowFirstColumn="0" w:lastRowLastColumn="0"/>
              <w:rPr>
                <w:rFonts w:cs="Calibri"/>
                <w:szCs w:val="22"/>
                <w:lang w:eastAsia="en-AU"/>
              </w:rPr>
            </w:pPr>
            <w:r>
              <w:rPr>
                <w:rFonts w:cs="Calibri"/>
                <w:szCs w:val="22"/>
                <w:lang w:eastAsia="en-AU"/>
              </w:rPr>
              <w:t>Adult population</w:t>
            </w:r>
          </w:p>
        </w:tc>
      </w:tr>
      <w:tr w:rsidR="00212177" w:rsidRPr="00DB5C06" w:rsidTr="002E455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75" w:type="pct"/>
            <w:noWrap/>
            <w:vAlign w:val="center"/>
            <w:hideMark/>
          </w:tcPr>
          <w:p w:rsidR="00212177" w:rsidRPr="00DB5C06" w:rsidRDefault="00212177" w:rsidP="00212177">
            <w:pPr>
              <w:rPr>
                <w:rFonts w:cs="Calibri"/>
                <w:color w:val="000000"/>
                <w:szCs w:val="22"/>
                <w:lang w:eastAsia="en-AU"/>
              </w:rPr>
            </w:pPr>
            <w:r w:rsidRPr="00DB5C06">
              <w:rPr>
                <w:rFonts w:cs="Calibri"/>
                <w:color w:val="000000"/>
                <w:szCs w:val="22"/>
                <w:lang w:eastAsia="en-AU"/>
              </w:rPr>
              <w:t>City of Melbourne</w:t>
            </w:r>
          </w:p>
        </w:tc>
        <w:tc>
          <w:tcPr>
            <w:tcW w:w="956" w:type="pct"/>
            <w:noWrap/>
            <w:vAlign w:val="center"/>
            <w:hideMark/>
          </w:tcPr>
          <w:p w:rsidR="00212177" w:rsidRPr="00DB5C06" w:rsidRDefault="00212177" w:rsidP="00212177">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13.5</w:t>
            </w:r>
          </w:p>
        </w:tc>
        <w:tc>
          <w:tcPr>
            <w:tcW w:w="957" w:type="pct"/>
            <w:noWrap/>
            <w:vAlign w:val="center"/>
            <w:hideMark/>
          </w:tcPr>
          <w:p w:rsidR="00212177" w:rsidRPr="00DB5C06" w:rsidRDefault="00212177" w:rsidP="00212177">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-11.5</w:t>
            </w:r>
          </w:p>
        </w:tc>
        <w:tc>
          <w:tcPr>
            <w:tcW w:w="956" w:type="pct"/>
            <w:noWrap/>
            <w:vAlign w:val="center"/>
            <w:hideMark/>
          </w:tcPr>
          <w:p w:rsidR="00212177" w:rsidRPr="00DB5C06" w:rsidRDefault="00212177" w:rsidP="00212177">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-16.3</w:t>
            </w:r>
          </w:p>
        </w:tc>
        <w:tc>
          <w:tcPr>
            <w:tcW w:w="956" w:type="pct"/>
            <w:vAlign w:val="center"/>
          </w:tcPr>
          <w:p w:rsidR="00212177" w:rsidRDefault="002E455D" w:rsidP="002E455D">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28.15</w:t>
            </w:r>
          </w:p>
        </w:tc>
      </w:tr>
      <w:tr w:rsidR="00212177" w:rsidRPr="00DB5C06" w:rsidTr="002E455D">
        <w:trPr>
          <w:trHeight w:val="285"/>
        </w:trPr>
        <w:tc>
          <w:tcPr>
            <w:cnfStyle w:val="001000000000" w:firstRow="0" w:lastRow="0" w:firstColumn="1" w:lastColumn="0" w:oddVBand="0" w:evenVBand="0" w:oddHBand="0" w:evenHBand="0" w:firstRowFirstColumn="0" w:firstRowLastColumn="0" w:lastRowFirstColumn="0" w:lastRowLastColumn="0"/>
            <w:tcW w:w="1175" w:type="pct"/>
            <w:noWrap/>
            <w:vAlign w:val="center"/>
            <w:hideMark/>
          </w:tcPr>
          <w:p w:rsidR="00212177" w:rsidRPr="00DB5C06" w:rsidRDefault="00212177" w:rsidP="00212177">
            <w:pPr>
              <w:rPr>
                <w:rFonts w:cs="Calibri"/>
                <w:color w:val="000000"/>
                <w:szCs w:val="22"/>
                <w:lang w:eastAsia="en-AU"/>
              </w:rPr>
            </w:pPr>
            <w:r w:rsidRPr="00DB5C06">
              <w:rPr>
                <w:rFonts w:cs="Calibri"/>
                <w:color w:val="000000"/>
                <w:szCs w:val="22"/>
                <w:lang w:eastAsia="en-AU"/>
              </w:rPr>
              <w:t>City of Hobsons Bay</w:t>
            </w:r>
          </w:p>
        </w:tc>
        <w:tc>
          <w:tcPr>
            <w:tcW w:w="956" w:type="pct"/>
            <w:noWrap/>
            <w:vAlign w:val="center"/>
            <w:hideMark/>
          </w:tcPr>
          <w:p w:rsidR="00212177" w:rsidRPr="00DB5C06" w:rsidRDefault="00212177" w:rsidP="00212177">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-11.0</w:t>
            </w:r>
          </w:p>
        </w:tc>
        <w:tc>
          <w:tcPr>
            <w:tcW w:w="957" w:type="pct"/>
            <w:noWrap/>
            <w:vAlign w:val="center"/>
            <w:hideMark/>
          </w:tcPr>
          <w:p w:rsidR="00212177" w:rsidRPr="00DB5C06" w:rsidRDefault="00212177" w:rsidP="00212177">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-16.4</w:t>
            </w:r>
          </w:p>
        </w:tc>
        <w:tc>
          <w:tcPr>
            <w:tcW w:w="956" w:type="pct"/>
            <w:noWrap/>
            <w:vAlign w:val="center"/>
            <w:hideMark/>
          </w:tcPr>
          <w:p w:rsidR="00212177" w:rsidRPr="00DB5C06" w:rsidRDefault="00212177" w:rsidP="00212177">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-3.2</w:t>
            </w:r>
          </w:p>
        </w:tc>
        <w:tc>
          <w:tcPr>
            <w:tcW w:w="956" w:type="pct"/>
            <w:vAlign w:val="center"/>
          </w:tcPr>
          <w:p w:rsidR="00212177" w:rsidRDefault="00212177" w:rsidP="002E455D">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6.49</w:t>
            </w:r>
          </w:p>
        </w:tc>
      </w:tr>
      <w:tr w:rsidR="00212177" w:rsidRPr="00DB5C06" w:rsidTr="002E455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75" w:type="pct"/>
            <w:noWrap/>
            <w:vAlign w:val="center"/>
            <w:hideMark/>
          </w:tcPr>
          <w:p w:rsidR="00212177" w:rsidRPr="00DB5C06" w:rsidRDefault="00212177" w:rsidP="00212177">
            <w:pPr>
              <w:rPr>
                <w:rFonts w:cs="Calibri"/>
                <w:color w:val="000000"/>
                <w:szCs w:val="22"/>
                <w:lang w:eastAsia="en-AU"/>
              </w:rPr>
            </w:pPr>
            <w:r w:rsidRPr="00DB5C06">
              <w:rPr>
                <w:rFonts w:cs="Calibri"/>
                <w:color w:val="000000"/>
                <w:szCs w:val="22"/>
                <w:lang w:eastAsia="en-AU"/>
              </w:rPr>
              <w:t>City of Maribyrnong</w:t>
            </w:r>
          </w:p>
        </w:tc>
        <w:tc>
          <w:tcPr>
            <w:tcW w:w="956" w:type="pct"/>
            <w:noWrap/>
            <w:vAlign w:val="center"/>
            <w:hideMark/>
          </w:tcPr>
          <w:p w:rsidR="00212177" w:rsidRPr="00DB5C06" w:rsidRDefault="00212177" w:rsidP="00212177">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-4.2</w:t>
            </w:r>
          </w:p>
        </w:tc>
        <w:tc>
          <w:tcPr>
            <w:tcW w:w="957" w:type="pct"/>
            <w:noWrap/>
            <w:vAlign w:val="center"/>
            <w:hideMark/>
          </w:tcPr>
          <w:p w:rsidR="00212177" w:rsidRPr="00DB5C06" w:rsidRDefault="00212177" w:rsidP="00212177">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-14.2</w:t>
            </w:r>
          </w:p>
        </w:tc>
        <w:tc>
          <w:tcPr>
            <w:tcW w:w="956" w:type="pct"/>
            <w:noWrap/>
            <w:vAlign w:val="center"/>
            <w:hideMark/>
          </w:tcPr>
          <w:p w:rsidR="00212177" w:rsidRPr="00DB5C06" w:rsidRDefault="00212177" w:rsidP="00212177">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-6.4</w:t>
            </w:r>
          </w:p>
        </w:tc>
        <w:tc>
          <w:tcPr>
            <w:tcW w:w="956" w:type="pct"/>
            <w:vAlign w:val="center"/>
          </w:tcPr>
          <w:p w:rsidR="00212177" w:rsidRDefault="00212177" w:rsidP="002E455D">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11.64</w:t>
            </w:r>
          </w:p>
        </w:tc>
      </w:tr>
      <w:tr w:rsidR="00212177" w:rsidRPr="00DB5C06" w:rsidTr="002E455D">
        <w:trPr>
          <w:trHeight w:val="285"/>
        </w:trPr>
        <w:tc>
          <w:tcPr>
            <w:cnfStyle w:val="001000000000" w:firstRow="0" w:lastRow="0" w:firstColumn="1" w:lastColumn="0" w:oddVBand="0" w:evenVBand="0" w:oddHBand="0" w:evenHBand="0" w:firstRowFirstColumn="0" w:firstRowLastColumn="0" w:lastRowFirstColumn="0" w:lastRowLastColumn="0"/>
            <w:tcW w:w="1175" w:type="pct"/>
            <w:noWrap/>
            <w:vAlign w:val="center"/>
            <w:hideMark/>
          </w:tcPr>
          <w:p w:rsidR="00212177" w:rsidRPr="00DB5C06" w:rsidRDefault="00212177" w:rsidP="00212177">
            <w:pPr>
              <w:rPr>
                <w:rFonts w:cs="Calibri"/>
                <w:color w:val="000000"/>
                <w:szCs w:val="22"/>
                <w:lang w:eastAsia="en-AU"/>
              </w:rPr>
            </w:pPr>
            <w:r w:rsidRPr="00DB5C06">
              <w:rPr>
                <w:rFonts w:cs="Calibri"/>
                <w:color w:val="000000"/>
                <w:szCs w:val="22"/>
                <w:lang w:eastAsia="en-AU"/>
              </w:rPr>
              <w:t>City of Moonee Valley</w:t>
            </w:r>
          </w:p>
        </w:tc>
        <w:tc>
          <w:tcPr>
            <w:tcW w:w="956" w:type="pct"/>
            <w:noWrap/>
            <w:vAlign w:val="center"/>
            <w:hideMark/>
          </w:tcPr>
          <w:p w:rsidR="00212177" w:rsidRPr="00DB5C06" w:rsidRDefault="00212177" w:rsidP="00212177">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-3.2</w:t>
            </w:r>
          </w:p>
        </w:tc>
        <w:tc>
          <w:tcPr>
            <w:tcW w:w="957" w:type="pct"/>
            <w:noWrap/>
            <w:vAlign w:val="center"/>
            <w:hideMark/>
          </w:tcPr>
          <w:p w:rsidR="00212177" w:rsidRPr="00DB5C06" w:rsidRDefault="00212177" w:rsidP="00212177">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-8.0</w:t>
            </w:r>
          </w:p>
        </w:tc>
        <w:tc>
          <w:tcPr>
            <w:tcW w:w="956" w:type="pct"/>
            <w:noWrap/>
            <w:vAlign w:val="center"/>
            <w:hideMark/>
          </w:tcPr>
          <w:p w:rsidR="00212177" w:rsidRPr="00DB5C06" w:rsidRDefault="00212177" w:rsidP="00212177">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-6.7</w:t>
            </w:r>
          </w:p>
        </w:tc>
        <w:tc>
          <w:tcPr>
            <w:tcW w:w="956" w:type="pct"/>
            <w:vAlign w:val="center"/>
          </w:tcPr>
          <w:p w:rsidR="00212177" w:rsidRDefault="00212177" w:rsidP="002E455D">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5.18</w:t>
            </w:r>
          </w:p>
        </w:tc>
      </w:tr>
      <w:tr w:rsidR="00212177" w:rsidRPr="00DB5C06" w:rsidTr="002E455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75" w:type="pct"/>
            <w:noWrap/>
            <w:vAlign w:val="center"/>
            <w:hideMark/>
          </w:tcPr>
          <w:p w:rsidR="00212177" w:rsidRPr="00DB5C06" w:rsidRDefault="00212177" w:rsidP="00212177">
            <w:pPr>
              <w:rPr>
                <w:rFonts w:cs="Calibri"/>
                <w:color w:val="000000"/>
                <w:szCs w:val="22"/>
                <w:lang w:eastAsia="en-AU"/>
              </w:rPr>
            </w:pPr>
            <w:r w:rsidRPr="00DB5C06">
              <w:rPr>
                <w:rFonts w:cs="Calibri"/>
                <w:color w:val="000000"/>
                <w:szCs w:val="22"/>
                <w:lang w:eastAsia="en-AU"/>
              </w:rPr>
              <w:t>City of Moreland</w:t>
            </w:r>
          </w:p>
        </w:tc>
        <w:tc>
          <w:tcPr>
            <w:tcW w:w="956" w:type="pct"/>
            <w:noWrap/>
            <w:vAlign w:val="center"/>
            <w:hideMark/>
          </w:tcPr>
          <w:p w:rsidR="00212177" w:rsidRPr="00DB5C06" w:rsidRDefault="00212177" w:rsidP="00212177">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-8.7</w:t>
            </w:r>
          </w:p>
        </w:tc>
        <w:tc>
          <w:tcPr>
            <w:tcW w:w="957" w:type="pct"/>
            <w:noWrap/>
            <w:vAlign w:val="center"/>
            <w:hideMark/>
          </w:tcPr>
          <w:p w:rsidR="00212177" w:rsidRPr="00DB5C06" w:rsidRDefault="00212177" w:rsidP="00212177">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-18.0</w:t>
            </w:r>
          </w:p>
        </w:tc>
        <w:tc>
          <w:tcPr>
            <w:tcW w:w="956" w:type="pct"/>
            <w:noWrap/>
            <w:vAlign w:val="center"/>
            <w:hideMark/>
          </w:tcPr>
          <w:p w:rsidR="00212177" w:rsidRPr="00DB5C06" w:rsidRDefault="00212177" w:rsidP="00212177">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-22.1</w:t>
            </w:r>
          </w:p>
        </w:tc>
        <w:tc>
          <w:tcPr>
            <w:tcW w:w="956" w:type="pct"/>
            <w:vAlign w:val="center"/>
          </w:tcPr>
          <w:p w:rsidR="00212177" w:rsidRDefault="002E455D" w:rsidP="002E455D">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11.35</w:t>
            </w:r>
          </w:p>
        </w:tc>
      </w:tr>
      <w:tr w:rsidR="00212177" w:rsidRPr="00DB5C06" w:rsidTr="002E455D">
        <w:trPr>
          <w:trHeight w:val="285"/>
        </w:trPr>
        <w:tc>
          <w:tcPr>
            <w:cnfStyle w:val="001000000000" w:firstRow="0" w:lastRow="0" w:firstColumn="1" w:lastColumn="0" w:oddVBand="0" w:evenVBand="0" w:oddHBand="0" w:evenHBand="0" w:firstRowFirstColumn="0" w:firstRowLastColumn="0" w:lastRowFirstColumn="0" w:lastRowLastColumn="0"/>
            <w:tcW w:w="1175" w:type="pct"/>
            <w:noWrap/>
            <w:vAlign w:val="center"/>
            <w:hideMark/>
          </w:tcPr>
          <w:p w:rsidR="00212177" w:rsidRPr="00DB5C06" w:rsidRDefault="00212177" w:rsidP="00212177">
            <w:pPr>
              <w:rPr>
                <w:rFonts w:cs="Calibri"/>
                <w:color w:val="000000"/>
                <w:szCs w:val="22"/>
                <w:lang w:eastAsia="en-AU"/>
              </w:rPr>
            </w:pPr>
            <w:r w:rsidRPr="00DB5C06">
              <w:rPr>
                <w:rFonts w:cs="Calibri"/>
                <w:color w:val="000000"/>
                <w:szCs w:val="22"/>
                <w:lang w:eastAsia="en-AU"/>
              </w:rPr>
              <w:t>City of Port Phillip</w:t>
            </w:r>
          </w:p>
        </w:tc>
        <w:tc>
          <w:tcPr>
            <w:tcW w:w="956" w:type="pct"/>
            <w:noWrap/>
            <w:vAlign w:val="center"/>
            <w:hideMark/>
          </w:tcPr>
          <w:p w:rsidR="00212177" w:rsidRPr="00DB5C06" w:rsidRDefault="00212177" w:rsidP="00212177">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1.9</w:t>
            </w:r>
          </w:p>
        </w:tc>
        <w:tc>
          <w:tcPr>
            <w:tcW w:w="957" w:type="pct"/>
            <w:noWrap/>
            <w:vAlign w:val="center"/>
            <w:hideMark/>
          </w:tcPr>
          <w:p w:rsidR="00212177" w:rsidRPr="00DB5C06" w:rsidRDefault="00212177" w:rsidP="00212177">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-4.8</w:t>
            </w:r>
          </w:p>
        </w:tc>
        <w:tc>
          <w:tcPr>
            <w:tcW w:w="956" w:type="pct"/>
            <w:noWrap/>
            <w:vAlign w:val="center"/>
            <w:hideMark/>
          </w:tcPr>
          <w:p w:rsidR="00212177" w:rsidRPr="00DB5C06" w:rsidRDefault="00212177" w:rsidP="00212177">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-2.5</w:t>
            </w:r>
          </w:p>
        </w:tc>
        <w:tc>
          <w:tcPr>
            <w:tcW w:w="956" w:type="pct"/>
            <w:vAlign w:val="center"/>
          </w:tcPr>
          <w:p w:rsidR="00212177" w:rsidRDefault="002E455D" w:rsidP="002E455D">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7.02</w:t>
            </w:r>
          </w:p>
        </w:tc>
      </w:tr>
      <w:tr w:rsidR="00212177" w:rsidRPr="00DB5C06" w:rsidTr="002E455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75" w:type="pct"/>
            <w:noWrap/>
            <w:vAlign w:val="center"/>
            <w:hideMark/>
          </w:tcPr>
          <w:p w:rsidR="00212177" w:rsidRPr="00DB5C06" w:rsidRDefault="00212177" w:rsidP="00212177">
            <w:pPr>
              <w:rPr>
                <w:rFonts w:cs="Calibri"/>
                <w:color w:val="000000"/>
                <w:szCs w:val="22"/>
                <w:lang w:eastAsia="en-AU"/>
              </w:rPr>
            </w:pPr>
            <w:r w:rsidRPr="00DB5C06">
              <w:rPr>
                <w:rFonts w:cs="Calibri"/>
                <w:color w:val="000000"/>
                <w:szCs w:val="22"/>
                <w:lang w:eastAsia="en-AU"/>
              </w:rPr>
              <w:t>City of Stonnington</w:t>
            </w:r>
          </w:p>
        </w:tc>
        <w:tc>
          <w:tcPr>
            <w:tcW w:w="956" w:type="pct"/>
            <w:noWrap/>
            <w:vAlign w:val="center"/>
            <w:hideMark/>
          </w:tcPr>
          <w:p w:rsidR="00212177" w:rsidRPr="00DB5C06" w:rsidRDefault="00212177" w:rsidP="00212177">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-0.3</w:t>
            </w:r>
          </w:p>
        </w:tc>
        <w:tc>
          <w:tcPr>
            <w:tcW w:w="957" w:type="pct"/>
            <w:noWrap/>
            <w:vAlign w:val="center"/>
            <w:hideMark/>
          </w:tcPr>
          <w:p w:rsidR="00212177" w:rsidRPr="00DB5C06" w:rsidRDefault="00212177" w:rsidP="00212177">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-6.9</w:t>
            </w:r>
          </w:p>
        </w:tc>
        <w:tc>
          <w:tcPr>
            <w:tcW w:w="956" w:type="pct"/>
            <w:noWrap/>
            <w:vAlign w:val="center"/>
            <w:hideMark/>
          </w:tcPr>
          <w:p w:rsidR="00212177" w:rsidRPr="00DB5C06" w:rsidRDefault="00212177" w:rsidP="00212177">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-1.9</w:t>
            </w:r>
          </w:p>
        </w:tc>
        <w:tc>
          <w:tcPr>
            <w:tcW w:w="956" w:type="pct"/>
            <w:vAlign w:val="center"/>
          </w:tcPr>
          <w:p w:rsidR="00212177" w:rsidRDefault="00212177" w:rsidP="002E455D">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rPr>
            </w:pPr>
            <w:r>
              <w:rPr>
                <w:rFonts w:cs="Calibri"/>
                <w:color w:val="000000"/>
                <w:szCs w:val="22"/>
              </w:rPr>
              <w:t>7.14</w:t>
            </w:r>
          </w:p>
        </w:tc>
      </w:tr>
      <w:tr w:rsidR="00212177" w:rsidRPr="00DB5C06" w:rsidTr="002E455D">
        <w:trPr>
          <w:trHeight w:val="285"/>
        </w:trPr>
        <w:tc>
          <w:tcPr>
            <w:cnfStyle w:val="001000000000" w:firstRow="0" w:lastRow="0" w:firstColumn="1" w:lastColumn="0" w:oddVBand="0" w:evenVBand="0" w:oddHBand="0" w:evenHBand="0" w:firstRowFirstColumn="0" w:firstRowLastColumn="0" w:lastRowFirstColumn="0" w:lastRowLastColumn="0"/>
            <w:tcW w:w="1175" w:type="pct"/>
            <w:noWrap/>
            <w:vAlign w:val="center"/>
            <w:hideMark/>
          </w:tcPr>
          <w:p w:rsidR="00212177" w:rsidRPr="00DB5C06" w:rsidRDefault="00212177" w:rsidP="00212177">
            <w:pPr>
              <w:rPr>
                <w:rFonts w:cs="Calibri"/>
                <w:color w:val="000000"/>
                <w:szCs w:val="22"/>
                <w:lang w:eastAsia="en-AU"/>
              </w:rPr>
            </w:pPr>
            <w:r w:rsidRPr="00DB5C06">
              <w:rPr>
                <w:rFonts w:cs="Calibri"/>
                <w:color w:val="000000"/>
                <w:szCs w:val="22"/>
                <w:lang w:eastAsia="en-AU"/>
              </w:rPr>
              <w:t>City of Yarra</w:t>
            </w:r>
          </w:p>
        </w:tc>
        <w:tc>
          <w:tcPr>
            <w:tcW w:w="956" w:type="pct"/>
            <w:noWrap/>
            <w:vAlign w:val="center"/>
            <w:hideMark/>
          </w:tcPr>
          <w:p w:rsidR="00212177" w:rsidRPr="00DB5C06" w:rsidRDefault="00212177" w:rsidP="00212177">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5.0</w:t>
            </w:r>
          </w:p>
        </w:tc>
        <w:tc>
          <w:tcPr>
            <w:tcW w:w="957" w:type="pct"/>
            <w:noWrap/>
            <w:vAlign w:val="center"/>
            <w:hideMark/>
          </w:tcPr>
          <w:p w:rsidR="00212177" w:rsidRPr="00DB5C06" w:rsidRDefault="00212177" w:rsidP="00212177">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-5.1</w:t>
            </w:r>
          </w:p>
        </w:tc>
        <w:tc>
          <w:tcPr>
            <w:tcW w:w="956" w:type="pct"/>
            <w:noWrap/>
            <w:vAlign w:val="center"/>
            <w:hideMark/>
          </w:tcPr>
          <w:p w:rsidR="00212177" w:rsidRPr="00DB5C06" w:rsidRDefault="00212177" w:rsidP="00212177">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-9.6</w:t>
            </w:r>
          </w:p>
        </w:tc>
        <w:tc>
          <w:tcPr>
            <w:tcW w:w="956" w:type="pct"/>
            <w:vAlign w:val="center"/>
          </w:tcPr>
          <w:p w:rsidR="00212177" w:rsidRDefault="00212177" w:rsidP="002E455D">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rPr>
            </w:pPr>
            <w:r>
              <w:rPr>
                <w:rFonts w:cs="Calibri"/>
                <w:color w:val="000000"/>
                <w:szCs w:val="22"/>
              </w:rPr>
              <w:t>10.60</w:t>
            </w:r>
          </w:p>
        </w:tc>
      </w:tr>
      <w:tr w:rsidR="00212177" w:rsidRPr="00DB5C06" w:rsidTr="002E455D">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75" w:type="pct"/>
            <w:noWrap/>
            <w:vAlign w:val="center"/>
            <w:hideMark/>
          </w:tcPr>
          <w:p w:rsidR="00212177" w:rsidRPr="00DB5C06" w:rsidRDefault="00212177" w:rsidP="00DB5C06">
            <w:pPr>
              <w:rPr>
                <w:rFonts w:cs="Calibri"/>
                <w:color w:val="000000"/>
                <w:szCs w:val="22"/>
                <w:lang w:eastAsia="en-AU"/>
              </w:rPr>
            </w:pPr>
            <w:r w:rsidRPr="00DB5C06">
              <w:rPr>
                <w:rFonts w:cs="Calibri"/>
                <w:color w:val="000000"/>
                <w:szCs w:val="22"/>
                <w:lang w:eastAsia="en-AU"/>
              </w:rPr>
              <w:t>Average Melbourne LGA and adjoining LGA</w:t>
            </w:r>
          </w:p>
        </w:tc>
        <w:tc>
          <w:tcPr>
            <w:tcW w:w="956" w:type="pct"/>
            <w:noWrap/>
            <w:vAlign w:val="center"/>
            <w:hideMark/>
          </w:tcPr>
          <w:p w:rsidR="00212177" w:rsidRPr="00DB5C06" w:rsidRDefault="00212177" w:rsidP="00DB5C0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-1.3</w:t>
            </w:r>
          </w:p>
        </w:tc>
        <w:tc>
          <w:tcPr>
            <w:tcW w:w="957" w:type="pct"/>
            <w:noWrap/>
            <w:vAlign w:val="center"/>
            <w:hideMark/>
          </w:tcPr>
          <w:p w:rsidR="00212177" w:rsidRPr="00DB5C06" w:rsidRDefault="00212177" w:rsidP="00DB5C0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-11.6</w:t>
            </w:r>
          </w:p>
        </w:tc>
        <w:tc>
          <w:tcPr>
            <w:tcW w:w="956" w:type="pct"/>
            <w:noWrap/>
            <w:vAlign w:val="center"/>
            <w:hideMark/>
          </w:tcPr>
          <w:p w:rsidR="00212177" w:rsidRPr="00DB5C06" w:rsidRDefault="00212177" w:rsidP="00DB5C06">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-9.0</w:t>
            </w:r>
          </w:p>
        </w:tc>
        <w:tc>
          <w:tcPr>
            <w:tcW w:w="956" w:type="pct"/>
            <w:vAlign w:val="center"/>
          </w:tcPr>
          <w:p w:rsidR="00212177" w:rsidRPr="00DB5C06" w:rsidRDefault="002E455D" w:rsidP="002E455D">
            <w:pPr>
              <w:jc w:val="center"/>
              <w:cnfStyle w:val="000000100000" w:firstRow="0" w:lastRow="0" w:firstColumn="0" w:lastColumn="0" w:oddVBand="0" w:evenVBand="0" w:oddHBand="1" w:evenHBand="0" w:firstRowFirstColumn="0" w:firstRowLastColumn="0" w:lastRowFirstColumn="0" w:lastRowLastColumn="0"/>
              <w:rPr>
                <w:rFonts w:cs="Calibri"/>
                <w:color w:val="000000"/>
                <w:szCs w:val="22"/>
                <w:lang w:eastAsia="en-AU"/>
              </w:rPr>
            </w:pPr>
            <w:r>
              <w:rPr>
                <w:rFonts w:cs="Calibri"/>
                <w:color w:val="000000"/>
                <w:szCs w:val="22"/>
                <w:lang w:eastAsia="en-AU"/>
              </w:rPr>
              <w:t>10.95</w:t>
            </w:r>
          </w:p>
        </w:tc>
      </w:tr>
      <w:tr w:rsidR="00212177" w:rsidRPr="00DB5C06" w:rsidTr="002E455D">
        <w:trPr>
          <w:trHeight w:val="285"/>
        </w:trPr>
        <w:tc>
          <w:tcPr>
            <w:cnfStyle w:val="001000000000" w:firstRow="0" w:lastRow="0" w:firstColumn="1" w:lastColumn="0" w:oddVBand="0" w:evenVBand="0" w:oddHBand="0" w:evenHBand="0" w:firstRowFirstColumn="0" w:firstRowLastColumn="0" w:lastRowFirstColumn="0" w:lastRowLastColumn="0"/>
            <w:tcW w:w="1175" w:type="pct"/>
            <w:noWrap/>
            <w:vAlign w:val="center"/>
            <w:hideMark/>
          </w:tcPr>
          <w:p w:rsidR="00212177" w:rsidRPr="00DB5C06" w:rsidRDefault="00212177" w:rsidP="00DB5C06">
            <w:pPr>
              <w:rPr>
                <w:rFonts w:cs="Calibri"/>
                <w:color w:val="000000"/>
                <w:szCs w:val="22"/>
                <w:lang w:eastAsia="en-AU"/>
              </w:rPr>
            </w:pPr>
            <w:r w:rsidRPr="00DB5C06">
              <w:rPr>
                <w:rFonts w:cs="Calibri"/>
                <w:color w:val="000000"/>
                <w:szCs w:val="22"/>
                <w:lang w:eastAsia="en-AU"/>
              </w:rPr>
              <w:t>Total metro</w:t>
            </w:r>
          </w:p>
        </w:tc>
        <w:tc>
          <w:tcPr>
            <w:tcW w:w="956" w:type="pct"/>
            <w:noWrap/>
            <w:vAlign w:val="center"/>
            <w:hideMark/>
          </w:tcPr>
          <w:p w:rsidR="00212177" w:rsidRPr="00DB5C06" w:rsidRDefault="00212177" w:rsidP="00DB5C06">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-2.3</w:t>
            </w:r>
          </w:p>
        </w:tc>
        <w:tc>
          <w:tcPr>
            <w:tcW w:w="957" w:type="pct"/>
            <w:noWrap/>
            <w:vAlign w:val="center"/>
            <w:hideMark/>
          </w:tcPr>
          <w:p w:rsidR="00212177" w:rsidRPr="00DB5C06" w:rsidRDefault="00212177" w:rsidP="00DB5C06">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-9.8</w:t>
            </w:r>
          </w:p>
        </w:tc>
        <w:tc>
          <w:tcPr>
            <w:tcW w:w="956" w:type="pct"/>
            <w:noWrap/>
            <w:vAlign w:val="center"/>
            <w:hideMark/>
          </w:tcPr>
          <w:p w:rsidR="00212177" w:rsidRPr="00DB5C06" w:rsidRDefault="00212177" w:rsidP="00DB5C06">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lang w:eastAsia="en-AU"/>
              </w:rPr>
            </w:pPr>
            <w:r w:rsidRPr="00DB5C06">
              <w:rPr>
                <w:rFonts w:cs="Calibri"/>
                <w:color w:val="000000"/>
                <w:szCs w:val="22"/>
                <w:lang w:eastAsia="en-AU"/>
              </w:rPr>
              <w:t>-5.4</w:t>
            </w:r>
          </w:p>
        </w:tc>
        <w:tc>
          <w:tcPr>
            <w:tcW w:w="956" w:type="pct"/>
            <w:vAlign w:val="center"/>
          </w:tcPr>
          <w:p w:rsidR="00212177" w:rsidRPr="00DB5C06" w:rsidRDefault="002E455D" w:rsidP="002E455D">
            <w:pPr>
              <w:jc w:val="center"/>
              <w:cnfStyle w:val="000000000000" w:firstRow="0" w:lastRow="0" w:firstColumn="0" w:lastColumn="0" w:oddVBand="0" w:evenVBand="0" w:oddHBand="0" w:evenHBand="0" w:firstRowFirstColumn="0" w:firstRowLastColumn="0" w:lastRowFirstColumn="0" w:lastRowLastColumn="0"/>
              <w:rPr>
                <w:rFonts w:cs="Calibri"/>
                <w:color w:val="000000"/>
                <w:szCs w:val="22"/>
                <w:lang w:eastAsia="en-AU"/>
              </w:rPr>
            </w:pPr>
            <w:r>
              <w:rPr>
                <w:rFonts w:cs="Calibri"/>
                <w:color w:val="000000"/>
                <w:szCs w:val="22"/>
                <w:lang w:eastAsia="en-AU"/>
              </w:rPr>
              <w:t>8.32</w:t>
            </w:r>
          </w:p>
        </w:tc>
      </w:tr>
    </w:tbl>
    <w:p w:rsidR="00190AD0" w:rsidRDefault="00212177" w:rsidP="00E813E9">
      <w:pPr>
        <w:rPr>
          <w:rFonts w:cstheme="minorHAnsi"/>
        </w:rPr>
      </w:pPr>
      <w:r>
        <w:rPr>
          <w:rFonts w:cstheme="minorHAnsi"/>
        </w:rPr>
        <w:t>Source: VCGLR</w:t>
      </w:r>
    </w:p>
    <w:bookmarkEnd w:id="35"/>
    <w:p w:rsidR="00E813E9" w:rsidRPr="0099464A" w:rsidRDefault="00E813E9" w:rsidP="00C94F78">
      <w:pPr>
        <w:rPr>
          <w:rFonts w:asciiTheme="minorHAnsi" w:hAnsiTheme="minorHAnsi" w:cstheme="minorHAnsi"/>
        </w:rPr>
      </w:pPr>
      <w:r w:rsidRPr="0099464A">
        <w:rPr>
          <w:rFonts w:cstheme="minorHAnsi"/>
        </w:rPr>
        <w:t>The analysis of the monthly expenditure at gaming venues across the City of Melbourne for the Financi</w:t>
      </w:r>
      <w:r w:rsidR="00083A1E">
        <w:rPr>
          <w:rFonts w:cstheme="minorHAnsi"/>
        </w:rPr>
        <w:t>al Years 2013-14 to 2015-</w:t>
      </w:r>
      <w:r w:rsidRPr="0099464A">
        <w:rPr>
          <w:rFonts w:cstheme="minorHAnsi"/>
        </w:rPr>
        <w:t>16 indicates that the months during which expenditure is the highest vary from year to year. This differs from other municipalities such as Mornington Peninsula Shire that experience an increase in gaming expenditure during key vacation periods</w:t>
      </w:r>
      <w:r w:rsidR="00116E19">
        <w:rPr>
          <w:rFonts w:cstheme="minorHAnsi"/>
        </w:rPr>
        <w:t>. This supports the analysis of the City’s users which indicates that</w:t>
      </w:r>
      <w:r>
        <w:rPr>
          <w:rFonts w:cstheme="minorHAnsi"/>
        </w:rPr>
        <w:t xml:space="preserve"> the municipality attrac</w:t>
      </w:r>
      <w:r w:rsidR="00116E19">
        <w:rPr>
          <w:rFonts w:cstheme="minorHAnsi"/>
        </w:rPr>
        <w:t>ts visitors throughout the year.</w:t>
      </w:r>
    </w:p>
    <w:p w:rsidR="00C94F78" w:rsidRDefault="00C94F78" w:rsidP="00706330">
      <w:pPr>
        <w:pStyle w:val="Heading3"/>
        <w:spacing w:before="40" w:after="0" w:line="259" w:lineRule="auto"/>
        <w:rPr>
          <w:rFonts w:asciiTheme="minorHAnsi" w:hAnsiTheme="minorHAnsi" w:cstheme="minorHAnsi"/>
        </w:rPr>
      </w:pPr>
      <w:r>
        <w:rPr>
          <w:rFonts w:asciiTheme="minorHAnsi" w:hAnsiTheme="minorHAnsi" w:cstheme="minorHAnsi"/>
        </w:rPr>
        <w:t>Venue specific analysis</w:t>
      </w:r>
    </w:p>
    <w:p w:rsidR="00A7367D" w:rsidRDefault="00A7367D" w:rsidP="00A7367D">
      <w:pPr>
        <w:pStyle w:val="Heading4"/>
      </w:pPr>
      <w:bookmarkStart w:id="36" w:name="_Hlk484170681"/>
      <w:r>
        <w:t>Expenditure</w:t>
      </w:r>
    </w:p>
    <w:p w:rsidR="00A15395" w:rsidRPr="0099464A" w:rsidRDefault="00A15395" w:rsidP="00A15395">
      <w:pPr>
        <w:rPr>
          <w:rFonts w:cstheme="minorHAnsi"/>
        </w:rPr>
      </w:pPr>
      <w:r w:rsidRPr="0099464A">
        <w:rPr>
          <w:rFonts w:cstheme="minorHAnsi"/>
        </w:rPr>
        <w:t>Analysis of the expenditure per venue in the municipality in the Financial Years 2015</w:t>
      </w:r>
      <w:r w:rsidR="00083A1E">
        <w:rPr>
          <w:rFonts w:cstheme="minorHAnsi"/>
        </w:rPr>
        <w:t>-</w:t>
      </w:r>
      <w:r w:rsidRPr="0099464A">
        <w:rPr>
          <w:rFonts w:cstheme="minorHAnsi"/>
        </w:rPr>
        <w:t xml:space="preserve">16 illustrates the following (refer to Figure </w:t>
      </w:r>
      <w:r w:rsidR="0033013A">
        <w:rPr>
          <w:rFonts w:cstheme="minorHAnsi"/>
        </w:rPr>
        <w:t>8</w:t>
      </w:r>
      <w:r w:rsidRPr="0099464A">
        <w:rPr>
          <w:rFonts w:cstheme="minorHAnsi"/>
        </w:rPr>
        <w:t>):</w:t>
      </w:r>
    </w:p>
    <w:p w:rsidR="00A15395" w:rsidRPr="0099464A" w:rsidRDefault="00A15395" w:rsidP="007D1909">
      <w:pPr>
        <w:pStyle w:val="ListParagraph"/>
        <w:numPr>
          <w:ilvl w:val="0"/>
          <w:numId w:val="21"/>
        </w:numPr>
        <w:spacing w:after="120"/>
        <w:ind w:left="714" w:hanging="357"/>
        <w:contextualSpacing w:val="0"/>
        <w:rPr>
          <w:rFonts w:cstheme="minorHAnsi"/>
        </w:rPr>
      </w:pPr>
      <w:r w:rsidRPr="0099464A">
        <w:rPr>
          <w:rFonts w:cstheme="minorHAnsi"/>
        </w:rPr>
        <w:t xml:space="preserve">Average expenditure in the venues located in the </w:t>
      </w:r>
      <w:r>
        <w:rPr>
          <w:rFonts w:cstheme="minorHAnsi"/>
        </w:rPr>
        <w:t>Hoddle Grid</w:t>
      </w:r>
      <w:r w:rsidRPr="0099464A">
        <w:rPr>
          <w:rFonts w:cstheme="minorHAnsi"/>
        </w:rPr>
        <w:t xml:space="preserve"> is more than double the average expenditure in venues that are located outside the </w:t>
      </w:r>
      <w:r>
        <w:rPr>
          <w:rFonts w:cstheme="minorHAnsi"/>
        </w:rPr>
        <w:t>Hoddle Grid.</w:t>
      </w:r>
    </w:p>
    <w:p w:rsidR="00A15395" w:rsidRDefault="00A15395" w:rsidP="007D1909">
      <w:pPr>
        <w:pStyle w:val="ListParagraph"/>
        <w:numPr>
          <w:ilvl w:val="0"/>
          <w:numId w:val="21"/>
        </w:numPr>
        <w:spacing w:after="120"/>
        <w:ind w:left="714" w:hanging="357"/>
        <w:contextualSpacing w:val="0"/>
        <w:rPr>
          <w:rFonts w:cstheme="minorHAnsi"/>
        </w:rPr>
      </w:pPr>
      <w:r w:rsidRPr="0099464A">
        <w:rPr>
          <w:rFonts w:cstheme="minorHAnsi"/>
        </w:rPr>
        <w:t>Average expenditure in hotels and clubs in the City of Melbourne is higher than the average expenditure for hotels and clubs in metropolitan municipalities in Victoria.</w:t>
      </w:r>
    </w:p>
    <w:p w:rsidR="00F10033" w:rsidRPr="00F10033" w:rsidRDefault="00F10033" w:rsidP="00F10033">
      <w:pPr>
        <w:rPr>
          <w:rFonts w:cstheme="minorHAnsi"/>
        </w:rPr>
      </w:pPr>
      <w:r>
        <w:rPr>
          <w:rFonts w:cstheme="minorHAnsi"/>
        </w:rPr>
        <w:t>This suggests that location in relation to public transport</w:t>
      </w:r>
      <w:r w:rsidR="00083A1E">
        <w:rPr>
          <w:rFonts w:cstheme="minorHAnsi"/>
        </w:rPr>
        <w:t xml:space="preserve"> hubs and shops, and venue type, for instance </w:t>
      </w:r>
      <w:r>
        <w:rPr>
          <w:rFonts w:cstheme="minorHAnsi"/>
        </w:rPr>
        <w:t>whether it is a club or a hotel are likely to have an influence on EGM expenditure.</w:t>
      </w:r>
    </w:p>
    <w:p w:rsidR="00A15395" w:rsidRDefault="00A15395" w:rsidP="00A15395">
      <w:pPr>
        <w:pStyle w:val="Caption"/>
        <w:rPr>
          <w:rFonts w:cstheme="minorHAnsi"/>
        </w:rPr>
      </w:pPr>
      <w:bookmarkStart w:id="37" w:name="_Toc494287811"/>
      <w:bookmarkEnd w:id="36"/>
      <w:r w:rsidRPr="0099464A">
        <w:rPr>
          <w:rFonts w:cstheme="minorHAnsi"/>
        </w:rPr>
        <w:t xml:space="preserve">Figure </w:t>
      </w:r>
      <w:r w:rsidRPr="0099464A">
        <w:rPr>
          <w:rFonts w:cstheme="minorHAnsi"/>
        </w:rPr>
        <w:fldChar w:fldCharType="begin"/>
      </w:r>
      <w:r w:rsidRPr="0099464A">
        <w:rPr>
          <w:rFonts w:cstheme="minorHAnsi"/>
        </w:rPr>
        <w:instrText xml:space="preserve"> SEQ Figure \* ARABIC </w:instrText>
      </w:r>
      <w:r w:rsidRPr="0099464A">
        <w:rPr>
          <w:rFonts w:cstheme="minorHAnsi"/>
        </w:rPr>
        <w:fldChar w:fldCharType="separate"/>
      </w:r>
      <w:r w:rsidR="002E7243">
        <w:rPr>
          <w:rFonts w:cstheme="minorHAnsi"/>
          <w:noProof/>
        </w:rPr>
        <w:t>7</w:t>
      </w:r>
      <w:r w:rsidRPr="0099464A">
        <w:rPr>
          <w:rFonts w:cstheme="minorHAnsi"/>
          <w:noProof/>
        </w:rPr>
        <w:fldChar w:fldCharType="end"/>
      </w:r>
      <w:r w:rsidRPr="0099464A">
        <w:rPr>
          <w:rFonts w:cstheme="minorHAnsi"/>
        </w:rPr>
        <w:t xml:space="preserve"> – Average expenditure clubs and hotels Melbourne compar</w:t>
      </w:r>
      <w:r w:rsidR="00083A1E">
        <w:rPr>
          <w:rFonts w:cstheme="minorHAnsi"/>
        </w:rPr>
        <w:t>ed with metropolitan LGAs, 2015-</w:t>
      </w:r>
      <w:r w:rsidRPr="0099464A">
        <w:rPr>
          <w:rFonts w:cstheme="minorHAnsi"/>
        </w:rPr>
        <w:t>16</w:t>
      </w:r>
      <w:bookmarkEnd w:id="37"/>
    </w:p>
    <w:p w:rsidR="00A15395" w:rsidRPr="00116E19" w:rsidRDefault="00A15395" w:rsidP="00A15395">
      <w:r>
        <w:rPr>
          <w:noProof/>
          <w:lang w:eastAsia="en-AU"/>
        </w:rPr>
        <w:drawing>
          <wp:inline distT="0" distB="0" distL="0" distR="0" wp14:anchorId="44D2530D" wp14:editId="53C8E014">
            <wp:extent cx="5748143" cy="2695575"/>
            <wp:effectExtent l="0" t="0" r="5080" b="9525"/>
            <wp:docPr id="4" name="Chart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DAFF1C14-D960-4732-8540-7BAF158643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A15395" w:rsidRPr="0099464A" w:rsidRDefault="00A15395" w:rsidP="00A15395">
      <w:pPr>
        <w:rPr>
          <w:rFonts w:cstheme="minorHAnsi"/>
        </w:rPr>
      </w:pPr>
      <w:r w:rsidRPr="0099464A">
        <w:rPr>
          <w:rFonts w:cstheme="minorHAnsi"/>
        </w:rPr>
        <w:t>Source: VCGLR</w:t>
      </w:r>
    </w:p>
    <w:p w:rsidR="00A15395" w:rsidRPr="0099464A" w:rsidRDefault="00A15395" w:rsidP="00A15395">
      <w:pPr>
        <w:rPr>
          <w:rFonts w:cstheme="minorHAnsi"/>
        </w:rPr>
      </w:pPr>
      <w:r w:rsidRPr="0099464A">
        <w:rPr>
          <w:rFonts w:cstheme="minorHAnsi"/>
        </w:rPr>
        <w:t>Analysis of expenditure per gaming venue in the Financial Year 2015</w:t>
      </w:r>
      <w:r w:rsidR="00083A1E">
        <w:rPr>
          <w:rFonts w:cstheme="minorHAnsi"/>
        </w:rPr>
        <w:t>-</w:t>
      </w:r>
      <w:r w:rsidRPr="0099464A">
        <w:rPr>
          <w:rFonts w:cstheme="minorHAnsi"/>
        </w:rPr>
        <w:t>16 illustrates the following (refer to Figure</w:t>
      </w:r>
      <w:r w:rsidR="00083A1E">
        <w:rPr>
          <w:rFonts w:cstheme="minorHAnsi"/>
        </w:rPr>
        <w:t>s 8</w:t>
      </w:r>
      <w:r w:rsidR="00592DC4">
        <w:rPr>
          <w:rFonts w:cstheme="minorHAnsi"/>
        </w:rPr>
        <w:t xml:space="preserve"> and </w:t>
      </w:r>
      <w:r w:rsidR="00083A1E">
        <w:rPr>
          <w:rFonts w:cstheme="minorHAnsi"/>
        </w:rPr>
        <w:t>9</w:t>
      </w:r>
      <w:r w:rsidRPr="0099464A">
        <w:rPr>
          <w:rFonts w:cstheme="minorHAnsi"/>
        </w:rPr>
        <w:t>)</w:t>
      </w:r>
    </w:p>
    <w:p w:rsidR="00A15395" w:rsidRPr="0099464A" w:rsidRDefault="00A15395" w:rsidP="007D1909">
      <w:pPr>
        <w:pStyle w:val="ListParagraph"/>
        <w:numPr>
          <w:ilvl w:val="0"/>
          <w:numId w:val="22"/>
        </w:numPr>
        <w:spacing w:after="120"/>
        <w:ind w:left="714" w:hanging="357"/>
        <w:contextualSpacing w:val="0"/>
        <w:rPr>
          <w:rFonts w:cstheme="minorHAnsi"/>
        </w:rPr>
      </w:pPr>
      <w:r>
        <w:rPr>
          <w:rFonts w:cstheme="minorHAnsi"/>
        </w:rPr>
        <w:t>E</w:t>
      </w:r>
      <w:r w:rsidRPr="0099464A">
        <w:rPr>
          <w:rFonts w:cstheme="minorHAnsi"/>
        </w:rPr>
        <w:t xml:space="preserve">xpenditure </w:t>
      </w:r>
      <w:r>
        <w:rPr>
          <w:rFonts w:cstheme="minorHAnsi"/>
        </w:rPr>
        <w:t>per attached EGM entitlement is typically lower in clubs than hotels</w:t>
      </w:r>
      <w:r w:rsidR="00700AC2">
        <w:rPr>
          <w:rFonts w:cstheme="minorHAnsi"/>
        </w:rPr>
        <w:t>, as it is typically across metropolitan Melbourne and Victoria. This suggests</w:t>
      </w:r>
      <w:r>
        <w:rPr>
          <w:rFonts w:cstheme="minorHAnsi"/>
        </w:rPr>
        <w:t xml:space="preserve"> that certain operational factors associated with </w:t>
      </w:r>
      <w:r w:rsidR="00AA4757">
        <w:rPr>
          <w:rFonts w:cstheme="minorHAnsi"/>
        </w:rPr>
        <w:t>clubs may influence expenditure</w:t>
      </w:r>
      <w:r>
        <w:rPr>
          <w:rFonts w:cstheme="minorHAnsi"/>
        </w:rPr>
        <w:t xml:space="preserve"> (refer to Figure </w:t>
      </w:r>
      <w:r w:rsidR="00AA4757">
        <w:rPr>
          <w:rFonts w:cstheme="minorHAnsi"/>
        </w:rPr>
        <w:t>9</w:t>
      </w:r>
      <w:r>
        <w:rPr>
          <w:rFonts w:cstheme="minorHAnsi"/>
        </w:rPr>
        <w:t>).</w:t>
      </w:r>
    </w:p>
    <w:p w:rsidR="00A15395" w:rsidRDefault="00A15395" w:rsidP="007D1909">
      <w:pPr>
        <w:pStyle w:val="ListParagraph"/>
        <w:numPr>
          <w:ilvl w:val="0"/>
          <w:numId w:val="22"/>
        </w:numPr>
        <w:spacing w:after="120"/>
        <w:ind w:left="714" w:hanging="357"/>
        <w:contextualSpacing w:val="0"/>
        <w:rPr>
          <w:rFonts w:cstheme="minorHAnsi"/>
        </w:rPr>
      </w:pPr>
      <w:r>
        <w:rPr>
          <w:rFonts w:cstheme="minorHAnsi"/>
        </w:rPr>
        <w:t>The number of attached EGM entitlements does not necessarily determine total EGM expenditure at the venue, suggesting that factors other than size such as location have a greater influence</w:t>
      </w:r>
      <w:r w:rsidR="00700AC2">
        <w:rPr>
          <w:rFonts w:cstheme="minorHAnsi"/>
        </w:rPr>
        <w:t xml:space="preserve"> </w:t>
      </w:r>
      <w:r w:rsidR="00397AF4">
        <w:rPr>
          <w:rFonts w:cstheme="minorHAnsi"/>
        </w:rPr>
        <w:t xml:space="preserve">(refer to Figure </w:t>
      </w:r>
      <w:r w:rsidR="00AA4757">
        <w:rPr>
          <w:rFonts w:cstheme="minorHAnsi"/>
        </w:rPr>
        <w:t>10</w:t>
      </w:r>
      <w:r w:rsidR="00397AF4">
        <w:rPr>
          <w:rFonts w:cstheme="minorHAnsi"/>
        </w:rPr>
        <w:t>)</w:t>
      </w:r>
      <w:r w:rsidR="00AA4757">
        <w:rPr>
          <w:rFonts w:cstheme="minorHAnsi"/>
        </w:rPr>
        <w:t>.</w:t>
      </w:r>
    </w:p>
    <w:p w:rsidR="00A15395" w:rsidRPr="0099464A" w:rsidRDefault="00A15395" w:rsidP="00A15395">
      <w:pPr>
        <w:pStyle w:val="Caption"/>
        <w:rPr>
          <w:rFonts w:cstheme="minorHAnsi"/>
        </w:rPr>
      </w:pPr>
      <w:bookmarkStart w:id="38" w:name="_Toc494287812"/>
      <w:r w:rsidRPr="0099464A">
        <w:rPr>
          <w:rFonts w:cstheme="minorHAnsi"/>
        </w:rPr>
        <w:t xml:space="preserve">Figure </w:t>
      </w:r>
      <w:r w:rsidRPr="0099464A">
        <w:rPr>
          <w:rFonts w:cstheme="minorHAnsi"/>
        </w:rPr>
        <w:fldChar w:fldCharType="begin"/>
      </w:r>
      <w:r w:rsidRPr="0099464A">
        <w:rPr>
          <w:rFonts w:cstheme="minorHAnsi"/>
        </w:rPr>
        <w:instrText xml:space="preserve"> SEQ Figure \* ARABIC </w:instrText>
      </w:r>
      <w:r w:rsidRPr="0099464A">
        <w:rPr>
          <w:rFonts w:cstheme="minorHAnsi"/>
        </w:rPr>
        <w:fldChar w:fldCharType="separate"/>
      </w:r>
      <w:r w:rsidR="002E7243">
        <w:rPr>
          <w:rFonts w:cstheme="minorHAnsi"/>
          <w:noProof/>
        </w:rPr>
        <w:t>8</w:t>
      </w:r>
      <w:r w:rsidRPr="0099464A">
        <w:rPr>
          <w:rFonts w:cstheme="minorHAnsi"/>
          <w:noProof/>
        </w:rPr>
        <w:fldChar w:fldCharType="end"/>
      </w:r>
      <w:r w:rsidRPr="0099464A">
        <w:rPr>
          <w:rFonts w:cstheme="minorHAnsi"/>
        </w:rPr>
        <w:t xml:space="preserve"> – Expenditure per attached EGM entitlement, 2015</w:t>
      </w:r>
      <w:r w:rsidR="00083A1E">
        <w:rPr>
          <w:rFonts w:cstheme="minorHAnsi"/>
        </w:rPr>
        <w:t>-</w:t>
      </w:r>
      <w:r w:rsidRPr="0099464A">
        <w:rPr>
          <w:rFonts w:cstheme="minorHAnsi"/>
        </w:rPr>
        <w:t>16</w:t>
      </w:r>
      <w:bookmarkEnd w:id="38"/>
    </w:p>
    <w:p w:rsidR="00A15395" w:rsidRDefault="00A15395" w:rsidP="00A15395">
      <w:pPr>
        <w:rPr>
          <w:rFonts w:cstheme="minorHAnsi"/>
        </w:rPr>
      </w:pPr>
      <w:r w:rsidRPr="0099464A">
        <w:rPr>
          <w:rFonts w:cstheme="minorHAnsi"/>
          <w:noProof/>
          <w:lang w:eastAsia="en-AU"/>
        </w:rPr>
        <w:drawing>
          <wp:inline distT="0" distB="0" distL="0" distR="0" wp14:anchorId="5C494E9C" wp14:editId="03598D5E">
            <wp:extent cx="5613149" cy="2921635"/>
            <wp:effectExtent l="0" t="0" r="6985" b="12065"/>
            <wp:docPr id="6" name="Chart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tblGrid>
      <w:tr w:rsidR="00A15395" w:rsidTr="00B13088">
        <w:tc>
          <w:tcPr>
            <w:tcW w:w="2254" w:type="dxa"/>
            <w:shd w:val="clear" w:color="auto" w:fill="4F81BD" w:themeFill="accent1"/>
          </w:tcPr>
          <w:p w:rsidR="00A15395" w:rsidRDefault="00A15395" w:rsidP="00E813E9">
            <w:pPr>
              <w:rPr>
                <w:rFonts w:cstheme="minorHAnsi"/>
              </w:rPr>
            </w:pPr>
            <w:r>
              <w:rPr>
                <w:rFonts w:cstheme="minorHAnsi"/>
              </w:rPr>
              <w:t>Hotels</w:t>
            </w:r>
          </w:p>
        </w:tc>
        <w:tc>
          <w:tcPr>
            <w:tcW w:w="2254" w:type="dxa"/>
            <w:shd w:val="clear" w:color="auto" w:fill="92D050"/>
          </w:tcPr>
          <w:p w:rsidR="00A15395" w:rsidRDefault="00A15395" w:rsidP="00E813E9">
            <w:pPr>
              <w:rPr>
                <w:rFonts w:cstheme="minorHAnsi"/>
              </w:rPr>
            </w:pPr>
            <w:r>
              <w:rPr>
                <w:rFonts w:cstheme="minorHAnsi"/>
              </w:rPr>
              <w:t>Clubs</w:t>
            </w:r>
          </w:p>
        </w:tc>
      </w:tr>
    </w:tbl>
    <w:p w:rsidR="00A15395" w:rsidRPr="0099464A" w:rsidRDefault="00A15395" w:rsidP="00A15395">
      <w:pPr>
        <w:rPr>
          <w:rFonts w:cstheme="minorHAnsi"/>
        </w:rPr>
      </w:pPr>
      <w:r>
        <w:rPr>
          <w:rFonts w:cstheme="minorHAnsi"/>
        </w:rPr>
        <w:t>Source: VCGLR</w:t>
      </w:r>
    </w:p>
    <w:p w:rsidR="00A15395" w:rsidRDefault="00A15395" w:rsidP="00A15395">
      <w:pPr>
        <w:pStyle w:val="Caption"/>
        <w:rPr>
          <w:rFonts w:cstheme="minorHAnsi"/>
        </w:rPr>
      </w:pPr>
      <w:bookmarkStart w:id="39" w:name="_Toc494287813"/>
      <w:r w:rsidRPr="0099464A">
        <w:rPr>
          <w:rFonts w:cstheme="minorHAnsi"/>
        </w:rPr>
        <w:t xml:space="preserve">Figure </w:t>
      </w:r>
      <w:r w:rsidRPr="0099464A">
        <w:rPr>
          <w:rFonts w:cstheme="minorHAnsi"/>
        </w:rPr>
        <w:fldChar w:fldCharType="begin"/>
      </w:r>
      <w:r w:rsidRPr="0099464A">
        <w:rPr>
          <w:rFonts w:cstheme="minorHAnsi"/>
        </w:rPr>
        <w:instrText xml:space="preserve"> SEQ Figure \* ARABIC </w:instrText>
      </w:r>
      <w:r w:rsidRPr="0099464A">
        <w:rPr>
          <w:rFonts w:cstheme="minorHAnsi"/>
        </w:rPr>
        <w:fldChar w:fldCharType="separate"/>
      </w:r>
      <w:r w:rsidR="002E7243">
        <w:rPr>
          <w:rFonts w:cstheme="minorHAnsi"/>
          <w:noProof/>
        </w:rPr>
        <w:t>9</w:t>
      </w:r>
      <w:r w:rsidRPr="0099464A">
        <w:rPr>
          <w:rFonts w:cstheme="minorHAnsi"/>
          <w:noProof/>
        </w:rPr>
        <w:fldChar w:fldCharType="end"/>
      </w:r>
      <w:r w:rsidRPr="0099464A">
        <w:rPr>
          <w:rFonts w:cstheme="minorHAnsi"/>
        </w:rPr>
        <w:t xml:space="preserve"> - Expenditure </w:t>
      </w:r>
      <w:r>
        <w:rPr>
          <w:rFonts w:cstheme="minorHAnsi"/>
        </w:rPr>
        <w:t>per gaming venue, and number of attached EGM entitlements, City of Melbourne,</w:t>
      </w:r>
      <w:r w:rsidR="00083A1E">
        <w:rPr>
          <w:rFonts w:cstheme="minorHAnsi"/>
        </w:rPr>
        <w:t xml:space="preserve"> 2015-</w:t>
      </w:r>
      <w:r w:rsidRPr="0099464A">
        <w:rPr>
          <w:rFonts w:cstheme="minorHAnsi"/>
        </w:rPr>
        <w:t>16</w:t>
      </w:r>
      <w:bookmarkEnd w:id="39"/>
    </w:p>
    <w:p w:rsidR="00A15395" w:rsidRPr="008A7D9D" w:rsidRDefault="00A15395" w:rsidP="00A15395">
      <w:r>
        <w:rPr>
          <w:noProof/>
          <w:lang w:eastAsia="en-AU"/>
        </w:rPr>
        <w:drawing>
          <wp:inline distT="0" distB="0" distL="0" distR="0" wp14:anchorId="1D9108B2" wp14:editId="674806A1">
            <wp:extent cx="5753100" cy="3819379"/>
            <wp:effectExtent l="0" t="0" r="19050" b="10160"/>
            <wp:docPr id="7" name="Chart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50AB5B77-ED0E-459C-88A0-33C72423C0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15395" w:rsidRDefault="00A15395" w:rsidP="00A15395">
      <w:pPr>
        <w:rPr>
          <w:rFonts w:cstheme="minorHAnsi"/>
        </w:rPr>
      </w:pPr>
      <w:r>
        <w:rPr>
          <w:rFonts w:cstheme="minorHAnsi"/>
        </w:rPr>
        <w:t>Source: VCGLR</w:t>
      </w:r>
    </w:p>
    <w:p w:rsidR="00BA26FE" w:rsidRDefault="00BA26FE" w:rsidP="00A7367D">
      <w:pPr>
        <w:pStyle w:val="Heading4"/>
      </w:pPr>
      <w:r>
        <w:t>Key features</w:t>
      </w:r>
    </w:p>
    <w:p w:rsidR="00A7367D" w:rsidRDefault="00A7367D" w:rsidP="00BA26FE">
      <w:bookmarkStart w:id="40" w:name="_Hlk489968814"/>
      <w:r>
        <w:t xml:space="preserve">Discussions with the key stakeholders, </w:t>
      </w:r>
      <w:r w:rsidR="002253E6">
        <w:t xml:space="preserve">the review of the regulatory and statutory framework, </w:t>
      </w:r>
      <w:r>
        <w:t>and the site inspection of each of the gaming venues highlighted both similarities and differences between the gaming venues in the City of Melbourne and gaming venues in suburban and regional municipalities in Victoria.</w:t>
      </w:r>
    </w:p>
    <w:p w:rsidR="00A7367D" w:rsidRDefault="00A7367D" w:rsidP="00BA26FE">
      <w:r>
        <w:t>The similarities included the following:</w:t>
      </w:r>
    </w:p>
    <w:p w:rsidR="00BA26FE" w:rsidRPr="00817E3F" w:rsidRDefault="00BA26FE" w:rsidP="007D1909">
      <w:pPr>
        <w:pStyle w:val="ListParagraph"/>
        <w:numPr>
          <w:ilvl w:val="0"/>
          <w:numId w:val="62"/>
        </w:numPr>
        <w:spacing w:after="120"/>
        <w:contextualSpacing w:val="0"/>
      </w:pPr>
      <w:r w:rsidRPr="00817E3F">
        <w:rPr>
          <w:rFonts w:cstheme="minorHAnsi"/>
          <w:shd w:val="clear" w:color="auto" w:fill="FFFFFF"/>
        </w:rPr>
        <w:t xml:space="preserve">All gaming venues are required to have a liquor licence. </w:t>
      </w:r>
      <w:r>
        <w:rPr>
          <w:rFonts w:cstheme="minorHAnsi"/>
          <w:shd w:val="clear" w:color="auto" w:fill="FFFFFF"/>
        </w:rPr>
        <w:t>The operating hours for the gaming venue may not exceed those per</w:t>
      </w:r>
      <w:r w:rsidR="0033013A">
        <w:rPr>
          <w:rFonts w:cstheme="minorHAnsi"/>
          <w:shd w:val="clear" w:color="auto" w:fill="FFFFFF"/>
        </w:rPr>
        <w:t>mitted under the liquor licence</w:t>
      </w:r>
    </w:p>
    <w:p w:rsidR="00BA26FE" w:rsidRPr="00817E3F" w:rsidRDefault="00BA26FE" w:rsidP="007D1909">
      <w:pPr>
        <w:pStyle w:val="ListParagraph"/>
        <w:numPr>
          <w:ilvl w:val="0"/>
          <w:numId w:val="62"/>
        </w:numPr>
        <w:spacing w:after="120"/>
        <w:contextualSpacing w:val="0"/>
        <w:rPr>
          <w:rFonts w:cstheme="minorHAnsi"/>
        </w:rPr>
      </w:pPr>
      <w:r w:rsidRPr="00817E3F">
        <w:rPr>
          <w:rFonts w:cstheme="minorHAnsi"/>
        </w:rPr>
        <w:t xml:space="preserve">The hotels operate under general licences while the clubs operate under full club or on premises licences. General liquor licences permit the sale and consumption of alcohol both on and off the premises. Full club liquor licences permit the sale of alcohol for consumption on the premises to all patrons and sale of alcohol for consumption off the premises to club members. The on-premises liquor licence permits the sale and consumption </w:t>
      </w:r>
      <w:r w:rsidR="0033013A">
        <w:rPr>
          <w:rFonts w:cstheme="minorHAnsi"/>
        </w:rPr>
        <w:t>of alcohol on the premises only</w:t>
      </w:r>
    </w:p>
    <w:p w:rsidR="00BA26FE" w:rsidRDefault="00BA26FE" w:rsidP="007D1909">
      <w:pPr>
        <w:pStyle w:val="ListParagraph"/>
        <w:numPr>
          <w:ilvl w:val="0"/>
          <w:numId w:val="62"/>
        </w:numPr>
        <w:spacing w:after="120"/>
        <w:contextualSpacing w:val="0"/>
        <w:rPr>
          <w:rFonts w:cstheme="minorHAnsi"/>
        </w:rPr>
      </w:pPr>
      <w:r w:rsidRPr="00817E3F">
        <w:rPr>
          <w:rFonts w:cstheme="minorHAnsi"/>
        </w:rPr>
        <w:t>The operating hours for the hotel venues operating under a late night general liquor licence are typically between 7am and 3am over the weekends, with shorter operating hours in some</w:t>
      </w:r>
      <w:r w:rsidR="0033013A">
        <w:rPr>
          <w:rFonts w:cstheme="minorHAnsi"/>
        </w:rPr>
        <w:t xml:space="preserve"> of the venues during the week</w:t>
      </w:r>
    </w:p>
    <w:p w:rsidR="00BA26FE" w:rsidRPr="00817E3F" w:rsidRDefault="00BA26FE" w:rsidP="007D1909">
      <w:pPr>
        <w:pStyle w:val="ListParagraph"/>
        <w:numPr>
          <w:ilvl w:val="0"/>
          <w:numId w:val="62"/>
        </w:numPr>
        <w:spacing w:after="120"/>
        <w:contextualSpacing w:val="0"/>
        <w:rPr>
          <w:rFonts w:cstheme="minorHAnsi"/>
        </w:rPr>
      </w:pPr>
      <w:r w:rsidRPr="00817E3F">
        <w:rPr>
          <w:rFonts w:cstheme="minorHAnsi"/>
        </w:rPr>
        <w:t>In general the club venues have shorter operating hour</w:t>
      </w:r>
      <w:r w:rsidR="0033013A">
        <w:rPr>
          <w:rFonts w:cstheme="minorHAnsi"/>
        </w:rPr>
        <w:t>s, particularly during the week</w:t>
      </w:r>
    </w:p>
    <w:p w:rsidR="00BA26FE" w:rsidRPr="00817E3F" w:rsidRDefault="00BA26FE" w:rsidP="007D1909">
      <w:pPr>
        <w:pStyle w:val="ListParagraph"/>
        <w:numPr>
          <w:ilvl w:val="0"/>
          <w:numId w:val="62"/>
        </w:numPr>
        <w:spacing w:after="120"/>
        <w:contextualSpacing w:val="0"/>
        <w:rPr>
          <w:rFonts w:cstheme="minorHAnsi"/>
        </w:rPr>
      </w:pPr>
      <w:r w:rsidRPr="00817E3F">
        <w:rPr>
          <w:rFonts w:cstheme="minorHAnsi"/>
        </w:rPr>
        <w:t xml:space="preserve">The promotion and advertising of gaming is prohibited under the </w:t>
      </w:r>
      <w:r w:rsidRPr="00817E3F">
        <w:rPr>
          <w:rFonts w:cstheme="minorHAnsi"/>
          <w:i/>
          <w:shd w:val="clear" w:color="auto" w:fill="FFFFFF"/>
        </w:rPr>
        <w:t>Gambling Regulation Act 2003</w:t>
      </w:r>
      <w:r w:rsidRPr="00817E3F">
        <w:rPr>
          <w:rFonts w:cstheme="minorHAnsi"/>
          <w:shd w:val="clear" w:color="auto" w:fill="FFFFFF"/>
        </w:rPr>
        <w:t xml:space="preserve">. </w:t>
      </w:r>
      <w:r w:rsidRPr="00817E3F">
        <w:rPr>
          <w:rFonts w:cstheme="minorHAnsi"/>
        </w:rPr>
        <w:t xml:space="preserve">A number of venues in the municipality, as with suburban venues, offer membership rewards program’s cards which provide rewards on money spent in the venue, including in the gaming lounge. The membership rewards programs permit the promotion, advertising and marketing of all products offered at the venue, including gaming and </w:t>
      </w:r>
      <w:r w:rsidR="006D76C5">
        <w:rPr>
          <w:rFonts w:cstheme="minorHAnsi"/>
        </w:rPr>
        <w:t>EGMs</w:t>
      </w:r>
    </w:p>
    <w:p w:rsidR="00BA26FE" w:rsidRDefault="00BA26FE" w:rsidP="007D1909">
      <w:pPr>
        <w:pStyle w:val="ListParagraph"/>
        <w:numPr>
          <w:ilvl w:val="0"/>
          <w:numId w:val="62"/>
        </w:numPr>
        <w:spacing w:after="120"/>
        <w:contextualSpacing w:val="0"/>
        <w:rPr>
          <w:rFonts w:cstheme="minorHAnsi"/>
        </w:rPr>
      </w:pPr>
      <w:r w:rsidRPr="00834191">
        <w:rPr>
          <w:rFonts w:cstheme="minorHAnsi"/>
        </w:rPr>
        <w:t>Signage is located on both the front an</w:t>
      </w:r>
      <w:r w:rsidR="0033013A">
        <w:rPr>
          <w:rFonts w:cstheme="minorHAnsi"/>
        </w:rPr>
        <w:t>d side facades of the buildings</w:t>
      </w:r>
    </w:p>
    <w:p w:rsidR="00BA26FE" w:rsidRDefault="00BA26FE" w:rsidP="007D1909">
      <w:pPr>
        <w:pStyle w:val="ListParagraph"/>
        <w:numPr>
          <w:ilvl w:val="0"/>
          <w:numId w:val="62"/>
        </w:numPr>
        <w:spacing w:after="120"/>
        <w:contextualSpacing w:val="0"/>
        <w:rPr>
          <w:rFonts w:cstheme="minorHAnsi"/>
        </w:rPr>
      </w:pPr>
      <w:r w:rsidRPr="00834191">
        <w:rPr>
          <w:rFonts w:cstheme="minorHAnsi"/>
        </w:rPr>
        <w:t>The range of non-gaming entertainment and leisure activities typically includes live entertainment, sports bars, bi</w:t>
      </w:r>
      <w:r w:rsidR="0033013A">
        <w:rPr>
          <w:rFonts w:cstheme="minorHAnsi"/>
        </w:rPr>
        <w:t>stro, dining and function rooms</w:t>
      </w:r>
    </w:p>
    <w:p w:rsidR="00BA26FE" w:rsidRDefault="00BA26FE" w:rsidP="007D1909">
      <w:pPr>
        <w:pStyle w:val="ListParagraph"/>
        <w:numPr>
          <w:ilvl w:val="0"/>
          <w:numId w:val="62"/>
        </w:numPr>
        <w:spacing w:after="120"/>
        <w:contextualSpacing w:val="0"/>
        <w:rPr>
          <w:rFonts w:cstheme="minorHAnsi"/>
        </w:rPr>
      </w:pPr>
      <w:r>
        <w:rPr>
          <w:rFonts w:cstheme="minorHAnsi"/>
        </w:rPr>
        <w:t>The</w:t>
      </w:r>
      <w:r w:rsidRPr="00834191">
        <w:rPr>
          <w:rFonts w:cstheme="minorHAnsi"/>
        </w:rPr>
        <w:t xml:space="preserve"> venues provide a range of other gambling </w:t>
      </w:r>
      <w:r w:rsidR="0033013A">
        <w:rPr>
          <w:rFonts w:cstheme="minorHAnsi"/>
        </w:rPr>
        <w:t>activities such as TAB and Keno</w:t>
      </w:r>
    </w:p>
    <w:p w:rsidR="00BA26FE" w:rsidRPr="00817E3F" w:rsidRDefault="00BA26FE" w:rsidP="007D1909">
      <w:pPr>
        <w:pStyle w:val="ListParagraph"/>
        <w:numPr>
          <w:ilvl w:val="0"/>
          <w:numId w:val="62"/>
        </w:numPr>
        <w:rPr>
          <w:rFonts w:cstheme="minorHAnsi"/>
        </w:rPr>
      </w:pPr>
      <w:r>
        <w:rPr>
          <w:rFonts w:cstheme="minorHAnsi"/>
        </w:rPr>
        <w:t>E</w:t>
      </w:r>
      <w:r w:rsidRPr="00817E3F">
        <w:rPr>
          <w:rFonts w:cstheme="minorHAnsi"/>
        </w:rPr>
        <w:t>xternal access to the venue is through a single entrance and internal access to the gaming lounge is through the bistro and/or public sports bar areas.</w:t>
      </w:r>
    </w:p>
    <w:p w:rsidR="00BA26FE" w:rsidRDefault="00BA26FE" w:rsidP="00BA26FE">
      <w:bookmarkStart w:id="41" w:name="_Hlk490122640"/>
      <w:r>
        <w:t xml:space="preserve">However, the following features of </w:t>
      </w:r>
      <w:r w:rsidR="00BB10DE">
        <w:t>the</w:t>
      </w:r>
      <w:r w:rsidR="002253E6">
        <w:t xml:space="preserve"> regulatory framework,</w:t>
      </w:r>
      <w:r w:rsidR="00BB10DE">
        <w:t xml:space="preserve"> location, design and operation of the </w:t>
      </w:r>
      <w:r>
        <w:t>gaming venues in the City distinguish them from gaming venues in suburban municipalities:</w:t>
      </w:r>
    </w:p>
    <w:p w:rsidR="002253E6" w:rsidRDefault="002253E6" w:rsidP="007D1909">
      <w:pPr>
        <w:pStyle w:val="ListParagraph"/>
        <w:numPr>
          <w:ilvl w:val="0"/>
          <w:numId w:val="61"/>
        </w:numPr>
        <w:spacing w:after="120"/>
        <w:ind w:left="714" w:hanging="357"/>
        <w:contextualSpacing w:val="0"/>
      </w:pPr>
      <w:r>
        <w:t>The Capital City Zone is exempt from the prohibition of EGMs in strip shopping c</w:t>
      </w:r>
      <w:r w:rsidR="0033013A">
        <w:t>entres (refer to Section 4.3.4)</w:t>
      </w:r>
    </w:p>
    <w:bookmarkEnd w:id="41"/>
    <w:p w:rsidR="00D05BD4" w:rsidRDefault="00D05BD4" w:rsidP="007D1909">
      <w:pPr>
        <w:pStyle w:val="ListParagraph"/>
        <w:numPr>
          <w:ilvl w:val="0"/>
          <w:numId w:val="61"/>
        </w:numPr>
        <w:spacing w:after="120"/>
        <w:ind w:left="714" w:hanging="357"/>
        <w:contextualSpacing w:val="0"/>
      </w:pPr>
      <w:r>
        <w:t>The majority of the municipality’s gaming venues are located in an area that is not subject to either a municipal or regional cap on the number of EGMs. This means that there is no limit on the maximum numbers of EGMs that may operate in these venues, reducing Council’s capacity to manage the concentration and density of EGMs in this part of the municipa</w:t>
      </w:r>
      <w:r w:rsidR="0033013A">
        <w:t>lity</w:t>
      </w:r>
    </w:p>
    <w:p w:rsidR="00A660D9" w:rsidRDefault="00A660D9" w:rsidP="007D1909">
      <w:pPr>
        <w:pStyle w:val="ListParagraph"/>
        <w:numPr>
          <w:ilvl w:val="0"/>
          <w:numId w:val="61"/>
        </w:numPr>
        <w:spacing w:after="120"/>
        <w:ind w:left="714" w:hanging="357"/>
        <w:contextualSpacing w:val="0"/>
      </w:pPr>
      <w:r>
        <w:t xml:space="preserve">There is a </w:t>
      </w:r>
      <w:r w:rsidR="000827D5">
        <w:t>wider range of non-gambling social, leisure, recreational and entertainme</w:t>
      </w:r>
      <w:r w:rsidR="0033013A">
        <w:t>nt uses in the surrounding area</w:t>
      </w:r>
    </w:p>
    <w:p w:rsidR="00BB10DE" w:rsidRDefault="00BB10DE" w:rsidP="007D1909">
      <w:pPr>
        <w:pStyle w:val="ListParagraph"/>
        <w:numPr>
          <w:ilvl w:val="0"/>
          <w:numId w:val="61"/>
        </w:numPr>
        <w:spacing w:after="120"/>
        <w:ind w:left="714" w:hanging="357"/>
        <w:contextualSpacing w:val="0"/>
      </w:pPr>
      <w:r>
        <w:t xml:space="preserve">The ten gaming venues located in the </w:t>
      </w:r>
      <w:r w:rsidR="007B3C27">
        <w:t>Hoddle Grid</w:t>
      </w:r>
      <w:r>
        <w:t xml:space="preserve"> and Carlton function as both convenience and destination gaming venues. These venues are located in close proximity to shopping facilities and major public transport hubs and routes. However, they also function as ‘destination’ gaming venues as their catchment is large and includes people from metropolitan Melbourne, regional Victoria, Au</w:t>
      </w:r>
      <w:r w:rsidR="0033013A">
        <w:t>stralia and overseas</w:t>
      </w:r>
    </w:p>
    <w:p w:rsidR="0047575E" w:rsidRPr="00D05BD4" w:rsidRDefault="0047575E" w:rsidP="007D1909">
      <w:pPr>
        <w:pStyle w:val="ListParagraph"/>
        <w:numPr>
          <w:ilvl w:val="0"/>
          <w:numId w:val="61"/>
        </w:numPr>
        <w:spacing w:after="120"/>
        <w:ind w:left="714" w:hanging="357"/>
        <w:contextualSpacing w:val="0"/>
      </w:pPr>
      <w:r>
        <w:t>Crown Casino, which is regulated by a separate statutory instrument is located in the uncapped area of the municipality. The scale of this gambling venue significantly increases access to EGMs and all forms of gambling to the City’s users. Furthermore, the EGM expenditure and density figures for the City of Melbourne produced by the VCGLR do not incorporate the EGM expenditure and number of EGMs in Crown Casino. As a result, total EGM expenditure and density of EGMs in the City of Melbourne is much higher t</w:t>
      </w:r>
      <w:r w:rsidR="0033013A">
        <w:t>han described in the VCGLR data</w:t>
      </w:r>
    </w:p>
    <w:p w:rsidR="0047575E" w:rsidRDefault="0047575E" w:rsidP="007D1909">
      <w:pPr>
        <w:pStyle w:val="ListParagraph"/>
        <w:numPr>
          <w:ilvl w:val="0"/>
          <w:numId w:val="61"/>
        </w:numPr>
        <w:spacing w:after="120"/>
        <w:ind w:left="714" w:hanging="357"/>
        <w:contextualSpacing w:val="0"/>
      </w:pPr>
      <w:r>
        <w:t xml:space="preserve">Six of the 11 gaming venues are under the management of larger groups with the result that there are eight instead of 11 gaming operators. </w:t>
      </w:r>
      <w:r w:rsidR="00350F9D">
        <w:t>This</w:t>
      </w:r>
      <w:r>
        <w:t xml:space="preserve"> increases the potential for Council to work closely with the venue operators in the municipality (as there are less than there could be)</w:t>
      </w:r>
      <w:r w:rsidR="00350F9D">
        <w:t>. However</w:t>
      </w:r>
      <w:r>
        <w:t xml:space="preserve">, it also means that the operators who manage more than one venue have </w:t>
      </w:r>
      <w:r w:rsidR="00350F9D">
        <w:t>a larger stake in the gambli</w:t>
      </w:r>
      <w:r w:rsidR="0033013A">
        <w:t>ng industry in the municipality</w:t>
      </w:r>
    </w:p>
    <w:p w:rsidR="00EF3656" w:rsidRPr="0047575E" w:rsidRDefault="00EF3656" w:rsidP="007D1909">
      <w:pPr>
        <w:pStyle w:val="ListParagraph"/>
        <w:numPr>
          <w:ilvl w:val="0"/>
          <w:numId w:val="61"/>
        </w:numPr>
        <w:spacing w:after="120"/>
        <w:ind w:left="714" w:hanging="357"/>
        <w:contextualSpacing w:val="0"/>
      </w:pPr>
      <w:r>
        <w:t>There is little difference between the design and operation of hotel and club gaming venues in that they typically all provide the same range of gambling and non-gam</w:t>
      </w:r>
      <w:r w:rsidR="0033013A">
        <w:t>bling activities and facilities</w:t>
      </w:r>
    </w:p>
    <w:p w:rsidR="00BA26FE" w:rsidRPr="00817E3F" w:rsidRDefault="00BA26FE" w:rsidP="007D1909">
      <w:pPr>
        <w:pStyle w:val="ListParagraph"/>
        <w:numPr>
          <w:ilvl w:val="0"/>
          <w:numId w:val="61"/>
        </w:numPr>
        <w:spacing w:after="120"/>
        <w:ind w:left="714" w:hanging="357"/>
        <w:contextualSpacing w:val="0"/>
      </w:pPr>
      <w:r>
        <w:rPr>
          <w:rFonts w:cstheme="minorHAnsi"/>
        </w:rPr>
        <w:t xml:space="preserve">The gaming lounges are typically more visible from both the street and from within the venue </w:t>
      </w:r>
      <w:r w:rsidR="0033013A">
        <w:rPr>
          <w:rFonts w:cstheme="minorHAnsi"/>
        </w:rPr>
        <w:t>itself</w:t>
      </w:r>
    </w:p>
    <w:p w:rsidR="00BA26FE" w:rsidRPr="0047575E" w:rsidRDefault="00BA26FE" w:rsidP="007D1909">
      <w:pPr>
        <w:pStyle w:val="ListParagraph"/>
        <w:numPr>
          <w:ilvl w:val="0"/>
          <w:numId w:val="61"/>
        </w:numPr>
        <w:spacing w:after="120"/>
        <w:ind w:left="714" w:hanging="357"/>
        <w:contextualSpacing w:val="0"/>
      </w:pPr>
      <w:r>
        <w:rPr>
          <w:rFonts w:cstheme="minorHAnsi"/>
        </w:rPr>
        <w:t xml:space="preserve">They do not </w:t>
      </w:r>
      <w:r w:rsidRPr="00834191">
        <w:rPr>
          <w:rFonts w:cstheme="minorHAnsi"/>
        </w:rPr>
        <w:t>typically provide car parking, children’s play areas or recreational activitie</w:t>
      </w:r>
      <w:r w:rsidR="0033013A">
        <w:rPr>
          <w:rFonts w:cstheme="minorHAnsi"/>
        </w:rPr>
        <w:t>s such as bowls, tennis or golf</w:t>
      </w:r>
    </w:p>
    <w:p w:rsidR="0047575E" w:rsidRPr="00817E3F" w:rsidRDefault="0047575E" w:rsidP="007D1909">
      <w:pPr>
        <w:pStyle w:val="ListParagraph"/>
        <w:numPr>
          <w:ilvl w:val="0"/>
          <w:numId w:val="61"/>
        </w:numPr>
        <w:spacing w:after="120"/>
        <w:ind w:left="714" w:hanging="357"/>
        <w:contextualSpacing w:val="0"/>
      </w:pPr>
      <w:r>
        <w:rPr>
          <w:rFonts w:cstheme="minorHAnsi"/>
        </w:rPr>
        <w:t>They are located on smaller parcels of land which limits their capacity for expansion and provision of a range of non-gamblin</w:t>
      </w:r>
      <w:r w:rsidR="0033013A">
        <w:rPr>
          <w:rFonts w:cstheme="minorHAnsi"/>
        </w:rPr>
        <w:t>g activities</w:t>
      </w:r>
    </w:p>
    <w:p w:rsidR="00BA26FE" w:rsidRPr="00817E3F" w:rsidRDefault="00BA26FE" w:rsidP="007D1909">
      <w:pPr>
        <w:pStyle w:val="ListParagraph"/>
        <w:numPr>
          <w:ilvl w:val="0"/>
          <w:numId w:val="61"/>
        </w:numPr>
        <w:spacing w:after="120"/>
        <w:ind w:left="714" w:hanging="357"/>
        <w:contextualSpacing w:val="0"/>
      </w:pPr>
      <w:r>
        <w:rPr>
          <w:rFonts w:cstheme="minorHAnsi"/>
        </w:rPr>
        <w:t xml:space="preserve">They may apply </w:t>
      </w:r>
      <w:r w:rsidR="0033013A">
        <w:rPr>
          <w:rFonts w:cstheme="minorHAnsi"/>
        </w:rPr>
        <w:t>to operate for 24 hours per day</w:t>
      </w:r>
    </w:p>
    <w:p w:rsidR="00BA26FE" w:rsidRDefault="00BA26FE" w:rsidP="007D1909">
      <w:pPr>
        <w:pStyle w:val="ListParagraph"/>
        <w:numPr>
          <w:ilvl w:val="0"/>
          <w:numId w:val="61"/>
        </w:numPr>
        <w:spacing w:after="120"/>
        <w:ind w:left="714" w:hanging="357"/>
        <w:contextualSpacing w:val="0"/>
      </w:pPr>
      <w:r>
        <w:t>The patron profile</w:t>
      </w:r>
      <w:r w:rsidR="00752DF5">
        <w:t xml:space="preserve"> and membership base (in the case of club venues)</w:t>
      </w:r>
      <w:r>
        <w:t xml:space="preserve"> is more diverse</w:t>
      </w:r>
      <w:r w:rsidR="00752DF5">
        <w:t xml:space="preserve">, </w:t>
      </w:r>
      <w:r>
        <w:t xml:space="preserve">transient </w:t>
      </w:r>
      <w:r w:rsidR="00752DF5">
        <w:t xml:space="preserve">and comes from a wider catchment </w:t>
      </w:r>
      <w:r>
        <w:t xml:space="preserve">because the patrons </w:t>
      </w:r>
      <w:r w:rsidR="00752DF5">
        <w:t xml:space="preserve">from gaming venues in the City </w:t>
      </w:r>
      <w:r>
        <w:t>are drawn predominantly from non-residents</w:t>
      </w:r>
      <w:r w:rsidR="0033013A">
        <w:t xml:space="preserve"> including workers and visitors</w:t>
      </w:r>
    </w:p>
    <w:p w:rsidR="0012589C" w:rsidRDefault="0012589C" w:rsidP="007D1909">
      <w:pPr>
        <w:pStyle w:val="ListParagraph"/>
        <w:numPr>
          <w:ilvl w:val="0"/>
          <w:numId w:val="61"/>
        </w:numPr>
        <w:spacing w:after="120"/>
        <w:ind w:left="714" w:hanging="357"/>
        <w:contextualSpacing w:val="0"/>
      </w:pPr>
      <w:r>
        <w:t xml:space="preserve">Most of the venues are busier during the weekdays compared with the weekends, even though </w:t>
      </w:r>
      <w:r w:rsidR="00F40C00">
        <w:t xml:space="preserve">weekend patronage is stimulated </w:t>
      </w:r>
      <w:r w:rsidR="0033013A">
        <w:t>by sporting and cultural events</w:t>
      </w:r>
    </w:p>
    <w:p w:rsidR="00BA26FE" w:rsidRPr="001618D4" w:rsidRDefault="00BA26FE" w:rsidP="007D1909">
      <w:pPr>
        <w:pStyle w:val="ListParagraph"/>
        <w:numPr>
          <w:ilvl w:val="0"/>
          <w:numId w:val="61"/>
        </w:numPr>
        <w:spacing w:after="120"/>
        <w:ind w:left="714" w:hanging="357"/>
        <w:contextualSpacing w:val="0"/>
      </w:pPr>
      <w:r>
        <w:t xml:space="preserve">Utilisation rates are more variable, reflecting the diverse patron profile, with venues located more central being busier during the working week while venues located close to the two train stations and major sports and arts precincts being busier over the weekend. </w:t>
      </w:r>
    </w:p>
    <w:p w:rsidR="00706330" w:rsidRPr="0099464A" w:rsidRDefault="00706330" w:rsidP="00FC5226">
      <w:pPr>
        <w:pStyle w:val="Heading2"/>
      </w:pPr>
      <w:bookmarkStart w:id="42" w:name="_Toc494287757"/>
      <w:bookmarkEnd w:id="40"/>
      <w:r w:rsidRPr="0099464A">
        <w:t>Crown Casino</w:t>
      </w:r>
      <w:bookmarkEnd w:id="42"/>
    </w:p>
    <w:p w:rsidR="00706330" w:rsidRPr="0099464A" w:rsidRDefault="00706330" w:rsidP="00706330">
      <w:pPr>
        <w:rPr>
          <w:rFonts w:cstheme="minorHAnsi"/>
        </w:rPr>
      </w:pPr>
      <w:r w:rsidRPr="0099464A">
        <w:rPr>
          <w:rFonts w:cstheme="minorHAnsi"/>
        </w:rPr>
        <w:t>Australia is the fifth largest casino market in the world, following U</w:t>
      </w:r>
      <w:r w:rsidR="006C461C">
        <w:rPr>
          <w:rFonts w:cstheme="minorHAnsi"/>
        </w:rPr>
        <w:t>nited States</w:t>
      </w:r>
      <w:r w:rsidRPr="0099464A">
        <w:rPr>
          <w:rFonts w:cstheme="minorHAnsi"/>
        </w:rPr>
        <w:t>, Macau, Canada and Singapore.</w:t>
      </w:r>
      <w:r w:rsidRPr="0099464A">
        <w:rPr>
          <w:rFonts w:cstheme="minorHAnsi"/>
          <w:color w:val="222222"/>
          <w:shd w:val="clear" w:color="auto" w:fill="FFFFFF"/>
        </w:rPr>
        <w:t xml:space="preserve"> </w:t>
      </w:r>
      <w:bookmarkStart w:id="43" w:name="_Hlk482959549"/>
      <w:r w:rsidRPr="0099464A">
        <w:rPr>
          <w:rFonts w:cstheme="minorHAnsi"/>
        </w:rPr>
        <w:t>Crown Casino</w:t>
      </w:r>
      <w:r>
        <w:rPr>
          <w:rFonts w:cstheme="minorHAnsi"/>
        </w:rPr>
        <w:t>, which is the only casino in Victoria,</w:t>
      </w:r>
      <w:r w:rsidRPr="0099464A">
        <w:rPr>
          <w:rFonts w:cstheme="minorHAnsi"/>
        </w:rPr>
        <w:t xml:space="preserve"> is the 11</w:t>
      </w:r>
      <w:r w:rsidRPr="0099464A">
        <w:rPr>
          <w:rFonts w:cstheme="minorHAnsi"/>
          <w:vertAlign w:val="superscript"/>
        </w:rPr>
        <w:t>th</w:t>
      </w:r>
      <w:r w:rsidRPr="0099464A">
        <w:rPr>
          <w:rFonts w:cstheme="minorHAnsi"/>
        </w:rPr>
        <w:t xml:space="preserve"> large</w:t>
      </w:r>
      <w:r w:rsidR="006C461C">
        <w:rPr>
          <w:rFonts w:cstheme="minorHAnsi"/>
        </w:rPr>
        <w:t>st</w:t>
      </w:r>
      <w:r w:rsidRPr="0099464A">
        <w:rPr>
          <w:rFonts w:cstheme="minorHAnsi"/>
        </w:rPr>
        <w:t xml:space="preserve"> casino in the world and its revenue is more than twice that of the largest in Las Vegas. </w:t>
      </w:r>
      <w:r w:rsidRPr="0099464A">
        <w:rPr>
          <w:rFonts w:cstheme="minorHAnsi"/>
          <w:color w:val="222222"/>
          <w:shd w:val="clear" w:color="auto" w:fill="FFFFFF"/>
        </w:rPr>
        <w:t>Between July 2013 and June 2014, 19 million people visited Crown Melbourne and a tota</w:t>
      </w:r>
      <w:r w:rsidR="006D76C5">
        <w:rPr>
          <w:rFonts w:cstheme="minorHAnsi"/>
          <w:color w:val="222222"/>
          <w:shd w:val="clear" w:color="auto" w:fill="FFFFFF"/>
        </w:rPr>
        <w:t>l of $1.99 billion was lost on EGM</w:t>
      </w:r>
      <w:r w:rsidRPr="0099464A">
        <w:rPr>
          <w:rFonts w:cstheme="minorHAnsi"/>
          <w:color w:val="222222"/>
          <w:shd w:val="clear" w:color="auto" w:fill="FFFFFF"/>
        </w:rPr>
        <w:t>s and table games.</w:t>
      </w:r>
      <w:r w:rsidRPr="0099464A">
        <w:rPr>
          <w:rStyle w:val="FootnoteReference"/>
          <w:rFonts w:cstheme="minorHAnsi"/>
        </w:rPr>
        <w:footnoteReference w:id="15"/>
      </w:r>
      <w:r w:rsidRPr="0099464A">
        <w:rPr>
          <w:rFonts w:cstheme="minorHAnsi"/>
          <w:color w:val="222222"/>
          <w:shd w:val="clear" w:color="auto" w:fill="FFFFFF"/>
        </w:rPr>
        <w:t xml:space="preserve"> At present, Crown Casino is licensed to operate </w:t>
      </w:r>
      <w:r w:rsidRPr="0099464A">
        <w:rPr>
          <w:rFonts w:cstheme="minorHAnsi"/>
        </w:rPr>
        <w:t>2,628 EGMs.</w:t>
      </w:r>
      <w:bookmarkEnd w:id="43"/>
    </w:p>
    <w:p w:rsidR="00706330" w:rsidRPr="0099464A" w:rsidRDefault="006C461C" w:rsidP="00706330">
      <w:pPr>
        <w:rPr>
          <w:rFonts w:cstheme="minorHAnsi"/>
        </w:rPr>
      </w:pPr>
      <w:r>
        <w:rPr>
          <w:rFonts w:cstheme="minorHAnsi"/>
        </w:rPr>
        <w:t>The Casino</w:t>
      </w:r>
      <w:r w:rsidR="00706330" w:rsidRPr="0099464A">
        <w:rPr>
          <w:rFonts w:cstheme="minorHAnsi"/>
        </w:rPr>
        <w:t xml:space="preserve"> is located in Southbank, to the south of the </w:t>
      </w:r>
      <w:r w:rsidR="007B3C27">
        <w:rPr>
          <w:rFonts w:cstheme="minorHAnsi"/>
        </w:rPr>
        <w:t>Hoddle Grid</w:t>
      </w:r>
      <w:r w:rsidR="00706330" w:rsidRPr="0099464A">
        <w:rPr>
          <w:rFonts w:cstheme="minorHAnsi"/>
        </w:rPr>
        <w:t xml:space="preserve"> and the Yarra River</w:t>
      </w:r>
      <w:r w:rsidR="00826C39">
        <w:rPr>
          <w:rFonts w:cstheme="minorHAnsi"/>
        </w:rPr>
        <w:t>, and in close proximity to the City of Port Phillip</w:t>
      </w:r>
      <w:r w:rsidR="00706330" w:rsidRPr="0099464A">
        <w:rPr>
          <w:rFonts w:cstheme="minorHAnsi"/>
        </w:rPr>
        <w:t xml:space="preserve">. It is integrated into the Crown Casino Entertainment Complex which includes hotels, shops, cafes and restaurants, cinemas and live entertainment. This Complex forms part of a wider entertainment precinct comprised of the Melbourne Exhibition Centre, Melbourne Convention Centre and Melbourne Aquarium. It is also located within 800m of the arts precinct comprised of Hamer Hall, Victorian Arts Centre, NGV International, and Victorian College of The Arts (refer to Figure </w:t>
      </w:r>
      <w:r w:rsidR="001D22CC">
        <w:rPr>
          <w:rFonts w:cstheme="minorHAnsi"/>
        </w:rPr>
        <w:t>11</w:t>
      </w:r>
      <w:r w:rsidR="00706330" w:rsidRPr="0099464A">
        <w:rPr>
          <w:rFonts w:cstheme="minorHAnsi"/>
        </w:rPr>
        <w:t>).</w:t>
      </w:r>
      <w:r w:rsidR="00E74A70">
        <w:rPr>
          <w:rFonts w:cstheme="minorHAnsi"/>
        </w:rPr>
        <w:t xml:space="preserve"> </w:t>
      </w:r>
      <w:r w:rsidR="00706330" w:rsidRPr="0099464A">
        <w:rPr>
          <w:rFonts w:cstheme="minorHAnsi"/>
        </w:rPr>
        <w:t xml:space="preserve">These precincts, together with the sports facility at Docklands Stadium and sports precinct comprised of the Melbourne Cricket Ground, Melbourne Park and AAMI Park, are key destinations for metropolitan, regional, state, national and international visitors. </w:t>
      </w:r>
    </w:p>
    <w:p w:rsidR="00A2233C" w:rsidRDefault="00706330" w:rsidP="00706330">
      <w:pPr>
        <w:rPr>
          <w:rFonts w:cstheme="minorHAnsi"/>
        </w:rPr>
      </w:pPr>
      <w:r w:rsidRPr="0099464A">
        <w:rPr>
          <w:rFonts w:cstheme="minorHAnsi"/>
        </w:rPr>
        <w:t>Crown Casino</w:t>
      </w:r>
      <w:r w:rsidR="006C461C">
        <w:rPr>
          <w:rFonts w:cstheme="minorHAnsi"/>
        </w:rPr>
        <w:t xml:space="preserve"> </w:t>
      </w:r>
      <w:r w:rsidRPr="0099464A">
        <w:rPr>
          <w:rFonts w:cstheme="minorHAnsi"/>
        </w:rPr>
        <w:t xml:space="preserve">offers a wide range of casino table games in addition to </w:t>
      </w:r>
      <w:r w:rsidR="006D76C5">
        <w:rPr>
          <w:rFonts w:cstheme="minorHAnsi"/>
          <w:color w:val="222222"/>
          <w:shd w:val="clear" w:color="auto" w:fill="FFFFFF"/>
        </w:rPr>
        <w:t>EGM</w:t>
      </w:r>
      <w:r w:rsidRPr="0099464A">
        <w:rPr>
          <w:rFonts w:cstheme="minorHAnsi"/>
        </w:rPr>
        <w:t>s</w:t>
      </w:r>
      <w:r w:rsidR="006C461C">
        <w:rPr>
          <w:rFonts w:cstheme="minorHAnsi"/>
        </w:rPr>
        <w:t xml:space="preserve">. In addition, </w:t>
      </w:r>
      <w:r w:rsidRPr="0099464A">
        <w:rPr>
          <w:rFonts w:cstheme="minorHAnsi"/>
        </w:rPr>
        <w:t>the Crown VIP Gaming facilities provide an enhanced program of gambling activities and table game limits</w:t>
      </w:r>
      <w:r w:rsidR="006C461C">
        <w:rPr>
          <w:rFonts w:cstheme="minorHAnsi"/>
        </w:rPr>
        <w:t xml:space="preserve"> and the rewards program </w:t>
      </w:r>
      <w:r w:rsidRPr="0099464A">
        <w:rPr>
          <w:rFonts w:cstheme="minorHAnsi"/>
        </w:rPr>
        <w:t>may be redeemed on a range of activities and facilities such as retail, food and beverages, table games and hotel accommodation, include online gambling at CrownBet.</w:t>
      </w:r>
      <w:r w:rsidRPr="0099464A">
        <w:rPr>
          <w:rStyle w:val="FootnoteReference"/>
          <w:rFonts w:cstheme="minorHAnsi"/>
        </w:rPr>
        <w:footnoteReference w:id="16"/>
      </w:r>
    </w:p>
    <w:p w:rsidR="00706330" w:rsidRPr="0099464A" w:rsidRDefault="00A2233C" w:rsidP="00706330">
      <w:pPr>
        <w:rPr>
          <w:rFonts w:cstheme="minorHAnsi"/>
        </w:rPr>
      </w:pPr>
      <w:r>
        <w:rPr>
          <w:rFonts w:cstheme="minorHAnsi"/>
        </w:rPr>
        <w:t>The scale of the facility, range of gambling activities and its proximity to public transport, cultural and arts precincts and the adjoining municipality of Port Phillip mean that the Casino is likely to attract a diverse patron profile from a wide catchment. However, its proximity to other venues in the municipality, and the fact that the hotel and club gaming venues also serve a wide catchment and diverse patron profile mean that the Casino is</w:t>
      </w:r>
      <w:r w:rsidR="006C461C">
        <w:rPr>
          <w:rFonts w:cstheme="minorHAnsi"/>
        </w:rPr>
        <w:t xml:space="preserve"> likely to </w:t>
      </w:r>
      <w:r w:rsidR="006D795D">
        <w:rPr>
          <w:rFonts w:cstheme="minorHAnsi"/>
        </w:rPr>
        <w:t>act as a major competitor to the hotel and club gaming venues in the municipalit</w:t>
      </w:r>
      <w:r>
        <w:rPr>
          <w:rFonts w:cstheme="minorHAnsi"/>
        </w:rPr>
        <w:t xml:space="preserve">y. These factors, in addition to the expenditure on EGMs at the Casino need to be taken into account when assessing the overall accessibility to gambling activities in the municipality. </w:t>
      </w:r>
    </w:p>
    <w:p w:rsidR="00706330" w:rsidRDefault="00706330" w:rsidP="00706330">
      <w:pPr>
        <w:pStyle w:val="Caption"/>
        <w:rPr>
          <w:rFonts w:cstheme="minorHAnsi"/>
        </w:rPr>
      </w:pPr>
      <w:bookmarkStart w:id="44" w:name="_Toc494287814"/>
      <w:r w:rsidRPr="00C94C6C">
        <w:rPr>
          <w:rFonts w:cstheme="minorHAnsi"/>
        </w:rPr>
        <w:t xml:space="preserve">Figure </w:t>
      </w:r>
      <w:r w:rsidRPr="00C94C6C">
        <w:rPr>
          <w:rFonts w:cstheme="minorHAnsi"/>
        </w:rPr>
        <w:fldChar w:fldCharType="begin"/>
      </w:r>
      <w:r w:rsidRPr="00C94C6C">
        <w:rPr>
          <w:rFonts w:cstheme="minorHAnsi"/>
        </w:rPr>
        <w:instrText xml:space="preserve"> SEQ Figure \* ARABIC </w:instrText>
      </w:r>
      <w:r w:rsidRPr="00C94C6C">
        <w:rPr>
          <w:rFonts w:cstheme="minorHAnsi"/>
        </w:rPr>
        <w:fldChar w:fldCharType="separate"/>
      </w:r>
      <w:r w:rsidR="002E7243">
        <w:rPr>
          <w:rFonts w:cstheme="minorHAnsi"/>
          <w:noProof/>
        </w:rPr>
        <w:t>10</w:t>
      </w:r>
      <w:r w:rsidRPr="00C94C6C">
        <w:rPr>
          <w:rFonts w:cstheme="minorHAnsi"/>
          <w:noProof/>
        </w:rPr>
        <w:fldChar w:fldCharType="end"/>
      </w:r>
      <w:r w:rsidRPr="00C94C6C">
        <w:rPr>
          <w:rFonts w:cstheme="minorHAnsi"/>
        </w:rPr>
        <w:t xml:space="preserve"> – Crown Casino location</w:t>
      </w:r>
      <w:bookmarkEnd w:id="44"/>
    </w:p>
    <w:p w:rsidR="00706330" w:rsidRDefault="00706330" w:rsidP="00706330">
      <w:r>
        <w:rPr>
          <w:noProof/>
          <w:lang w:eastAsia="en-AU"/>
        </w:rPr>
        <mc:AlternateContent>
          <mc:Choice Requires="wps">
            <w:drawing>
              <wp:anchor distT="0" distB="0" distL="114300" distR="114300" simplePos="0" relativeHeight="251700224" behindDoc="0" locked="0" layoutInCell="1" allowOverlap="1" wp14:anchorId="15473DA5" wp14:editId="6914A926">
                <wp:simplePos x="0" y="0"/>
                <wp:positionH relativeFrom="column">
                  <wp:posOffset>3327991</wp:posOffset>
                </wp:positionH>
                <wp:positionV relativeFrom="paragraph">
                  <wp:posOffset>3892580</wp:posOffset>
                </wp:positionV>
                <wp:extent cx="223283" cy="223283"/>
                <wp:effectExtent l="19050" t="38100" r="43815" b="43815"/>
                <wp:wrapNone/>
                <wp:docPr id="43" name="Star: 5 Points 43"/>
                <wp:cNvGraphicFramePr/>
                <a:graphic xmlns:a="http://schemas.openxmlformats.org/drawingml/2006/main">
                  <a:graphicData uri="http://schemas.microsoft.com/office/word/2010/wordprocessingShape">
                    <wps:wsp>
                      <wps:cNvSpPr/>
                      <wps:spPr>
                        <a:xfrm>
                          <a:off x="0" y="0"/>
                          <a:ext cx="223283" cy="223283"/>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ar: 5 Points 43" o:spid="_x0000_s1026" style="position:absolute;margin-left:262.05pt;margin-top:306.5pt;width:17.6pt;height:17.6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223283,22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" path="m,85286r85287,1l111642,r26354,85287l223283,85286r-68999,52710l180640,223282,111642,170572,42643,223282,68999,137996,,85286xe" fillcolor="#4f81bd [3204]" strokecolor="#243f60 [1604]" strokeweight="2pt">
                <v:path arrowok="t" o:connecttype="custom" o:connectlocs="0,85286;85287,85287;111642,0;137996,85287;223283,85286;154284,137996;180640,223282;111642,170572;42643,223282;68999,137996;0,85286" o:connectangles="0,0,0,0,0,0,0,0,0,0,0"/>
              </v:shape>
            </w:pict>
          </mc:Fallback>
        </mc:AlternateContent>
      </w:r>
      <w:r>
        <w:rPr>
          <w:noProof/>
          <w:lang w:eastAsia="en-AU"/>
        </w:rPr>
        <w:drawing>
          <wp:inline distT="0" distB="0" distL="0" distR="0" wp14:anchorId="58A9F836" wp14:editId="0BA40E8E">
            <wp:extent cx="5731510" cy="5281295"/>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528129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706330" w:rsidTr="009A2020">
        <w:tc>
          <w:tcPr>
            <w:tcW w:w="2254" w:type="dxa"/>
          </w:tcPr>
          <w:p w:rsidR="00706330" w:rsidRDefault="00706330" w:rsidP="009A2020">
            <w:r>
              <w:t>Gaming venues</w:t>
            </w:r>
          </w:p>
        </w:tc>
        <w:tc>
          <w:tcPr>
            <w:tcW w:w="2254" w:type="dxa"/>
          </w:tcPr>
          <w:p w:rsidR="00706330" w:rsidRDefault="00706330" w:rsidP="009A2020">
            <w:r>
              <w:rPr>
                <w:noProof/>
                <w:lang w:eastAsia="en-AU"/>
              </w:rPr>
              <mc:AlternateContent>
                <mc:Choice Requires="wps">
                  <w:drawing>
                    <wp:anchor distT="0" distB="0" distL="114300" distR="114300" simplePos="0" relativeHeight="251701248" behindDoc="0" locked="0" layoutInCell="1" allowOverlap="1" wp14:anchorId="2FCF1662" wp14:editId="369A7B4E">
                      <wp:simplePos x="0" y="0"/>
                      <wp:positionH relativeFrom="column">
                        <wp:posOffset>6778</wp:posOffset>
                      </wp:positionH>
                      <wp:positionV relativeFrom="paragraph">
                        <wp:posOffset>27925</wp:posOffset>
                      </wp:positionV>
                      <wp:extent cx="233917" cy="180754"/>
                      <wp:effectExtent l="0" t="0" r="13970" b="10160"/>
                      <wp:wrapNone/>
                      <wp:docPr id="54" name="Isosceles Triangle 54"/>
                      <wp:cNvGraphicFramePr/>
                      <a:graphic xmlns:a="http://schemas.openxmlformats.org/drawingml/2006/main">
                        <a:graphicData uri="http://schemas.microsoft.com/office/word/2010/wordprocessingShape">
                          <wps:wsp>
                            <wps:cNvSpPr/>
                            <wps:spPr>
                              <a:xfrm>
                                <a:off x="0" y="0"/>
                                <a:ext cx="233917" cy="180754"/>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4" o:spid="_x0000_s1026" type="#_x0000_t5" style="position:absolute;margin-left:.55pt;margin-top:2.2pt;width:18.4pt;height:14.2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" fillcolor="#92d050" strokecolor="#92d050" strokeweight="2pt"/>
                  </w:pict>
                </mc:Fallback>
              </mc:AlternateContent>
            </w:r>
          </w:p>
        </w:tc>
        <w:tc>
          <w:tcPr>
            <w:tcW w:w="2254" w:type="dxa"/>
          </w:tcPr>
          <w:p w:rsidR="00706330" w:rsidRDefault="00706330" w:rsidP="009A2020">
            <w:r>
              <w:t>Crown Casino</w:t>
            </w:r>
          </w:p>
        </w:tc>
        <w:tc>
          <w:tcPr>
            <w:tcW w:w="2254" w:type="dxa"/>
          </w:tcPr>
          <w:p w:rsidR="00706330" w:rsidRDefault="00706330" w:rsidP="009A2020">
            <w:r>
              <w:rPr>
                <w:noProof/>
                <w:lang w:eastAsia="en-AU"/>
              </w:rPr>
              <mc:AlternateContent>
                <mc:Choice Requires="wps">
                  <w:drawing>
                    <wp:anchor distT="0" distB="0" distL="114300" distR="114300" simplePos="0" relativeHeight="251702272" behindDoc="0" locked="0" layoutInCell="1" allowOverlap="1" wp14:anchorId="5F7920AC" wp14:editId="44E74F4F">
                      <wp:simplePos x="0" y="0"/>
                      <wp:positionH relativeFrom="column">
                        <wp:posOffset>-4445</wp:posOffset>
                      </wp:positionH>
                      <wp:positionV relativeFrom="paragraph">
                        <wp:posOffset>47625</wp:posOffset>
                      </wp:positionV>
                      <wp:extent cx="223283" cy="223283"/>
                      <wp:effectExtent l="19050" t="38100" r="43815" b="43815"/>
                      <wp:wrapNone/>
                      <wp:docPr id="55" name="Star: 5 Points 55"/>
                      <wp:cNvGraphicFramePr/>
                      <a:graphic xmlns:a="http://schemas.openxmlformats.org/drawingml/2006/main">
                        <a:graphicData uri="http://schemas.microsoft.com/office/word/2010/wordprocessingShape">
                          <wps:wsp>
                            <wps:cNvSpPr/>
                            <wps:spPr>
                              <a:xfrm>
                                <a:off x="0" y="0"/>
                                <a:ext cx="223283" cy="223283"/>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ar: 5 Points 55" o:spid="_x0000_s1026" style="position:absolute;margin-left:-.35pt;margin-top:3.75pt;width:17.6pt;height:17.6pt;z-index:251702272;visibility:visible;mso-wrap-style:square;mso-wrap-distance-left:9pt;mso-wrap-distance-top:0;mso-wrap-distance-right:9pt;mso-wrap-distance-bottom:0;mso-position-horizontal:absolute;mso-position-horizontal-relative:text;mso-position-vertical:absolute;mso-position-vertical-relative:text;v-text-anchor:middle" coordsize="223283,223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" path="m,85286r85287,1l111642,r26354,85287l223283,85286r-68999,52710l180640,223282,111642,170572,42643,223282,68999,137996,,85286xe" fillcolor="#4f81bd [3204]" strokecolor="#243f60 [1604]" strokeweight="2pt">
                      <v:path arrowok="t" o:connecttype="custom" o:connectlocs="0,85286;85287,85287;111642,0;137996,85287;223283,85286;154284,137996;180640,223282;111642,170572;42643,223282;68999,137996;0,85286" o:connectangles="0,0,0,0,0,0,0,0,0,0,0"/>
                    </v:shape>
                  </w:pict>
                </mc:Fallback>
              </mc:AlternateContent>
            </w:r>
          </w:p>
        </w:tc>
      </w:tr>
    </w:tbl>
    <w:p w:rsidR="00706330" w:rsidRPr="009A2020" w:rsidRDefault="00706330" w:rsidP="00706330">
      <w:r>
        <w:t>Source: VCGLR</w:t>
      </w:r>
    </w:p>
    <w:p w:rsidR="00706330" w:rsidRPr="0099464A" w:rsidRDefault="00706330" w:rsidP="00706330">
      <w:pPr>
        <w:rPr>
          <w:rFonts w:cstheme="minorHAnsi"/>
        </w:rPr>
      </w:pPr>
      <w:r w:rsidRPr="0099464A">
        <w:rPr>
          <w:rFonts w:cstheme="minorHAnsi"/>
        </w:rPr>
        <w:t xml:space="preserve">Source: maps.melbourne.vic.gov.au </w:t>
      </w:r>
    </w:p>
    <w:p w:rsidR="00706330" w:rsidRDefault="008F68AA" w:rsidP="00FC5226">
      <w:pPr>
        <w:pStyle w:val="Heading2"/>
      </w:pPr>
      <w:bookmarkStart w:id="45" w:name="_Toc494287758"/>
      <w:r>
        <w:t>Keno and wagering venues</w:t>
      </w:r>
      <w:bookmarkEnd w:id="45"/>
    </w:p>
    <w:p w:rsidR="00706330" w:rsidRDefault="00706330" w:rsidP="00706330">
      <w:r>
        <w:t>A number of existing facilities offering other gambling activities such as Keno and wagering</w:t>
      </w:r>
      <w:r w:rsidR="00E74A70">
        <w:t>/sports betting</w:t>
      </w:r>
      <w:r>
        <w:t xml:space="preserve"> are distributed throughout the municipality. Some of these facilities also operate as gaming venues (refer to Figure </w:t>
      </w:r>
      <w:r w:rsidR="001D22CC">
        <w:t>12</w:t>
      </w:r>
      <w:r>
        <w:t xml:space="preserve">). </w:t>
      </w:r>
    </w:p>
    <w:p w:rsidR="00706330" w:rsidRPr="0099464A" w:rsidRDefault="00E74A70" w:rsidP="00E74A70">
      <w:pPr>
        <w:pStyle w:val="Caption"/>
        <w:rPr>
          <w:rFonts w:cstheme="minorHAnsi"/>
        </w:rPr>
      </w:pPr>
      <w:bookmarkStart w:id="46" w:name="_Toc494287815"/>
      <w:r>
        <w:t xml:space="preserve">Figure </w:t>
      </w:r>
      <w:r w:rsidR="00802F28">
        <w:fldChar w:fldCharType="begin"/>
      </w:r>
      <w:r w:rsidR="00802F28">
        <w:instrText xml:space="preserve"> SEQ Figure \* ARABIC </w:instrText>
      </w:r>
      <w:r w:rsidR="00802F28">
        <w:fldChar w:fldCharType="separate"/>
      </w:r>
      <w:r w:rsidR="002E7243">
        <w:rPr>
          <w:noProof/>
        </w:rPr>
        <w:t>11</w:t>
      </w:r>
      <w:r w:rsidR="00802F28">
        <w:rPr>
          <w:noProof/>
        </w:rPr>
        <w:fldChar w:fldCharType="end"/>
      </w:r>
      <w:r>
        <w:t xml:space="preserve"> – Keno and wagering (sports betting) facilities</w:t>
      </w:r>
      <w:bookmarkEnd w:id="46"/>
    </w:p>
    <w:p w:rsidR="00706330" w:rsidRDefault="00706330" w:rsidP="00706330">
      <w:pPr>
        <w:rPr>
          <w:rFonts w:cstheme="minorHAnsi"/>
        </w:rPr>
      </w:pPr>
      <w:r>
        <w:rPr>
          <w:rFonts w:cstheme="minorHAnsi"/>
          <w:noProof/>
          <w:lang w:eastAsia="en-AU"/>
        </w:rPr>
        <mc:AlternateContent>
          <mc:Choice Requires="wps">
            <w:drawing>
              <wp:anchor distT="0" distB="0" distL="114300" distR="114300" simplePos="0" relativeHeight="251719680" behindDoc="0" locked="0" layoutInCell="1" allowOverlap="1" wp14:anchorId="78DA67F5" wp14:editId="6DD30F2C">
                <wp:simplePos x="0" y="0"/>
                <wp:positionH relativeFrom="column">
                  <wp:posOffset>2723641</wp:posOffset>
                </wp:positionH>
                <wp:positionV relativeFrom="paragraph">
                  <wp:posOffset>2974928</wp:posOffset>
                </wp:positionV>
                <wp:extent cx="195268" cy="146695"/>
                <wp:effectExtent l="38100" t="19050" r="33655" b="43815"/>
                <wp:wrapNone/>
                <wp:docPr id="56" name="Star: 5 Points 56"/>
                <wp:cNvGraphicFramePr/>
                <a:graphic xmlns:a="http://schemas.openxmlformats.org/drawingml/2006/main">
                  <a:graphicData uri="http://schemas.microsoft.com/office/word/2010/wordprocessingShape">
                    <wps:wsp>
                      <wps:cNvSpPr/>
                      <wps:spPr>
                        <a:xfrm>
                          <a:off x="0" y="0"/>
                          <a:ext cx="195268" cy="14669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ar: 5 Points 56" o:spid="_x0000_s1026" style="position:absolute;margin-left:214.45pt;margin-top:234.25pt;width:15.4pt;height:11.5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195268,14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" path="m,56032r74586,1l97634,r23048,56033l195268,56032,134926,90662r23049,56033l97634,112064,37293,146695,60342,90662,,56032xe" fillcolor="#4f81bd [3204]" strokecolor="#243f60 [1604]" strokeweight="2pt">
                <v:path arrowok="t" o:connecttype="custom" o:connectlocs="0,56032;74586,56033;97634,0;120682,56033;195268,56032;134926,90662;157975,146695;97634,112064;37293,146695;60342,90662;0,56032" o:connectangles="0,0,0,0,0,0,0,0,0,0,0"/>
              </v:shape>
            </w:pict>
          </mc:Fallback>
        </mc:AlternateContent>
      </w:r>
      <w:r>
        <w:rPr>
          <w:rFonts w:cstheme="minorHAnsi"/>
          <w:noProof/>
          <w:lang w:eastAsia="en-AU"/>
        </w:rPr>
        <mc:AlternateContent>
          <mc:Choice Requires="wps">
            <w:drawing>
              <wp:anchor distT="0" distB="0" distL="114300" distR="114300" simplePos="0" relativeHeight="251705344" behindDoc="0" locked="0" layoutInCell="1" allowOverlap="1" wp14:anchorId="54F9FDD9" wp14:editId="158C5935">
                <wp:simplePos x="0" y="0"/>
                <wp:positionH relativeFrom="column">
                  <wp:posOffset>3208867</wp:posOffset>
                </wp:positionH>
                <wp:positionV relativeFrom="paragraph">
                  <wp:posOffset>2032212</wp:posOffset>
                </wp:positionV>
                <wp:extent cx="132025" cy="122246"/>
                <wp:effectExtent l="0" t="0" r="20955" b="11430"/>
                <wp:wrapNone/>
                <wp:docPr id="57" name="Oval 57"/>
                <wp:cNvGraphicFramePr/>
                <a:graphic xmlns:a="http://schemas.openxmlformats.org/drawingml/2006/main">
                  <a:graphicData uri="http://schemas.microsoft.com/office/word/2010/wordprocessingShape">
                    <wps:wsp>
                      <wps:cNvSpPr/>
                      <wps:spPr>
                        <a:xfrm>
                          <a:off x="0" y="0"/>
                          <a:ext cx="132025" cy="12224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7" o:spid="_x0000_s1026" style="position:absolute;margin-left:252.65pt;margin-top:160pt;width:10.4pt;height:9.6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" filled="f" strokecolor="#243f60 [1604]" strokeweight="2pt"/>
            </w:pict>
          </mc:Fallback>
        </mc:AlternateContent>
      </w:r>
      <w:r>
        <w:rPr>
          <w:rFonts w:cstheme="minorHAnsi"/>
          <w:noProof/>
          <w:lang w:eastAsia="en-AU"/>
        </w:rPr>
        <mc:AlternateContent>
          <mc:Choice Requires="wps">
            <w:drawing>
              <wp:anchor distT="0" distB="0" distL="114300" distR="114300" simplePos="0" relativeHeight="251706368" behindDoc="0" locked="0" layoutInCell="1" allowOverlap="1" wp14:anchorId="444704E5" wp14:editId="73939955">
                <wp:simplePos x="0" y="0"/>
                <wp:positionH relativeFrom="column">
                  <wp:posOffset>3281442</wp:posOffset>
                </wp:positionH>
                <wp:positionV relativeFrom="paragraph">
                  <wp:posOffset>2104896</wp:posOffset>
                </wp:positionV>
                <wp:extent cx="132025" cy="122246"/>
                <wp:effectExtent l="0" t="0" r="20955" b="11430"/>
                <wp:wrapNone/>
                <wp:docPr id="58" name="Oval 58"/>
                <wp:cNvGraphicFramePr/>
                <a:graphic xmlns:a="http://schemas.openxmlformats.org/drawingml/2006/main">
                  <a:graphicData uri="http://schemas.microsoft.com/office/word/2010/wordprocessingShape">
                    <wps:wsp>
                      <wps:cNvSpPr/>
                      <wps:spPr>
                        <a:xfrm>
                          <a:off x="0" y="0"/>
                          <a:ext cx="132025" cy="12224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8" o:spid="_x0000_s1026" style="position:absolute;margin-left:258.4pt;margin-top:165.75pt;width:10.4pt;height:9.6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" filled="f" strokecolor="#243f60 [1604]" strokeweight="2pt"/>
            </w:pict>
          </mc:Fallback>
        </mc:AlternateContent>
      </w:r>
      <w:r>
        <w:rPr>
          <w:rFonts w:cstheme="minorHAnsi"/>
          <w:noProof/>
          <w:lang w:eastAsia="en-AU"/>
        </w:rPr>
        <mc:AlternateContent>
          <mc:Choice Requires="wps">
            <w:drawing>
              <wp:anchor distT="0" distB="0" distL="114300" distR="114300" simplePos="0" relativeHeight="251707392" behindDoc="0" locked="0" layoutInCell="1" allowOverlap="1" wp14:anchorId="006E5169" wp14:editId="2335E29E">
                <wp:simplePos x="0" y="0"/>
                <wp:positionH relativeFrom="column">
                  <wp:posOffset>3150177</wp:posOffset>
                </wp:positionH>
                <wp:positionV relativeFrom="paragraph">
                  <wp:posOffset>2080627</wp:posOffset>
                </wp:positionV>
                <wp:extent cx="132025" cy="122246"/>
                <wp:effectExtent l="0" t="0" r="20955" b="11430"/>
                <wp:wrapNone/>
                <wp:docPr id="59" name="Oval 59"/>
                <wp:cNvGraphicFramePr/>
                <a:graphic xmlns:a="http://schemas.openxmlformats.org/drawingml/2006/main">
                  <a:graphicData uri="http://schemas.microsoft.com/office/word/2010/wordprocessingShape">
                    <wps:wsp>
                      <wps:cNvSpPr/>
                      <wps:spPr>
                        <a:xfrm>
                          <a:off x="0" y="0"/>
                          <a:ext cx="132025" cy="12224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9" o:spid="_x0000_s1026" style="position:absolute;margin-left:248.05pt;margin-top:163.85pt;width:10.4pt;height:9.6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" filled="f" strokecolor="#243f60 [1604]" strokeweight="2pt"/>
            </w:pict>
          </mc:Fallback>
        </mc:AlternateContent>
      </w:r>
      <w:r>
        <w:rPr>
          <w:rFonts w:cstheme="minorHAnsi"/>
          <w:noProof/>
          <w:lang w:eastAsia="en-AU"/>
        </w:rPr>
        <mc:AlternateContent>
          <mc:Choice Requires="wps">
            <w:drawing>
              <wp:anchor distT="0" distB="0" distL="114300" distR="114300" simplePos="0" relativeHeight="251708416" behindDoc="0" locked="0" layoutInCell="1" allowOverlap="1" wp14:anchorId="65438716" wp14:editId="6AA24B77">
                <wp:simplePos x="0" y="0"/>
                <wp:positionH relativeFrom="column">
                  <wp:posOffset>3032420</wp:posOffset>
                </wp:positionH>
                <wp:positionV relativeFrom="paragraph">
                  <wp:posOffset>1909988</wp:posOffset>
                </wp:positionV>
                <wp:extent cx="132025" cy="122246"/>
                <wp:effectExtent l="0" t="0" r="20955" b="11430"/>
                <wp:wrapNone/>
                <wp:docPr id="60" name="Oval 60"/>
                <wp:cNvGraphicFramePr/>
                <a:graphic xmlns:a="http://schemas.openxmlformats.org/drawingml/2006/main">
                  <a:graphicData uri="http://schemas.microsoft.com/office/word/2010/wordprocessingShape">
                    <wps:wsp>
                      <wps:cNvSpPr/>
                      <wps:spPr>
                        <a:xfrm>
                          <a:off x="0" y="0"/>
                          <a:ext cx="132025" cy="12224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0" o:spid="_x0000_s1026" style="position:absolute;margin-left:238.75pt;margin-top:150.4pt;width:10.4pt;height:9.6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" filled="f" strokecolor="#243f60 [1604]" strokeweight="2pt"/>
            </w:pict>
          </mc:Fallback>
        </mc:AlternateContent>
      </w:r>
      <w:r>
        <w:rPr>
          <w:rFonts w:cstheme="minorHAnsi"/>
          <w:noProof/>
          <w:lang w:eastAsia="en-AU"/>
        </w:rPr>
        <mc:AlternateContent>
          <mc:Choice Requires="wps">
            <w:drawing>
              <wp:anchor distT="0" distB="0" distL="114300" distR="114300" simplePos="0" relativeHeight="251709440" behindDoc="0" locked="0" layoutInCell="1" allowOverlap="1" wp14:anchorId="6F360F1C" wp14:editId="07EEA12F">
                <wp:simplePos x="0" y="0"/>
                <wp:positionH relativeFrom="column">
                  <wp:posOffset>3369364</wp:posOffset>
                </wp:positionH>
                <wp:positionV relativeFrom="paragraph">
                  <wp:posOffset>2031127</wp:posOffset>
                </wp:positionV>
                <wp:extent cx="132025" cy="122246"/>
                <wp:effectExtent l="0" t="0" r="20955" b="11430"/>
                <wp:wrapNone/>
                <wp:docPr id="61" name="Oval 61"/>
                <wp:cNvGraphicFramePr/>
                <a:graphic xmlns:a="http://schemas.openxmlformats.org/drawingml/2006/main">
                  <a:graphicData uri="http://schemas.microsoft.com/office/word/2010/wordprocessingShape">
                    <wps:wsp>
                      <wps:cNvSpPr/>
                      <wps:spPr>
                        <a:xfrm>
                          <a:off x="0" y="0"/>
                          <a:ext cx="132025" cy="12224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1" o:spid="_x0000_s1026" style="position:absolute;margin-left:265.3pt;margin-top:159.95pt;width:10.4pt;height:9.6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" filled="f" strokecolor="#243f60 [1604]" strokeweight="2pt"/>
            </w:pict>
          </mc:Fallback>
        </mc:AlternateContent>
      </w:r>
      <w:r>
        <w:rPr>
          <w:rFonts w:cstheme="minorHAnsi"/>
          <w:noProof/>
          <w:lang w:eastAsia="en-AU"/>
        </w:rPr>
        <mc:AlternateContent>
          <mc:Choice Requires="wps">
            <w:drawing>
              <wp:anchor distT="0" distB="0" distL="114300" distR="114300" simplePos="0" relativeHeight="251710464" behindDoc="0" locked="0" layoutInCell="1" allowOverlap="1" wp14:anchorId="68AA2CDD" wp14:editId="6387FB3E">
                <wp:simplePos x="0" y="0"/>
                <wp:positionH relativeFrom="column">
                  <wp:posOffset>3368964</wp:posOffset>
                </wp:positionH>
                <wp:positionV relativeFrom="paragraph">
                  <wp:posOffset>1909387</wp:posOffset>
                </wp:positionV>
                <wp:extent cx="132025" cy="122246"/>
                <wp:effectExtent l="0" t="0" r="20955" b="11430"/>
                <wp:wrapNone/>
                <wp:docPr id="62" name="Oval 62"/>
                <wp:cNvGraphicFramePr/>
                <a:graphic xmlns:a="http://schemas.openxmlformats.org/drawingml/2006/main">
                  <a:graphicData uri="http://schemas.microsoft.com/office/word/2010/wordprocessingShape">
                    <wps:wsp>
                      <wps:cNvSpPr/>
                      <wps:spPr>
                        <a:xfrm>
                          <a:off x="0" y="0"/>
                          <a:ext cx="132025" cy="12224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2" o:spid="_x0000_s1026" style="position:absolute;margin-left:265.25pt;margin-top:150.35pt;width:10.4pt;height:9.6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" filled="f" strokecolor="#243f60 [1604]" strokeweight="2pt"/>
            </w:pict>
          </mc:Fallback>
        </mc:AlternateContent>
      </w:r>
      <w:r>
        <w:rPr>
          <w:rFonts w:cstheme="minorHAnsi"/>
          <w:noProof/>
          <w:lang w:eastAsia="en-AU"/>
        </w:rPr>
        <mc:AlternateContent>
          <mc:Choice Requires="wps">
            <w:drawing>
              <wp:anchor distT="0" distB="0" distL="114300" distR="114300" simplePos="0" relativeHeight="251711488" behindDoc="0" locked="0" layoutInCell="1" allowOverlap="1" wp14:anchorId="72BE5502" wp14:editId="0AD0259E">
                <wp:simplePos x="0" y="0"/>
                <wp:positionH relativeFrom="column">
                  <wp:posOffset>3281707</wp:posOffset>
                </wp:positionH>
                <wp:positionV relativeFrom="paragraph">
                  <wp:posOffset>2530576</wp:posOffset>
                </wp:positionV>
                <wp:extent cx="132025" cy="122246"/>
                <wp:effectExtent l="0" t="0" r="20955" b="11430"/>
                <wp:wrapNone/>
                <wp:docPr id="63" name="Oval 63"/>
                <wp:cNvGraphicFramePr/>
                <a:graphic xmlns:a="http://schemas.openxmlformats.org/drawingml/2006/main">
                  <a:graphicData uri="http://schemas.microsoft.com/office/word/2010/wordprocessingShape">
                    <wps:wsp>
                      <wps:cNvSpPr/>
                      <wps:spPr>
                        <a:xfrm>
                          <a:off x="0" y="0"/>
                          <a:ext cx="132025" cy="12224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3" o:spid="_x0000_s1026" style="position:absolute;margin-left:258.4pt;margin-top:199.25pt;width:10.4pt;height:9.6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" filled="f" strokecolor="#243f60 [1604]" strokeweight="2pt"/>
            </w:pict>
          </mc:Fallback>
        </mc:AlternateContent>
      </w:r>
      <w:r>
        <w:rPr>
          <w:rFonts w:cstheme="minorHAnsi"/>
          <w:noProof/>
          <w:lang w:eastAsia="en-AU"/>
        </w:rPr>
        <mc:AlternateContent>
          <mc:Choice Requires="wps">
            <w:drawing>
              <wp:anchor distT="0" distB="0" distL="114300" distR="114300" simplePos="0" relativeHeight="251712512" behindDoc="0" locked="0" layoutInCell="1" allowOverlap="1" wp14:anchorId="6E3FC37C" wp14:editId="1F3B68E1">
                <wp:simplePos x="0" y="0"/>
                <wp:positionH relativeFrom="column">
                  <wp:posOffset>2484843</wp:posOffset>
                </wp:positionH>
                <wp:positionV relativeFrom="paragraph">
                  <wp:posOffset>2349833</wp:posOffset>
                </wp:positionV>
                <wp:extent cx="132025" cy="122246"/>
                <wp:effectExtent l="0" t="0" r="20955" b="11430"/>
                <wp:wrapNone/>
                <wp:docPr id="64" name="Oval 64"/>
                <wp:cNvGraphicFramePr/>
                <a:graphic xmlns:a="http://schemas.openxmlformats.org/drawingml/2006/main">
                  <a:graphicData uri="http://schemas.microsoft.com/office/word/2010/wordprocessingShape">
                    <wps:wsp>
                      <wps:cNvSpPr/>
                      <wps:spPr>
                        <a:xfrm>
                          <a:off x="0" y="0"/>
                          <a:ext cx="132025" cy="12224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4" o:spid="_x0000_s1026" style="position:absolute;margin-left:195.65pt;margin-top:185.05pt;width:10.4pt;height:9.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" filled="f" strokecolor="#243f60 [1604]" strokeweight="2pt"/>
            </w:pict>
          </mc:Fallback>
        </mc:AlternateContent>
      </w:r>
      <w:r>
        <w:rPr>
          <w:rFonts w:cstheme="minorHAnsi"/>
          <w:noProof/>
          <w:lang w:eastAsia="en-AU"/>
        </w:rPr>
        <mc:AlternateContent>
          <mc:Choice Requires="wps">
            <w:drawing>
              <wp:anchor distT="0" distB="0" distL="114300" distR="114300" simplePos="0" relativeHeight="251713536" behindDoc="0" locked="0" layoutInCell="1" allowOverlap="1" wp14:anchorId="45334AE4" wp14:editId="5BCCEDC9">
                <wp:simplePos x="0" y="0"/>
                <wp:positionH relativeFrom="column">
                  <wp:posOffset>2538176</wp:posOffset>
                </wp:positionH>
                <wp:positionV relativeFrom="paragraph">
                  <wp:posOffset>2530302</wp:posOffset>
                </wp:positionV>
                <wp:extent cx="132025" cy="122246"/>
                <wp:effectExtent l="0" t="0" r="20955" b="11430"/>
                <wp:wrapNone/>
                <wp:docPr id="65" name="Oval 65"/>
                <wp:cNvGraphicFramePr/>
                <a:graphic xmlns:a="http://schemas.openxmlformats.org/drawingml/2006/main">
                  <a:graphicData uri="http://schemas.microsoft.com/office/word/2010/wordprocessingShape">
                    <wps:wsp>
                      <wps:cNvSpPr/>
                      <wps:spPr>
                        <a:xfrm>
                          <a:off x="0" y="0"/>
                          <a:ext cx="132025" cy="12224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5" o:spid="_x0000_s1026" style="position:absolute;margin-left:199.85pt;margin-top:199.25pt;width:10.4pt;height:9.6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" filled="f" strokecolor="#243f60 [1604]" strokeweight="2pt"/>
            </w:pict>
          </mc:Fallback>
        </mc:AlternateContent>
      </w:r>
      <w:r>
        <w:rPr>
          <w:rFonts w:cstheme="minorHAnsi"/>
          <w:noProof/>
          <w:lang w:eastAsia="en-AU"/>
        </w:rPr>
        <mc:AlternateContent>
          <mc:Choice Requires="wps">
            <w:drawing>
              <wp:anchor distT="0" distB="0" distL="114300" distR="114300" simplePos="0" relativeHeight="251703296" behindDoc="0" locked="0" layoutInCell="1" allowOverlap="1" wp14:anchorId="5FCB1381" wp14:editId="0CB833C1">
                <wp:simplePos x="0" y="0"/>
                <wp:positionH relativeFrom="column">
                  <wp:posOffset>3236657</wp:posOffset>
                </wp:positionH>
                <wp:positionV relativeFrom="paragraph">
                  <wp:posOffset>1312196</wp:posOffset>
                </wp:positionV>
                <wp:extent cx="132025" cy="122246"/>
                <wp:effectExtent l="0" t="0" r="20955" b="11430"/>
                <wp:wrapNone/>
                <wp:docPr id="66" name="Oval 66"/>
                <wp:cNvGraphicFramePr/>
                <a:graphic xmlns:a="http://schemas.openxmlformats.org/drawingml/2006/main">
                  <a:graphicData uri="http://schemas.microsoft.com/office/word/2010/wordprocessingShape">
                    <wps:wsp>
                      <wps:cNvSpPr/>
                      <wps:spPr>
                        <a:xfrm>
                          <a:off x="0" y="0"/>
                          <a:ext cx="132025" cy="12224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6" o:spid="_x0000_s1026" style="position:absolute;margin-left:254.85pt;margin-top:103.3pt;width:10.4pt;height:9.6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" filled="f" strokecolor="#243f60 [1604]" strokeweight="2pt"/>
            </w:pict>
          </mc:Fallback>
        </mc:AlternateContent>
      </w:r>
      <w:r>
        <w:rPr>
          <w:rFonts w:cstheme="minorHAnsi"/>
          <w:noProof/>
          <w:lang w:eastAsia="en-AU"/>
        </w:rPr>
        <mc:AlternateContent>
          <mc:Choice Requires="wps">
            <w:drawing>
              <wp:anchor distT="0" distB="0" distL="114300" distR="114300" simplePos="0" relativeHeight="251704320" behindDoc="0" locked="0" layoutInCell="1" allowOverlap="1" wp14:anchorId="11A61835" wp14:editId="2BFB595C">
                <wp:simplePos x="0" y="0"/>
                <wp:positionH relativeFrom="column">
                  <wp:posOffset>0</wp:posOffset>
                </wp:positionH>
                <wp:positionV relativeFrom="paragraph">
                  <wp:posOffset>1908</wp:posOffset>
                </wp:positionV>
                <wp:extent cx="132025" cy="122246"/>
                <wp:effectExtent l="0" t="0" r="20955" b="11430"/>
                <wp:wrapNone/>
                <wp:docPr id="67" name="Oval 67"/>
                <wp:cNvGraphicFramePr/>
                <a:graphic xmlns:a="http://schemas.openxmlformats.org/drawingml/2006/main">
                  <a:graphicData uri="http://schemas.microsoft.com/office/word/2010/wordprocessingShape">
                    <wps:wsp>
                      <wps:cNvSpPr/>
                      <wps:spPr>
                        <a:xfrm>
                          <a:off x="0" y="0"/>
                          <a:ext cx="132025" cy="12224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7" o:spid="_x0000_s1026" style="position:absolute;margin-left:0;margin-top:.15pt;width:10.4pt;height:9.6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" filled="f" strokecolor="#243f60 [1604]" strokeweight="2pt"/>
            </w:pict>
          </mc:Fallback>
        </mc:AlternateContent>
      </w:r>
      <w:r w:rsidRPr="0099464A">
        <w:rPr>
          <w:rFonts w:cstheme="minorHAnsi"/>
          <w:noProof/>
          <w:lang w:eastAsia="en-AU"/>
        </w:rPr>
        <w:drawing>
          <wp:inline distT="0" distB="0" distL="0" distR="0" wp14:anchorId="649FE96C" wp14:editId="65CACD9E">
            <wp:extent cx="5731510" cy="4381500"/>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438150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706330" w:rsidTr="00E74A70">
        <w:tc>
          <w:tcPr>
            <w:tcW w:w="2254" w:type="dxa"/>
          </w:tcPr>
          <w:p w:rsidR="00706330" w:rsidRDefault="00706330" w:rsidP="004D38FC">
            <w:pPr>
              <w:rPr>
                <w:rFonts w:cstheme="minorHAnsi"/>
              </w:rPr>
            </w:pPr>
            <w:r>
              <w:rPr>
                <w:rFonts w:cstheme="minorHAnsi"/>
              </w:rPr>
              <w:t>Keno only</w:t>
            </w:r>
          </w:p>
        </w:tc>
        <w:tc>
          <w:tcPr>
            <w:tcW w:w="2254" w:type="dxa"/>
          </w:tcPr>
          <w:p w:rsidR="00706330" w:rsidRDefault="00706330" w:rsidP="004D38FC">
            <w:pPr>
              <w:rPr>
                <w:rFonts w:cstheme="minorHAnsi"/>
              </w:rPr>
            </w:pPr>
            <w:r>
              <w:rPr>
                <w:rFonts w:cstheme="minorHAnsi"/>
                <w:noProof/>
                <w:lang w:eastAsia="en-AU"/>
              </w:rPr>
              <mc:AlternateContent>
                <mc:Choice Requires="wps">
                  <w:drawing>
                    <wp:anchor distT="0" distB="0" distL="114300" distR="114300" simplePos="0" relativeHeight="251714560" behindDoc="0" locked="0" layoutInCell="1" allowOverlap="1" wp14:anchorId="303F0A21" wp14:editId="7D7464C2">
                      <wp:simplePos x="0" y="0"/>
                      <wp:positionH relativeFrom="column">
                        <wp:posOffset>32365</wp:posOffset>
                      </wp:positionH>
                      <wp:positionV relativeFrom="paragraph">
                        <wp:posOffset>16951</wp:posOffset>
                      </wp:positionV>
                      <wp:extent cx="122246" cy="112467"/>
                      <wp:effectExtent l="0" t="0" r="11430" b="20955"/>
                      <wp:wrapNone/>
                      <wp:docPr id="68" name="Isosceles Triangle 68"/>
                      <wp:cNvGraphicFramePr/>
                      <a:graphic xmlns:a="http://schemas.openxmlformats.org/drawingml/2006/main">
                        <a:graphicData uri="http://schemas.microsoft.com/office/word/2010/wordprocessingShape">
                          <wps:wsp>
                            <wps:cNvSpPr/>
                            <wps:spPr>
                              <a:xfrm>
                                <a:off x="0" y="0"/>
                                <a:ext cx="122246" cy="112467"/>
                              </a:xfrm>
                              <a:prstGeom prst="triangle">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68" o:spid="_x0000_s1026" type="#_x0000_t5" style="position:absolute;margin-left:2.55pt;margin-top:1.35pt;width:9.65pt;height:8.8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" fillcolor="#ffc000" strokecolor="#ffc000" strokeweight="2pt"/>
                  </w:pict>
                </mc:Fallback>
              </mc:AlternateContent>
            </w:r>
          </w:p>
        </w:tc>
        <w:tc>
          <w:tcPr>
            <w:tcW w:w="2254" w:type="dxa"/>
          </w:tcPr>
          <w:p w:rsidR="00706330" w:rsidRDefault="00706330" w:rsidP="004D38FC">
            <w:pPr>
              <w:rPr>
                <w:rFonts w:cstheme="minorHAnsi"/>
              </w:rPr>
            </w:pPr>
            <w:r>
              <w:rPr>
                <w:rFonts w:cstheme="minorHAnsi"/>
              </w:rPr>
              <w:t>Wagering only</w:t>
            </w:r>
          </w:p>
        </w:tc>
        <w:tc>
          <w:tcPr>
            <w:tcW w:w="2254" w:type="dxa"/>
          </w:tcPr>
          <w:p w:rsidR="00706330" w:rsidRDefault="00706330" w:rsidP="004D38FC">
            <w:pPr>
              <w:rPr>
                <w:rFonts w:cstheme="minorHAnsi"/>
              </w:rPr>
            </w:pPr>
            <w:r>
              <w:rPr>
                <w:rFonts w:cstheme="minorHAnsi"/>
                <w:noProof/>
                <w:lang w:eastAsia="en-AU"/>
              </w:rPr>
              <mc:AlternateContent>
                <mc:Choice Requires="wps">
                  <w:drawing>
                    <wp:anchor distT="0" distB="0" distL="114300" distR="114300" simplePos="0" relativeHeight="251715584" behindDoc="0" locked="0" layoutInCell="1" allowOverlap="1" wp14:anchorId="754A5F55" wp14:editId="41383FA2">
                      <wp:simplePos x="0" y="0"/>
                      <wp:positionH relativeFrom="column">
                        <wp:posOffset>20561</wp:posOffset>
                      </wp:positionH>
                      <wp:positionV relativeFrom="paragraph">
                        <wp:posOffset>16951</wp:posOffset>
                      </wp:positionV>
                      <wp:extent cx="141805" cy="112395"/>
                      <wp:effectExtent l="0" t="0" r="10795" b="20955"/>
                      <wp:wrapNone/>
                      <wp:docPr id="69" name="Rectangle 69"/>
                      <wp:cNvGraphicFramePr/>
                      <a:graphic xmlns:a="http://schemas.openxmlformats.org/drawingml/2006/main">
                        <a:graphicData uri="http://schemas.microsoft.com/office/word/2010/wordprocessingShape">
                          <wps:wsp>
                            <wps:cNvSpPr/>
                            <wps:spPr>
                              <a:xfrm>
                                <a:off x="0" y="0"/>
                                <a:ext cx="141805" cy="112395"/>
                              </a:xfrm>
                              <a:prstGeom prst="rect">
                                <a:avLst/>
                              </a:prstGeom>
                              <a:solidFill>
                                <a:srgbClr val="7030A0"/>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9" o:spid="_x0000_s1026" style="position:absolute;margin-left:1.6pt;margin-top:1.35pt;width:11.15pt;height:8.8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" fillcolor="#7030a0" strokecolor="#7030a0" strokeweight="2pt"/>
                  </w:pict>
                </mc:Fallback>
              </mc:AlternateContent>
            </w:r>
          </w:p>
        </w:tc>
      </w:tr>
      <w:tr w:rsidR="00706330" w:rsidTr="00E74A70">
        <w:tc>
          <w:tcPr>
            <w:tcW w:w="2254" w:type="dxa"/>
          </w:tcPr>
          <w:p w:rsidR="00706330" w:rsidRDefault="00706330" w:rsidP="004D38FC">
            <w:pPr>
              <w:rPr>
                <w:rFonts w:cstheme="minorHAnsi"/>
              </w:rPr>
            </w:pPr>
            <w:r>
              <w:rPr>
                <w:rFonts w:cstheme="minorHAnsi"/>
              </w:rPr>
              <w:t>Keno and wagering</w:t>
            </w:r>
          </w:p>
        </w:tc>
        <w:tc>
          <w:tcPr>
            <w:tcW w:w="2254" w:type="dxa"/>
          </w:tcPr>
          <w:p w:rsidR="00706330" w:rsidRDefault="00706330" w:rsidP="004D38FC">
            <w:pPr>
              <w:rPr>
                <w:rFonts w:cstheme="minorHAnsi"/>
              </w:rPr>
            </w:pPr>
            <w:r>
              <w:rPr>
                <w:rFonts w:cstheme="minorHAnsi"/>
                <w:noProof/>
                <w:lang w:eastAsia="en-AU"/>
              </w:rPr>
              <mc:AlternateContent>
                <mc:Choice Requires="wps">
                  <w:drawing>
                    <wp:anchor distT="0" distB="0" distL="114300" distR="114300" simplePos="0" relativeHeight="251716608" behindDoc="0" locked="0" layoutInCell="1" allowOverlap="1" wp14:anchorId="25EDF827" wp14:editId="3555C2E4">
                      <wp:simplePos x="0" y="0"/>
                      <wp:positionH relativeFrom="column">
                        <wp:posOffset>3026</wp:posOffset>
                      </wp:positionH>
                      <wp:positionV relativeFrom="paragraph">
                        <wp:posOffset>1786</wp:posOffset>
                      </wp:positionV>
                      <wp:extent cx="151259" cy="146695"/>
                      <wp:effectExtent l="0" t="0" r="20320" b="24765"/>
                      <wp:wrapNone/>
                      <wp:docPr id="70" name="Oval 70"/>
                      <wp:cNvGraphicFramePr/>
                      <a:graphic xmlns:a="http://schemas.openxmlformats.org/drawingml/2006/main">
                        <a:graphicData uri="http://schemas.microsoft.com/office/word/2010/wordprocessingShape">
                          <wps:wsp>
                            <wps:cNvSpPr/>
                            <wps:spPr>
                              <a:xfrm>
                                <a:off x="0" y="0"/>
                                <a:ext cx="151259" cy="14669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0" o:spid="_x0000_s1026" style="position:absolute;margin-left:.25pt;margin-top:.15pt;width:11.9pt;height:11.5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" fillcolor="red" strokecolor="red" strokeweight="2pt"/>
                  </w:pict>
                </mc:Fallback>
              </mc:AlternateContent>
            </w:r>
          </w:p>
        </w:tc>
        <w:tc>
          <w:tcPr>
            <w:tcW w:w="2254" w:type="dxa"/>
          </w:tcPr>
          <w:p w:rsidR="00706330" w:rsidRDefault="00706330" w:rsidP="004D38FC">
            <w:pPr>
              <w:rPr>
                <w:rFonts w:cstheme="minorHAnsi"/>
              </w:rPr>
            </w:pPr>
            <w:r>
              <w:rPr>
                <w:rFonts w:cstheme="minorHAnsi"/>
              </w:rPr>
              <w:t>Gaming venue</w:t>
            </w:r>
          </w:p>
        </w:tc>
        <w:tc>
          <w:tcPr>
            <w:tcW w:w="2254" w:type="dxa"/>
          </w:tcPr>
          <w:p w:rsidR="00706330" w:rsidRDefault="00706330" w:rsidP="004D38FC">
            <w:pPr>
              <w:rPr>
                <w:rFonts w:cstheme="minorHAnsi"/>
              </w:rPr>
            </w:pPr>
            <w:r>
              <w:rPr>
                <w:rFonts w:cstheme="minorHAnsi"/>
                <w:noProof/>
                <w:lang w:eastAsia="en-AU"/>
              </w:rPr>
              <mc:AlternateContent>
                <mc:Choice Requires="wps">
                  <w:drawing>
                    <wp:anchor distT="0" distB="0" distL="114300" distR="114300" simplePos="0" relativeHeight="251717632" behindDoc="0" locked="0" layoutInCell="1" allowOverlap="1" wp14:anchorId="36226CAF" wp14:editId="61B056D4">
                      <wp:simplePos x="0" y="0"/>
                      <wp:positionH relativeFrom="column">
                        <wp:posOffset>20561</wp:posOffset>
                      </wp:positionH>
                      <wp:positionV relativeFrom="paragraph">
                        <wp:posOffset>1786</wp:posOffset>
                      </wp:positionV>
                      <wp:extent cx="141605" cy="146685"/>
                      <wp:effectExtent l="0" t="0" r="10795" b="24765"/>
                      <wp:wrapNone/>
                      <wp:docPr id="71" name="Oval 71"/>
                      <wp:cNvGraphicFramePr/>
                      <a:graphic xmlns:a="http://schemas.openxmlformats.org/drawingml/2006/main">
                        <a:graphicData uri="http://schemas.microsoft.com/office/word/2010/wordprocessingShape">
                          <wps:wsp>
                            <wps:cNvSpPr/>
                            <wps:spPr>
                              <a:xfrm>
                                <a:off x="0" y="0"/>
                                <a:ext cx="141605" cy="1466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1" o:spid="_x0000_s1026" style="position:absolute;margin-left:1.6pt;margin-top:.15pt;width:11.15pt;height:11.5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" filled="f" strokecolor="#243f60 [1604]" strokeweight="2pt"/>
                  </w:pict>
                </mc:Fallback>
              </mc:AlternateContent>
            </w:r>
          </w:p>
        </w:tc>
      </w:tr>
      <w:tr w:rsidR="00706330" w:rsidTr="00E74A70">
        <w:tc>
          <w:tcPr>
            <w:tcW w:w="2254" w:type="dxa"/>
          </w:tcPr>
          <w:p w:rsidR="00706330" w:rsidRDefault="00706330" w:rsidP="004D38FC">
            <w:pPr>
              <w:rPr>
                <w:rFonts w:cstheme="minorHAnsi"/>
              </w:rPr>
            </w:pPr>
            <w:r>
              <w:rPr>
                <w:rFonts w:cstheme="minorHAnsi"/>
              </w:rPr>
              <w:t>Crown Casino</w:t>
            </w:r>
          </w:p>
        </w:tc>
        <w:tc>
          <w:tcPr>
            <w:tcW w:w="2254" w:type="dxa"/>
          </w:tcPr>
          <w:p w:rsidR="00706330" w:rsidRDefault="00706330" w:rsidP="004D38FC">
            <w:pPr>
              <w:rPr>
                <w:rFonts w:cstheme="minorHAnsi"/>
              </w:rPr>
            </w:pPr>
            <w:r>
              <w:rPr>
                <w:rFonts w:cstheme="minorHAnsi"/>
                <w:noProof/>
                <w:lang w:eastAsia="en-AU"/>
              </w:rPr>
              <mc:AlternateContent>
                <mc:Choice Requires="wps">
                  <w:drawing>
                    <wp:anchor distT="0" distB="0" distL="114300" distR="114300" simplePos="0" relativeHeight="251718656" behindDoc="0" locked="0" layoutInCell="1" allowOverlap="1" wp14:anchorId="44FFFA60" wp14:editId="2B351C47">
                      <wp:simplePos x="0" y="0"/>
                      <wp:positionH relativeFrom="column">
                        <wp:posOffset>-40983</wp:posOffset>
                      </wp:positionH>
                      <wp:positionV relativeFrom="paragraph">
                        <wp:posOffset>15325</wp:posOffset>
                      </wp:positionV>
                      <wp:extent cx="195268" cy="146695"/>
                      <wp:effectExtent l="38100" t="19050" r="33655" b="43815"/>
                      <wp:wrapNone/>
                      <wp:docPr id="72" name="Star: 5 Points 72"/>
                      <wp:cNvGraphicFramePr/>
                      <a:graphic xmlns:a="http://schemas.openxmlformats.org/drawingml/2006/main">
                        <a:graphicData uri="http://schemas.microsoft.com/office/word/2010/wordprocessingShape">
                          <wps:wsp>
                            <wps:cNvSpPr/>
                            <wps:spPr>
                              <a:xfrm>
                                <a:off x="0" y="0"/>
                                <a:ext cx="195268" cy="14669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Star: 5 Points 72" o:spid="_x0000_s1026" style="position:absolute;margin-left:-3.25pt;margin-top:1.2pt;width:15.4pt;height:11.5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195268,146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" path="m,56032r74586,1l97634,r23048,56033l195268,56032,134926,90662r23049,56033l97634,112064,37293,146695,60342,90662,,56032xe" fillcolor="#4f81bd [3204]" strokecolor="#243f60 [1604]" strokeweight="2pt">
                      <v:path arrowok="t" o:connecttype="custom" o:connectlocs="0,56032;74586,56033;97634,0;120682,56033;195268,56032;134926,90662;157975,146695;97634,112064;37293,146695;60342,90662;0,56032" o:connectangles="0,0,0,0,0,0,0,0,0,0,0"/>
                    </v:shape>
                  </w:pict>
                </mc:Fallback>
              </mc:AlternateContent>
            </w:r>
          </w:p>
        </w:tc>
        <w:tc>
          <w:tcPr>
            <w:tcW w:w="2254" w:type="dxa"/>
          </w:tcPr>
          <w:p w:rsidR="00706330" w:rsidRDefault="00706330" w:rsidP="004D38FC">
            <w:pPr>
              <w:rPr>
                <w:rFonts w:cstheme="minorHAnsi"/>
              </w:rPr>
            </w:pPr>
          </w:p>
        </w:tc>
        <w:tc>
          <w:tcPr>
            <w:tcW w:w="2254" w:type="dxa"/>
          </w:tcPr>
          <w:p w:rsidR="00706330" w:rsidRDefault="00706330" w:rsidP="004D38FC">
            <w:pPr>
              <w:rPr>
                <w:rFonts w:cstheme="minorHAnsi"/>
              </w:rPr>
            </w:pPr>
          </w:p>
        </w:tc>
      </w:tr>
    </w:tbl>
    <w:p w:rsidR="00706330" w:rsidRPr="0099464A" w:rsidRDefault="00706330" w:rsidP="00706330">
      <w:pPr>
        <w:rPr>
          <w:rFonts w:cstheme="minorHAnsi"/>
        </w:rPr>
      </w:pPr>
      <w:r>
        <w:rPr>
          <w:rFonts w:cstheme="minorHAnsi"/>
        </w:rPr>
        <w:t>Source: VCGLR</w:t>
      </w:r>
    </w:p>
    <w:p w:rsidR="00E74A70" w:rsidRDefault="00E74A70">
      <w:pPr>
        <w:spacing w:line="276" w:lineRule="auto"/>
        <w:ind w:left="720"/>
        <w:rPr>
          <w:rFonts w:asciiTheme="minorHAnsi" w:eastAsiaTheme="majorEastAsia" w:hAnsiTheme="minorHAnsi" w:cstheme="minorHAnsi"/>
          <w:b/>
          <w:bCs/>
          <w:caps/>
          <w:color w:val="365F91" w:themeColor="accent1" w:themeShade="BF"/>
          <w:sz w:val="28"/>
          <w:szCs w:val="28"/>
        </w:rPr>
      </w:pPr>
      <w:r>
        <w:rPr>
          <w:rFonts w:asciiTheme="minorHAnsi" w:hAnsiTheme="minorHAnsi" w:cstheme="minorHAnsi"/>
        </w:rPr>
        <w:br w:type="page"/>
      </w:r>
    </w:p>
    <w:p w:rsidR="00706330" w:rsidRPr="00FC5226" w:rsidRDefault="00051F9D" w:rsidP="00FC5226">
      <w:pPr>
        <w:pStyle w:val="Heading1"/>
        <w:spacing w:before="0" w:after="120"/>
        <w:rPr>
          <w:rFonts w:ascii="CoM" w:hAnsi="CoM"/>
          <w:b w:val="0"/>
          <w:caps w:val="0"/>
          <w:sz w:val="38"/>
          <w:szCs w:val="38"/>
        </w:rPr>
      </w:pPr>
      <w:bookmarkStart w:id="47" w:name="_Toc494287759"/>
      <w:r w:rsidRPr="00FC5226">
        <w:rPr>
          <w:rFonts w:ascii="CoM" w:hAnsi="CoM"/>
          <w:b w:val="0"/>
          <w:caps w:val="0"/>
          <w:sz w:val="38"/>
          <w:szCs w:val="38"/>
        </w:rPr>
        <w:t xml:space="preserve">City of Melbourne Policy </w:t>
      </w:r>
      <w:r w:rsidR="008F68AA" w:rsidRPr="00FC5226">
        <w:rPr>
          <w:rFonts w:ascii="CoM" w:hAnsi="CoM"/>
          <w:b w:val="0"/>
          <w:caps w:val="0"/>
          <w:sz w:val="38"/>
          <w:szCs w:val="38"/>
        </w:rPr>
        <w:t>a</w:t>
      </w:r>
      <w:r w:rsidRPr="00FC5226">
        <w:rPr>
          <w:rFonts w:ascii="CoM" w:hAnsi="CoM"/>
          <w:b w:val="0"/>
          <w:caps w:val="0"/>
          <w:sz w:val="38"/>
          <w:szCs w:val="38"/>
        </w:rPr>
        <w:t>nd Planning Framework</w:t>
      </w:r>
      <w:bookmarkEnd w:id="47"/>
    </w:p>
    <w:p w:rsidR="00706330" w:rsidRDefault="00706330" w:rsidP="00706330">
      <w:r>
        <w:t>This Chapter discusses the key features of the strategic and planning framework within which gambling and gaming activities occur in the municipality.</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5E02B9" w:rsidTr="005E02B9">
        <w:tc>
          <w:tcPr>
            <w:tcW w:w="9016" w:type="dxa"/>
            <w:shd w:val="clear" w:color="auto" w:fill="D9D9D9" w:themeFill="background1" w:themeFillShade="D9"/>
          </w:tcPr>
          <w:p w:rsidR="005E02B9" w:rsidRDefault="005E02B9" w:rsidP="00156D16">
            <w:pPr>
              <w:spacing w:after="120"/>
              <w:rPr>
                <w:b/>
              </w:rPr>
            </w:pPr>
            <w:r>
              <w:rPr>
                <w:b/>
              </w:rPr>
              <w:t>Key findings</w:t>
            </w:r>
          </w:p>
          <w:p w:rsidR="00156D16" w:rsidRDefault="00156D16" w:rsidP="00156D16">
            <w:pPr>
              <w:spacing w:after="120"/>
            </w:pPr>
            <w:bookmarkStart w:id="48" w:name="_Hlk489970128"/>
            <w:r>
              <w:rPr>
                <w:rFonts w:cstheme="minorHAnsi"/>
              </w:rPr>
              <w:t xml:space="preserve">Major urban renewal precincts in the City of Melbourne include </w:t>
            </w:r>
            <w:r w:rsidRPr="00746B4E">
              <w:t>Docklands, Fishermans Bend, Arden, Macaulay, E-G</w:t>
            </w:r>
            <w:r>
              <w:t>ate, Dynon and Flinders Street S</w:t>
            </w:r>
            <w:r w:rsidRPr="00746B4E">
              <w:t>tation to Richmond corridor</w:t>
            </w:r>
            <w:r>
              <w:t>. These areas will experience the largest growth in population in the municipality.</w:t>
            </w:r>
          </w:p>
          <w:p w:rsidR="00156D16" w:rsidRDefault="00156D16" w:rsidP="00156D16">
            <w:pPr>
              <w:spacing w:after="120"/>
            </w:pPr>
            <w:r>
              <w:t>The City’s strategic planning framework focuses on creating healthy and safe environments and the prevention of harms amongst vulnerable groups.</w:t>
            </w:r>
          </w:p>
          <w:p w:rsidR="00156D16" w:rsidRDefault="00156D16" w:rsidP="00156D16">
            <w:pPr>
              <w:spacing w:after="120"/>
            </w:pPr>
            <w:r>
              <w:t>A large part of the municipality, including the existing and proposed urban renewal areas are covered by the Capital City Zone. Gaming Premises are a Section 2 (permit required) form of Retail Premises</w:t>
            </w:r>
            <w:r>
              <w:rPr>
                <w:sz w:val="16"/>
                <w:szCs w:val="16"/>
              </w:rPr>
              <w:t xml:space="preserve"> </w:t>
            </w:r>
            <w:r>
              <w:t xml:space="preserve">use in the </w:t>
            </w:r>
            <w:r w:rsidR="00673AF5">
              <w:t xml:space="preserve">Capital City Zone, </w:t>
            </w:r>
            <w:r>
              <w:t>Commercial 1, Commercial 2, Industrial 1, and Mixed Use Zones. In the residential zones gaming premises are a prohibited use, however a hotel, which may include gaming, and Place of Assembly (club) are permit required uses.</w:t>
            </w:r>
          </w:p>
          <w:p w:rsidR="00156D16" w:rsidRDefault="00156D16" w:rsidP="00156D16">
            <w:pPr>
              <w:spacing w:after="120"/>
            </w:pPr>
            <w:r>
              <w:t>Certain parts of the municipality</w:t>
            </w:r>
            <w:r w:rsidR="005B7251">
              <w:t xml:space="preserve"> such as Docklands Stadium, the sports and entertainment and arts precincts, Melbourne Crown Casino and Flemington Racecourse</w:t>
            </w:r>
            <w:r>
              <w:t xml:space="preserve"> are administered by the Minister for Planning.</w:t>
            </w:r>
          </w:p>
          <w:p w:rsidR="005B7251" w:rsidRPr="00156D16" w:rsidRDefault="00541D70" w:rsidP="00541D70">
            <w:r w:rsidRPr="008B1D53">
              <w:t xml:space="preserve">Clause 52.28 prohibits the location of EGMs in shopping complexes and strip shopping centres. Some of the municipality’s gaming venues, including the gaming venues located in areas classified under Clause 52.28 as strip shopping centres, have existing use rights. </w:t>
            </w:r>
            <w:bookmarkEnd w:id="48"/>
          </w:p>
        </w:tc>
      </w:tr>
    </w:tbl>
    <w:p w:rsidR="00547764" w:rsidRDefault="00547764" w:rsidP="00706330"/>
    <w:tbl>
      <w:tblPr>
        <w:tblStyle w:val="TableGrid"/>
        <w:tblW w:w="0" w:type="auto"/>
        <w:shd w:val="clear" w:color="auto" w:fill="D9D9D9" w:themeFill="background1" w:themeFillShade="D9"/>
        <w:tblLook w:val="04A0" w:firstRow="1" w:lastRow="0" w:firstColumn="1" w:lastColumn="0" w:noHBand="0" w:noVBand="1"/>
      </w:tblPr>
      <w:tblGrid>
        <w:gridCol w:w="9016"/>
      </w:tblGrid>
      <w:tr w:rsidR="005E02B9" w:rsidTr="005E02B9">
        <w:tc>
          <w:tcPr>
            <w:tcW w:w="9016" w:type="dxa"/>
            <w:shd w:val="clear" w:color="auto" w:fill="D9D9D9" w:themeFill="background1" w:themeFillShade="D9"/>
          </w:tcPr>
          <w:p w:rsidR="005E02B9" w:rsidRDefault="005E02B9" w:rsidP="005E02B9">
            <w:pPr>
              <w:spacing w:after="120"/>
              <w:rPr>
                <w:b/>
              </w:rPr>
            </w:pPr>
            <w:r>
              <w:rPr>
                <w:b/>
              </w:rPr>
              <w:t xml:space="preserve">Implications for the </w:t>
            </w:r>
            <w:r w:rsidR="007B3C27">
              <w:rPr>
                <w:b/>
              </w:rPr>
              <w:t>Electronic Gaming Decision</w:t>
            </w:r>
            <w:r>
              <w:rPr>
                <w:b/>
              </w:rPr>
              <w:t>-Making Framework and Local Planning Policy for Gaming</w:t>
            </w:r>
          </w:p>
          <w:p w:rsidR="005B7251" w:rsidRDefault="00156D16" w:rsidP="005B7251">
            <w:pPr>
              <w:spacing w:after="120"/>
            </w:pPr>
            <w:r>
              <w:t>The existing Local Planning Policy for Gaming and certain clauses in the Municipal Strategic Statement need to be reviewed</w:t>
            </w:r>
            <w:r w:rsidR="00BF5EBD">
              <w:t xml:space="preserve"> to ensure that they address the existing socio-economic, land use and zoning characteristics of the municipality</w:t>
            </w:r>
            <w:r w:rsidR="00BF5EBD">
              <w:rPr>
                <w:rStyle w:val="FootnoteReference"/>
              </w:rPr>
              <w:footnoteReference w:id="17"/>
            </w:r>
            <w:r w:rsidR="005B7251">
              <w:t>. They also need to include strategies and policies that are applicable to all land use zones, gaming venues with existing use rights and areas within the municipality that are administered by the Minister for Planning.</w:t>
            </w:r>
          </w:p>
          <w:p w:rsidR="005B7251" w:rsidRDefault="005B7251" w:rsidP="005B7251">
            <w:pPr>
              <w:spacing w:after="120"/>
            </w:pPr>
            <w:r>
              <w:t>The schedules to Clause 52.28 Gaming will need to be reviewed to ensure that all existing shopping centres are included.</w:t>
            </w:r>
          </w:p>
          <w:p w:rsidR="00541D70" w:rsidRPr="005E02B9" w:rsidRDefault="00541D70" w:rsidP="00541D70">
            <w:pPr>
              <w:rPr>
                <w:b/>
              </w:rPr>
            </w:pPr>
            <w:r w:rsidRPr="008B1D53">
              <w:t>Although Council has very limited potential to prevent convenience gambling in venues with existing use rights, the actions in the Framework will enhance Council’s capacity to prevent and minimise convenience gambling in future planning permit applications to install and use EGMs.</w:t>
            </w:r>
          </w:p>
        </w:tc>
      </w:tr>
    </w:tbl>
    <w:p w:rsidR="005E02B9" w:rsidRPr="00F66318" w:rsidRDefault="005E02B9" w:rsidP="00706330"/>
    <w:p w:rsidR="00706330" w:rsidRPr="0099464A" w:rsidRDefault="00706330" w:rsidP="00FC5226">
      <w:pPr>
        <w:pStyle w:val="Heading2"/>
      </w:pPr>
      <w:bookmarkStart w:id="49" w:name="_Toc494287760"/>
      <w:r w:rsidRPr="0099464A">
        <w:t>Plan Melbourne</w:t>
      </w:r>
      <w:bookmarkEnd w:id="49"/>
    </w:p>
    <w:p w:rsidR="00706330" w:rsidRPr="0099464A" w:rsidRDefault="00706330" w:rsidP="00706330">
      <w:pPr>
        <w:rPr>
          <w:rFonts w:cstheme="minorHAnsi"/>
        </w:rPr>
      </w:pPr>
      <w:r w:rsidRPr="0099464A">
        <w:rPr>
          <w:rFonts w:cstheme="minorHAnsi"/>
          <w:i/>
        </w:rPr>
        <w:t>Plan Melbourne</w:t>
      </w:r>
      <w:r w:rsidRPr="0099464A">
        <w:rPr>
          <w:rFonts w:cstheme="minorHAnsi"/>
        </w:rPr>
        <w:t>, which was released in 2014, is currently referenced in the State Planning Policy Framework of the Melbourne Planning Scheme and outlines the vision for Melbourne’s growth to the year 2050. It highlights the important role that activity centres play in enhancing the liveability of communities by providing access to transport, services, social infrastructure and employment opportunities.</w:t>
      </w:r>
    </w:p>
    <w:p w:rsidR="00706330" w:rsidRPr="0099464A" w:rsidRDefault="00706330" w:rsidP="00706330">
      <w:pPr>
        <w:rPr>
          <w:rFonts w:cstheme="minorHAnsi"/>
          <w:i/>
        </w:rPr>
      </w:pPr>
      <w:r w:rsidRPr="0099464A">
        <w:rPr>
          <w:rFonts w:cstheme="minorHAnsi"/>
          <w:i/>
        </w:rPr>
        <w:t>Plan Melbourne 2017-2050</w:t>
      </w:r>
      <w:r w:rsidRPr="0099464A">
        <w:rPr>
          <w:rFonts w:cstheme="minorHAnsi"/>
        </w:rPr>
        <w:t>, which</w:t>
      </w:r>
      <w:r w:rsidRPr="0099464A">
        <w:rPr>
          <w:rFonts w:cstheme="minorHAnsi"/>
          <w:i/>
        </w:rPr>
        <w:t xml:space="preserve"> </w:t>
      </w:r>
      <w:r w:rsidRPr="0099464A">
        <w:rPr>
          <w:rFonts w:cstheme="minorHAnsi"/>
        </w:rPr>
        <w:t>was released in March 2017, update</w:t>
      </w:r>
      <w:r w:rsidR="0025625D">
        <w:rPr>
          <w:rFonts w:cstheme="minorHAnsi"/>
        </w:rPr>
        <w:t>s</w:t>
      </w:r>
      <w:r w:rsidRPr="0099464A">
        <w:rPr>
          <w:rFonts w:cstheme="minorHAnsi"/>
        </w:rPr>
        <w:t xml:space="preserve"> </w:t>
      </w:r>
      <w:r w:rsidRPr="0099464A">
        <w:rPr>
          <w:rFonts w:cstheme="minorHAnsi"/>
          <w:i/>
        </w:rPr>
        <w:t>Plan Melbourne</w:t>
      </w:r>
      <w:r w:rsidRPr="0099464A">
        <w:rPr>
          <w:rFonts w:cstheme="minorHAnsi"/>
        </w:rPr>
        <w:t xml:space="preserve">. The vision for Melbourne, as described in </w:t>
      </w:r>
      <w:r w:rsidRPr="0099464A">
        <w:rPr>
          <w:rFonts w:cstheme="minorHAnsi"/>
          <w:i/>
        </w:rPr>
        <w:t xml:space="preserve">Plan Melbourne </w:t>
      </w:r>
      <w:r w:rsidRPr="0099464A">
        <w:rPr>
          <w:rFonts w:cstheme="minorHAnsi"/>
        </w:rPr>
        <w:t>is that ‘Melbourne will continue to be a global city of opportunity and choice’.</w:t>
      </w:r>
      <w:r>
        <w:rPr>
          <w:rFonts w:cstheme="minorHAnsi"/>
        </w:rPr>
        <w:t xml:space="preserve"> </w:t>
      </w:r>
      <w:r w:rsidRPr="0099464A">
        <w:rPr>
          <w:rFonts w:cstheme="minorHAnsi"/>
        </w:rPr>
        <w:t xml:space="preserve">This revised strategy </w:t>
      </w:r>
      <w:r w:rsidR="0025625D">
        <w:rPr>
          <w:rFonts w:cstheme="minorHAnsi"/>
        </w:rPr>
        <w:t>is</w:t>
      </w:r>
      <w:r w:rsidRPr="0099464A">
        <w:rPr>
          <w:rFonts w:cstheme="minorHAnsi"/>
        </w:rPr>
        <w:t xml:space="preserve"> also incorporated into the State Planning Policy Framework of the Melbourne Planning Scheme.</w:t>
      </w:r>
    </w:p>
    <w:p w:rsidR="00706330" w:rsidRDefault="00706330" w:rsidP="00706330">
      <w:pPr>
        <w:rPr>
          <w:rFonts w:cstheme="minorHAnsi"/>
        </w:rPr>
      </w:pPr>
      <w:r>
        <w:rPr>
          <w:rFonts w:cstheme="minorHAnsi"/>
        </w:rPr>
        <w:t xml:space="preserve">The revised </w:t>
      </w:r>
      <w:r>
        <w:rPr>
          <w:rFonts w:cstheme="minorHAnsi"/>
          <w:i/>
        </w:rPr>
        <w:t xml:space="preserve">Plan Melbourne </w:t>
      </w:r>
      <w:r>
        <w:rPr>
          <w:rFonts w:cstheme="minorHAnsi"/>
        </w:rPr>
        <w:t xml:space="preserve">acknowledges that </w:t>
      </w:r>
      <w:r w:rsidRPr="0099464A">
        <w:rPr>
          <w:rFonts w:cstheme="minorHAnsi"/>
        </w:rPr>
        <w:t xml:space="preserve">Melbourne </w:t>
      </w:r>
      <w:r w:rsidR="007B3C27">
        <w:rPr>
          <w:rFonts w:cstheme="minorHAnsi"/>
        </w:rPr>
        <w:t>Hoddle Grid</w:t>
      </w:r>
      <w:r w:rsidRPr="0099464A">
        <w:rPr>
          <w:rFonts w:cstheme="minorHAnsi"/>
        </w:rPr>
        <w:t xml:space="preserve"> has the status of the Central City.</w:t>
      </w:r>
      <w:r>
        <w:rPr>
          <w:rFonts w:cstheme="minorHAnsi"/>
        </w:rPr>
        <w:t xml:space="preserve"> It also identifies the Carlton-Lygon Street </w:t>
      </w:r>
      <w:r w:rsidR="0026666F">
        <w:rPr>
          <w:rFonts w:cstheme="minorHAnsi"/>
        </w:rPr>
        <w:t xml:space="preserve">corridor </w:t>
      </w:r>
      <w:r>
        <w:rPr>
          <w:rFonts w:cstheme="minorHAnsi"/>
        </w:rPr>
        <w:t>as a major activity centre.</w:t>
      </w:r>
    </w:p>
    <w:p w:rsidR="00706330" w:rsidRPr="00746B4E" w:rsidRDefault="00706330" w:rsidP="00706330">
      <w:r>
        <w:rPr>
          <w:rFonts w:cstheme="minorHAnsi"/>
          <w:i/>
        </w:rPr>
        <w:t xml:space="preserve">Plan Melbourne </w:t>
      </w:r>
      <w:r>
        <w:rPr>
          <w:rFonts w:cstheme="minorHAnsi"/>
        </w:rPr>
        <w:t xml:space="preserve">has also identified Parkville and Fishermans Bend as national employment and innovation clusters and the major urban renewal precincts of </w:t>
      </w:r>
      <w:r w:rsidRPr="00746B4E">
        <w:t>Docklands, Fishermans Bend, Arden, Macaulay, E-G</w:t>
      </w:r>
      <w:r w:rsidR="00156D16">
        <w:t>ate, Dynon and Flinders Street S</w:t>
      </w:r>
      <w:r w:rsidRPr="00746B4E">
        <w:t>tation to Richmond corridor</w:t>
      </w:r>
      <w:r>
        <w:t>.</w:t>
      </w:r>
    </w:p>
    <w:p w:rsidR="00706330" w:rsidRPr="0099464A" w:rsidRDefault="00706330" w:rsidP="00FC5226">
      <w:pPr>
        <w:pStyle w:val="Heading2"/>
      </w:pPr>
      <w:bookmarkStart w:id="50" w:name="_Toc494287761"/>
      <w:r>
        <w:t>Council s</w:t>
      </w:r>
      <w:r w:rsidRPr="0099464A">
        <w:t>trategic and policy framework</w:t>
      </w:r>
      <w:bookmarkEnd w:id="50"/>
    </w:p>
    <w:p w:rsidR="00706330" w:rsidRDefault="00706330" w:rsidP="00706330">
      <w:pPr>
        <w:pStyle w:val="Heading3"/>
      </w:pPr>
      <w:bookmarkStart w:id="51" w:name="_Hlk482887263"/>
      <w:r>
        <w:t>Strategies and policies</w:t>
      </w:r>
    </w:p>
    <w:p w:rsidR="001D22CC" w:rsidRDefault="00706330" w:rsidP="001D22CC">
      <w:pPr>
        <w:rPr>
          <w:rFonts w:cstheme="minorHAnsi"/>
        </w:rPr>
      </w:pPr>
      <w:r>
        <w:rPr>
          <w:rFonts w:cstheme="minorHAnsi"/>
        </w:rPr>
        <w:t xml:space="preserve">The following principles and actions incorporated in Council’s strategic and policy framework guide the assessment of planning permit applications and submissions made on applications for gaming licences </w:t>
      </w:r>
      <w:r w:rsidR="001D22CC" w:rsidRPr="001D22CC">
        <w:rPr>
          <w:rFonts w:cstheme="minorHAnsi"/>
        </w:rPr>
        <w:t>(refer to Table 3).</w:t>
      </w:r>
    </w:p>
    <w:p w:rsidR="001D22CC" w:rsidRDefault="001D22CC" w:rsidP="001D22CC">
      <w:pPr>
        <w:pStyle w:val="Caption"/>
      </w:pPr>
      <w:bookmarkStart w:id="52" w:name="_Toc494206921"/>
      <w:bookmarkStart w:id="53" w:name="_Toc494287820"/>
      <w:r w:rsidRPr="001D22CC">
        <w:t xml:space="preserve">Table </w:t>
      </w:r>
      <w:r w:rsidR="00802F28">
        <w:fldChar w:fldCharType="begin"/>
      </w:r>
      <w:r w:rsidR="00802F28">
        <w:instrText xml:space="preserve"> SEQ Table \* ARABIC </w:instrText>
      </w:r>
      <w:r w:rsidR="00802F28">
        <w:fldChar w:fldCharType="separate"/>
      </w:r>
      <w:r w:rsidRPr="001D22CC">
        <w:rPr>
          <w:noProof/>
        </w:rPr>
        <w:t>3</w:t>
      </w:r>
      <w:r w:rsidR="00802F28">
        <w:rPr>
          <w:noProof/>
        </w:rPr>
        <w:fldChar w:fldCharType="end"/>
      </w:r>
      <w:r w:rsidRPr="001D22CC">
        <w:t xml:space="preserve"> – Principles and actions underpinning Council’s strategic and policy framework</w:t>
      </w:r>
      <w:bookmarkEnd w:id="52"/>
      <w:bookmarkEnd w:id="53"/>
    </w:p>
    <w:tbl>
      <w:tblPr>
        <w:tblStyle w:val="ListTable3"/>
        <w:tblW w:w="5000" w:type="pct"/>
        <w:tblLayout w:type="fixed"/>
        <w:tblLook w:val="04A0" w:firstRow="1" w:lastRow="0" w:firstColumn="1" w:lastColumn="0" w:noHBand="0" w:noVBand="1"/>
      </w:tblPr>
      <w:tblGrid>
        <w:gridCol w:w="2466"/>
        <w:gridCol w:w="6776"/>
      </w:tblGrid>
      <w:tr w:rsidR="0066673B" w:rsidRPr="009D0DC3" w:rsidTr="009D35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34" w:type="pct"/>
          </w:tcPr>
          <w:p w:rsidR="0066673B" w:rsidRPr="009D0DC3" w:rsidRDefault="0066673B" w:rsidP="00FF3CA9">
            <w:pPr>
              <w:pStyle w:val="ListParagraph"/>
              <w:spacing w:line="259" w:lineRule="auto"/>
              <w:ind w:left="113"/>
              <w:rPr>
                <w:rFonts w:eastAsia="Calibri" w:cstheme="minorHAnsi"/>
                <w:b w:val="0"/>
                <w:bCs w:val="0"/>
                <w:color w:val="FFFFFF"/>
              </w:rPr>
            </w:pPr>
            <w:r w:rsidRPr="009D0DC3">
              <w:rPr>
                <w:rFonts w:eastAsia="Calibri" w:cstheme="minorHAnsi"/>
                <w:color w:val="FFFFFF"/>
              </w:rPr>
              <w:t>Strategy</w:t>
            </w:r>
          </w:p>
        </w:tc>
        <w:tc>
          <w:tcPr>
            <w:tcW w:w="3666" w:type="pct"/>
          </w:tcPr>
          <w:p w:rsidR="0066673B" w:rsidRPr="009D0DC3" w:rsidRDefault="0066673B" w:rsidP="00FF3CA9">
            <w:pPr>
              <w:pStyle w:val="ListParagraph"/>
              <w:spacing w:line="259" w:lineRule="auto"/>
              <w:ind w:left="113"/>
              <w:cnfStyle w:val="100000000000" w:firstRow="1" w:lastRow="0" w:firstColumn="0" w:lastColumn="0" w:oddVBand="0" w:evenVBand="0" w:oddHBand="0" w:evenHBand="0" w:firstRowFirstColumn="0" w:firstRowLastColumn="0" w:lastRowFirstColumn="0" w:lastRowLastColumn="0"/>
              <w:rPr>
                <w:rFonts w:eastAsia="Calibri" w:cstheme="minorHAnsi"/>
                <w:b w:val="0"/>
                <w:bCs w:val="0"/>
                <w:color w:val="FFFFFF"/>
              </w:rPr>
            </w:pPr>
            <w:r w:rsidRPr="009D0DC3">
              <w:rPr>
                <w:rFonts w:eastAsia="Calibri" w:cstheme="minorHAnsi"/>
                <w:color w:val="FFFFFF"/>
              </w:rPr>
              <w:t>Principles and actions</w:t>
            </w:r>
          </w:p>
        </w:tc>
      </w:tr>
      <w:tr w:rsidR="0088731C" w:rsidRPr="009D0DC3" w:rsidTr="009D3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rsidR="0088731C" w:rsidRPr="009D0DC3" w:rsidRDefault="0088731C" w:rsidP="009D35D5">
            <w:pPr>
              <w:pStyle w:val="ListParagraph"/>
              <w:spacing w:line="259" w:lineRule="auto"/>
              <w:ind w:left="0"/>
              <w:rPr>
                <w:rFonts w:eastAsia="Calibri" w:cstheme="minorHAnsi"/>
                <w:b w:val="0"/>
                <w:bCs w:val="0"/>
              </w:rPr>
            </w:pPr>
            <w:r w:rsidRPr="009D0DC3">
              <w:rPr>
                <w:rFonts w:eastAsia="Calibri" w:cstheme="minorHAnsi"/>
              </w:rPr>
              <w:t>Future Melbourne Plan 2026</w:t>
            </w:r>
          </w:p>
        </w:tc>
        <w:tc>
          <w:tcPr>
            <w:tcW w:w="3666" w:type="pct"/>
          </w:tcPr>
          <w:p w:rsidR="0088731C" w:rsidRPr="009D0DC3" w:rsidRDefault="0088731C" w:rsidP="009D35D5">
            <w:pPr>
              <w:pStyle w:val="ListParagraph"/>
              <w:spacing w:line="259" w:lineRule="auto"/>
              <w:ind w:left="113"/>
              <w:cnfStyle w:val="000000100000" w:firstRow="0" w:lastRow="0" w:firstColumn="0" w:lastColumn="0" w:oddVBand="0" w:evenVBand="0" w:oddHBand="1" w:evenHBand="0" w:firstRowFirstColumn="0" w:firstRowLastColumn="0" w:lastRowFirstColumn="0" w:lastRowLastColumn="0"/>
              <w:rPr>
                <w:rFonts w:eastAsia="Calibri" w:cstheme="minorHAnsi"/>
              </w:rPr>
            </w:pPr>
            <w:r w:rsidRPr="009D0DC3">
              <w:rPr>
                <w:rFonts w:eastAsia="Calibri" w:cstheme="minorHAnsi"/>
              </w:rPr>
              <w:t>Visions include a city that is:</w:t>
            </w:r>
          </w:p>
          <w:p w:rsidR="0088731C" w:rsidRPr="009D0DC3" w:rsidRDefault="0088731C" w:rsidP="009D35D5">
            <w:pPr>
              <w:pStyle w:val="ListParagraph"/>
              <w:numPr>
                <w:ilvl w:val="0"/>
                <w:numId w:val="16"/>
              </w:numPr>
              <w:spacing w:after="120" w:line="259" w:lineRule="auto"/>
              <w:contextualSpacing w:val="0"/>
              <w:cnfStyle w:val="000000100000" w:firstRow="0" w:lastRow="0" w:firstColumn="0" w:lastColumn="0" w:oddVBand="0" w:evenVBand="0" w:oddHBand="1" w:evenHBand="0" w:firstRowFirstColumn="0" w:firstRowLastColumn="0" w:lastRowFirstColumn="0" w:lastRowLastColumn="0"/>
              <w:rPr>
                <w:rFonts w:eastAsia="Calibri" w:cstheme="minorHAnsi"/>
              </w:rPr>
            </w:pPr>
            <w:r w:rsidRPr="009D0DC3">
              <w:rPr>
                <w:rFonts w:eastAsia="Calibri" w:cstheme="minorHAnsi"/>
              </w:rPr>
              <w:t>A great place to live, work and play at every stage of life</w:t>
            </w:r>
          </w:p>
          <w:p w:rsidR="0088731C" w:rsidRPr="009D0DC3" w:rsidRDefault="0088731C" w:rsidP="009D35D5">
            <w:pPr>
              <w:pStyle w:val="ListParagraph"/>
              <w:numPr>
                <w:ilvl w:val="0"/>
                <w:numId w:val="16"/>
              </w:numPr>
              <w:spacing w:after="120" w:line="259" w:lineRule="auto"/>
              <w:contextualSpacing w:val="0"/>
              <w:cnfStyle w:val="000000100000" w:firstRow="0" w:lastRow="0" w:firstColumn="0" w:lastColumn="0" w:oddVBand="0" w:evenVBand="0" w:oddHBand="1" w:evenHBand="0" w:firstRowFirstColumn="0" w:firstRowLastColumn="0" w:lastRowFirstColumn="0" w:lastRowLastColumn="0"/>
              <w:rPr>
                <w:rFonts w:eastAsia="Calibri" w:cstheme="minorHAnsi"/>
              </w:rPr>
            </w:pPr>
            <w:r w:rsidRPr="009D0DC3">
              <w:rPr>
                <w:rFonts w:eastAsia="Calibri" w:cstheme="minorHAnsi"/>
              </w:rPr>
              <w:t>Accessible, safe and clean</w:t>
            </w:r>
          </w:p>
          <w:p w:rsidR="0088731C" w:rsidRPr="009D0DC3" w:rsidRDefault="0088731C" w:rsidP="009D35D5">
            <w:pPr>
              <w:pStyle w:val="ListParagraph"/>
              <w:numPr>
                <w:ilvl w:val="0"/>
                <w:numId w:val="16"/>
              </w:numPr>
              <w:spacing w:after="120" w:line="259" w:lineRule="auto"/>
              <w:contextualSpacing w:val="0"/>
              <w:cnfStyle w:val="000000100000" w:firstRow="0" w:lastRow="0" w:firstColumn="0" w:lastColumn="0" w:oddVBand="0" w:evenVBand="0" w:oddHBand="1" w:evenHBand="0" w:firstRowFirstColumn="0" w:firstRowLastColumn="0" w:lastRowFirstColumn="0" w:lastRowLastColumn="0"/>
              <w:rPr>
                <w:rFonts w:eastAsia="Calibri" w:cstheme="minorHAnsi"/>
              </w:rPr>
            </w:pPr>
            <w:r w:rsidRPr="009D0DC3">
              <w:rPr>
                <w:rFonts w:eastAsia="Calibri" w:cstheme="minorHAnsi"/>
              </w:rPr>
              <w:t>Stimulating and safe at all hours of the day</w:t>
            </w:r>
          </w:p>
        </w:tc>
      </w:tr>
      <w:tr w:rsidR="0066673B" w:rsidRPr="0066673B" w:rsidTr="009D35D5">
        <w:tc>
          <w:tcPr>
            <w:cnfStyle w:val="001000000000" w:firstRow="0" w:lastRow="0" w:firstColumn="1" w:lastColumn="0" w:oddVBand="0" w:evenVBand="0" w:oddHBand="0" w:evenHBand="0" w:firstRowFirstColumn="0" w:firstRowLastColumn="0" w:lastRowFirstColumn="0" w:lastRowLastColumn="0"/>
            <w:tcW w:w="1334" w:type="pct"/>
          </w:tcPr>
          <w:p w:rsidR="0066673B" w:rsidRPr="00C94C6C" w:rsidRDefault="0066673B" w:rsidP="0088731C">
            <w:pPr>
              <w:pStyle w:val="ListParagraph"/>
              <w:spacing w:after="120" w:line="259" w:lineRule="auto"/>
              <w:ind w:left="0"/>
              <w:contextualSpacing w:val="0"/>
              <w:rPr>
                <w:rFonts w:eastAsia="Calibri" w:cstheme="minorHAnsi"/>
                <w:b w:val="0"/>
                <w:bCs w:val="0"/>
              </w:rPr>
            </w:pPr>
            <w:r w:rsidRPr="00C94C6C">
              <w:rPr>
                <w:rFonts w:eastAsia="Calibri" w:cstheme="minorHAnsi"/>
              </w:rPr>
              <w:t>Council Plan 20</w:t>
            </w:r>
            <w:r w:rsidR="00341DFE" w:rsidRPr="00C94C6C">
              <w:rPr>
                <w:rFonts w:eastAsia="Calibri" w:cstheme="minorHAnsi"/>
              </w:rPr>
              <w:t>17</w:t>
            </w:r>
            <w:r w:rsidRPr="00C94C6C">
              <w:rPr>
                <w:rFonts w:eastAsia="Calibri" w:cstheme="minorHAnsi"/>
              </w:rPr>
              <w:t>-20</w:t>
            </w:r>
            <w:r w:rsidR="00341DFE" w:rsidRPr="00C94C6C">
              <w:rPr>
                <w:rFonts w:eastAsia="Calibri" w:cstheme="minorHAnsi"/>
              </w:rPr>
              <w:t>21</w:t>
            </w:r>
            <w:r w:rsidR="0088731C" w:rsidRPr="00C94C6C">
              <w:rPr>
                <w:rFonts w:eastAsia="Calibri" w:cstheme="minorHAnsi"/>
              </w:rPr>
              <w:t>, incorporating the Municipal Public Health and Wellbeing Plan</w:t>
            </w:r>
          </w:p>
        </w:tc>
        <w:tc>
          <w:tcPr>
            <w:tcW w:w="3666" w:type="pct"/>
          </w:tcPr>
          <w:p w:rsidR="0066673B" w:rsidRPr="00C94C6C" w:rsidRDefault="0088731C" w:rsidP="0088731C">
            <w:pPr>
              <w:spacing w:after="120"/>
              <w:ind w:left="113"/>
              <w:cnfStyle w:val="000000000000" w:firstRow="0" w:lastRow="0" w:firstColumn="0" w:lastColumn="0" w:oddVBand="0" w:evenVBand="0" w:oddHBand="0" w:evenHBand="0" w:firstRowFirstColumn="0" w:firstRowLastColumn="0" w:lastRowFirstColumn="0" w:lastRowLastColumn="0"/>
              <w:rPr>
                <w:rFonts w:cstheme="minorHAnsi"/>
              </w:rPr>
            </w:pPr>
            <w:r w:rsidRPr="00C94C6C">
              <w:rPr>
                <w:rFonts w:cstheme="minorHAnsi"/>
              </w:rPr>
              <w:t>The vision and goals of this Plan focus on maximising inclusion and safety</w:t>
            </w:r>
            <w:r w:rsidR="00AA4757">
              <w:rPr>
                <w:rFonts w:cstheme="minorHAnsi"/>
              </w:rPr>
              <w:t>,</w:t>
            </w:r>
            <w:r w:rsidRPr="00C94C6C">
              <w:rPr>
                <w:rFonts w:cstheme="minorHAnsi"/>
              </w:rPr>
              <w:t xml:space="preserve"> addressing homelessness</w:t>
            </w:r>
            <w:r w:rsidR="00AA4757">
              <w:rPr>
                <w:rFonts w:cstheme="minorHAnsi"/>
              </w:rPr>
              <w:t>,</w:t>
            </w:r>
            <w:r w:rsidRPr="00C94C6C">
              <w:rPr>
                <w:rFonts w:cstheme="minorHAnsi"/>
              </w:rPr>
              <w:t xml:space="preserve"> ensuring Melbourne is a destination of choice for residents, workers and visitors</w:t>
            </w:r>
            <w:r w:rsidR="00AA4757">
              <w:rPr>
                <w:rFonts w:cstheme="minorHAnsi"/>
              </w:rPr>
              <w:t>,</w:t>
            </w:r>
            <w:r w:rsidRPr="00C94C6C">
              <w:rPr>
                <w:rFonts w:cstheme="minorHAnsi"/>
              </w:rPr>
              <w:t xml:space="preserve"> and providing information and opportunities for people to </w:t>
            </w:r>
            <w:r w:rsidR="00AA4757">
              <w:rPr>
                <w:rFonts w:cstheme="minorHAnsi"/>
              </w:rPr>
              <w:t>participate in decision-making.</w:t>
            </w:r>
          </w:p>
          <w:p w:rsidR="0088731C" w:rsidRPr="00C94C6C" w:rsidRDefault="0088731C" w:rsidP="0088731C">
            <w:pPr>
              <w:spacing w:after="120"/>
              <w:ind w:left="113"/>
              <w:cnfStyle w:val="000000000000" w:firstRow="0" w:lastRow="0" w:firstColumn="0" w:lastColumn="0" w:oddVBand="0" w:evenVBand="0" w:oddHBand="0" w:evenHBand="0" w:firstRowFirstColumn="0" w:firstRowLastColumn="0" w:lastRowFirstColumn="0" w:lastRowLastColumn="0"/>
              <w:rPr>
                <w:rFonts w:eastAsia="Calibri" w:cstheme="minorHAnsi"/>
              </w:rPr>
            </w:pPr>
            <w:r w:rsidRPr="00C94C6C">
              <w:rPr>
                <w:rFonts w:cstheme="minorHAnsi"/>
              </w:rPr>
              <w:t>Relevant health and wellbeing priorities include preventing crime, violence and injury, including violence against women and children, providing community and social infrastructure and services to maintain quality of life, and facilitating opportunities for all people to participate in the social, economic and civic life of the city.</w:t>
            </w:r>
          </w:p>
        </w:tc>
      </w:tr>
      <w:tr w:rsidR="0066673B" w:rsidRPr="00914260" w:rsidTr="009D3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rsidR="0066673B" w:rsidRPr="00C94C6C" w:rsidRDefault="0066673B" w:rsidP="00FF3CA9">
            <w:pPr>
              <w:pStyle w:val="ListParagraph"/>
              <w:spacing w:line="259" w:lineRule="auto"/>
              <w:ind w:left="0"/>
              <w:rPr>
                <w:rFonts w:eastAsia="Calibri" w:cstheme="minorHAnsi"/>
                <w:b w:val="0"/>
                <w:bCs w:val="0"/>
              </w:rPr>
            </w:pPr>
            <w:r w:rsidRPr="00C94C6C">
              <w:rPr>
                <w:rFonts w:eastAsia="Calibri" w:cstheme="minorHAnsi"/>
              </w:rPr>
              <w:t xml:space="preserve">Beyond </w:t>
            </w:r>
            <w:r w:rsidR="00914260" w:rsidRPr="00C94C6C">
              <w:rPr>
                <w:rFonts w:eastAsia="Calibri" w:cstheme="minorHAnsi"/>
              </w:rPr>
              <w:t xml:space="preserve">the </w:t>
            </w:r>
            <w:r w:rsidRPr="00C94C6C">
              <w:rPr>
                <w:rFonts w:eastAsia="Calibri" w:cstheme="minorHAnsi"/>
              </w:rPr>
              <w:t xml:space="preserve">Safe City Strategy 2014-2017 </w:t>
            </w:r>
          </w:p>
        </w:tc>
        <w:tc>
          <w:tcPr>
            <w:tcW w:w="3666" w:type="pct"/>
          </w:tcPr>
          <w:p w:rsidR="0066673B" w:rsidRPr="00C94C6C" w:rsidRDefault="0066673B" w:rsidP="00FF3CA9">
            <w:pPr>
              <w:pStyle w:val="ListParagraph"/>
              <w:spacing w:line="259" w:lineRule="auto"/>
              <w:ind w:left="113"/>
              <w:cnfStyle w:val="000000100000" w:firstRow="0" w:lastRow="0" w:firstColumn="0" w:lastColumn="0" w:oddVBand="0" w:evenVBand="0" w:oddHBand="1" w:evenHBand="0" w:firstRowFirstColumn="0" w:firstRowLastColumn="0" w:lastRowFirstColumn="0" w:lastRowLastColumn="0"/>
              <w:rPr>
                <w:rFonts w:eastAsia="Calibri" w:cstheme="minorHAnsi"/>
              </w:rPr>
            </w:pPr>
            <w:r w:rsidRPr="00C94C6C">
              <w:rPr>
                <w:rFonts w:eastAsia="Calibri" w:cstheme="minorHAnsi"/>
              </w:rPr>
              <w:t>Harm minimisation approach focuses on reducing the adverse social, economic and health consequences of drug and alcohol use.</w:t>
            </w:r>
          </w:p>
          <w:p w:rsidR="0066673B" w:rsidRPr="00C94C6C" w:rsidRDefault="0066673B" w:rsidP="00FF3CA9">
            <w:pPr>
              <w:pStyle w:val="ListParagraph"/>
              <w:spacing w:line="259" w:lineRule="auto"/>
              <w:ind w:left="113"/>
              <w:cnfStyle w:val="000000100000" w:firstRow="0" w:lastRow="0" w:firstColumn="0" w:lastColumn="0" w:oddVBand="0" w:evenVBand="0" w:oddHBand="1" w:evenHBand="0" w:firstRowFirstColumn="0" w:firstRowLastColumn="0" w:lastRowFirstColumn="0" w:lastRowLastColumn="0"/>
              <w:rPr>
                <w:rFonts w:eastAsia="Calibri" w:cstheme="minorHAnsi"/>
              </w:rPr>
            </w:pPr>
            <w:r w:rsidRPr="00C94C6C">
              <w:rPr>
                <w:rFonts w:eastAsia="Calibri" w:cstheme="minorHAnsi"/>
              </w:rPr>
              <w:t>Prevention approach focuses on tackling risk factors that cause crime, violence and injury.</w:t>
            </w:r>
          </w:p>
          <w:p w:rsidR="0066673B" w:rsidRPr="00C94C6C" w:rsidRDefault="0066673B" w:rsidP="00FF3CA9">
            <w:pPr>
              <w:pStyle w:val="ListParagraph"/>
              <w:spacing w:line="259" w:lineRule="auto"/>
              <w:ind w:left="113"/>
              <w:cnfStyle w:val="000000100000" w:firstRow="0" w:lastRow="0" w:firstColumn="0" w:lastColumn="0" w:oddVBand="0" w:evenVBand="0" w:oddHBand="1" w:evenHBand="0" w:firstRowFirstColumn="0" w:firstRowLastColumn="0" w:lastRowFirstColumn="0" w:lastRowLastColumn="0"/>
              <w:rPr>
                <w:rFonts w:eastAsia="Calibri" w:cstheme="minorHAnsi"/>
              </w:rPr>
            </w:pPr>
            <w:r w:rsidRPr="00C94C6C">
              <w:rPr>
                <w:rFonts w:eastAsia="Calibri" w:cstheme="minorHAnsi"/>
              </w:rPr>
              <w:t>Safer by design principles are to be applied in order to improve perceptions of safety and integrate streets and public places.</w:t>
            </w:r>
          </w:p>
        </w:tc>
      </w:tr>
      <w:tr w:rsidR="0066673B" w:rsidRPr="00914260" w:rsidTr="009D35D5">
        <w:tc>
          <w:tcPr>
            <w:cnfStyle w:val="001000000000" w:firstRow="0" w:lastRow="0" w:firstColumn="1" w:lastColumn="0" w:oddVBand="0" w:evenVBand="0" w:oddHBand="0" w:evenHBand="0" w:firstRowFirstColumn="0" w:firstRowLastColumn="0" w:lastRowFirstColumn="0" w:lastRowLastColumn="0"/>
            <w:tcW w:w="1334" w:type="pct"/>
          </w:tcPr>
          <w:p w:rsidR="0066673B" w:rsidRPr="00C94C6C" w:rsidRDefault="0066673B" w:rsidP="00FF3CA9">
            <w:pPr>
              <w:pStyle w:val="ListParagraph"/>
              <w:spacing w:line="259" w:lineRule="auto"/>
              <w:ind w:left="0"/>
              <w:rPr>
                <w:rFonts w:eastAsia="Calibri" w:cstheme="minorHAnsi"/>
                <w:b w:val="0"/>
                <w:bCs w:val="0"/>
              </w:rPr>
            </w:pPr>
            <w:r w:rsidRPr="00C94C6C">
              <w:rPr>
                <w:rFonts w:eastAsia="Calibri" w:cstheme="minorHAnsi"/>
              </w:rPr>
              <w:t>Melbourne for All People 2014-2017</w:t>
            </w:r>
          </w:p>
        </w:tc>
        <w:tc>
          <w:tcPr>
            <w:tcW w:w="3666" w:type="pct"/>
          </w:tcPr>
          <w:p w:rsidR="0066673B" w:rsidRPr="00C94C6C" w:rsidRDefault="0066673B" w:rsidP="00FF3CA9">
            <w:pPr>
              <w:pStyle w:val="ListParagraph"/>
              <w:spacing w:line="259" w:lineRule="auto"/>
              <w:ind w:left="113"/>
              <w:cnfStyle w:val="000000000000" w:firstRow="0" w:lastRow="0" w:firstColumn="0" w:lastColumn="0" w:oddVBand="0" w:evenVBand="0" w:oddHBand="0" w:evenHBand="0" w:firstRowFirstColumn="0" w:firstRowLastColumn="0" w:lastRowFirstColumn="0" w:lastRowLastColumn="0"/>
              <w:rPr>
                <w:rFonts w:eastAsia="Calibri" w:cstheme="minorHAnsi"/>
              </w:rPr>
            </w:pPr>
            <w:r w:rsidRPr="00C94C6C">
              <w:rPr>
                <w:rFonts w:eastAsia="Calibri" w:cstheme="minorHAnsi"/>
              </w:rPr>
              <w:t>Themes include safety, health and wellbeing.</w:t>
            </w:r>
          </w:p>
          <w:p w:rsidR="0066673B" w:rsidRPr="00C94C6C" w:rsidRDefault="0066673B" w:rsidP="00FF3CA9">
            <w:pPr>
              <w:pStyle w:val="ListParagraph"/>
              <w:spacing w:line="259" w:lineRule="auto"/>
              <w:ind w:left="113"/>
              <w:cnfStyle w:val="000000000000" w:firstRow="0" w:lastRow="0" w:firstColumn="0" w:lastColumn="0" w:oddVBand="0" w:evenVBand="0" w:oddHBand="0" w:evenHBand="0" w:firstRowFirstColumn="0" w:firstRowLastColumn="0" w:lastRowFirstColumn="0" w:lastRowLastColumn="0"/>
              <w:rPr>
                <w:rFonts w:eastAsia="Calibri" w:cstheme="minorHAnsi"/>
              </w:rPr>
            </w:pPr>
            <w:r w:rsidRPr="00C94C6C">
              <w:rPr>
                <w:rFonts w:eastAsia="Calibri" w:cstheme="minorHAnsi"/>
              </w:rPr>
              <w:t>There is acknowledgement that competencies developed by young people can have a long lasting positive impact on their fulfilment and wellbeing.</w:t>
            </w:r>
          </w:p>
          <w:p w:rsidR="0066673B" w:rsidRPr="00C94C6C" w:rsidRDefault="0066673B" w:rsidP="00FF3CA9">
            <w:pPr>
              <w:pStyle w:val="ListParagraph"/>
              <w:spacing w:line="259" w:lineRule="auto"/>
              <w:ind w:left="113"/>
              <w:cnfStyle w:val="000000000000" w:firstRow="0" w:lastRow="0" w:firstColumn="0" w:lastColumn="0" w:oddVBand="0" w:evenVBand="0" w:oddHBand="0" w:evenHBand="0" w:firstRowFirstColumn="0" w:firstRowLastColumn="0" w:lastRowFirstColumn="0" w:lastRowLastColumn="0"/>
              <w:rPr>
                <w:rFonts w:eastAsia="Calibri" w:cstheme="minorHAnsi"/>
              </w:rPr>
            </w:pPr>
            <w:r w:rsidRPr="00C94C6C">
              <w:rPr>
                <w:rFonts w:eastAsia="Calibri" w:cstheme="minorHAnsi"/>
              </w:rPr>
              <w:t>Issues include significant socio-economic disadvantage in the City of Melbourne, specifically in parts</w:t>
            </w:r>
            <w:r w:rsidR="00AA4757">
              <w:rPr>
                <w:rFonts w:eastAsia="Calibri" w:cstheme="minorHAnsi"/>
              </w:rPr>
              <w:t xml:space="preserve"> of North Melbourne and Carlton</w:t>
            </w:r>
            <w:r w:rsidRPr="00C94C6C">
              <w:rPr>
                <w:rFonts w:eastAsia="Calibri" w:cstheme="minorHAnsi"/>
              </w:rPr>
              <w:t xml:space="preserve"> and violence against women.</w:t>
            </w:r>
          </w:p>
        </w:tc>
      </w:tr>
      <w:tr w:rsidR="0066673B" w:rsidRPr="00914260" w:rsidTr="009D3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rsidR="0066673B" w:rsidRPr="00C94C6C" w:rsidRDefault="0066673B" w:rsidP="00FF3CA9">
            <w:pPr>
              <w:pStyle w:val="ListParagraph"/>
              <w:spacing w:line="259" w:lineRule="auto"/>
              <w:ind w:left="0"/>
              <w:rPr>
                <w:rFonts w:eastAsia="Calibri" w:cstheme="minorHAnsi"/>
                <w:b w:val="0"/>
                <w:bCs w:val="0"/>
              </w:rPr>
            </w:pPr>
            <w:r w:rsidRPr="00C94C6C">
              <w:rPr>
                <w:rFonts w:eastAsia="Calibri" w:cstheme="minorHAnsi"/>
              </w:rPr>
              <w:t>International Student Strategy 2013-2017</w:t>
            </w:r>
          </w:p>
        </w:tc>
        <w:tc>
          <w:tcPr>
            <w:tcW w:w="3666" w:type="pct"/>
          </w:tcPr>
          <w:p w:rsidR="0066673B" w:rsidRPr="00C94C6C" w:rsidRDefault="0066673B" w:rsidP="00FF3CA9">
            <w:pPr>
              <w:pStyle w:val="ListParagraph"/>
              <w:spacing w:line="259" w:lineRule="auto"/>
              <w:ind w:left="113"/>
              <w:cnfStyle w:val="000000100000" w:firstRow="0" w:lastRow="0" w:firstColumn="0" w:lastColumn="0" w:oddVBand="0" w:evenVBand="0" w:oddHBand="1" w:evenHBand="0" w:firstRowFirstColumn="0" w:firstRowLastColumn="0" w:lastRowFirstColumn="0" w:lastRowLastColumn="0"/>
              <w:rPr>
                <w:rFonts w:eastAsia="Calibri" w:cstheme="minorHAnsi"/>
              </w:rPr>
            </w:pPr>
            <w:r w:rsidRPr="00C94C6C">
              <w:rPr>
                <w:rFonts w:eastAsia="Calibri" w:cstheme="minorHAnsi"/>
              </w:rPr>
              <w:t>Identifies that there is a high proportion of students, including international students living in the municipality.</w:t>
            </w:r>
          </w:p>
          <w:p w:rsidR="0066673B" w:rsidRPr="00C94C6C" w:rsidRDefault="0066673B" w:rsidP="00FF3CA9">
            <w:pPr>
              <w:pStyle w:val="ListParagraph"/>
              <w:spacing w:line="259" w:lineRule="auto"/>
              <w:ind w:left="113"/>
              <w:cnfStyle w:val="000000100000" w:firstRow="0" w:lastRow="0" w:firstColumn="0" w:lastColumn="0" w:oddVBand="0" w:evenVBand="0" w:oddHBand="1" w:evenHBand="0" w:firstRowFirstColumn="0" w:firstRowLastColumn="0" w:lastRowFirstColumn="0" w:lastRowLastColumn="0"/>
              <w:rPr>
                <w:rFonts w:eastAsia="Calibri" w:cstheme="minorHAnsi"/>
              </w:rPr>
            </w:pPr>
            <w:r w:rsidRPr="00C94C6C">
              <w:rPr>
                <w:rFonts w:eastAsia="Calibri" w:cstheme="minorHAnsi"/>
              </w:rPr>
              <w:t>Further identifies the vulnerability of students and international students to housing, employment and food insecurity.</w:t>
            </w:r>
          </w:p>
        </w:tc>
      </w:tr>
      <w:tr w:rsidR="0066673B" w:rsidRPr="00914260" w:rsidTr="009D35D5">
        <w:tc>
          <w:tcPr>
            <w:cnfStyle w:val="001000000000" w:firstRow="0" w:lastRow="0" w:firstColumn="1" w:lastColumn="0" w:oddVBand="0" w:evenVBand="0" w:oddHBand="0" w:evenHBand="0" w:firstRowFirstColumn="0" w:firstRowLastColumn="0" w:lastRowFirstColumn="0" w:lastRowLastColumn="0"/>
            <w:tcW w:w="1334" w:type="pct"/>
          </w:tcPr>
          <w:p w:rsidR="0066673B" w:rsidRPr="00C94C6C" w:rsidRDefault="0066673B" w:rsidP="00FF3CA9">
            <w:pPr>
              <w:pStyle w:val="ListParagraph"/>
              <w:spacing w:line="259" w:lineRule="auto"/>
              <w:ind w:left="0"/>
              <w:rPr>
                <w:rFonts w:eastAsia="Calibri" w:cstheme="minorHAnsi"/>
                <w:b w:val="0"/>
                <w:bCs w:val="0"/>
              </w:rPr>
            </w:pPr>
            <w:r w:rsidRPr="00C94C6C">
              <w:rPr>
                <w:rFonts w:eastAsia="Calibri" w:cstheme="minorHAnsi"/>
              </w:rPr>
              <w:t>Pathways: Homelessness Strategy 2014-2017</w:t>
            </w:r>
          </w:p>
        </w:tc>
        <w:tc>
          <w:tcPr>
            <w:tcW w:w="3666" w:type="pct"/>
          </w:tcPr>
          <w:p w:rsidR="0066673B" w:rsidRPr="00C94C6C" w:rsidRDefault="0066673B" w:rsidP="00FF3CA9">
            <w:pPr>
              <w:pStyle w:val="ListParagraph"/>
              <w:spacing w:line="259" w:lineRule="auto"/>
              <w:ind w:left="113"/>
              <w:cnfStyle w:val="000000000000" w:firstRow="0" w:lastRow="0" w:firstColumn="0" w:lastColumn="0" w:oddVBand="0" w:evenVBand="0" w:oddHBand="0" w:evenHBand="0" w:firstRowFirstColumn="0" w:firstRowLastColumn="0" w:lastRowFirstColumn="0" w:lastRowLastColumn="0"/>
              <w:rPr>
                <w:rFonts w:eastAsia="Calibri" w:cstheme="minorHAnsi"/>
              </w:rPr>
            </w:pPr>
            <w:r w:rsidRPr="00C94C6C">
              <w:rPr>
                <w:rFonts w:eastAsia="Calibri" w:cstheme="minorHAnsi"/>
              </w:rPr>
              <w:t>Highlights that Melbourne’s role as a capital city results in a high rate of homelessness.</w:t>
            </w:r>
          </w:p>
        </w:tc>
      </w:tr>
      <w:tr w:rsidR="0066673B" w:rsidRPr="00914260" w:rsidTr="009D3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rsidR="0066673B" w:rsidRPr="00C94C6C" w:rsidRDefault="0066673B" w:rsidP="00FF3CA9">
            <w:pPr>
              <w:pStyle w:val="ListParagraph"/>
              <w:spacing w:line="259" w:lineRule="auto"/>
              <w:ind w:left="0"/>
              <w:rPr>
                <w:rFonts w:eastAsia="Calibri" w:cstheme="minorHAnsi"/>
                <w:b w:val="0"/>
                <w:bCs w:val="0"/>
              </w:rPr>
            </w:pPr>
            <w:r w:rsidRPr="00C94C6C">
              <w:rPr>
                <w:rFonts w:eastAsia="Calibri" w:cstheme="minorHAnsi"/>
              </w:rPr>
              <w:t>Preventing Violence Against Women Strategy 2013-2016</w:t>
            </w:r>
          </w:p>
        </w:tc>
        <w:tc>
          <w:tcPr>
            <w:tcW w:w="3666" w:type="pct"/>
          </w:tcPr>
          <w:p w:rsidR="0066673B" w:rsidRPr="00C94C6C" w:rsidRDefault="0066673B" w:rsidP="00FF3CA9">
            <w:pPr>
              <w:pStyle w:val="ListParagraph"/>
              <w:spacing w:line="259" w:lineRule="auto"/>
              <w:ind w:left="113"/>
              <w:cnfStyle w:val="000000100000" w:firstRow="0" w:lastRow="0" w:firstColumn="0" w:lastColumn="0" w:oddVBand="0" w:evenVBand="0" w:oddHBand="1" w:evenHBand="0" w:firstRowFirstColumn="0" w:firstRowLastColumn="0" w:lastRowFirstColumn="0" w:lastRowLastColumn="0"/>
              <w:rPr>
                <w:rFonts w:eastAsia="Calibri" w:cstheme="minorHAnsi"/>
              </w:rPr>
            </w:pPr>
            <w:r w:rsidRPr="00C94C6C">
              <w:rPr>
                <w:rFonts w:eastAsia="Calibri" w:cstheme="minorHAnsi"/>
              </w:rPr>
              <w:t>States the role that the City of Melbourne plays in creating safe public environments and actively preventing violence against women by addressing the underlying determinants.</w:t>
            </w:r>
          </w:p>
        </w:tc>
      </w:tr>
      <w:tr w:rsidR="0066673B" w:rsidRPr="009D0DC3" w:rsidTr="009D35D5">
        <w:tc>
          <w:tcPr>
            <w:cnfStyle w:val="001000000000" w:firstRow="0" w:lastRow="0" w:firstColumn="1" w:lastColumn="0" w:oddVBand="0" w:evenVBand="0" w:oddHBand="0" w:evenHBand="0" w:firstRowFirstColumn="0" w:firstRowLastColumn="0" w:lastRowFirstColumn="0" w:lastRowLastColumn="0"/>
            <w:tcW w:w="1334" w:type="pct"/>
          </w:tcPr>
          <w:p w:rsidR="0066673B" w:rsidRPr="00C94C6C" w:rsidRDefault="0066673B" w:rsidP="00FF3CA9">
            <w:pPr>
              <w:pStyle w:val="ListParagraph"/>
              <w:spacing w:line="259" w:lineRule="auto"/>
              <w:ind w:left="0"/>
              <w:rPr>
                <w:rFonts w:eastAsia="Calibri" w:cstheme="minorHAnsi"/>
                <w:b w:val="0"/>
                <w:bCs w:val="0"/>
              </w:rPr>
            </w:pPr>
            <w:r w:rsidRPr="00C94C6C">
              <w:rPr>
                <w:rFonts w:eastAsia="Calibri" w:cstheme="minorHAnsi"/>
              </w:rPr>
              <w:t>Retail and Hospitality Strategy 2013-2017</w:t>
            </w:r>
          </w:p>
        </w:tc>
        <w:tc>
          <w:tcPr>
            <w:tcW w:w="3666" w:type="pct"/>
          </w:tcPr>
          <w:p w:rsidR="0066673B" w:rsidRPr="00C94C6C" w:rsidRDefault="0066673B" w:rsidP="00FF3CA9">
            <w:pPr>
              <w:pStyle w:val="ListParagraph"/>
              <w:spacing w:line="259" w:lineRule="auto"/>
              <w:ind w:left="113"/>
              <w:cnfStyle w:val="000000000000" w:firstRow="0" w:lastRow="0" w:firstColumn="0" w:lastColumn="0" w:oddVBand="0" w:evenVBand="0" w:oddHBand="0" w:evenHBand="0" w:firstRowFirstColumn="0" w:firstRowLastColumn="0" w:lastRowFirstColumn="0" w:lastRowLastColumn="0"/>
              <w:rPr>
                <w:rFonts w:eastAsia="Calibri" w:cstheme="minorHAnsi"/>
              </w:rPr>
            </w:pPr>
            <w:r w:rsidRPr="00C94C6C">
              <w:rPr>
                <w:rFonts w:eastAsia="Calibri" w:cstheme="minorHAnsi"/>
              </w:rPr>
              <w:t>Strategic objectives include business diversity, positioning and activation</w:t>
            </w:r>
          </w:p>
          <w:p w:rsidR="0066673B" w:rsidRPr="00C94C6C" w:rsidRDefault="0066673B" w:rsidP="00FF3CA9">
            <w:pPr>
              <w:pStyle w:val="ListParagraph"/>
              <w:spacing w:line="259" w:lineRule="auto"/>
              <w:ind w:left="113"/>
              <w:cnfStyle w:val="000000000000" w:firstRow="0" w:lastRow="0" w:firstColumn="0" w:lastColumn="0" w:oddVBand="0" w:evenVBand="0" w:oddHBand="0" w:evenHBand="0" w:firstRowFirstColumn="0" w:firstRowLastColumn="0" w:lastRowFirstColumn="0" w:lastRowLastColumn="0"/>
              <w:rPr>
                <w:rFonts w:eastAsia="Calibri" w:cstheme="minorHAnsi"/>
              </w:rPr>
            </w:pPr>
            <w:r w:rsidRPr="00C94C6C">
              <w:rPr>
                <w:rFonts w:eastAsia="Calibri" w:cstheme="minorHAnsi"/>
              </w:rPr>
              <w:t>Pubs, taverns and bars are key to the hospitality sector</w:t>
            </w:r>
          </w:p>
          <w:p w:rsidR="0066673B" w:rsidRPr="00C94C6C" w:rsidRDefault="0066673B" w:rsidP="00FF3CA9">
            <w:pPr>
              <w:pStyle w:val="ListParagraph"/>
              <w:spacing w:line="259" w:lineRule="auto"/>
              <w:ind w:left="113"/>
              <w:cnfStyle w:val="000000000000" w:firstRow="0" w:lastRow="0" w:firstColumn="0" w:lastColumn="0" w:oddVBand="0" w:evenVBand="0" w:oddHBand="0" w:evenHBand="0" w:firstRowFirstColumn="0" w:firstRowLastColumn="0" w:lastRowFirstColumn="0" w:lastRowLastColumn="0"/>
              <w:rPr>
                <w:rFonts w:eastAsia="Calibri" w:cstheme="minorHAnsi"/>
              </w:rPr>
            </w:pPr>
            <w:r w:rsidRPr="00C94C6C">
              <w:rPr>
                <w:rFonts w:eastAsia="Calibri" w:cstheme="minorHAnsi"/>
              </w:rPr>
              <w:t>Describes the population as comprising residents, workers and visitors</w:t>
            </w:r>
          </w:p>
          <w:p w:rsidR="0066673B" w:rsidRPr="00C94C6C" w:rsidRDefault="0066673B" w:rsidP="00FF3CA9">
            <w:pPr>
              <w:pStyle w:val="ListParagraph"/>
              <w:spacing w:line="259" w:lineRule="auto"/>
              <w:ind w:left="113"/>
              <w:cnfStyle w:val="000000000000" w:firstRow="0" w:lastRow="0" w:firstColumn="0" w:lastColumn="0" w:oddVBand="0" w:evenVBand="0" w:oddHBand="0" w:evenHBand="0" w:firstRowFirstColumn="0" w:firstRowLastColumn="0" w:lastRowFirstColumn="0" w:lastRowLastColumn="0"/>
              <w:rPr>
                <w:rFonts w:eastAsia="Calibri" w:cstheme="minorHAnsi"/>
              </w:rPr>
            </w:pPr>
            <w:r w:rsidRPr="00C94C6C">
              <w:rPr>
                <w:rFonts w:eastAsia="Calibri" w:cstheme="minorHAnsi"/>
              </w:rPr>
              <w:t>Identifies Melbourne as an emerging 24 hour city where people come for entertainment, hospitality and socialising</w:t>
            </w:r>
          </w:p>
          <w:p w:rsidR="0066673B" w:rsidRPr="00C94C6C" w:rsidRDefault="0066673B" w:rsidP="00FF3CA9">
            <w:pPr>
              <w:pStyle w:val="ListParagraph"/>
              <w:spacing w:line="259" w:lineRule="auto"/>
              <w:ind w:left="113"/>
              <w:cnfStyle w:val="000000000000" w:firstRow="0" w:lastRow="0" w:firstColumn="0" w:lastColumn="0" w:oddVBand="0" w:evenVBand="0" w:oddHBand="0" w:evenHBand="0" w:firstRowFirstColumn="0" w:firstRowLastColumn="0" w:lastRowFirstColumn="0" w:lastRowLastColumn="0"/>
              <w:rPr>
                <w:rFonts w:eastAsia="Calibri" w:cstheme="minorHAnsi"/>
              </w:rPr>
            </w:pPr>
            <w:r w:rsidRPr="00C94C6C">
              <w:rPr>
                <w:rFonts w:eastAsia="Calibri" w:cstheme="minorHAnsi"/>
              </w:rPr>
              <w:t>Identifies role that hospitality and entertainment sector play in providing employment</w:t>
            </w:r>
          </w:p>
        </w:tc>
      </w:tr>
    </w:tbl>
    <w:p w:rsidR="0066673B" w:rsidRPr="0066673B" w:rsidRDefault="0066673B" w:rsidP="0066673B"/>
    <w:bookmarkEnd w:id="51"/>
    <w:p w:rsidR="00706330" w:rsidRDefault="00706330" w:rsidP="00706330">
      <w:pPr>
        <w:pStyle w:val="Heading3"/>
      </w:pPr>
      <w:r>
        <w:t>Urban renewal areas</w:t>
      </w:r>
    </w:p>
    <w:p w:rsidR="005772C2" w:rsidRDefault="00706330" w:rsidP="005772C2">
      <w:r>
        <w:t xml:space="preserve">The City of Melbourne has identified </w:t>
      </w:r>
      <w:r w:rsidR="003F58F2">
        <w:t>several</w:t>
      </w:r>
      <w:r>
        <w:t xml:space="preserve"> urban renewal areas within the municipality. </w:t>
      </w:r>
      <w:r w:rsidR="00914260">
        <w:t>Two</w:t>
      </w:r>
      <w:r>
        <w:t xml:space="preserve"> of these areas </w:t>
      </w:r>
      <w:r w:rsidR="00914260">
        <w:t>have been rezoned to</w:t>
      </w:r>
      <w:r>
        <w:t xml:space="preserve"> Capital City Zone</w:t>
      </w:r>
      <w:r w:rsidR="0066673B">
        <w:t xml:space="preserve"> (refer to Figure 1</w:t>
      </w:r>
      <w:r w:rsidR="003F58F2">
        <w:t>2</w:t>
      </w:r>
      <w:r w:rsidR="0066673B">
        <w:t>)</w:t>
      </w:r>
      <w:r>
        <w:t>.</w:t>
      </w:r>
      <w:r w:rsidR="005772C2">
        <w:t xml:space="preserve"> The purpose of the Capital City Zone is to enhance the role of Melbourne’s central city as the capital of Victoria and as an area of national and international importance. City North is the only urban renewal area that currently has a gaming venue.</w:t>
      </w:r>
    </w:p>
    <w:p w:rsidR="005772C2" w:rsidRDefault="007C7A85" w:rsidP="00706330">
      <w:r>
        <w:t>It is anticipated that these areas will experience a significant growth in population, potentially increasing the demand for opportunities to participate in EGM gambling.</w:t>
      </w:r>
      <w:r w:rsidR="005772C2">
        <w:t xml:space="preserve"> Gaming machines are not a prohibited use under this Zone. Capital City Zones are exempt from the Capital City Zone.</w:t>
      </w:r>
    </w:p>
    <w:p w:rsidR="005772C2" w:rsidRDefault="005772C2" w:rsidP="00706330">
      <w:r>
        <w:t>These three factors indicate that the revised local planning policy will need to give specific guidance to the potential location of gaming machines in the urban renewal areas.</w:t>
      </w:r>
    </w:p>
    <w:p w:rsidR="0066673B" w:rsidRDefault="0066673B" w:rsidP="0066673B">
      <w:pPr>
        <w:pStyle w:val="Caption"/>
      </w:pPr>
      <w:bookmarkStart w:id="54" w:name="_Toc494287816"/>
      <w:r w:rsidRPr="00C94C6C">
        <w:t xml:space="preserve">Figure </w:t>
      </w:r>
      <w:r w:rsidR="00802F28">
        <w:fldChar w:fldCharType="begin"/>
      </w:r>
      <w:r w:rsidR="00802F28">
        <w:instrText xml:space="preserve"> SEQ Figure \* ARABIC </w:instrText>
      </w:r>
      <w:r w:rsidR="00802F28">
        <w:fldChar w:fldCharType="separate"/>
      </w:r>
      <w:r w:rsidR="002E7243">
        <w:rPr>
          <w:noProof/>
        </w:rPr>
        <w:t>12</w:t>
      </w:r>
      <w:r w:rsidR="00802F28">
        <w:rPr>
          <w:noProof/>
        </w:rPr>
        <w:fldChar w:fldCharType="end"/>
      </w:r>
      <w:r w:rsidRPr="00C94C6C">
        <w:t xml:space="preserve"> – Urban renewal areas, City of Melbourne</w:t>
      </w:r>
      <w:bookmarkEnd w:id="54"/>
    </w:p>
    <w:p w:rsidR="00706330" w:rsidRPr="00A83D62" w:rsidRDefault="00706330" w:rsidP="00706330">
      <w:r>
        <w:rPr>
          <w:noProof/>
          <w:lang w:eastAsia="en-AU"/>
        </w:rPr>
        <w:drawing>
          <wp:inline distT="0" distB="0" distL="0" distR="0" wp14:anchorId="4BAC6145" wp14:editId="2F1C83A3">
            <wp:extent cx="5731510" cy="3919220"/>
            <wp:effectExtent l="0" t="0" r="254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3919220"/>
                    </a:xfrm>
                    <a:prstGeom prst="rect">
                      <a:avLst/>
                    </a:prstGeom>
                  </pic:spPr>
                </pic:pic>
              </a:graphicData>
            </a:graphic>
          </wp:inline>
        </w:drawing>
      </w:r>
    </w:p>
    <w:p w:rsidR="0066673B" w:rsidRDefault="0066673B" w:rsidP="0066673B">
      <w:r>
        <w:t>Source: Plan Melbourne</w:t>
      </w:r>
    </w:p>
    <w:p w:rsidR="00706330" w:rsidRDefault="00706330" w:rsidP="00FC5226">
      <w:pPr>
        <w:pStyle w:val="Heading2"/>
      </w:pPr>
      <w:bookmarkStart w:id="55" w:name="_Toc494287762"/>
      <w:r>
        <w:t>Melbourne Planning Scheme</w:t>
      </w:r>
      <w:bookmarkEnd w:id="55"/>
    </w:p>
    <w:p w:rsidR="00706330" w:rsidRPr="0099464A" w:rsidRDefault="00706330" w:rsidP="00706330">
      <w:pPr>
        <w:pStyle w:val="Heading3"/>
      </w:pPr>
      <w:r w:rsidRPr="0099464A">
        <w:t>State Planning Policy Framework</w:t>
      </w:r>
    </w:p>
    <w:p w:rsidR="00706330" w:rsidRPr="0099464A" w:rsidRDefault="00706330" w:rsidP="00706330">
      <w:pPr>
        <w:autoSpaceDE w:val="0"/>
        <w:autoSpaceDN w:val="0"/>
        <w:adjustRightInd w:val="0"/>
        <w:rPr>
          <w:rFonts w:cstheme="minorHAnsi"/>
        </w:rPr>
      </w:pPr>
      <w:r>
        <w:rPr>
          <w:rFonts w:cstheme="minorHAnsi"/>
        </w:rPr>
        <w:t>The State Planning Policy Framework does not include any specific reference to gaming. However, t</w:t>
      </w:r>
      <w:r w:rsidRPr="0099464A">
        <w:rPr>
          <w:rFonts w:cstheme="minorHAnsi"/>
        </w:rPr>
        <w:t>he following clauses in the State Planning Policy Framework are of relevance.</w:t>
      </w:r>
    </w:p>
    <w:p w:rsidR="00706330" w:rsidRPr="0099464A" w:rsidRDefault="00706330" w:rsidP="00706330">
      <w:pPr>
        <w:autoSpaceDE w:val="0"/>
        <w:autoSpaceDN w:val="0"/>
        <w:adjustRightInd w:val="0"/>
        <w:ind w:left="720"/>
        <w:rPr>
          <w:rFonts w:cstheme="minorHAnsi"/>
        </w:rPr>
      </w:pPr>
      <w:r w:rsidRPr="0099464A">
        <w:rPr>
          <w:rFonts w:cstheme="minorHAnsi"/>
        </w:rPr>
        <w:t xml:space="preserve">Clause 10.02 </w:t>
      </w:r>
      <w:r w:rsidRPr="00616A5C">
        <w:rPr>
          <w:rFonts w:cstheme="minorHAnsi"/>
          <w:i/>
        </w:rPr>
        <w:t>Goal</w:t>
      </w:r>
      <w:r w:rsidRPr="0099464A">
        <w:rPr>
          <w:rFonts w:cstheme="minorHAnsi"/>
        </w:rPr>
        <w:t xml:space="preserve"> of the State Planning Policy Framework seeks to ensure that the objectives of Planning in Victoria are fostered through appropriate land use and development planning policies and practices which integrate relevant environmental, social and economic factors in the interests of net community benefit and sustainable development.</w:t>
      </w:r>
    </w:p>
    <w:p w:rsidR="00706330" w:rsidRPr="0099464A" w:rsidRDefault="00706330" w:rsidP="00706330">
      <w:pPr>
        <w:autoSpaceDE w:val="0"/>
        <w:autoSpaceDN w:val="0"/>
        <w:adjustRightInd w:val="0"/>
        <w:ind w:left="720"/>
        <w:rPr>
          <w:rFonts w:cstheme="minorHAnsi"/>
        </w:rPr>
      </w:pPr>
      <w:r w:rsidRPr="0099464A">
        <w:rPr>
          <w:rFonts w:cstheme="minorHAnsi"/>
        </w:rPr>
        <w:t xml:space="preserve">Clauses 10 </w:t>
      </w:r>
      <w:r w:rsidRPr="0099464A">
        <w:rPr>
          <w:rFonts w:cstheme="minorHAnsi"/>
          <w:i/>
        </w:rPr>
        <w:t>Plan Melbourne</w:t>
      </w:r>
      <w:r w:rsidRPr="0099464A">
        <w:rPr>
          <w:rFonts w:cstheme="minorHAnsi"/>
        </w:rPr>
        <w:t xml:space="preserve">, 10.04 </w:t>
      </w:r>
      <w:r w:rsidRPr="0099464A">
        <w:rPr>
          <w:rFonts w:cstheme="minorHAnsi"/>
          <w:i/>
        </w:rPr>
        <w:t xml:space="preserve">Integrated decision-making, </w:t>
      </w:r>
      <w:r w:rsidRPr="0099464A">
        <w:rPr>
          <w:rFonts w:cstheme="minorHAnsi"/>
        </w:rPr>
        <w:t xml:space="preserve">11 </w:t>
      </w:r>
      <w:r w:rsidRPr="0099464A">
        <w:rPr>
          <w:rFonts w:cstheme="minorHAnsi"/>
          <w:i/>
        </w:rPr>
        <w:t>Settlement</w:t>
      </w:r>
      <w:r w:rsidRPr="0099464A">
        <w:rPr>
          <w:rFonts w:cstheme="minorHAnsi"/>
        </w:rPr>
        <w:t xml:space="preserve"> and 17 </w:t>
      </w:r>
      <w:r w:rsidRPr="0099464A">
        <w:rPr>
          <w:rFonts w:cstheme="minorHAnsi"/>
          <w:i/>
        </w:rPr>
        <w:t xml:space="preserve">Economic development </w:t>
      </w:r>
      <w:r w:rsidRPr="0099464A">
        <w:rPr>
          <w:rFonts w:cstheme="minorHAnsi"/>
        </w:rPr>
        <w:t xml:space="preserve">in the State Planning Policy Framework articulate the importance of supporting the creation of socially, economically and environmentally sustainable communities and meeting the community’s expectations. </w:t>
      </w:r>
    </w:p>
    <w:p w:rsidR="00706330" w:rsidRPr="0099464A" w:rsidRDefault="00706330" w:rsidP="00706330">
      <w:pPr>
        <w:ind w:left="720"/>
        <w:rPr>
          <w:rFonts w:cstheme="minorHAnsi"/>
        </w:rPr>
      </w:pPr>
      <w:r w:rsidRPr="0099464A">
        <w:rPr>
          <w:rFonts w:cstheme="minorHAnsi"/>
        </w:rPr>
        <w:t xml:space="preserve">The objective of Clause 11.01-2 </w:t>
      </w:r>
      <w:r w:rsidRPr="0099464A">
        <w:rPr>
          <w:rFonts w:cstheme="minorHAnsi"/>
          <w:i/>
        </w:rPr>
        <w:t xml:space="preserve">Activity Centre Planning </w:t>
      </w:r>
      <w:r w:rsidRPr="0099464A">
        <w:rPr>
          <w:rFonts w:cstheme="minorHAnsi"/>
        </w:rPr>
        <w:t>is to encourage the concentration of major entertainment and cultural developments into activity centres. One of the strategies to enhance accessibility is to encourage services to be available over longer hours.</w:t>
      </w:r>
    </w:p>
    <w:p w:rsidR="00706330" w:rsidRPr="0099464A" w:rsidRDefault="00706330" w:rsidP="00706330">
      <w:pPr>
        <w:ind w:left="720"/>
        <w:rPr>
          <w:rFonts w:cstheme="minorHAnsi"/>
        </w:rPr>
      </w:pPr>
      <w:r w:rsidRPr="0099464A">
        <w:rPr>
          <w:rFonts w:cstheme="minorHAnsi"/>
        </w:rPr>
        <w:t xml:space="preserve">Clause 17.01-1 </w:t>
      </w:r>
      <w:r w:rsidRPr="0099464A">
        <w:rPr>
          <w:rFonts w:cstheme="minorHAnsi"/>
          <w:i/>
        </w:rPr>
        <w:t>Business</w:t>
      </w:r>
      <w:r w:rsidRPr="0099464A">
        <w:rPr>
          <w:rFonts w:cstheme="minorHAnsi"/>
        </w:rPr>
        <w:t xml:space="preserve"> seeks to encourage development that meets the community’s needs for retail, entertainment, office and other commercial services and provides net community benefit in relation to accessibility, efficient infrastructure use and the aggregation and sustainability of commercial facilities.</w:t>
      </w:r>
    </w:p>
    <w:p w:rsidR="00706330" w:rsidRPr="0099464A" w:rsidRDefault="00706330" w:rsidP="00706330">
      <w:pPr>
        <w:ind w:left="720"/>
        <w:rPr>
          <w:rFonts w:cstheme="minorHAnsi"/>
        </w:rPr>
      </w:pPr>
      <w:r w:rsidRPr="0099464A">
        <w:rPr>
          <w:rFonts w:cstheme="minorHAnsi"/>
        </w:rPr>
        <w:t xml:space="preserve">Clause 17.01-2 </w:t>
      </w:r>
      <w:r w:rsidRPr="0099464A">
        <w:rPr>
          <w:rFonts w:cstheme="minorHAnsi"/>
          <w:i/>
        </w:rPr>
        <w:t xml:space="preserve">Addressing out-of-centre development </w:t>
      </w:r>
      <w:r w:rsidRPr="0099464A">
        <w:rPr>
          <w:rFonts w:cstheme="minorHAnsi"/>
        </w:rPr>
        <w:t>discourages the location of large scale entertainment facilities in out-of-centre locations unless they are highly accessible, located on the Principal Public Transport Network, and are associated with net community benefit.</w:t>
      </w:r>
    </w:p>
    <w:p w:rsidR="00706330" w:rsidRPr="0099464A" w:rsidRDefault="00706330" w:rsidP="00706330">
      <w:pPr>
        <w:ind w:left="720"/>
        <w:rPr>
          <w:rFonts w:cstheme="minorHAnsi"/>
        </w:rPr>
      </w:pPr>
      <w:r w:rsidRPr="0099464A">
        <w:rPr>
          <w:rFonts w:cstheme="minorHAnsi"/>
        </w:rPr>
        <w:t xml:space="preserve">Clause 17.03-2 </w:t>
      </w:r>
      <w:r w:rsidRPr="0099464A">
        <w:rPr>
          <w:rFonts w:cstheme="minorHAnsi"/>
          <w:i/>
        </w:rPr>
        <w:t xml:space="preserve">Tourism </w:t>
      </w:r>
      <w:r w:rsidRPr="0099464A">
        <w:rPr>
          <w:rFonts w:cstheme="minorHAnsi"/>
        </w:rPr>
        <w:t>seeks to maintain and develop Metropolitan Melbourne as a desirable tourist destination and encouraging tourism development in order to achieve the social, economic and cultural benefits of a competitive domestic and international tourist sector. This can be achieved by building upon the assets and qualities of surrounding urban activities and cultural attractions and providing leisure services.</w:t>
      </w:r>
    </w:p>
    <w:p w:rsidR="00706330" w:rsidRDefault="00706330" w:rsidP="00706330">
      <w:pPr>
        <w:pStyle w:val="Heading3"/>
      </w:pPr>
      <w:r w:rsidRPr="0099464A">
        <w:t xml:space="preserve">Local planning policy framework </w:t>
      </w:r>
    </w:p>
    <w:p w:rsidR="00706330" w:rsidRDefault="00706330" w:rsidP="00706330">
      <w:pPr>
        <w:pStyle w:val="Heading4"/>
      </w:pPr>
      <w:r>
        <w:t>General</w:t>
      </w:r>
    </w:p>
    <w:p w:rsidR="00706330" w:rsidRDefault="00706330" w:rsidP="00706330">
      <w:r>
        <w:t>The local planning policy framework consists of the Municipal Strategic Statement and specific local planning policies.</w:t>
      </w:r>
    </w:p>
    <w:p w:rsidR="00706330" w:rsidRDefault="00706330" w:rsidP="001D22CC">
      <w:r>
        <w:t xml:space="preserve">The relevant clauses of the Local </w:t>
      </w:r>
      <w:r w:rsidR="001718A6">
        <w:t>Planning Policy Framework are described</w:t>
      </w:r>
      <w:r>
        <w:t xml:space="preserve"> in Table </w:t>
      </w:r>
      <w:r w:rsidR="001D22CC">
        <w:t>4.</w:t>
      </w:r>
    </w:p>
    <w:p w:rsidR="001D22CC" w:rsidRDefault="001D22CC" w:rsidP="001D22CC"/>
    <w:p w:rsidR="001D22CC" w:rsidRDefault="001D22CC" w:rsidP="001D22CC">
      <w:pPr>
        <w:pStyle w:val="Caption"/>
      </w:pPr>
      <w:bookmarkStart w:id="56" w:name="_Toc494206922"/>
      <w:bookmarkStart w:id="57" w:name="_Toc494287821"/>
      <w:r w:rsidRPr="001D22CC">
        <w:t xml:space="preserve">Table </w:t>
      </w:r>
      <w:r w:rsidR="00802F28">
        <w:fldChar w:fldCharType="begin"/>
      </w:r>
      <w:r w:rsidR="00802F28">
        <w:instrText xml:space="preserve"> SEQ Table \* ARABIC </w:instrText>
      </w:r>
      <w:r w:rsidR="00802F28">
        <w:fldChar w:fldCharType="separate"/>
      </w:r>
      <w:r w:rsidRPr="001D22CC">
        <w:rPr>
          <w:noProof/>
        </w:rPr>
        <w:t>4</w:t>
      </w:r>
      <w:r w:rsidR="00802F28">
        <w:rPr>
          <w:noProof/>
        </w:rPr>
        <w:fldChar w:fldCharType="end"/>
      </w:r>
      <w:r w:rsidRPr="001D22CC">
        <w:t xml:space="preserve"> – Relevant Clauses of the Melbourne Planning Scheme Local Planning Policy Framework</w:t>
      </w:r>
      <w:bookmarkEnd w:id="56"/>
      <w:bookmarkEnd w:id="57"/>
      <w:r>
        <w:t xml:space="preserve"> </w:t>
      </w:r>
    </w:p>
    <w:tbl>
      <w:tblPr>
        <w:tblStyle w:val="ListTable3"/>
        <w:tblW w:w="5000" w:type="pct"/>
        <w:tblLook w:val="04A0" w:firstRow="1" w:lastRow="0" w:firstColumn="1" w:lastColumn="0" w:noHBand="0" w:noVBand="1"/>
      </w:tblPr>
      <w:tblGrid>
        <w:gridCol w:w="1739"/>
        <w:gridCol w:w="7503"/>
      </w:tblGrid>
      <w:tr w:rsidR="00706330" w:rsidRPr="0099464A" w:rsidTr="00974F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1" w:type="pct"/>
          </w:tcPr>
          <w:p w:rsidR="00706330" w:rsidRPr="0099464A" w:rsidRDefault="00706330" w:rsidP="001E095B">
            <w:pPr>
              <w:rPr>
                <w:rFonts w:cstheme="minorHAnsi"/>
              </w:rPr>
            </w:pPr>
            <w:r>
              <w:rPr>
                <w:rFonts w:cstheme="minorHAnsi"/>
              </w:rPr>
              <w:t>Clause</w:t>
            </w:r>
          </w:p>
        </w:tc>
        <w:tc>
          <w:tcPr>
            <w:tcW w:w="4059" w:type="pct"/>
          </w:tcPr>
          <w:p w:rsidR="00706330" w:rsidRPr="0099464A" w:rsidRDefault="00706330" w:rsidP="001E095B">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Relevant features</w:t>
            </w:r>
          </w:p>
        </w:tc>
      </w:tr>
      <w:tr w:rsidR="00706330" w:rsidRPr="0099464A" w:rsidTr="0097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706330" w:rsidRPr="0099464A" w:rsidRDefault="00706330" w:rsidP="001E095B">
            <w:pPr>
              <w:rPr>
                <w:rFonts w:cstheme="minorHAnsi"/>
              </w:rPr>
            </w:pPr>
            <w:r w:rsidRPr="0099464A">
              <w:rPr>
                <w:rFonts w:cstheme="minorHAnsi"/>
              </w:rPr>
              <w:t>21.02-1 Context and history</w:t>
            </w:r>
          </w:p>
        </w:tc>
        <w:tc>
          <w:tcPr>
            <w:tcW w:w="4059" w:type="pct"/>
          </w:tcPr>
          <w:p w:rsidR="00706330" w:rsidRPr="0099464A" w:rsidRDefault="00706330" w:rsidP="001E095B">
            <w:pPr>
              <w:cnfStyle w:val="000000100000" w:firstRow="0" w:lastRow="0" w:firstColumn="0" w:lastColumn="0" w:oddVBand="0" w:evenVBand="0" w:oddHBand="1" w:evenHBand="0" w:firstRowFirstColumn="0" w:firstRowLastColumn="0" w:lastRowFirstColumn="0" w:lastRowLastColumn="0"/>
              <w:rPr>
                <w:rFonts w:cstheme="minorHAnsi"/>
              </w:rPr>
            </w:pPr>
            <w:r w:rsidRPr="0099464A">
              <w:rPr>
                <w:rFonts w:cstheme="minorHAnsi"/>
              </w:rPr>
              <w:t>Melbourne is the location for the State’s premier cultural infrastructure, with a number of cultural, leisure, entertainment and residential uses operating 24 hours a day, 7 days a week.</w:t>
            </w:r>
          </w:p>
        </w:tc>
      </w:tr>
      <w:tr w:rsidR="00706330" w:rsidRPr="0099464A" w:rsidTr="00974F48">
        <w:tc>
          <w:tcPr>
            <w:cnfStyle w:val="001000000000" w:firstRow="0" w:lastRow="0" w:firstColumn="1" w:lastColumn="0" w:oddVBand="0" w:evenVBand="0" w:oddHBand="0" w:evenHBand="0" w:firstRowFirstColumn="0" w:firstRowLastColumn="0" w:lastRowFirstColumn="0" w:lastRowLastColumn="0"/>
            <w:tcW w:w="941" w:type="pct"/>
          </w:tcPr>
          <w:p w:rsidR="00706330" w:rsidRPr="0099464A" w:rsidRDefault="00706330" w:rsidP="001E095B">
            <w:pPr>
              <w:rPr>
                <w:rFonts w:cstheme="minorHAnsi"/>
              </w:rPr>
            </w:pPr>
            <w:r w:rsidRPr="0099464A">
              <w:rPr>
                <w:rFonts w:cstheme="minorHAnsi"/>
              </w:rPr>
              <w:t>Clause 21.02-4 Creative City</w:t>
            </w:r>
          </w:p>
        </w:tc>
        <w:tc>
          <w:tcPr>
            <w:tcW w:w="4059" w:type="pct"/>
          </w:tcPr>
          <w:p w:rsidR="00706330" w:rsidRPr="0099464A" w:rsidRDefault="00706330" w:rsidP="00AA4757">
            <w:pPr>
              <w:cnfStyle w:val="000000000000" w:firstRow="0" w:lastRow="0" w:firstColumn="0" w:lastColumn="0" w:oddVBand="0" w:evenVBand="0" w:oddHBand="0" w:evenHBand="0" w:firstRowFirstColumn="0" w:firstRowLastColumn="0" w:lastRowFirstColumn="0" w:lastRowLastColumn="0"/>
              <w:rPr>
                <w:rFonts w:cstheme="minorHAnsi"/>
              </w:rPr>
            </w:pPr>
            <w:r w:rsidRPr="0099464A">
              <w:rPr>
                <w:rFonts w:cstheme="minorHAnsi"/>
              </w:rPr>
              <w:t>Melbourne is a national and international leader in creative endeavours such as music, performing and visual a</w:t>
            </w:r>
            <w:r w:rsidR="00AA4757">
              <w:rPr>
                <w:rFonts w:cstheme="minorHAnsi"/>
              </w:rPr>
              <w:t>rts, film, television and radio,</w:t>
            </w:r>
            <w:r w:rsidRPr="0099464A">
              <w:rPr>
                <w:rFonts w:cstheme="minorHAnsi"/>
              </w:rPr>
              <w:t xml:space="preserve"> writ</w:t>
            </w:r>
            <w:r w:rsidR="00397893">
              <w:rPr>
                <w:rFonts w:cstheme="minorHAnsi"/>
              </w:rPr>
              <w:t>ing, publishing and print media,</w:t>
            </w:r>
            <w:r w:rsidRPr="0099464A">
              <w:rPr>
                <w:rFonts w:cstheme="minorHAnsi"/>
              </w:rPr>
              <w:t xml:space="preserve"> design and architecture</w:t>
            </w:r>
            <w:r w:rsidR="00AA4757">
              <w:rPr>
                <w:rFonts w:cstheme="minorHAnsi"/>
              </w:rPr>
              <w:t>,</w:t>
            </w:r>
            <w:r w:rsidRPr="0099464A">
              <w:rPr>
                <w:rFonts w:cstheme="minorHAnsi"/>
              </w:rPr>
              <w:t xml:space="preserve"> software and electronic gaming, </w:t>
            </w:r>
            <w:r w:rsidR="00AA4757">
              <w:rPr>
                <w:rFonts w:cstheme="minorHAnsi"/>
              </w:rPr>
              <w:t xml:space="preserve">web and multimedia development </w:t>
            </w:r>
            <w:r w:rsidRPr="0099464A">
              <w:rPr>
                <w:rFonts w:cstheme="minorHAnsi"/>
              </w:rPr>
              <w:t>and advertising and marketing.</w:t>
            </w:r>
          </w:p>
        </w:tc>
      </w:tr>
      <w:tr w:rsidR="00706330" w:rsidRPr="0099464A" w:rsidTr="0097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706330" w:rsidRPr="0099464A" w:rsidRDefault="00706330" w:rsidP="001E095B">
            <w:pPr>
              <w:rPr>
                <w:rFonts w:cstheme="minorHAnsi"/>
              </w:rPr>
            </w:pPr>
            <w:r w:rsidRPr="0099464A">
              <w:rPr>
                <w:rFonts w:cstheme="minorHAnsi"/>
              </w:rPr>
              <w:t>21.02-5 Prosperous City</w:t>
            </w:r>
          </w:p>
        </w:tc>
        <w:tc>
          <w:tcPr>
            <w:tcW w:w="4059" w:type="pct"/>
          </w:tcPr>
          <w:p w:rsidR="00706330" w:rsidRPr="0099464A" w:rsidRDefault="00706330" w:rsidP="001E095B">
            <w:pPr>
              <w:cnfStyle w:val="000000100000" w:firstRow="0" w:lastRow="0" w:firstColumn="0" w:lastColumn="0" w:oddVBand="0" w:evenVBand="0" w:oddHBand="1" w:evenHBand="0" w:firstRowFirstColumn="0" w:firstRowLastColumn="0" w:lastRowFirstColumn="0" w:lastRowLastColumn="0"/>
              <w:rPr>
                <w:rFonts w:cstheme="minorHAnsi"/>
              </w:rPr>
            </w:pPr>
            <w:r w:rsidRPr="0099464A">
              <w:rPr>
                <w:rFonts w:cstheme="minorHAnsi"/>
              </w:rPr>
              <w:t>Metropolitan Melbourne is a global city.</w:t>
            </w:r>
          </w:p>
        </w:tc>
      </w:tr>
      <w:tr w:rsidR="00706330" w:rsidRPr="0099464A" w:rsidTr="00974F48">
        <w:tc>
          <w:tcPr>
            <w:cnfStyle w:val="001000000000" w:firstRow="0" w:lastRow="0" w:firstColumn="1" w:lastColumn="0" w:oddVBand="0" w:evenVBand="0" w:oddHBand="0" w:evenHBand="0" w:firstRowFirstColumn="0" w:firstRowLastColumn="0" w:lastRowFirstColumn="0" w:lastRowLastColumn="0"/>
            <w:tcW w:w="941" w:type="pct"/>
          </w:tcPr>
          <w:p w:rsidR="00706330" w:rsidRPr="0099464A" w:rsidRDefault="00706330" w:rsidP="001E095B">
            <w:pPr>
              <w:rPr>
                <w:rFonts w:cstheme="minorHAnsi"/>
              </w:rPr>
            </w:pPr>
            <w:r w:rsidRPr="0099464A">
              <w:rPr>
                <w:rFonts w:cstheme="minorHAnsi"/>
              </w:rPr>
              <w:t>Clause 21.10-6 Cultural/Arts and Entertainment Facilities</w:t>
            </w:r>
          </w:p>
        </w:tc>
        <w:tc>
          <w:tcPr>
            <w:tcW w:w="4059" w:type="pct"/>
          </w:tcPr>
          <w:p w:rsidR="00706330" w:rsidRPr="0099464A" w:rsidRDefault="00706330" w:rsidP="001E095B">
            <w:pPr>
              <w:cnfStyle w:val="000000000000" w:firstRow="0" w:lastRow="0" w:firstColumn="0" w:lastColumn="0" w:oddVBand="0" w:evenVBand="0" w:oddHBand="0" w:evenHBand="0" w:firstRowFirstColumn="0" w:firstRowLastColumn="0" w:lastRowFirstColumn="0" w:lastRowLastColumn="0"/>
              <w:rPr>
                <w:rFonts w:cstheme="minorHAnsi"/>
                <w:i/>
              </w:rPr>
            </w:pPr>
            <w:r>
              <w:rPr>
                <w:rFonts w:cstheme="minorHAnsi"/>
              </w:rPr>
              <w:t>One of the objectives is to provide a diverse range of leisure, arts, cultural and entertainment facilities.</w:t>
            </w:r>
          </w:p>
          <w:p w:rsidR="00706330" w:rsidRPr="0099464A" w:rsidRDefault="00706330" w:rsidP="001E095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Strategi</w:t>
            </w:r>
            <w:r w:rsidRPr="0099464A">
              <w:rPr>
                <w:rFonts w:cstheme="minorHAnsi"/>
              </w:rPr>
              <w:t>es</w:t>
            </w:r>
            <w:r>
              <w:rPr>
                <w:rFonts w:cstheme="minorHAnsi"/>
              </w:rPr>
              <w:t xml:space="preserve"> include discouraging</w:t>
            </w:r>
            <w:r w:rsidRPr="0099464A">
              <w:rPr>
                <w:rFonts w:cstheme="minorHAnsi"/>
              </w:rPr>
              <w:t xml:space="preserve"> the concentration of gaming venues in the Central City, support entertainment attractions in commercial and mixed use zones </w:t>
            </w:r>
          </w:p>
        </w:tc>
      </w:tr>
      <w:tr w:rsidR="00706330" w:rsidRPr="0099464A" w:rsidTr="0097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706330" w:rsidRPr="0099464A" w:rsidRDefault="00706330" w:rsidP="001E095B">
            <w:pPr>
              <w:rPr>
                <w:rFonts w:cstheme="minorHAnsi"/>
                <w:i/>
              </w:rPr>
            </w:pPr>
            <w:r w:rsidRPr="0099464A">
              <w:rPr>
                <w:rFonts w:cstheme="minorHAnsi"/>
              </w:rPr>
              <w:t xml:space="preserve">Clause 21.12 </w:t>
            </w:r>
            <w:r w:rsidRPr="0099464A">
              <w:rPr>
                <w:rFonts w:cstheme="minorHAnsi"/>
                <w:i/>
              </w:rPr>
              <w:t>Hoddle Grid</w:t>
            </w:r>
          </w:p>
        </w:tc>
        <w:tc>
          <w:tcPr>
            <w:tcW w:w="4059" w:type="pct"/>
          </w:tcPr>
          <w:p w:rsidR="00706330" w:rsidRPr="0099464A" w:rsidRDefault="00706330" w:rsidP="001E095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clause relating to e</w:t>
            </w:r>
            <w:r w:rsidRPr="0099464A">
              <w:rPr>
                <w:rFonts w:cstheme="minorHAnsi"/>
              </w:rPr>
              <w:t xml:space="preserve">conomic development encourages development and retention of entertainment </w:t>
            </w:r>
            <w:r>
              <w:rPr>
                <w:rFonts w:cstheme="minorHAnsi"/>
              </w:rPr>
              <w:t>facilities.</w:t>
            </w:r>
          </w:p>
          <w:p w:rsidR="00706330" w:rsidRPr="0099464A" w:rsidRDefault="00706330" w:rsidP="001E095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clause relating to the b</w:t>
            </w:r>
            <w:r w:rsidRPr="0099464A">
              <w:rPr>
                <w:rFonts w:cstheme="minorHAnsi"/>
              </w:rPr>
              <w:t xml:space="preserve">uilt environment and heritage encourages views into the premises at night </w:t>
            </w:r>
          </w:p>
        </w:tc>
      </w:tr>
      <w:tr w:rsidR="00706330" w:rsidRPr="0099464A" w:rsidTr="00974F48">
        <w:tc>
          <w:tcPr>
            <w:cnfStyle w:val="001000000000" w:firstRow="0" w:lastRow="0" w:firstColumn="1" w:lastColumn="0" w:oddVBand="0" w:evenVBand="0" w:oddHBand="0" w:evenHBand="0" w:firstRowFirstColumn="0" w:firstRowLastColumn="0" w:lastRowFirstColumn="0" w:lastRowLastColumn="0"/>
            <w:tcW w:w="941" w:type="pct"/>
          </w:tcPr>
          <w:p w:rsidR="00706330" w:rsidRPr="0099464A" w:rsidRDefault="00706330" w:rsidP="001E095B">
            <w:pPr>
              <w:rPr>
                <w:rFonts w:cstheme="minorHAnsi"/>
                <w:i/>
              </w:rPr>
            </w:pPr>
            <w:r w:rsidRPr="0099464A">
              <w:rPr>
                <w:rFonts w:cstheme="minorHAnsi"/>
              </w:rPr>
              <w:t xml:space="preserve">Existing urban renewal areas Clause 21.13-1 </w:t>
            </w:r>
            <w:r w:rsidRPr="0099464A">
              <w:rPr>
                <w:rFonts w:cstheme="minorHAnsi"/>
                <w:i/>
              </w:rPr>
              <w:t>Southbank</w:t>
            </w:r>
          </w:p>
        </w:tc>
        <w:tc>
          <w:tcPr>
            <w:tcW w:w="4059" w:type="pct"/>
          </w:tcPr>
          <w:p w:rsidR="00706330" w:rsidRPr="0099464A" w:rsidRDefault="00706330" w:rsidP="001E095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This clause</w:t>
            </w:r>
            <w:r w:rsidRPr="0099464A">
              <w:rPr>
                <w:rFonts w:cstheme="minorHAnsi"/>
              </w:rPr>
              <w:t xml:space="preserve"> support arts, entertainment, cultural, educational attractions in Southbank, especially in the Arts Precinct</w:t>
            </w:r>
            <w:r>
              <w:rPr>
                <w:rFonts w:cstheme="minorHAnsi"/>
              </w:rPr>
              <w:t>.</w:t>
            </w:r>
          </w:p>
        </w:tc>
      </w:tr>
      <w:tr w:rsidR="00706330" w:rsidRPr="0099464A" w:rsidTr="0097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706330" w:rsidRPr="0099464A" w:rsidRDefault="00706330" w:rsidP="001E095B">
            <w:pPr>
              <w:rPr>
                <w:rFonts w:cstheme="minorHAnsi"/>
                <w:i/>
              </w:rPr>
            </w:pPr>
            <w:r w:rsidRPr="0099464A">
              <w:rPr>
                <w:rFonts w:cstheme="minorHAnsi"/>
              </w:rPr>
              <w:t xml:space="preserve">21.13-2 </w:t>
            </w:r>
            <w:r w:rsidRPr="0099464A">
              <w:rPr>
                <w:rFonts w:cstheme="minorHAnsi"/>
                <w:i/>
              </w:rPr>
              <w:t>Docklands</w:t>
            </w:r>
          </w:p>
        </w:tc>
        <w:tc>
          <w:tcPr>
            <w:tcW w:w="4059" w:type="pct"/>
          </w:tcPr>
          <w:p w:rsidR="00706330" w:rsidRPr="0099464A" w:rsidRDefault="00706330" w:rsidP="001E095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There is no mention of entertainment in the clauses relating to e</w:t>
            </w:r>
            <w:r w:rsidRPr="0099464A">
              <w:rPr>
                <w:rFonts w:cstheme="minorHAnsi"/>
              </w:rPr>
              <w:t>conomic</w:t>
            </w:r>
            <w:r>
              <w:rPr>
                <w:rFonts w:cstheme="minorHAnsi"/>
              </w:rPr>
              <w:t xml:space="preserve"> development and infrastructure in this existing urban renewal area.</w:t>
            </w:r>
          </w:p>
        </w:tc>
      </w:tr>
      <w:tr w:rsidR="00706330" w:rsidRPr="0099464A" w:rsidTr="00974F48">
        <w:tc>
          <w:tcPr>
            <w:cnfStyle w:val="001000000000" w:firstRow="0" w:lastRow="0" w:firstColumn="1" w:lastColumn="0" w:oddVBand="0" w:evenVBand="0" w:oddHBand="0" w:evenHBand="0" w:firstRowFirstColumn="0" w:firstRowLastColumn="0" w:lastRowFirstColumn="0" w:lastRowLastColumn="0"/>
            <w:tcW w:w="941" w:type="pct"/>
          </w:tcPr>
          <w:p w:rsidR="00706330" w:rsidRPr="0099464A" w:rsidRDefault="00706330" w:rsidP="001E095B">
            <w:pPr>
              <w:rPr>
                <w:rFonts w:cstheme="minorHAnsi"/>
                <w:i/>
              </w:rPr>
            </w:pPr>
            <w:r w:rsidRPr="0099464A">
              <w:rPr>
                <w:rFonts w:cstheme="minorHAnsi"/>
              </w:rPr>
              <w:t xml:space="preserve">21.13-3 </w:t>
            </w:r>
            <w:r w:rsidRPr="0099464A">
              <w:rPr>
                <w:rFonts w:cstheme="minorHAnsi"/>
                <w:i/>
              </w:rPr>
              <w:t>Fishermans Bend Urban Renewal Area</w:t>
            </w:r>
          </w:p>
        </w:tc>
        <w:tc>
          <w:tcPr>
            <w:tcW w:w="4059" w:type="pct"/>
          </w:tcPr>
          <w:p w:rsidR="00706330" w:rsidRPr="0099464A" w:rsidRDefault="00706330" w:rsidP="001E095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This existing urban renewal area </w:t>
            </w:r>
            <w:r w:rsidR="005772C2">
              <w:rPr>
                <w:rFonts w:cstheme="minorHAnsi"/>
              </w:rPr>
              <w:t>has been rezoned</w:t>
            </w:r>
            <w:r w:rsidRPr="0099464A">
              <w:rPr>
                <w:rFonts w:cstheme="minorHAnsi"/>
              </w:rPr>
              <w:t xml:space="preserve"> Capital City Zone</w:t>
            </w:r>
            <w:r w:rsidR="005772C2">
              <w:rPr>
                <w:rFonts w:cstheme="minorHAnsi"/>
              </w:rPr>
              <w:t>.</w:t>
            </w:r>
          </w:p>
        </w:tc>
      </w:tr>
      <w:tr w:rsidR="00706330" w:rsidRPr="0099464A" w:rsidTr="0097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706330" w:rsidRPr="0099464A" w:rsidRDefault="00706330" w:rsidP="001E095B">
            <w:pPr>
              <w:rPr>
                <w:rFonts w:cstheme="minorHAnsi"/>
              </w:rPr>
            </w:pPr>
            <w:r w:rsidRPr="0099464A">
              <w:rPr>
                <w:rFonts w:cstheme="minorHAnsi"/>
              </w:rPr>
              <w:t>Future urban renewal areas</w:t>
            </w:r>
          </w:p>
          <w:p w:rsidR="00706330" w:rsidRPr="0099464A" w:rsidRDefault="00706330" w:rsidP="001E095B">
            <w:pPr>
              <w:rPr>
                <w:rFonts w:cstheme="minorHAnsi"/>
                <w:i/>
              </w:rPr>
            </w:pPr>
            <w:r w:rsidRPr="0099464A">
              <w:rPr>
                <w:rFonts w:cstheme="minorHAnsi"/>
              </w:rPr>
              <w:t xml:space="preserve">21.14-1 </w:t>
            </w:r>
            <w:r w:rsidRPr="0099464A">
              <w:rPr>
                <w:rFonts w:cstheme="minorHAnsi"/>
                <w:i/>
              </w:rPr>
              <w:t>City North</w:t>
            </w:r>
          </w:p>
        </w:tc>
        <w:tc>
          <w:tcPr>
            <w:tcW w:w="4059" w:type="pct"/>
          </w:tcPr>
          <w:p w:rsidR="00706330" w:rsidRPr="0099464A" w:rsidRDefault="00706330" w:rsidP="001E095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This clause makes reference to the </w:t>
            </w:r>
            <w:r w:rsidRPr="0099464A">
              <w:rPr>
                <w:rFonts w:cstheme="minorHAnsi"/>
              </w:rPr>
              <w:t xml:space="preserve">former Carlton United Brewery site </w:t>
            </w:r>
            <w:r>
              <w:rPr>
                <w:rFonts w:cstheme="minorHAnsi"/>
              </w:rPr>
              <w:t>in the future urban renewal area. The Queensberry Hotel, which was the subject of an application for a new gaming premises, is located on this site</w:t>
            </w:r>
            <w:r w:rsidR="001718A6">
              <w:rPr>
                <w:rFonts w:cstheme="minorHAnsi"/>
              </w:rPr>
              <w:t>.</w:t>
            </w:r>
          </w:p>
        </w:tc>
      </w:tr>
      <w:tr w:rsidR="00706330" w:rsidRPr="0099464A" w:rsidTr="00974F48">
        <w:tc>
          <w:tcPr>
            <w:cnfStyle w:val="001000000000" w:firstRow="0" w:lastRow="0" w:firstColumn="1" w:lastColumn="0" w:oddVBand="0" w:evenVBand="0" w:oddHBand="0" w:evenHBand="0" w:firstRowFirstColumn="0" w:firstRowLastColumn="0" w:lastRowFirstColumn="0" w:lastRowLastColumn="0"/>
            <w:tcW w:w="941" w:type="pct"/>
          </w:tcPr>
          <w:p w:rsidR="00706330" w:rsidRPr="0099464A" w:rsidRDefault="00706330" w:rsidP="001E095B">
            <w:pPr>
              <w:rPr>
                <w:rFonts w:cstheme="minorHAnsi"/>
              </w:rPr>
            </w:pPr>
            <w:r w:rsidRPr="0099464A">
              <w:rPr>
                <w:rFonts w:cstheme="minorHAnsi"/>
              </w:rPr>
              <w:t>Potential urban renewal areas</w:t>
            </w:r>
          </w:p>
          <w:p w:rsidR="00706330" w:rsidRPr="0099464A" w:rsidRDefault="00706330" w:rsidP="001E095B">
            <w:pPr>
              <w:rPr>
                <w:rFonts w:cstheme="minorHAnsi"/>
                <w:i/>
              </w:rPr>
            </w:pPr>
            <w:r w:rsidRPr="0099464A">
              <w:rPr>
                <w:rFonts w:cstheme="minorHAnsi"/>
              </w:rPr>
              <w:t xml:space="preserve">21.15-1 </w:t>
            </w:r>
            <w:r w:rsidRPr="0099464A">
              <w:rPr>
                <w:rFonts w:cstheme="minorHAnsi"/>
                <w:i/>
              </w:rPr>
              <w:t>Dynon</w:t>
            </w:r>
          </w:p>
        </w:tc>
        <w:tc>
          <w:tcPr>
            <w:tcW w:w="4059" w:type="pct"/>
          </w:tcPr>
          <w:p w:rsidR="00706330" w:rsidRPr="0099464A" w:rsidRDefault="00706330" w:rsidP="001E095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There is no mention</w:t>
            </w:r>
            <w:r w:rsidRPr="0099464A">
              <w:rPr>
                <w:rFonts w:cstheme="minorHAnsi"/>
              </w:rPr>
              <w:t xml:space="preserve"> of entertainment</w:t>
            </w:r>
            <w:r>
              <w:rPr>
                <w:rFonts w:cstheme="minorHAnsi"/>
              </w:rPr>
              <w:t xml:space="preserve"> in the Dynon potential urban renewal area.</w:t>
            </w:r>
          </w:p>
        </w:tc>
      </w:tr>
      <w:tr w:rsidR="00706330" w:rsidRPr="0099464A" w:rsidTr="0097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706330" w:rsidRPr="0099464A" w:rsidRDefault="00706330" w:rsidP="001E095B">
            <w:pPr>
              <w:rPr>
                <w:rFonts w:cstheme="minorHAnsi"/>
                <w:i/>
              </w:rPr>
            </w:pPr>
            <w:r w:rsidRPr="0099464A">
              <w:rPr>
                <w:rFonts w:cstheme="minorHAnsi"/>
              </w:rPr>
              <w:t xml:space="preserve">Clause 21.15-2 </w:t>
            </w:r>
            <w:r w:rsidRPr="0099464A">
              <w:rPr>
                <w:rFonts w:cstheme="minorHAnsi"/>
                <w:i/>
              </w:rPr>
              <w:t>Flemington and Kensington</w:t>
            </w:r>
          </w:p>
        </w:tc>
        <w:tc>
          <w:tcPr>
            <w:tcW w:w="4059" w:type="pct"/>
          </w:tcPr>
          <w:p w:rsidR="00706330" w:rsidRPr="0099464A" w:rsidRDefault="00706330" w:rsidP="001E095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There is no mention</w:t>
            </w:r>
            <w:r w:rsidRPr="0099464A">
              <w:rPr>
                <w:rFonts w:cstheme="minorHAnsi"/>
              </w:rPr>
              <w:t xml:space="preserve"> of entertainment</w:t>
            </w:r>
            <w:r>
              <w:rPr>
                <w:rFonts w:cstheme="minorHAnsi"/>
              </w:rPr>
              <w:t xml:space="preserve"> in the Flemington and Kensington potential urban renewal area.</w:t>
            </w:r>
          </w:p>
        </w:tc>
      </w:tr>
      <w:tr w:rsidR="00706330" w:rsidRPr="0099464A" w:rsidTr="00974F48">
        <w:tc>
          <w:tcPr>
            <w:cnfStyle w:val="001000000000" w:firstRow="0" w:lastRow="0" w:firstColumn="1" w:lastColumn="0" w:oddVBand="0" w:evenVBand="0" w:oddHBand="0" w:evenHBand="0" w:firstRowFirstColumn="0" w:firstRowLastColumn="0" w:lastRowFirstColumn="0" w:lastRowLastColumn="0"/>
            <w:tcW w:w="941" w:type="pct"/>
          </w:tcPr>
          <w:p w:rsidR="00706330" w:rsidRPr="0099464A" w:rsidRDefault="00706330" w:rsidP="001E095B">
            <w:pPr>
              <w:rPr>
                <w:rFonts w:cstheme="minorHAnsi"/>
                <w:i/>
              </w:rPr>
            </w:pPr>
            <w:r w:rsidRPr="0099464A">
              <w:rPr>
                <w:rFonts w:cstheme="minorHAnsi"/>
              </w:rPr>
              <w:t xml:space="preserve">Clause 21.15-3 </w:t>
            </w:r>
            <w:r w:rsidRPr="0099464A">
              <w:rPr>
                <w:rFonts w:cstheme="minorHAnsi"/>
                <w:i/>
              </w:rPr>
              <w:t>Sports and entertainment area</w:t>
            </w:r>
          </w:p>
        </w:tc>
        <w:tc>
          <w:tcPr>
            <w:tcW w:w="4059" w:type="pct"/>
          </w:tcPr>
          <w:p w:rsidR="00706330" w:rsidRPr="0099464A" w:rsidRDefault="00706330" w:rsidP="001E095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This clause identifies the importance of</w:t>
            </w:r>
            <w:r w:rsidRPr="0099464A">
              <w:rPr>
                <w:rFonts w:cstheme="minorHAnsi"/>
              </w:rPr>
              <w:t xml:space="preserve"> entertainment, recreational, cultural and opportunities</w:t>
            </w:r>
            <w:r>
              <w:rPr>
                <w:rFonts w:cstheme="minorHAnsi"/>
              </w:rPr>
              <w:t xml:space="preserve"> and states the intention </w:t>
            </w:r>
            <w:r w:rsidRPr="0099464A">
              <w:rPr>
                <w:rFonts w:cstheme="minorHAnsi"/>
              </w:rPr>
              <w:t>to continue to provide world cla</w:t>
            </w:r>
            <w:r>
              <w:rPr>
                <w:rFonts w:cstheme="minorHAnsi"/>
              </w:rPr>
              <w:t>ss</w:t>
            </w:r>
            <w:r w:rsidRPr="0099464A">
              <w:rPr>
                <w:rFonts w:cstheme="minorHAnsi"/>
              </w:rPr>
              <w:t xml:space="preserve"> entertainment and leisure facilities</w:t>
            </w:r>
            <w:r>
              <w:rPr>
                <w:rFonts w:cstheme="minorHAnsi"/>
              </w:rPr>
              <w:t>.</w:t>
            </w:r>
          </w:p>
        </w:tc>
      </w:tr>
      <w:tr w:rsidR="00706330" w:rsidRPr="0099464A" w:rsidTr="0097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706330" w:rsidRPr="0099464A" w:rsidRDefault="00706330" w:rsidP="001E095B">
            <w:pPr>
              <w:rPr>
                <w:rFonts w:cstheme="minorHAnsi"/>
                <w:i/>
              </w:rPr>
            </w:pPr>
            <w:r>
              <w:rPr>
                <w:rFonts w:cstheme="minorHAnsi"/>
              </w:rPr>
              <w:t>Clause 21.16</w:t>
            </w:r>
            <w:r w:rsidR="002D4937">
              <w:rPr>
                <w:rFonts w:cstheme="minorHAnsi"/>
              </w:rPr>
              <w:t>-</w:t>
            </w:r>
            <w:r w:rsidRPr="0099464A">
              <w:rPr>
                <w:rFonts w:cstheme="minorHAnsi"/>
              </w:rPr>
              <w:t xml:space="preserve">3 </w:t>
            </w:r>
            <w:r w:rsidRPr="0099464A">
              <w:rPr>
                <w:rFonts w:cstheme="minorHAnsi"/>
                <w:i/>
              </w:rPr>
              <w:t>Carlton</w:t>
            </w:r>
          </w:p>
        </w:tc>
        <w:tc>
          <w:tcPr>
            <w:tcW w:w="4059" w:type="pct"/>
          </w:tcPr>
          <w:p w:rsidR="00706330" w:rsidRPr="0099464A" w:rsidRDefault="00706330" w:rsidP="001E095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This clause identifies that Carlton a</w:t>
            </w:r>
            <w:r w:rsidRPr="0099464A">
              <w:rPr>
                <w:rFonts w:cstheme="minorHAnsi"/>
              </w:rPr>
              <w:t xml:space="preserve">ccommodates </w:t>
            </w:r>
            <w:r>
              <w:rPr>
                <w:rFonts w:cstheme="minorHAnsi"/>
              </w:rPr>
              <w:t xml:space="preserve">a </w:t>
            </w:r>
            <w:r w:rsidRPr="0099464A">
              <w:rPr>
                <w:rFonts w:cstheme="minorHAnsi"/>
              </w:rPr>
              <w:t>range of uses including significant amount of public housing and student accommodation</w:t>
            </w:r>
            <w:r>
              <w:rPr>
                <w:rFonts w:cstheme="minorHAnsi"/>
              </w:rPr>
              <w:t>,</w:t>
            </w:r>
            <w:r w:rsidRPr="0099464A">
              <w:rPr>
                <w:rFonts w:cstheme="minorHAnsi"/>
              </w:rPr>
              <w:t xml:space="preserve"> housing, retailing, entertainment, leisure, culture</w:t>
            </w:r>
            <w:r>
              <w:rPr>
                <w:rFonts w:cstheme="minorHAnsi"/>
              </w:rPr>
              <w:t xml:space="preserve"> and p</w:t>
            </w:r>
            <w:r w:rsidRPr="0099464A">
              <w:rPr>
                <w:rFonts w:cstheme="minorHAnsi"/>
              </w:rPr>
              <w:t>rovides important tourism</w:t>
            </w:r>
            <w:r w:rsidR="002D4937">
              <w:rPr>
                <w:rFonts w:cstheme="minorHAnsi"/>
              </w:rPr>
              <w:t>.</w:t>
            </w:r>
            <w:r w:rsidRPr="0099464A">
              <w:rPr>
                <w:rFonts w:cstheme="minorHAnsi"/>
              </w:rPr>
              <w:t xml:space="preserve"> </w:t>
            </w:r>
            <w:r>
              <w:rPr>
                <w:rFonts w:cstheme="minorHAnsi"/>
              </w:rPr>
              <w:t>It also notes the intention to provide ongoing support for the</w:t>
            </w:r>
            <w:r w:rsidRPr="0099464A">
              <w:rPr>
                <w:rFonts w:cstheme="minorHAnsi"/>
              </w:rPr>
              <w:t xml:space="preserve"> tourism, cultural and entertainment role of Lygon Street</w:t>
            </w:r>
            <w:r>
              <w:rPr>
                <w:rFonts w:cstheme="minorHAnsi"/>
              </w:rPr>
              <w:t>.</w:t>
            </w:r>
          </w:p>
        </w:tc>
      </w:tr>
      <w:tr w:rsidR="00706330" w:rsidRPr="0099464A" w:rsidTr="00974F48">
        <w:tc>
          <w:tcPr>
            <w:cnfStyle w:val="001000000000" w:firstRow="0" w:lastRow="0" w:firstColumn="1" w:lastColumn="0" w:oddVBand="0" w:evenVBand="0" w:oddHBand="0" w:evenHBand="0" w:firstRowFirstColumn="0" w:firstRowLastColumn="0" w:lastRowFirstColumn="0" w:lastRowLastColumn="0"/>
            <w:tcW w:w="941" w:type="pct"/>
          </w:tcPr>
          <w:p w:rsidR="00706330" w:rsidRPr="0099464A" w:rsidRDefault="00706330" w:rsidP="001E095B">
            <w:pPr>
              <w:rPr>
                <w:rFonts w:cstheme="minorHAnsi"/>
                <w:i/>
              </w:rPr>
            </w:pPr>
            <w:r w:rsidRPr="0099464A">
              <w:rPr>
                <w:rFonts w:cstheme="minorHAnsi"/>
              </w:rPr>
              <w:t xml:space="preserve">Clause 21.16-4 </w:t>
            </w:r>
            <w:r w:rsidRPr="0099464A">
              <w:rPr>
                <w:rFonts w:cstheme="minorHAnsi"/>
                <w:i/>
              </w:rPr>
              <w:t>Parkville</w:t>
            </w:r>
          </w:p>
        </w:tc>
        <w:tc>
          <w:tcPr>
            <w:tcW w:w="4059" w:type="pct"/>
          </w:tcPr>
          <w:p w:rsidR="00706330" w:rsidRPr="0099464A" w:rsidRDefault="00706330" w:rsidP="001E095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There is no mention of entertainment.</w:t>
            </w:r>
          </w:p>
        </w:tc>
      </w:tr>
      <w:tr w:rsidR="00706330" w:rsidRPr="0099464A" w:rsidTr="0097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706330" w:rsidRPr="0099464A" w:rsidRDefault="00706330" w:rsidP="001E095B">
            <w:pPr>
              <w:rPr>
                <w:rFonts w:cstheme="minorHAnsi"/>
                <w:i/>
              </w:rPr>
            </w:pPr>
            <w:r w:rsidRPr="0099464A">
              <w:rPr>
                <w:rFonts w:cstheme="minorHAnsi"/>
              </w:rPr>
              <w:t xml:space="preserve">Clause 21.16-5 </w:t>
            </w:r>
            <w:r w:rsidRPr="0099464A">
              <w:rPr>
                <w:rFonts w:cstheme="minorHAnsi"/>
                <w:i/>
              </w:rPr>
              <w:t>North and West Melbourne</w:t>
            </w:r>
          </w:p>
        </w:tc>
        <w:tc>
          <w:tcPr>
            <w:tcW w:w="4059" w:type="pct"/>
          </w:tcPr>
          <w:p w:rsidR="00706330" w:rsidRPr="0099464A" w:rsidRDefault="00706330" w:rsidP="001E095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There is no mention of entertainment.</w:t>
            </w:r>
          </w:p>
        </w:tc>
      </w:tr>
      <w:tr w:rsidR="00706330" w:rsidRPr="0099464A" w:rsidTr="00974F48">
        <w:tc>
          <w:tcPr>
            <w:cnfStyle w:val="001000000000" w:firstRow="0" w:lastRow="0" w:firstColumn="1" w:lastColumn="0" w:oddVBand="0" w:evenVBand="0" w:oddHBand="0" w:evenHBand="0" w:firstRowFirstColumn="0" w:firstRowLastColumn="0" w:lastRowFirstColumn="0" w:lastRowLastColumn="0"/>
            <w:tcW w:w="941" w:type="pct"/>
          </w:tcPr>
          <w:p w:rsidR="00706330" w:rsidRPr="0099464A" w:rsidRDefault="00706330" w:rsidP="001E095B">
            <w:pPr>
              <w:rPr>
                <w:rFonts w:cstheme="minorHAnsi"/>
                <w:i/>
              </w:rPr>
            </w:pPr>
            <w:r w:rsidRPr="0099464A">
              <w:rPr>
                <w:rFonts w:cstheme="minorHAnsi"/>
              </w:rPr>
              <w:t xml:space="preserve">Clause 21.16-6 </w:t>
            </w:r>
            <w:r w:rsidRPr="0099464A">
              <w:rPr>
                <w:rFonts w:cstheme="minorHAnsi"/>
                <w:i/>
              </w:rPr>
              <w:t>Fishermans Bend Industrial Area</w:t>
            </w:r>
          </w:p>
        </w:tc>
        <w:tc>
          <w:tcPr>
            <w:tcW w:w="4059" w:type="pct"/>
          </w:tcPr>
          <w:p w:rsidR="00706330" w:rsidRPr="0099464A" w:rsidRDefault="00706330" w:rsidP="001E095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This clause notes that the </w:t>
            </w:r>
            <w:r w:rsidRPr="0099464A">
              <w:rPr>
                <w:rFonts w:cstheme="minorHAnsi"/>
              </w:rPr>
              <w:t>City of Melbourne is not the responsible authority</w:t>
            </w:r>
            <w:r>
              <w:rPr>
                <w:rFonts w:cstheme="minorHAnsi"/>
              </w:rPr>
              <w:t xml:space="preserve"> for the Fishermans Bend </w:t>
            </w:r>
            <w:r w:rsidR="005772C2">
              <w:rPr>
                <w:rFonts w:cstheme="minorHAnsi"/>
              </w:rPr>
              <w:t xml:space="preserve">Employment </w:t>
            </w:r>
            <w:r>
              <w:rPr>
                <w:rFonts w:cstheme="minorHAnsi"/>
              </w:rPr>
              <w:t>Area</w:t>
            </w:r>
            <w:r w:rsidR="001718A6">
              <w:rPr>
                <w:rFonts w:cstheme="minorHAnsi"/>
              </w:rPr>
              <w:t>.</w:t>
            </w:r>
          </w:p>
        </w:tc>
      </w:tr>
      <w:tr w:rsidR="00706330" w:rsidRPr="0099464A" w:rsidTr="0097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706330" w:rsidRPr="0099464A" w:rsidRDefault="00706330" w:rsidP="001E095B">
            <w:pPr>
              <w:rPr>
                <w:rFonts w:cstheme="minorHAnsi"/>
                <w:i/>
              </w:rPr>
            </w:pPr>
            <w:r w:rsidRPr="0099464A">
              <w:rPr>
                <w:rFonts w:cstheme="minorHAnsi"/>
              </w:rPr>
              <w:t xml:space="preserve">Clause 22.01 </w:t>
            </w:r>
            <w:r w:rsidRPr="0099464A">
              <w:rPr>
                <w:rFonts w:cstheme="minorHAnsi"/>
                <w:i/>
              </w:rPr>
              <w:t>Urban Design within the capital City Zone 1,2 and 3</w:t>
            </w:r>
          </w:p>
        </w:tc>
        <w:tc>
          <w:tcPr>
            <w:tcW w:w="4059" w:type="pct"/>
          </w:tcPr>
          <w:p w:rsidR="00706330" w:rsidRPr="0099464A" w:rsidRDefault="00706330" w:rsidP="001E095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Objectives in this clause include avoiding</w:t>
            </w:r>
            <w:r w:rsidRPr="0099464A">
              <w:rPr>
                <w:rFonts w:cstheme="minorHAnsi"/>
              </w:rPr>
              <w:t xml:space="preserve"> building</w:t>
            </w:r>
            <w:r w:rsidR="003F58F2">
              <w:rPr>
                <w:rFonts w:cstheme="minorHAnsi"/>
              </w:rPr>
              <w:t xml:space="preserve"> blank</w:t>
            </w:r>
            <w:r w:rsidRPr="0099464A">
              <w:rPr>
                <w:rFonts w:cstheme="minorHAnsi"/>
              </w:rPr>
              <w:t xml:space="preserve"> walls, addressing both street frontages on corner sites</w:t>
            </w:r>
            <w:r>
              <w:rPr>
                <w:rFonts w:cstheme="minorHAnsi"/>
              </w:rPr>
              <w:t xml:space="preserve"> and the </w:t>
            </w:r>
            <w:r w:rsidRPr="0099464A">
              <w:rPr>
                <w:rFonts w:cstheme="minorHAnsi"/>
              </w:rPr>
              <w:t>integration of signs</w:t>
            </w:r>
            <w:r w:rsidR="001718A6">
              <w:rPr>
                <w:rFonts w:cstheme="minorHAnsi"/>
              </w:rPr>
              <w:t xml:space="preserve"> with architecture of building.</w:t>
            </w:r>
          </w:p>
        </w:tc>
      </w:tr>
      <w:tr w:rsidR="00706330" w:rsidRPr="0099464A" w:rsidTr="00974F48">
        <w:tc>
          <w:tcPr>
            <w:cnfStyle w:val="001000000000" w:firstRow="0" w:lastRow="0" w:firstColumn="1" w:lastColumn="0" w:oddVBand="0" w:evenVBand="0" w:oddHBand="0" w:evenHBand="0" w:firstRowFirstColumn="0" w:firstRowLastColumn="0" w:lastRowFirstColumn="0" w:lastRowLastColumn="0"/>
            <w:tcW w:w="941" w:type="pct"/>
          </w:tcPr>
          <w:p w:rsidR="00706330" w:rsidRPr="0099464A" w:rsidRDefault="00706330" w:rsidP="001E095B">
            <w:pPr>
              <w:rPr>
                <w:rFonts w:cstheme="minorHAnsi"/>
                <w:i/>
              </w:rPr>
            </w:pPr>
            <w:r w:rsidRPr="0099464A">
              <w:rPr>
                <w:rFonts w:cstheme="minorHAnsi"/>
              </w:rPr>
              <w:t xml:space="preserve">Clause 22.07 </w:t>
            </w:r>
            <w:r w:rsidRPr="0099464A">
              <w:rPr>
                <w:rFonts w:cstheme="minorHAnsi"/>
                <w:i/>
              </w:rPr>
              <w:t>Advertising signs</w:t>
            </w:r>
          </w:p>
        </w:tc>
        <w:tc>
          <w:tcPr>
            <w:tcW w:w="4059" w:type="pct"/>
          </w:tcPr>
          <w:p w:rsidR="00706330" w:rsidRPr="0099464A" w:rsidRDefault="00706330" w:rsidP="001E095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objectives of this clause focus on ensuring that advertising signage does not detract from the amenity of the area and contribute to the local character of the streetscape. It provides guidance for the particular precincts and specific zones.</w:t>
            </w:r>
          </w:p>
        </w:tc>
      </w:tr>
      <w:tr w:rsidR="00706330" w:rsidRPr="0099464A" w:rsidTr="00974F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tcPr>
          <w:p w:rsidR="00706330" w:rsidRPr="0099464A" w:rsidRDefault="00706330" w:rsidP="001E095B">
            <w:pPr>
              <w:rPr>
                <w:rFonts w:cstheme="minorHAnsi"/>
              </w:rPr>
            </w:pPr>
            <w:r w:rsidRPr="0099464A">
              <w:rPr>
                <w:rFonts w:cstheme="minorHAnsi"/>
              </w:rPr>
              <w:t>General</w:t>
            </w:r>
          </w:p>
        </w:tc>
        <w:tc>
          <w:tcPr>
            <w:tcW w:w="4059" w:type="pct"/>
          </w:tcPr>
          <w:p w:rsidR="00706330" w:rsidRPr="0099464A" w:rsidRDefault="001718A6" w:rsidP="001E095B">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There are various references to</w:t>
            </w:r>
            <w:r w:rsidR="00706330" w:rsidRPr="0099464A">
              <w:rPr>
                <w:rFonts w:cstheme="minorHAnsi"/>
              </w:rPr>
              <w:t xml:space="preserve"> strip shopping centres such as Wellington Parade, M</w:t>
            </w:r>
            <w:r w:rsidR="00D24419">
              <w:rPr>
                <w:rFonts w:cstheme="minorHAnsi"/>
              </w:rPr>
              <w:t>a</w:t>
            </w:r>
            <w:r w:rsidR="00706330" w:rsidRPr="0099464A">
              <w:rPr>
                <w:rFonts w:cstheme="minorHAnsi"/>
              </w:rPr>
              <w:t>caulay Road, St Kilda Road, East Domain Road, Lygon Street (with a gaming venue), Errol and Victoria Streets</w:t>
            </w:r>
            <w:r>
              <w:rPr>
                <w:rFonts w:cstheme="minorHAnsi"/>
              </w:rPr>
              <w:t>.</w:t>
            </w:r>
          </w:p>
        </w:tc>
      </w:tr>
    </w:tbl>
    <w:p w:rsidR="00706330" w:rsidRDefault="00706330" w:rsidP="00706330">
      <w:pPr>
        <w:pStyle w:val="Heading4"/>
        <w:rPr>
          <w:i/>
        </w:rPr>
      </w:pPr>
      <w:bookmarkStart w:id="58" w:name="_Hlk485516083"/>
      <w:r>
        <w:t xml:space="preserve">Clause 22.12 </w:t>
      </w:r>
      <w:r>
        <w:rPr>
          <w:i/>
        </w:rPr>
        <w:t>Gaming premises</w:t>
      </w:r>
    </w:p>
    <w:p w:rsidR="00706330" w:rsidRDefault="00706330" w:rsidP="00706330">
      <w:pPr>
        <w:rPr>
          <w:rFonts w:cstheme="minorHAnsi"/>
        </w:rPr>
      </w:pPr>
      <w:bookmarkStart w:id="59" w:name="_Hlk484171255"/>
      <w:r w:rsidRPr="0099464A">
        <w:rPr>
          <w:rFonts w:cstheme="minorHAnsi"/>
        </w:rPr>
        <w:t xml:space="preserve">This policy </w:t>
      </w:r>
      <w:r w:rsidR="001718A6">
        <w:rPr>
          <w:rFonts w:cstheme="minorHAnsi"/>
        </w:rPr>
        <w:t xml:space="preserve">was introduced into the Melbourne Planning Scheme prior to the introduction of Clause 52.28 </w:t>
      </w:r>
      <w:r w:rsidR="001718A6">
        <w:rPr>
          <w:rFonts w:cstheme="minorHAnsi"/>
          <w:i/>
        </w:rPr>
        <w:t>Gaming</w:t>
      </w:r>
      <w:r w:rsidR="001718A6">
        <w:rPr>
          <w:rFonts w:cstheme="minorHAnsi"/>
        </w:rPr>
        <w:t xml:space="preserve"> in the Victoria Planning Provisions in 2006.</w:t>
      </w:r>
      <w:r w:rsidR="00E15F34">
        <w:rPr>
          <w:rFonts w:cstheme="minorHAnsi"/>
        </w:rPr>
        <w:t xml:space="preserve"> </w:t>
      </w:r>
      <w:r w:rsidR="001718A6">
        <w:rPr>
          <w:rFonts w:cstheme="minorHAnsi"/>
        </w:rPr>
        <w:t xml:space="preserve">It </w:t>
      </w:r>
      <w:r w:rsidRPr="0099464A">
        <w:rPr>
          <w:rFonts w:cstheme="minorHAnsi"/>
        </w:rPr>
        <w:t xml:space="preserve">applies to applications for gaming premises in the Mixed Use Zone, Public Use Zone, Public Park and Recreational Zone, Commercial Zones, Industrial Zones, Docklands Zone and Schedule 5 to the Capital City Zone. </w:t>
      </w:r>
      <w:r>
        <w:rPr>
          <w:rFonts w:cstheme="minorHAnsi"/>
        </w:rPr>
        <w:t>Specific features of this policy are to discourage g</w:t>
      </w:r>
      <w:r w:rsidRPr="0099464A">
        <w:rPr>
          <w:rFonts w:cstheme="minorHAnsi"/>
        </w:rPr>
        <w:t>aming premises in residential</w:t>
      </w:r>
      <w:r>
        <w:rPr>
          <w:rFonts w:cstheme="minorHAnsi"/>
        </w:rPr>
        <w:t xml:space="preserve"> areas and dominant signage and to encourage top ups</w:t>
      </w:r>
      <w:r w:rsidR="009740E9">
        <w:rPr>
          <w:rFonts w:cstheme="minorHAnsi"/>
        </w:rPr>
        <w:t xml:space="preserve"> at existing venues rather than establishing a new venue</w:t>
      </w:r>
      <w:r w:rsidR="001718A6">
        <w:rPr>
          <w:rFonts w:cstheme="minorHAnsi"/>
        </w:rPr>
        <w:t>.</w:t>
      </w:r>
    </w:p>
    <w:p w:rsidR="00706330" w:rsidRDefault="005772C2" w:rsidP="00706330">
      <w:pPr>
        <w:rPr>
          <w:rFonts w:eastAsiaTheme="minorHAnsi"/>
        </w:rPr>
      </w:pPr>
      <w:r>
        <w:rPr>
          <w:rFonts w:eastAsiaTheme="minorHAnsi"/>
        </w:rPr>
        <w:t>On 19</w:t>
      </w:r>
      <w:r w:rsidRPr="005772C2">
        <w:rPr>
          <w:rFonts w:eastAsiaTheme="minorHAnsi"/>
          <w:vertAlign w:val="superscript"/>
        </w:rPr>
        <w:t>h</w:t>
      </w:r>
      <w:r>
        <w:rPr>
          <w:rFonts w:eastAsiaTheme="minorHAnsi"/>
        </w:rPr>
        <w:t xml:space="preserve"> July 2016 the Future Melbourne Committee resolved to endorse the Melbourne City Council Gaming Policy Review. </w:t>
      </w:r>
      <w:r w:rsidR="00706330">
        <w:rPr>
          <w:rFonts w:eastAsiaTheme="minorHAnsi"/>
        </w:rPr>
        <w:t>The Gaming Policy Review</w:t>
      </w:r>
      <w:r w:rsidR="00E30BB6">
        <w:rPr>
          <w:rFonts w:eastAsiaTheme="minorHAnsi"/>
        </w:rPr>
        <w:t xml:space="preserve"> (2015), prepared by Ratio, </w:t>
      </w:r>
      <w:r w:rsidR="00706330">
        <w:rPr>
          <w:rFonts w:eastAsiaTheme="minorHAnsi"/>
        </w:rPr>
        <w:t>recommend</w:t>
      </w:r>
      <w:r w:rsidR="00E30BB6">
        <w:rPr>
          <w:rFonts w:eastAsiaTheme="minorHAnsi"/>
        </w:rPr>
        <w:t>ed</w:t>
      </w:r>
      <w:r w:rsidR="00706330">
        <w:rPr>
          <w:rFonts w:eastAsiaTheme="minorHAnsi"/>
        </w:rPr>
        <w:t xml:space="preserve"> that a new local</w:t>
      </w:r>
      <w:r>
        <w:rPr>
          <w:rFonts w:eastAsiaTheme="minorHAnsi"/>
        </w:rPr>
        <w:t xml:space="preserve"> planning policy for gaming be</w:t>
      </w:r>
      <w:r w:rsidR="00706330">
        <w:rPr>
          <w:rFonts w:eastAsiaTheme="minorHAnsi"/>
        </w:rPr>
        <w:t xml:space="preserve"> developed that applies to all areas of the municipality including the Capital City Zone (CCZ) and has a significantly stronger focus on the social and economic impact of the location and concentration of any gaming machines venues and location of gaming machines within a venue, by specifically addressing:</w:t>
      </w:r>
    </w:p>
    <w:p w:rsidR="00706330" w:rsidRPr="00652FAA" w:rsidRDefault="00706330" w:rsidP="00706330">
      <w:pPr>
        <w:pStyle w:val="ListParagraph"/>
        <w:numPr>
          <w:ilvl w:val="0"/>
          <w:numId w:val="18"/>
        </w:numPr>
        <w:spacing w:after="120"/>
        <w:ind w:left="714" w:hanging="357"/>
        <w:contextualSpacing w:val="0"/>
        <w:rPr>
          <w:rFonts w:eastAsiaTheme="minorHAnsi"/>
        </w:rPr>
      </w:pPr>
      <w:r w:rsidRPr="00E15F34">
        <w:rPr>
          <w:rFonts w:eastAsiaTheme="minorHAnsi"/>
          <w:i/>
        </w:rPr>
        <w:t>Location:</w:t>
      </w:r>
      <w:r w:rsidRPr="00652FAA">
        <w:rPr>
          <w:rFonts w:eastAsiaTheme="minorHAnsi"/>
        </w:rPr>
        <w:t xml:space="preserve"> Establish criteria for where gaming venues should and should not be located having</w:t>
      </w:r>
      <w:r>
        <w:rPr>
          <w:rFonts w:eastAsiaTheme="minorHAnsi"/>
        </w:rPr>
        <w:t xml:space="preserve"> </w:t>
      </w:r>
      <w:r w:rsidRPr="00652FAA">
        <w:rPr>
          <w:rFonts w:eastAsiaTheme="minorHAnsi"/>
        </w:rPr>
        <w:t>particular regard to vulnerable or disadvantaged groups, areas and/or communities.</w:t>
      </w:r>
    </w:p>
    <w:p w:rsidR="00706330" w:rsidRPr="00652FAA" w:rsidRDefault="00706330" w:rsidP="00706330">
      <w:pPr>
        <w:pStyle w:val="ListParagraph"/>
        <w:numPr>
          <w:ilvl w:val="0"/>
          <w:numId w:val="18"/>
        </w:numPr>
        <w:spacing w:after="120"/>
        <w:ind w:left="714" w:hanging="357"/>
        <w:contextualSpacing w:val="0"/>
        <w:rPr>
          <w:rFonts w:eastAsiaTheme="minorHAnsi"/>
        </w:rPr>
      </w:pPr>
      <w:r w:rsidRPr="00E15F34">
        <w:rPr>
          <w:rFonts w:eastAsiaTheme="minorHAnsi"/>
          <w:i/>
        </w:rPr>
        <w:t>Convenience Gambling:</w:t>
      </w:r>
      <w:r w:rsidRPr="00652FAA">
        <w:rPr>
          <w:rFonts w:eastAsiaTheme="minorHAnsi"/>
        </w:rPr>
        <w:t xml:space="preserve"> Consider issues surrounding opportunities for ‘convenience gambling’.</w:t>
      </w:r>
    </w:p>
    <w:p w:rsidR="00706330" w:rsidRPr="00652FAA" w:rsidRDefault="00706330" w:rsidP="00706330">
      <w:pPr>
        <w:pStyle w:val="ListParagraph"/>
        <w:numPr>
          <w:ilvl w:val="0"/>
          <w:numId w:val="18"/>
        </w:numPr>
        <w:spacing w:after="120"/>
        <w:ind w:left="714" w:hanging="357"/>
        <w:contextualSpacing w:val="0"/>
        <w:rPr>
          <w:rFonts w:eastAsiaTheme="minorHAnsi"/>
        </w:rPr>
      </w:pPr>
      <w:r w:rsidRPr="00E15F34">
        <w:rPr>
          <w:rFonts w:eastAsiaTheme="minorHAnsi"/>
          <w:i/>
        </w:rPr>
        <w:t>Clustering:</w:t>
      </w:r>
      <w:r w:rsidRPr="00652FAA">
        <w:rPr>
          <w:rFonts w:eastAsiaTheme="minorHAnsi"/>
        </w:rPr>
        <w:t xml:space="preserve"> Discourage a concentration / cluster of gaming venues in all areas including the CCZ.</w:t>
      </w:r>
    </w:p>
    <w:p w:rsidR="00706330" w:rsidRPr="00652FAA" w:rsidRDefault="00706330" w:rsidP="00706330">
      <w:pPr>
        <w:pStyle w:val="ListParagraph"/>
        <w:numPr>
          <w:ilvl w:val="0"/>
          <w:numId w:val="18"/>
        </w:numPr>
        <w:spacing w:after="120"/>
        <w:ind w:left="714" w:hanging="357"/>
        <w:contextualSpacing w:val="0"/>
        <w:rPr>
          <w:rFonts w:eastAsiaTheme="minorHAnsi"/>
        </w:rPr>
      </w:pPr>
      <w:r w:rsidRPr="00E15F34">
        <w:rPr>
          <w:rFonts w:eastAsiaTheme="minorHAnsi"/>
          <w:i/>
        </w:rPr>
        <w:t>Venue:</w:t>
      </w:r>
      <w:r w:rsidRPr="00652FAA">
        <w:rPr>
          <w:rFonts w:eastAsiaTheme="minorHAnsi"/>
        </w:rPr>
        <w:t xml:space="preserve"> Establish venue operation and layout criteria to ensure that gaming forms a minor</w:t>
      </w:r>
      <w:r>
        <w:rPr>
          <w:rFonts w:eastAsiaTheme="minorHAnsi"/>
        </w:rPr>
        <w:t xml:space="preserve"> </w:t>
      </w:r>
      <w:r w:rsidRPr="00652FAA">
        <w:rPr>
          <w:rFonts w:eastAsiaTheme="minorHAnsi"/>
        </w:rPr>
        <w:t>component of any new venue and allows for a full range of non-gaming activities on the site.</w:t>
      </w:r>
    </w:p>
    <w:p w:rsidR="00706330" w:rsidRPr="00B06505" w:rsidRDefault="00706330" w:rsidP="00706330">
      <w:pPr>
        <w:pStyle w:val="ListParagraph"/>
        <w:numPr>
          <w:ilvl w:val="0"/>
          <w:numId w:val="18"/>
        </w:numPr>
        <w:spacing w:after="120"/>
        <w:ind w:left="714" w:hanging="357"/>
        <w:contextualSpacing w:val="0"/>
      </w:pPr>
      <w:r w:rsidRPr="00652FAA">
        <w:rPr>
          <w:rFonts w:eastAsiaTheme="minorHAnsi"/>
        </w:rPr>
        <w:t>New versus existing: Distinguish between the provision of new gaming venues and machines,</w:t>
      </w:r>
      <w:r>
        <w:rPr>
          <w:rFonts w:eastAsiaTheme="minorHAnsi"/>
        </w:rPr>
        <w:t xml:space="preserve"> </w:t>
      </w:r>
      <w:r w:rsidRPr="00652FAA">
        <w:rPr>
          <w:rFonts w:eastAsiaTheme="minorHAnsi"/>
        </w:rPr>
        <w:t>and those where a top-up is sought at an existing venue.</w:t>
      </w:r>
    </w:p>
    <w:bookmarkEnd w:id="58"/>
    <w:bookmarkEnd w:id="59"/>
    <w:p w:rsidR="00706330" w:rsidRPr="00974F48" w:rsidRDefault="00706330" w:rsidP="00706330">
      <w:pPr>
        <w:pStyle w:val="Heading3"/>
      </w:pPr>
      <w:r w:rsidRPr="00974F48">
        <w:t>Land use zones</w:t>
      </w:r>
    </w:p>
    <w:p w:rsidR="00706330" w:rsidRDefault="00706330" w:rsidP="00706330">
      <w:bookmarkStart w:id="60" w:name="_Hlk484171017"/>
      <w:r>
        <w:t xml:space="preserve">The City of Melbourne is covered by the following land uses zones (refer to Figure </w:t>
      </w:r>
      <w:r w:rsidR="00E15F34">
        <w:t>6</w:t>
      </w:r>
      <w:r>
        <w:t>)</w:t>
      </w:r>
    </w:p>
    <w:p w:rsidR="00706330" w:rsidRDefault="00706330" w:rsidP="00E15F34">
      <w:pPr>
        <w:pStyle w:val="ListParagraph"/>
        <w:numPr>
          <w:ilvl w:val="0"/>
          <w:numId w:val="19"/>
        </w:numPr>
        <w:spacing w:after="120"/>
        <w:ind w:left="714" w:hanging="357"/>
        <w:contextualSpacing w:val="0"/>
      </w:pPr>
      <w:r>
        <w:t>Docklands Zones 2-7</w:t>
      </w:r>
    </w:p>
    <w:p w:rsidR="00706330" w:rsidRDefault="00706330" w:rsidP="00E15F34">
      <w:pPr>
        <w:pStyle w:val="ListParagraph"/>
        <w:numPr>
          <w:ilvl w:val="0"/>
          <w:numId w:val="19"/>
        </w:numPr>
        <w:spacing w:after="120"/>
        <w:ind w:left="714" w:hanging="357"/>
        <w:contextualSpacing w:val="0"/>
      </w:pPr>
      <w:r>
        <w:t>Capital City Zones 1- 5</w:t>
      </w:r>
    </w:p>
    <w:p w:rsidR="00706330" w:rsidRDefault="00706330" w:rsidP="00E15F34">
      <w:pPr>
        <w:pStyle w:val="ListParagraph"/>
        <w:numPr>
          <w:ilvl w:val="0"/>
          <w:numId w:val="19"/>
        </w:numPr>
        <w:spacing w:after="120"/>
        <w:ind w:left="714" w:hanging="357"/>
        <w:contextualSpacing w:val="0"/>
      </w:pPr>
      <w:r>
        <w:t>Multi-Use Zone</w:t>
      </w:r>
    </w:p>
    <w:p w:rsidR="00706330" w:rsidRDefault="00706330" w:rsidP="00E15F34">
      <w:pPr>
        <w:pStyle w:val="ListParagraph"/>
        <w:numPr>
          <w:ilvl w:val="0"/>
          <w:numId w:val="19"/>
        </w:numPr>
        <w:spacing w:after="120"/>
        <w:ind w:left="714" w:hanging="357"/>
        <w:contextualSpacing w:val="0"/>
      </w:pPr>
      <w:r>
        <w:t>Industrial Zone 1</w:t>
      </w:r>
    </w:p>
    <w:p w:rsidR="00706330" w:rsidRDefault="00706330" w:rsidP="00E15F34">
      <w:pPr>
        <w:pStyle w:val="ListParagraph"/>
        <w:numPr>
          <w:ilvl w:val="0"/>
          <w:numId w:val="19"/>
        </w:numPr>
        <w:spacing w:after="120"/>
        <w:ind w:left="714" w:hanging="357"/>
        <w:contextualSpacing w:val="0"/>
      </w:pPr>
      <w:r>
        <w:t>Commercial Zone 1 and 2</w:t>
      </w:r>
    </w:p>
    <w:p w:rsidR="00706330" w:rsidRDefault="00706330" w:rsidP="00E15F34">
      <w:pPr>
        <w:pStyle w:val="ListParagraph"/>
        <w:numPr>
          <w:ilvl w:val="0"/>
          <w:numId w:val="19"/>
        </w:numPr>
        <w:spacing w:after="120"/>
        <w:ind w:left="714" w:hanging="357"/>
        <w:contextualSpacing w:val="0"/>
      </w:pPr>
      <w:r>
        <w:t>Comprehensive Development Zone 2</w:t>
      </w:r>
    </w:p>
    <w:p w:rsidR="00706330" w:rsidRDefault="00706330" w:rsidP="00E15F34">
      <w:pPr>
        <w:pStyle w:val="ListParagraph"/>
        <w:numPr>
          <w:ilvl w:val="0"/>
          <w:numId w:val="19"/>
        </w:numPr>
        <w:spacing w:after="120"/>
        <w:ind w:left="714" w:hanging="357"/>
        <w:contextualSpacing w:val="0"/>
      </w:pPr>
      <w:r>
        <w:t>Special Use Zone 3</w:t>
      </w:r>
    </w:p>
    <w:p w:rsidR="00706330" w:rsidRDefault="00706330" w:rsidP="00E15F34">
      <w:pPr>
        <w:pStyle w:val="ListParagraph"/>
        <w:numPr>
          <w:ilvl w:val="0"/>
          <w:numId w:val="19"/>
        </w:numPr>
        <w:spacing w:after="120"/>
        <w:ind w:left="714" w:hanging="357"/>
        <w:contextualSpacing w:val="0"/>
      </w:pPr>
      <w:r>
        <w:t>General Residential Zone 1 and 2</w:t>
      </w:r>
    </w:p>
    <w:p w:rsidR="00706330" w:rsidRDefault="00706330" w:rsidP="00E15F34">
      <w:pPr>
        <w:pStyle w:val="ListParagraph"/>
        <w:numPr>
          <w:ilvl w:val="0"/>
          <w:numId w:val="19"/>
        </w:numPr>
        <w:spacing w:after="120"/>
        <w:ind w:left="714" w:hanging="357"/>
        <w:contextualSpacing w:val="0"/>
      </w:pPr>
      <w:r>
        <w:t>Residential Growth Zone 1</w:t>
      </w:r>
    </w:p>
    <w:p w:rsidR="00706330" w:rsidRDefault="00706330" w:rsidP="00E15F34">
      <w:pPr>
        <w:pStyle w:val="ListParagraph"/>
        <w:numPr>
          <w:ilvl w:val="0"/>
          <w:numId w:val="19"/>
        </w:numPr>
        <w:spacing w:after="120"/>
        <w:ind w:left="714" w:hanging="357"/>
        <w:contextualSpacing w:val="0"/>
      </w:pPr>
      <w:r>
        <w:t>Neighbourhood Residential Zone 1</w:t>
      </w:r>
    </w:p>
    <w:p w:rsidR="00706330" w:rsidRDefault="00706330" w:rsidP="00E15F34">
      <w:pPr>
        <w:pStyle w:val="ListParagraph"/>
        <w:numPr>
          <w:ilvl w:val="0"/>
          <w:numId w:val="19"/>
        </w:numPr>
        <w:spacing w:after="120"/>
        <w:ind w:left="714" w:hanging="357"/>
        <w:contextualSpacing w:val="0"/>
      </w:pPr>
      <w:r>
        <w:t>Public Park and Recreational Zone</w:t>
      </w:r>
    </w:p>
    <w:p w:rsidR="00706330" w:rsidRDefault="00706330" w:rsidP="00E15F34">
      <w:pPr>
        <w:pStyle w:val="ListParagraph"/>
        <w:numPr>
          <w:ilvl w:val="0"/>
          <w:numId w:val="19"/>
        </w:numPr>
        <w:spacing w:after="120"/>
        <w:ind w:left="714" w:hanging="357"/>
        <w:contextualSpacing w:val="0"/>
      </w:pPr>
      <w:r>
        <w:t>Public Use Zone 2, 3 and 7</w:t>
      </w:r>
    </w:p>
    <w:bookmarkEnd w:id="60"/>
    <w:p w:rsidR="00706330" w:rsidRDefault="00706330" w:rsidP="00706330">
      <w:r>
        <w:t>The Headquarters Tavern in Flemington which is Zoned Special Use Zone 1, and Players on Lygon is zoned Commercial 1 Zone. All the gaming venues in the Hoddle Grid are zoned Capital City Zone 1</w:t>
      </w:r>
      <w:r w:rsidR="00E30BB6">
        <w:t xml:space="preserve"> which </w:t>
      </w:r>
      <w:r w:rsidR="008F688E">
        <w:t xml:space="preserve">does not prohibit gaming venues </w:t>
      </w:r>
      <w:r>
        <w:t xml:space="preserve">(refer to Table </w:t>
      </w:r>
      <w:r w:rsidR="008F688E">
        <w:t>5</w:t>
      </w:r>
      <w:r>
        <w:t>)</w:t>
      </w:r>
      <w:r w:rsidR="00E15F34">
        <w:t>.</w:t>
      </w:r>
    </w:p>
    <w:p w:rsidR="00706330" w:rsidRDefault="00E15F34" w:rsidP="008F688E">
      <w:pPr>
        <w:spacing w:line="276" w:lineRule="auto"/>
        <w:ind w:left="720"/>
      </w:pPr>
      <w:r>
        <w:br w:type="page"/>
      </w:r>
    </w:p>
    <w:p w:rsidR="008F688E" w:rsidRDefault="008F688E" w:rsidP="008F688E">
      <w:pPr>
        <w:pStyle w:val="Caption"/>
      </w:pPr>
      <w:bookmarkStart w:id="61" w:name="_Toc494206923"/>
      <w:bookmarkStart w:id="62" w:name="_Toc494287822"/>
      <w:r w:rsidRPr="008F688E">
        <w:t xml:space="preserve">Table </w:t>
      </w:r>
      <w:r w:rsidR="00802F28">
        <w:fldChar w:fldCharType="begin"/>
      </w:r>
      <w:r w:rsidR="00802F28">
        <w:instrText xml:space="preserve"> SEQ Table \* ARABIC </w:instrText>
      </w:r>
      <w:r w:rsidR="00802F28">
        <w:fldChar w:fldCharType="separate"/>
      </w:r>
      <w:r w:rsidRPr="008F688E">
        <w:rPr>
          <w:noProof/>
        </w:rPr>
        <w:t>5</w:t>
      </w:r>
      <w:r w:rsidR="00802F28">
        <w:rPr>
          <w:noProof/>
        </w:rPr>
        <w:fldChar w:fldCharType="end"/>
      </w:r>
      <w:r w:rsidRPr="008F688E">
        <w:t xml:space="preserve"> – Land use zones, gaming venues, City of Melbourne</w:t>
      </w:r>
      <w:bookmarkEnd w:id="61"/>
      <w:bookmarkEnd w:id="62"/>
    </w:p>
    <w:tbl>
      <w:tblPr>
        <w:tblW w:w="5000" w:type="pct"/>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1050"/>
        <w:gridCol w:w="2144"/>
        <w:gridCol w:w="2471"/>
        <w:gridCol w:w="2157"/>
        <w:gridCol w:w="1420"/>
      </w:tblGrid>
      <w:tr w:rsidR="00706330" w:rsidRPr="0099464A" w:rsidTr="008F688E">
        <w:tc>
          <w:tcPr>
            <w:tcW w:w="568" w:type="pct"/>
            <w:tcBorders>
              <w:bottom w:val="nil"/>
              <w:right w:val="nil"/>
            </w:tcBorders>
            <w:shd w:val="clear" w:color="auto" w:fill="000000"/>
            <w:vAlign w:val="center"/>
          </w:tcPr>
          <w:p w:rsidR="00706330" w:rsidRPr="0099464A" w:rsidRDefault="00706330" w:rsidP="004D38FC">
            <w:pPr>
              <w:spacing w:after="0"/>
              <w:ind w:left="57"/>
              <w:rPr>
                <w:rFonts w:cstheme="minorHAnsi"/>
                <w:b/>
                <w:bCs/>
                <w:lang w:eastAsia="en-AU"/>
              </w:rPr>
            </w:pPr>
            <w:r w:rsidRPr="0099464A">
              <w:rPr>
                <w:rFonts w:cstheme="minorHAnsi"/>
                <w:b/>
                <w:bCs/>
                <w:lang w:eastAsia="en-AU"/>
              </w:rPr>
              <w:t>Number</w:t>
            </w:r>
          </w:p>
        </w:tc>
        <w:tc>
          <w:tcPr>
            <w:tcW w:w="1160" w:type="pct"/>
            <w:shd w:val="clear" w:color="auto" w:fill="000000"/>
            <w:vAlign w:val="center"/>
          </w:tcPr>
          <w:p w:rsidR="00706330" w:rsidRPr="0099464A" w:rsidRDefault="00706330" w:rsidP="004D38FC">
            <w:pPr>
              <w:spacing w:after="0"/>
              <w:ind w:left="57"/>
              <w:rPr>
                <w:rFonts w:cstheme="minorHAnsi"/>
                <w:b/>
                <w:bCs/>
                <w:lang w:eastAsia="en-AU"/>
              </w:rPr>
            </w:pPr>
            <w:r w:rsidRPr="0099464A">
              <w:rPr>
                <w:rFonts w:cstheme="minorHAnsi"/>
                <w:b/>
                <w:bCs/>
                <w:lang w:eastAsia="en-AU"/>
              </w:rPr>
              <w:t>Venue</w:t>
            </w:r>
          </w:p>
        </w:tc>
        <w:tc>
          <w:tcPr>
            <w:tcW w:w="1337" w:type="pct"/>
            <w:shd w:val="clear" w:color="auto" w:fill="000000"/>
            <w:vAlign w:val="center"/>
          </w:tcPr>
          <w:p w:rsidR="00706330" w:rsidRPr="0099464A" w:rsidRDefault="00706330" w:rsidP="004D38FC">
            <w:pPr>
              <w:spacing w:after="0"/>
              <w:ind w:left="57"/>
              <w:rPr>
                <w:rFonts w:cstheme="minorHAnsi"/>
                <w:b/>
                <w:bCs/>
                <w:lang w:eastAsia="en-AU"/>
              </w:rPr>
            </w:pPr>
            <w:r w:rsidRPr="0099464A">
              <w:rPr>
                <w:rFonts w:cstheme="minorHAnsi"/>
                <w:b/>
                <w:bCs/>
                <w:lang w:eastAsia="en-AU"/>
              </w:rPr>
              <w:t xml:space="preserve">Address </w:t>
            </w:r>
          </w:p>
        </w:tc>
        <w:tc>
          <w:tcPr>
            <w:tcW w:w="1167" w:type="pct"/>
            <w:shd w:val="clear" w:color="auto" w:fill="000000"/>
          </w:tcPr>
          <w:p w:rsidR="00706330" w:rsidRPr="0099464A" w:rsidRDefault="00706330" w:rsidP="004D38FC">
            <w:pPr>
              <w:spacing w:after="0"/>
              <w:ind w:left="57"/>
              <w:jc w:val="center"/>
              <w:rPr>
                <w:rFonts w:cstheme="minorHAnsi"/>
                <w:b/>
                <w:bCs/>
                <w:lang w:eastAsia="en-AU"/>
              </w:rPr>
            </w:pPr>
            <w:r w:rsidRPr="0099464A">
              <w:rPr>
                <w:rFonts w:cstheme="minorHAnsi"/>
                <w:b/>
                <w:bCs/>
                <w:lang w:eastAsia="en-AU"/>
              </w:rPr>
              <w:t xml:space="preserve">Zoning </w:t>
            </w:r>
          </w:p>
        </w:tc>
        <w:tc>
          <w:tcPr>
            <w:tcW w:w="769" w:type="pct"/>
            <w:shd w:val="clear" w:color="auto" w:fill="000000"/>
            <w:vAlign w:val="center"/>
          </w:tcPr>
          <w:p w:rsidR="00706330" w:rsidRPr="0099464A" w:rsidRDefault="00706330" w:rsidP="004D38FC">
            <w:pPr>
              <w:spacing w:after="0"/>
              <w:ind w:left="57"/>
              <w:jc w:val="center"/>
              <w:rPr>
                <w:rFonts w:cstheme="minorHAnsi"/>
                <w:b/>
                <w:bCs/>
                <w:lang w:eastAsia="en-AU"/>
              </w:rPr>
            </w:pPr>
            <w:r w:rsidRPr="0099464A">
              <w:rPr>
                <w:rFonts w:cstheme="minorHAnsi"/>
                <w:b/>
                <w:bCs/>
                <w:lang w:eastAsia="en-AU"/>
              </w:rPr>
              <w:t>Venue Type</w:t>
            </w:r>
          </w:p>
        </w:tc>
      </w:tr>
      <w:tr w:rsidR="00706330" w:rsidRPr="0099464A" w:rsidTr="008F688E">
        <w:tc>
          <w:tcPr>
            <w:tcW w:w="568" w:type="pct"/>
            <w:tcBorders>
              <w:top w:val="single" w:sz="4" w:space="0" w:color="000000"/>
              <w:bottom w:val="single" w:sz="4" w:space="0" w:color="000000"/>
              <w:right w:val="nil"/>
            </w:tcBorders>
            <w:shd w:val="clear" w:color="auto" w:fill="FFFFFF"/>
            <w:vAlign w:val="center"/>
            <w:hideMark/>
          </w:tcPr>
          <w:p w:rsidR="00706330" w:rsidRPr="0099464A" w:rsidRDefault="00706330" w:rsidP="004D38FC">
            <w:pPr>
              <w:spacing w:after="0"/>
              <w:ind w:left="57"/>
              <w:jc w:val="center"/>
              <w:rPr>
                <w:rFonts w:cstheme="minorHAnsi"/>
                <w:b/>
                <w:bCs/>
                <w:lang w:eastAsia="en-AU"/>
              </w:rPr>
            </w:pPr>
            <w:r w:rsidRPr="0099464A">
              <w:rPr>
                <w:rFonts w:cstheme="minorHAnsi"/>
                <w:bCs/>
                <w:lang w:eastAsia="en-AU"/>
              </w:rPr>
              <w:t>1</w:t>
            </w:r>
          </w:p>
        </w:tc>
        <w:tc>
          <w:tcPr>
            <w:tcW w:w="1160" w:type="pct"/>
            <w:tcBorders>
              <w:top w:val="single" w:sz="4" w:space="0" w:color="000000"/>
              <w:bottom w:val="single" w:sz="4" w:space="0" w:color="000000"/>
            </w:tcBorders>
            <w:shd w:val="clear" w:color="auto" w:fill="auto"/>
            <w:vAlign w:val="center"/>
            <w:hideMark/>
          </w:tcPr>
          <w:p w:rsidR="00706330" w:rsidRPr="0099464A" w:rsidRDefault="00802F28" w:rsidP="004D38FC">
            <w:pPr>
              <w:spacing w:after="0"/>
              <w:ind w:left="57"/>
              <w:rPr>
                <w:rFonts w:cstheme="minorHAnsi"/>
                <w:lang w:eastAsia="en-AU"/>
              </w:rPr>
            </w:pPr>
            <w:hyperlink r:id="rId52" w:history="1">
              <w:r w:rsidR="00706330" w:rsidRPr="0099464A">
                <w:rPr>
                  <w:rFonts w:cstheme="minorHAnsi"/>
                  <w:lang w:eastAsia="en-AU"/>
                </w:rPr>
                <w:t>Batman's Hill On Collins</w:t>
              </w:r>
            </w:hyperlink>
          </w:p>
        </w:tc>
        <w:tc>
          <w:tcPr>
            <w:tcW w:w="1337" w:type="pct"/>
            <w:tcBorders>
              <w:top w:val="single" w:sz="4" w:space="0" w:color="000000"/>
            </w:tcBorders>
            <w:shd w:val="clear" w:color="auto" w:fill="auto"/>
            <w:vAlign w:val="center"/>
            <w:hideMark/>
          </w:tcPr>
          <w:p w:rsidR="00706330" w:rsidRPr="0099464A" w:rsidRDefault="00706330" w:rsidP="004D38FC">
            <w:pPr>
              <w:spacing w:after="0"/>
              <w:ind w:left="57"/>
              <w:rPr>
                <w:rFonts w:cstheme="minorHAnsi"/>
                <w:lang w:eastAsia="en-AU"/>
              </w:rPr>
            </w:pPr>
            <w:r w:rsidRPr="0099464A">
              <w:rPr>
                <w:rFonts w:cstheme="minorHAnsi"/>
                <w:lang w:eastAsia="en-AU"/>
              </w:rPr>
              <w:t>623 Collins Street, Melbourne</w:t>
            </w:r>
          </w:p>
        </w:tc>
        <w:tc>
          <w:tcPr>
            <w:tcW w:w="1167" w:type="pct"/>
            <w:tcBorders>
              <w:top w:val="single" w:sz="4" w:space="0" w:color="000000"/>
            </w:tcBorders>
          </w:tcPr>
          <w:p w:rsidR="00706330" w:rsidRPr="0099464A" w:rsidRDefault="00706330" w:rsidP="004D38FC">
            <w:pPr>
              <w:spacing w:after="0"/>
              <w:ind w:left="57"/>
              <w:jc w:val="center"/>
              <w:rPr>
                <w:rFonts w:eastAsia="Calibri" w:cstheme="minorHAnsi"/>
              </w:rPr>
            </w:pPr>
            <w:r w:rsidRPr="0099464A">
              <w:rPr>
                <w:rFonts w:eastAsia="Calibri" w:cstheme="minorHAnsi"/>
              </w:rPr>
              <w:t>Capital City Zone 1</w:t>
            </w:r>
          </w:p>
        </w:tc>
        <w:tc>
          <w:tcPr>
            <w:tcW w:w="769" w:type="pct"/>
            <w:tcBorders>
              <w:top w:val="single" w:sz="4" w:space="0" w:color="000000"/>
            </w:tcBorders>
            <w:vAlign w:val="center"/>
          </w:tcPr>
          <w:p w:rsidR="00706330" w:rsidRPr="0099464A" w:rsidRDefault="00706330" w:rsidP="004D38FC">
            <w:pPr>
              <w:spacing w:after="0"/>
              <w:ind w:left="57"/>
              <w:jc w:val="center"/>
              <w:rPr>
                <w:rFonts w:cstheme="minorHAnsi"/>
                <w:lang w:eastAsia="en-AU"/>
              </w:rPr>
            </w:pPr>
            <w:r w:rsidRPr="0099464A">
              <w:rPr>
                <w:rFonts w:eastAsia="Calibri" w:cstheme="minorHAnsi"/>
              </w:rPr>
              <w:t>Hotel</w:t>
            </w:r>
          </w:p>
        </w:tc>
      </w:tr>
      <w:tr w:rsidR="00706330" w:rsidRPr="0099464A" w:rsidTr="008F688E">
        <w:tc>
          <w:tcPr>
            <w:tcW w:w="568" w:type="pct"/>
            <w:tcBorders>
              <w:top w:val="single" w:sz="4" w:space="0" w:color="000000"/>
              <w:bottom w:val="single" w:sz="4" w:space="0" w:color="000000"/>
              <w:right w:val="nil"/>
            </w:tcBorders>
            <w:shd w:val="clear" w:color="auto" w:fill="FFFFFF"/>
            <w:vAlign w:val="center"/>
            <w:hideMark/>
          </w:tcPr>
          <w:p w:rsidR="00706330" w:rsidRPr="0099464A" w:rsidRDefault="00706330" w:rsidP="004D38FC">
            <w:pPr>
              <w:spacing w:after="0"/>
              <w:ind w:left="57"/>
              <w:jc w:val="center"/>
              <w:rPr>
                <w:rFonts w:cstheme="minorHAnsi"/>
                <w:b/>
                <w:bCs/>
                <w:lang w:eastAsia="en-AU"/>
              </w:rPr>
            </w:pPr>
            <w:r w:rsidRPr="0099464A">
              <w:rPr>
                <w:rFonts w:cstheme="minorHAnsi"/>
                <w:bCs/>
                <w:lang w:eastAsia="en-AU"/>
              </w:rPr>
              <w:t>2</w:t>
            </w:r>
          </w:p>
        </w:tc>
        <w:tc>
          <w:tcPr>
            <w:tcW w:w="1160" w:type="pct"/>
            <w:tcBorders>
              <w:top w:val="single" w:sz="4" w:space="0" w:color="000000"/>
              <w:bottom w:val="single" w:sz="4" w:space="0" w:color="000000"/>
            </w:tcBorders>
            <w:shd w:val="clear" w:color="auto" w:fill="auto"/>
            <w:vAlign w:val="center"/>
            <w:hideMark/>
          </w:tcPr>
          <w:p w:rsidR="00706330" w:rsidRPr="0099464A" w:rsidRDefault="00802F28" w:rsidP="004D38FC">
            <w:pPr>
              <w:spacing w:after="0"/>
              <w:ind w:left="57"/>
              <w:rPr>
                <w:rFonts w:cstheme="minorHAnsi"/>
                <w:lang w:eastAsia="en-AU"/>
              </w:rPr>
            </w:pPr>
            <w:hyperlink r:id="rId53" w:history="1">
              <w:r w:rsidR="00706330" w:rsidRPr="0099464A">
                <w:rPr>
                  <w:rFonts w:cstheme="minorHAnsi"/>
                  <w:lang w:eastAsia="en-AU"/>
                </w:rPr>
                <w:t>Bourke Hill's Welcome Stranger</w:t>
              </w:r>
            </w:hyperlink>
          </w:p>
        </w:tc>
        <w:tc>
          <w:tcPr>
            <w:tcW w:w="1337" w:type="pct"/>
            <w:tcBorders>
              <w:top w:val="single" w:sz="4" w:space="0" w:color="000000"/>
            </w:tcBorders>
            <w:shd w:val="clear" w:color="auto" w:fill="auto"/>
            <w:vAlign w:val="center"/>
            <w:hideMark/>
          </w:tcPr>
          <w:p w:rsidR="00706330" w:rsidRPr="0099464A" w:rsidRDefault="00706330" w:rsidP="004D38FC">
            <w:pPr>
              <w:spacing w:after="0"/>
              <w:ind w:left="57"/>
              <w:rPr>
                <w:rFonts w:cstheme="minorHAnsi"/>
                <w:lang w:eastAsia="en-AU"/>
              </w:rPr>
            </w:pPr>
            <w:r w:rsidRPr="0099464A">
              <w:rPr>
                <w:rFonts w:cstheme="minorHAnsi"/>
                <w:lang w:eastAsia="en-AU"/>
              </w:rPr>
              <w:t xml:space="preserve">128 Bourke Street, Melbourne </w:t>
            </w:r>
          </w:p>
        </w:tc>
        <w:tc>
          <w:tcPr>
            <w:tcW w:w="1167" w:type="pct"/>
            <w:tcBorders>
              <w:top w:val="single" w:sz="4" w:space="0" w:color="000000"/>
            </w:tcBorders>
          </w:tcPr>
          <w:p w:rsidR="00706330" w:rsidRPr="0099464A" w:rsidRDefault="00706330" w:rsidP="004D38FC">
            <w:pPr>
              <w:spacing w:after="0"/>
              <w:ind w:left="57"/>
              <w:jc w:val="center"/>
              <w:rPr>
                <w:rFonts w:cstheme="minorHAnsi"/>
                <w:lang w:eastAsia="en-AU"/>
              </w:rPr>
            </w:pPr>
            <w:r w:rsidRPr="0099464A">
              <w:rPr>
                <w:rFonts w:cstheme="minorHAnsi"/>
                <w:lang w:eastAsia="en-AU"/>
              </w:rPr>
              <w:t>Capital City Zone 2</w:t>
            </w:r>
          </w:p>
        </w:tc>
        <w:tc>
          <w:tcPr>
            <w:tcW w:w="769" w:type="pct"/>
            <w:tcBorders>
              <w:top w:val="single" w:sz="4" w:space="0" w:color="000000"/>
            </w:tcBorders>
            <w:vAlign w:val="center"/>
          </w:tcPr>
          <w:p w:rsidR="00706330" w:rsidRPr="0099464A" w:rsidRDefault="00706330" w:rsidP="004D38FC">
            <w:pPr>
              <w:spacing w:after="0"/>
              <w:ind w:left="57"/>
              <w:jc w:val="center"/>
              <w:rPr>
                <w:rFonts w:cstheme="minorHAnsi"/>
                <w:lang w:eastAsia="en-AU"/>
              </w:rPr>
            </w:pPr>
            <w:r w:rsidRPr="0099464A">
              <w:rPr>
                <w:rFonts w:cstheme="minorHAnsi"/>
                <w:lang w:eastAsia="en-AU"/>
              </w:rPr>
              <w:t>Hotel</w:t>
            </w:r>
          </w:p>
        </w:tc>
      </w:tr>
      <w:tr w:rsidR="00706330" w:rsidRPr="0099464A" w:rsidTr="008F688E">
        <w:tc>
          <w:tcPr>
            <w:tcW w:w="568" w:type="pct"/>
            <w:tcBorders>
              <w:top w:val="single" w:sz="4" w:space="0" w:color="000000"/>
              <w:bottom w:val="single" w:sz="4" w:space="0" w:color="000000"/>
              <w:right w:val="nil"/>
            </w:tcBorders>
            <w:shd w:val="clear" w:color="auto" w:fill="FFFFFF"/>
            <w:vAlign w:val="center"/>
            <w:hideMark/>
          </w:tcPr>
          <w:p w:rsidR="00706330" w:rsidRPr="0099464A" w:rsidRDefault="00706330" w:rsidP="004D38FC">
            <w:pPr>
              <w:spacing w:after="0"/>
              <w:ind w:left="57"/>
              <w:jc w:val="center"/>
              <w:rPr>
                <w:rFonts w:cstheme="minorHAnsi"/>
                <w:b/>
                <w:bCs/>
                <w:lang w:eastAsia="en-AU"/>
              </w:rPr>
            </w:pPr>
            <w:r w:rsidRPr="0099464A">
              <w:rPr>
                <w:rFonts w:cstheme="minorHAnsi"/>
                <w:bCs/>
                <w:lang w:eastAsia="en-AU"/>
              </w:rPr>
              <w:t>3</w:t>
            </w:r>
          </w:p>
        </w:tc>
        <w:tc>
          <w:tcPr>
            <w:tcW w:w="1160" w:type="pct"/>
            <w:tcBorders>
              <w:top w:val="single" w:sz="4" w:space="0" w:color="000000"/>
              <w:bottom w:val="single" w:sz="4" w:space="0" w:color="000000"/>
            </w:tcBorders>
            <w:shd w:val="clear" w:color="auto" w:fill="auto"/>
            <w:vAlign w:val="center"/>
            <w:hideMark/>
          </w:tcPr>
          <w:p w:rsidR="00706330" w:rsidRPr="0099464A" w:rsidRDefault="00802F28" w:rsidP="004D38FC">
            <w:pPr>
              <w:spacing w:after="0"/>
              <w:ind w:left="57"/>
              <w:rPr>
                <w:rFonts w:cstheme="minorHAnsi"/>
                <w:lang w:eastAsia="en-AU"/>
              </w:rPr>
            </w:pPr>
            <w:hyperlink r:id="rId54" w:history="1">
              <w:r w:rsidR="00706330" w:rsidRPr="0099464A">
                <w:rPr>
                  <w:rFonts w:cstheme="minorHAnsi"/>
                  <w:lang w:eastAsia="en-AU"/>
                </w:rPr>
                <w:t>Celtic Club</w:t>
              </w:r>
            </w:hyperlink>
          </w:p>
        </w:tc>
        <w:tc>
          <w:tcPr>
            <w:tcW w:w="1337" w:type="pct"/>
            <w:tcBorders>
              <w:top w:val="single" w:sz="4" w:space="0" w:color="000000"/>
            </w:tcBorders>
            <w:shd w:val="clear" w:color="auto" w:fill="auto"/>
            <w:vAlign w:val="center"/>
            <w:hideMark/>
          </w:tcPr>
          <w:p w:rsidR="00706330" w:rsidRPr="0099464A" w:rsidRDefault="00706330" w:rsidP="004D38FC">
            <w:pPr>
              <w:spacing w:after="0"/>
              <w:ind w:left="57"/>
              <w:rPr>
                <w:rFonts w:cstheme="minorHAnsi"/>
                <w:lang w:eastAsia="en-AU"/>
              </w:rPr>
            </w:pPr>
            <w:r w:rsidRPr="0099464A">
              <w:rPr>
                <w:rFonts w:cstheme="minorHAnsi"/>
                <w:lang w:eastAsia="en-AU"/>
              </w:rPr>
              <w:t xml:space="preserve">316 - 320 Queen Street, Melbourne </w:t>
            </w:r>
          </w:p>
        </w:tc>
        <w:tc>
          <w:tcPr>
            <w:tcW w:w="1167" w:type="pct"/>
            <w:tcBorders>
              <w:top w:val="single" w:sz="4" w:space="0" w:color="000000"/>
            </w:tcBorders>
          </w:tcPr>
          <w:p w:rsidR="00706330" w:rsidRPr="0099464A" w:rsidRDefault="00706330" w:rsidP="004D38FC">
            <w:pPr>
              <w:spacing w:after="0"/>
              <w:ind w:left="57"/>
              <w:jc w:val="center"/>
              <w:rPr>
                <w:rFonts w:eastAsia="Calibri" w:cstheme="minorHAnsi"/>
              </w:rPr>
            </w:pPr>
            <w:r w:rsidRPr="0099464A">
              <w:rPr>
                <w:rFonts w:eastAsia="Calibri" w:cstheme="minorHAnsi"/>
              </w:rPr>
              <w:t>Capital City Zone 1</w:t>
            </w:r>
          </w:p>
        </w:tc>
        <w:tc>
          <w:tcPr>
            <w:tcW w:w="769" w:type="pct"/>
            <w:tcBorders>
              <w:top w:val="single" w:sz="4" w:space="0" w:color="000000"/>
            </w:tcBorders>
            <w:vAlign w:val="center"/>
          </w:tcPr>
          <w:p w:rsidR="00706330" w:rsidRPr="0099464A" w:rsidRDefault="00706330" w:rsidP="004D38FC">
            <w:pPr>
              <w:spacing w:after="0"/>
              <w:ind w:left="57"/>
              <w:jc w:val="center"/>
              <w:rPr>
                <w:rFonts w:cstheme="minorHAnsi"/>
                <w:lang w:eastAsia="en-AU"/>
              </w:rPr>
            </w:pPr>
            <w:r w:rsidRPr="0099464A">
              <w:rPr>
                <w:rFonts w:eastAsia="Calibri" w:cstheme="minorHAnsi"/>
              </w:rPr>
              <w:t>Club</w:t>
            </w:r>
          </w:p>
        </w:tc>
      </w:tr>
      <w:tr w:rsidR="00706330" w:rsidRPr="0099464A" w:rsidTr="008F688E">
        <w:tc>
          <w:tcPr>
            <w:tcW w:w="568" w:type="pct"/>
            <w:tcBorders>
              <w:top w:val="single" w:sz="4" w:space="0" w:color="000000"/>
              <w:bottom w:val="single" w:sz="4" w:space="0" w:color="000000"/>
              <w:right w:val="nil"/>
            </w:tcBorders>
            <w:shd w:val="clear" w:color="auto" w:fill="FFFFFF"/>
            <w:vAlign w:val="center"/>
            <w:hideMark/>
          </w:tcPr>
          <w:p w:rsidR="00706330" w:rsidRPr="0099464A" w:rsidRDefault="00706330" w:rsidP="004D38FC">
            <w:pPr>
              <w:spacing w:after="0"/>
              <w:ind w:left="57"/>
              <w:jc w:val="center"/>
              <w:rPr>
                <w:rFonts w:cstheme="minorHAnsi"/>
                <w:b/>
                <w:bCs/>
                <w:lang w:eastAsia="en-AU"/>
              </w:rPr>
            </w:pPr>
            <w:r w:rsidRPr="0099464A">
              <w:rPr>
                <w:rFonts w:cstheme="minorHAnsi"/>
                <w:bCs/>
                <w:lang w:eastAsia="en-AU"/>
              </w:rPr>
              <w:t>4</w:t>
            </w:r>
          </w:p>
        </w:tc>
        <w:tc>
          <w:tcPr>
            <w:tcW w:w="1160" w:type="pct"/>
            <w:tcBorders>
              <w:top w:val="single" w:sz="4" w:space="0" w:color="000000"/>
              <w:bottom w:val="single" w:sz="4" w:space="0" w:color="000000"/>
            </w:tcBorders>
            <w:shd w:val="clear" w:color="auto" w:fill="auto"/>
            <w:vAlign w:val="center"/>
            <w:hideMark/>
          </w:tcPr>
          <w:p w:rsidR="00706330" w:rsidRPr="0099464A" w:rsidRDefault="00706330" w:rsidP="004D38FC">
            <w:pPr>
              <w:spacing w:after="0"/>
              <w:ind w:left="57"/>
              <w:rPr>
                <w:rFonts w:cstheme="minorHAnsi"/>
                <w:lang w:eastAsia="en-AU"/>
              </w:rPr>
            </w:pPr>
            <w:r w:rsidRPr="0099464A">
              <w:rPr>
                <w:rFonts w:eastAsia="Calibri" w:cstheme="minorHAnsi"/>
              </w:rPr>
              <w:t xml:space="preserve">The </w:t>
            </w:r>
            <w:hyperlink r:id="rId55" w:history="1">
              <w:r w:rsidRPr="0099464A">
                <w:rPr>
                  <w:rFonts w:cstheme="minorHAnsi"/>
                  <w:lang w:eastAsia="en-AU"/>
                </w:rPr>
                <w:t>Clocks At Flinders Street Station</w:t>
              </w:r>
            </w:hyperlink>
          </w:p>
        </w:tc>
        <w:tc>
          <w:tcPr>
            <w:tcW w:w="1337" w:type="pct"/>
            <w:tcBorders>
              <w:top w:val="single" w:sz="4" w:space="0" w:color="000000"/>
            </w:tcBorders>
            <w:shd w:val="clear" w:color="auto" w:fill="auto"/>
            <w:vAlign w:val="center"/>
            <w:hideMark/>
          </w:tcPr>
          <w:p w:rsidR="00706330" w:rsidRPr="0099464A" w:rsidRDefault="00706330" w:rsidP="004D38FC">
            <w:pPr>
              <w:spacing w:after="0"/>
              <w:ind w:left="57"/>
              <w:rPr>
                <w:rFonts w:cstheme="minorHAnsi"/>
                <w:lang w:eastAsia="en-AU"/>
              </w:rPr>
            </w:pPr>
            <w:r w:rsidRPr="0099464A">
              <w:rPr>
                <w:rFonts w:cstheme="minorHAnsi"/>
                <w:lang w:eastAsia="en-AU"/>
              </w:rPr>
              <w:t xml:space="preserve">Shop 17, Flinders Street Railway Station, Melbourne </w:t>
            </w:r>
          </w:p>
        </w:tc>
        <w:tc>
          <w:tcPr>
            <w:tcW w:w="1167" w:type="pct"/>
            <w:tcBorders>
              <w:top w:val="single" w:sz="4" w:space="0" w:color="000000"/>
            </w:tcBorders>
          </w:tcPr>
          <w:p w:rsidR="00706330" w:rsidRPr="0099464A" w:rsidRDefault="00706330" w:rsidP="004D38FC">
            <w:pPr>
              <w:spacing w:after="0"/>
              <w:ind w:left="57"/>
              <w:jc w:val="center"/>
              <w:rPr>
                <w:rFonts w:eastAsia="Calibri" w:cstheme="minorHAnsi"/>
              </w:rPr>
            </w:pPr>
            <w:r w:rsidRPr="0099464A">
              <w:rPr>
                <w:rFonts w:eastAsia="Calibri" w:cstheme="minorHAnsi"/>
              </w:rPr>
              <w:t>Capital City Zone 1</w:t>
            </w:r>
          </w:p>
        </w:tc>
        <w:tc>
          <w:tcPr>
            <w:tcW w:w="769" w:type="pct"/>
            <w:tcBorders>
              <w:top w:val="single" w:sz="4" w:space="0" w:color="000000"/>
            </w:tcBorders>
            <w:vAlign w:val="center"/>
          </w:tcPr>
          <w:p w:rsidR="00706330" w:rsidRPr="0099464A" w:rsidRDefault="00706330" w:rsidP="004D38FC">
            <w:pPr>
              <w:spacing w:after="0"/>
              <w:ind w:left="57"/>
              <w:jc w:val="center"/>
              <w:rPr>
                <w:rFonts w:cstheme="minorHAnsi"/>
                <w:lang w:eastAsia="en-AU"/>
              </w:rPr>
            </w:pPr>
            <w:r w:rsidRPr="0099464A">
              <w:rPr>
                <w:rFonts w:eastAsia="Calibri" w:cstheme="minorHAnsi"/>
              </w:rPr>
              <w:t>Club</w:t>
            </w:r>
          </w:p>
        </w:tc>
      </w:tr>
      <w:tr w:rsidR="00706330" w:rsidRPr="0099464A" w:rsidTr="008F688E">
        <w:tc>
          <w:tcPr>
            <w:tcW w:w="568" w:type="pct"/>
            <w:tcBorders>
              <w:top w:val="single" w:sz="4" w:space="0" w:color="000000"/>
              <w:bottom w:val="single" w:sz="4" w:space="0" w:color="000000"/>
              <w:right w:val="nil"/>
            </w:tcBorders>
            <w:shd w:val="clear" w:color="auto" w:fill="FFFFFF"/>
            <w:vAlign w:val="center"/>
            <w:hideMark/>
          </w:tcPr>
          <w:p w:rsidR="00706330" w:rsidRPr="0099464A" w:rsidRDefault="00706330" w:rsidP="004D38FC">
            <w:pPr>
              <w:spacing w:after="0"/>
              <w:ind w:left="57"/>
              <w:jc w:val="center"/>
              <w:rPr>
                <w:rFonts w:cstheme="minorHAnsi"/>
                <w:b/>
                <w:bCs/>
                <w:lang w:eastAsia="en-AU"/>
              </w:rPr>
            </w:pPr>
            <w:r w:rsidRPr="0099464A">
              <w:rPr>
                <w:rFonts w:cstheme="minorHAnsi"/>
                <w:bCs/>
                <w:lang w:eastAsia="en-AU"/>
              </w:rPr>
              <w:t>5</w:t>
            </w:r>
          </w:p>
        </w:tc>
        <w:tc>
          <w:tcPr>
            <w:tcW w:w="1160" w:type="pct"/>
            <w:tcBorders>
              <w:top w:val="single" w:sz="4" w:space="0" w:color="000000"/>
              <w:bottom w:val="single" w:sz="4" w:space="0" w:color="000000"/>
            </w:tcBorders>
            <w:shd w:val="clear" w:color="auto" w:fill="auto"/>
            <w:vAlign w:val="center"/>
            <w:hideMark/>
          </w:tcPr>
          <w:p w:rsidR="00706330" w:rsidRPr="0099464A" w:rsidRDefault="00802F28" w:rsidP="004D38FC">
            <w:pPr>
              <w:spacing w:after="0"/>
              <w:ind w:left="57"/>
              <w:rPr>
                <w:rFonts w:cstheme="minorHAnsi"/>
                <w:lang w:eastAsia="en-AU"/>
              </w:rPr>
            </w:pPr>
            <w:hyperlink r:id="rId56" w:history="1">
              <w:r w:rsidR="00706330" w:rsidRPr="0099464A">
                <w:rPr>
                  <w:rFonts w:cstheme="minorHAnsi"/>
                  <w:lang w:eastAsia="en-AU"/>
                </w:rPr>
                <w:t>Golden Nugget</w:t>
              </w:r>
            </w:hyperlink>
          </w:p>
        </w:tc>
        <w:tc>
          <w:tcPr>
            <w:tcW w:w="1337" w:type="pct"/>
            <w:tcBorders>
              <w:top w:val="single" w:sz="4" w:space="0" w:color="000000"/>
            </w:tcBorders>
            <w:shd w:val="clear" w:color="auto" w:fill="auto"/>
            <w:vAlign w:val="center"/>
            <w:hideMark/>
          </w:tcPr>
          <w:p w:rsidR="00706330" w:rsidRPr="0099464A" w:rsidRDefault="00706330" w:rsidP="004D38FC">
            <w:pPr>
              <w:spacing w:after="0"/>
              <w:ind w:left="57"/>
              <w:rPr>
                <w:rFonts w:cstheme="minorHAnsi"/>
                <w:lang w:eastAsia="en-AU"/>
              </w:rPr>
            </w:pPr>
            <w:r w:rsidRPr="0099464A">
              <w:rPr>
                <w:rFonts w:cstheme="minorHAnsi"/>
                <w:lang w:eastAsia="en-AU"/>
              </w:rPr>
              <w:t xml:space="preserve">117 Lonsdale Street, Melbourne </w:t>
            </w:r>
          </w:p>
        </w:tc>
        <w:tc>
          <w:tcPr>
            <w:tcW w:w="1167" w:type="pct"/>
            <w:tcBorders>
              <w:top w:val="single" w:sz="4" w:space="0" w:color="000000"/>
            </w:tcBorders>
          </w:tcPr>
          <w:p w:rsidR="00706330" w:rsidRPr="0099464A" w:rsidRDefault="00706330" w:rsidP="004D38FC">
            <w:pPr>
              <w:spacing w:after="0"/>
              <w:ind w:left="57"/>
              <w:jc w:val="center"/>
              <w:rPr>
                <w:rFonts w:eastAsia="Calibri" w:cstheme="minorHAnsi"/>
              </w:rPr>
            </w:pPr>
            <w:r w:rsidRPr="0099464A">
              <w:rPr>
                <w:rFonts w:eastAsia="Calibri" w:cstheme="minorHAnsi"/>
              </w:rPr>
              <w:t>Capital City Zone 1</w:t>
            </w:r>
          </w:p>
        </w:tc>
        <w:tc>
          <w:tcPr>
            <w:tcW w:w="769" w:type="pct"/>
            <w:tcBorders>
              <w:top w:val="single" w:sz="4" w:space="0" w:color="000000"/>
            </w:tcBorders>
            <w:vAlign w:val="center"/>
          </w:tcPr>
          <w:p w:rsidR="00706330" w:rsidRPr="0099464A" w:rsidRDefault="00706330" w:rsidP="004D38FC">
            <w:pPr>
              <w:spacing w:after="0"/>
              <w:ind w:left="57"/>
              <w:jc w:val="center"/>
              <w:rPr>
                <w:rFonts w:cstheme="minorHAnsi"/>
                <w:lang w:eastAsia="en-AU"/>
              </w:rPr>
            </w:pPr>
            <w:r w:rsidRPr="0099464A">
              <w:rPr>
                <w:rFonts w:eastAsia="Calibri" w:cstheme="minorHAnsi"/>
              </w:rPr>
              <w:t>Hotel</w:t>
            </w:r>
          </w:p>
        </w:tc>
      </w:tr>
      <w:tr w:rsidR="00706330" w:rsidRPr="0099464A" w:rsidTr="008F688E">
        <w:tc>
          <w:tcPr>
            <w:tcW w:w="568" w:type="pct"/>
            <w:tcBorders>
              <w:top w:val="single" w:sz="4" w:space="0" w:color="000000"/>
              <w:bottom w:val="single" w:sz="4" w:space="0" w:color="000000"/>
              <w:right w:val="nil"/>
            </w:tcBorders>
            <w:shd w:val="clear" w:color="auto" w:fill="FFFFFF"/>
            <w:vAlign w:val="center"/>
            <w:hideMark/>
          </w:tcPr>
          <w:p w:rsidR="00706330" w:rsidRPr="0099464A" w:rsidRDefault="00706330" w:rsidP="004D38FC">
            <w:pPr>
              <w:spacing w:after="0"/>
              <w:ind w:left="57"/>
              <w:jc w:val="center"/>
              <w:rPr>
                <w:rFonts w:cstheme="minorHAnsi"/>
                <w:b/>
                <w:bCs/>
                <w:lang w:eastAsia="en-AU"/>
              </w:rPr>
            </w:pPr>
            <w:r w:rsidRPr="0099464A">
              <w:rPr>
                <w:rFonts w:cstheme="minorHAnsi"/>
                <w:bCs/>
                <w:lang w:eastAsia="en-AU"/>
              </w:rPr>
              <w:t>6</w:t>
            </w:r>
          </w:p>
        </w:tc>
        <w:tc>
          <w:tcPr>
            <w:tcW w:w="1160" w:type="pct"/>
            <w:tcBorders>
              <w:top w:val="single" w:sz="4" w:space="0" w:color="000000"/>
              <w:bottom w:val="single" w:sz="4" w:space="0" w:color="000000"/>
            </w:tcBorders>
            <w:shd w:val="clear" w:color="auto" w:fill="auto"/>
            <w:vAlign w:val="center"/>
            <w:hideMark/>
          </w:tcPr>
          <w:p w:rsidR="00706330" w:rsidRPr="0099464A" w:rsidRDefault="00802F28" w:rsidP="004D38FC">
            <w:pPr>
              <w:spacing w:after="0"/>
              <w:ind w:left="57"/>
              <w:rPr>
                <w:rFonts w:cstheme="minorHAnsi"/>
                <w:lang w:eastAsia="en-AU"/>
              </w:rPr>
            </w:pPr>
            <w:hyperlink r:id="rId57" w:history="1">
              <w:r w:rsidR="00706330" w:rsidRPr="0099464A">
                <w:rPr>
                  <w:rFonts w:cstheme="minorHAnsi"/>
                  <w:lang w:eastAsia="en-AU"/>
                </w:rPr>
                <w:t>Headquarters Tavern</w:t>
              </w:r>
            </w:hyperlink>
          </w:p>
        </w:tc>
        <w:tc>
          <w:tcPr>
            <w:tcW w:w="1337" w:type="pct"/>
            <w:tcBorders>
              <w:top w:val="single" w:sz="4" w:space="0" w:color="000000"/>
            </w:tcBorders>
            <w:shd w:val="clear" w:color="auto" w:fill="auto"/>
            <w:vAlign w:val="center"/>
            <w:hideMark/>
          </w:tcPr>
          <w:p w:rsidR="00706330" w:rsidRPr="0099464A" w:rsidRDefault="00706330" w:rsidP="004D38FC">
            <w:pPr>
              <w:spacing w:after="0"/>
              <w:ind w:left="57"/>
              <w:rPr>
                <w:rFonts w:cstheme="minorHAnsi"/>
                <w:lang w:eastAsia="en-AU"/>
              </w:rPr>
            </w:pPr>
            <w:r w:rsidRPr="0099464A">
              <w:rPr>
                <w:rFonts w:cstheme="minorHAnsi"/>
                <w:lang w:eastAsia="en-AU"/>
              </w:rPr>
              <w:t xml:space="preserve">Epsom Road, Flemington </w:t>
            </w:r>
          </w:p>
        </w:tc>
        <w:tc>
          <w:tcPr>
            <w:tcW w:w="1167" w:type="pct"/>
            <w:tcBorders>
              <w:top w:val="single" w:sz="4" w:space="0" w:color="000000"/>
            </w:tcBorders>
          </w:tcPr>
          <w:p w:rsidR="00706330" w:rsidRPr="0099464A" w:rsidRDefault="00706330" w:rsidP="004D38FC">
            <w:pPr>
              <w:spacing w:after="0"/>
              <w:ind w:left="57"/>
              <w:jc w:val="center"/>
              <w:rPr>
                <w:rFonts w:eastAsia="Calibri" w:cstheme="minorHAnsi"/>
              </w:rPr>
            </w:pPr>
            <w:r w:rsidRPr="0099464A">
              <w:rPr>
                <w:rFonts w:eastAsia="Calibri" w:cstheme="minorHAnsi"/>
              </w:rPr>
              <w:t>Special Use Zone 1</w:t>
            </w:r>
          </w:p>
        </w:tc>
        <w:tc>
          <w:tcPr>
            <w:tcW w:w="769" w:type="pct"/>
            <w:tcBorders>
              <w:top w:val="single" w:sz="4" w:space="0" w:color="000000"/>
            </w:tcBorders>
            <w:vAlign w:val="center"/>
          </w:tcPr>
          <w:p w:rsidR="00706330" w:rsidRPr="0099464A" w:rsidRDefault="00706330" w:rsidP="004D38FC">
            <w:pPr>
              <w:spacing w:after="0"/>
              <w:ind w:left="57"/>
              <w:jc w:val="center"/>
              <w:rPr>
                <w:rFonts w:cstheme="minorHAnsi"/>
                <w:lang w:eastAsia="en-AU"/>
              </w:rPr>
            </w:pPr>
            <w:r w:rsidRPr="0099464A">
              <w:rPr>
                <w:rFonts w:eastAsia="Calibri" w:cstheme="minorHAnsi"/>
              </w:rPr>
              <w:t>Club</w:t>
            </w:r>
          </w:p>
        </w:tc>
      </w:tr>
      <w:tr w:rsidR="00706330" w:rsidRPr="0099464A" w:rsidTr="008F688E">
        <w:tc>
          <w:tcPr>
            <w:tcW w:w="568" w:type="pct"/>
            <w:tcBorders>
              <w:top w:val="single" w:sz="4" w:space="0" w:color="000000"/>
              <w:bottom w:val="single" w:sz="4" w:space="0" w:color="000000"/>
              <w:right w:val="nil"/>
            </w:tcBorders>
            <w:shd w:val="clear" w:color="auto" w:fill="auto"/>
            <w:vAlign w:val="center"/>
            <w:hideMark/>
          </w:tcPr>
          <w:p w:rsidR="00706330" w:rsidRPr="00062EA7" w:rsidRDefault="00706330" w:rsidP="004D38FC">
            <w:pPr>
              <w:spacing w:after="0"/>
              <w:ind w:left="57"/>
              <w:jc w:val="center"/>
              <w:rPr>
                <w:rFonts w:cstheme="minorHAnsi"/>
                <w:b/>
                <w:bCs/>
                <w:lang w:eastAsia="en-AU"/>
              </w:rPr>
            </w:pPr>
            <w:r w:rsidRPr="00062EA7">
              <w:rPr>
                <w:rFonts w:cstheme="minorHAnsi"/>
                <w:bCs/>
                <w:lang w:eastAsia="en-AU"/>
              </w:rPr>
              <w:t>7</w:t>
            </w:r>
          </w:p>
        </w:tc>
        <w:tc>
          <w:tcPr>
            <w:tcW w:w="1160" w:type="pct"/>
            <w:tcBorders>
              <w:top w:val="single" w:sz="4" w:space="0" w:color="000000"/>
              <w:bottom w:val="single" w:sz="4" w:space="0" w:color="000000"/>
            </w:tcBorders>
            <w:shd w:val="clear" w:color="auto" w:fill="auto"/>
            <w:vAlign w:val="center"/>
            <w:hideMark/>
          </w:tcPr>
          <w:p w:rsidR="00706330" w:rsidRPr="00062EA7" w:rsidRDefault="00802F28" w:rsidP="004D38FC">
            <w:pPr>
              <w:spacing w:after="0"/>
              <w:ind w:left="57"/>
              <w:rPr>
                <w:rFonts w:cstheme="minorHAnsi"/>
                <w:lang w:eastAsia="en-AU"/>
              </w:rPr>
            </w:pPr>
            <w:hyperlink r:id="rId58" w:history="1">
              <w:r w:rsidR="00706330" w:rsidRPr="00062EA7">
                <w:rPr>
                  <w:rFonts w:cstheme="minorHAnsi"/>
                  <w:lang w:eastAsia="en-AU"/>
                </w:rPr>
                <w:t>Mail Exchange Hotel</w:t>
              </w:r>
            </w:hyperlink>
          </w:p>
        </w:tc>
        <w:tc>
          <w:tcPr>
            <w:tcW w:w="1337" w:type="pct"/>
            <w:tcBorders>
              <w:top w:val="single" w:sz="4" w:space="0" w:color="000000"/>
            </w:tcBorders>
            <w:shd w:val="clear" w:color="auto" w:fill="auto"/>
            <w:vAlign w:val="center"/>
            <w:hideMark/>
          </w:tcPr>
          <w:p w:rsidR="00706330" w:rsidRPr="00062EA7" w:rsidRDefault="00706330" w:rsidP="004D38FC">
            <w:pPr>
              <w:spacing w:after="0"/>
              <w:ind w:left="57"/>
              <w:rPr>
                <w:rFonts w:cstheme="minorHAnsi"/>
                <w:lang w:eastAsia="en-AU"/>
              </w:rPr>
            </w:pPr>
            <w:r w:rsidRPr="00062EA7">
              <w:rPr>
                <w:rFonts w:cstheme="minorHAnsi"/>
                <w:lang w:eastAsia="en-AU"/>
              </w:rPr>
              <w:t>688 Bourke Street, Melbourne</w:t>
            </w:r>
          </w:p>
        </w:tc>
        <w:tc>
          <w:tcPr>
            <w:tcW w:w="1167" w:type="pct"/>
            <w:tcBorders>
              <w:top w:val="single" w:sz="4" w:space="0" w:color="000000"/>
            </w:tcBorders>
            <w:shd w:val="clear" w:color="auto" w:fill="auto"/>
          </w:tcPr>
          <w:p w:rsidR="00706330" w:rsidRPr="00062EA7" w:rsidRDefault="00706330" w:rsidP="004D38FC">
            <w:pPr>
              <w:spacing w:after="0"/>
              <w:ind w:left="57"/>
              <w:jc w:val="center"/>
              <w:rPr>
                <w:rFonts w:eastAsia="Calibri" w:cstheme="minorHAnsi"/>
              </w:rPr>
            </w:pPr>
            <w:r w:rsidRPr="00062EA7">
              <w:rPr>
                <w:rFonts w:eastAsia="Calibri" w:cstheme="minorHAnsi"/>
              </w:rPr>
              <w:t>Capital City Zone 1</w:t>
            </w:r>
          </w:p>
        </w:tc>
        <w:tc>
          <w:tcPr>
            <w:tcW w:w="769" w:type="pct"/>
            <w:tcBorders>
              <w:top w:val="single" w:sz="4" w:space="0" w:color="000000"/>
            </w:tcBorders>
            <w:shd w:val="clear" w:color="auto" w:fill="auto"/>
            <w:vAlign w:val="center"/>
          </w:tcPr>
          <w:p w:rsidR="00706330" w:rsidRPr="0099464A" w:rsidRDefault="00706330" w:rsidP="004D38FC">
            <w:pPr>
              <w:spacing w:after="0"/>
              <w:ind w:left="57"/>
              <w:jc w:val="center"/>
              <w:rPr>
                <w:rFonts w:cstheme="minorHAnsi"/>
                <w:lang w:eastAsia="en-AU"/>
              </w:rPr>
            </w:pPr>
            <w:r w:rsidRPr="00062EA7">
              <w:rPr>
                <w:rFonts w:eastAsia="Calibri" w:cstheme="minorHAnsi"/>
              </w:rPr>
              <w:t>Hotel</w:t>
            </w:r>
          </w:p>
        </w:tc>
      </w:tr>
      <w:tr w:rsidR="00706330" w:rsidRPr="0099464A" w:rsidTr="008F688E">
        <w:tc>
          <w:tcPr>
            <w:tcW w:w="568" w:type="pct"/>
            <w:tcBorders>
              <w:top w:val="single" w:sz="4" w:space="0" w:color="000000"/>
              <w:bottom w:val="single" w:sz="4" w:space="0" w:color="000000"/>
              <w:right w:val="nil"/>
            </w:tcBorders>
            <w:shd w:val="clear" w:color="auto" w:fill="FFFFFF"/>
            <w:vAlign w:val="center"/>
            <w:hideMark/>
          </w:tcPr>
          <w:p w:rsidR="00706330" w:rsidRPr="0099464A" w:rsidRDefault="00706330" w:rsidP="004D38FC">
            <w:pPr>
              <w:spacing w:after="0"/>
              <w:ind w:left="57"/>
              <w:jc w:val="center"/>
              <w:rPr>
                <w:rFonts w:cstheme="minorHAnsi"/>
                <w:b/>
                <w:bCs/>
                <w:lang w:eastAsia="en-AU"/>
              </w:rPr>
            </w:pPr>
            <w:r w:rsidRPr="0099464A">
              <w:rPr>
                <w:rFonts w:cstheme="minorHAnsi"/>
                <w:bCs/>
                <w:lang w:eastAsia="en-AU"/>
              </w:rPr>
              <w:t>8</w:t>
            </w:r>
          </w:p>
        </w:tc>
        <w:tc>
          <w:tcPr>
            <w:tcW w:w="1160" w:type="pct"/>
            <w:tcBorders>
              <w:top w:val="single" w:sz="4" w:space="0" w:color="000000"/>
              <w:bottom w:val="single" w:sz="4" w:space="0" w:color="000000"/>
            </w:tcBorders>
            <w:shd w:val="clear" w:color="auto" w:fill="auto"/>
            <w:vAlign w:val="center"/>
            <w:hideMark/>
          </w:tcPr>
          <w:p w:rsidR="00706330" w:rsidRPr="0099464A" w:rsidRDefault="00802F28" w:rsidP="004D38FC">
            <w:pPr>
              <w:spacing w:after="0"/>
              <w:ind w:left="57"/>
              <w:rPr>
                <w:rFonts w:cstheme="minorHAnsi"/>
                <w:lang w:eastAsia="en-AU"/>
              </w:rPr>
            </w:pPr>
            <w:hyperlink r:id="rId59" w:history="1">
              <w:r w:rsidR="00706330" w:rsidRPr="0099464A">
                <w:rPr>
                  <w:rFonts w:cstheme="minorHAnsi"/>
                  <w:lang w:eastAsia="en-AU"/>
                </w:rPr>
                <w:t>Mercure Grand Hotel On Swanston</w:t>
              </w:r>
            </w:hyperlink>
          </w:p>
        </w:tc>
        <w:tc>
          <w:tcPr>
            <w:tcW w:w="1337" w:type="pct"/>
            <w:tcBorders>
              <w:top w:val="single" w:sz="4" w:space="0" w:color="000000"/>
            </w:tcBorders>
            <w:shd w:val="clear" w:color="auto" w:fill="auto"/>
            <w:vAlign w:val="center"/>
            <w:hideMark/>
          </w:tcPr>
          <w:p w:rsidR="00706330" w:rsidRPr="0099464A" w:rsidRDefault="00706330" w:rsidP="004D38FC">
            <w:pPr>
              <w:spacing w:after="0"/>
              <w:ind w:left="57"/>
              <w:rPr>
                <w:rFonts w:cstheme="minorHAnsi"/>
                <w:lang w:eastAsia="en-AU"/>
              </w:rPr>
            </w:pPr>
            <w:r w:rsidRPr="0099464A">
              <w:rPr>
                <w:rFonts w:cstheme="minorHAnsi"/>
                <w:lang w:eastAsia="en-AU"/>
              </w:rPr>
              <w:t xml:space="preserve">195 Swanston Street, Melbourne </w:t>
            </w:r>
          </w:p>
        </w:tc>
        <w:tc>
          <w:tcPr>
            <w:tcW w:w="1167" w:type="pct"/>
            <w:tcBorders>
              <w:top w:val="single" w:sz="4" w:space="0" w:color="000000"/>
            </w:tcBorders>
          </w:tcPr>
          <w:p w:rsidR="00706330" w:rsidRPr="0099464A" w:rsidRDefault="00706330" w:rsidP="004D38FC">
            <w:pPr>
              <w:spacing w:after="0"/>
              <w:ind w:left="57"/>
              <w:jc w:val="center"/>
              <w:rPr>
                <w:rFonts w:eastAsia="Calibri" w:cstheme="minorHAnsi"/>
              </w:rPr>
            </w:pPr>
            <w:r w:rsidRPr="0099464A">
              <w:rPr>
                <w:rFonts w:eastAsia="Calibri" w:cstheme="minorHAnsi"/>
              </w:rPr>
              <w:t>Capital City Zone 2</w:t>
            </w:r>
          </w:p>
        </w:tc>
        <w:tc>
          <w:tcPr>
            <w:tcW w:w="769" w:type="pct"/>
            <w:tcBorders>
              <w:top w:val="single" w:sz="4" w:space="0" w:color="000000"/>
            </w:tcBorders>
            <w:vAlign w:val="center"/>
          </w:tcPr>
          <w:p w:rsidR="00706330" w:rsidRPr="0099464A" w:rsidRDefault="00706330" w:rsidP="004D38FC">
            <w:pPr>
              <w:spacing w:after="0"/>
              <w:ind w:left="57"/>
              <w:jc w:val="center"/>
              <w:rPr>
                <w:rFonts w:cstheme="minorHAnsi"/>
                <w:lang w:eastAsia="en-AU"/>
              </w:rPr>
            </w:pPr>
            <w:r w:rsidRPr="0099464A">
              <w:rPr>
                <w:rFonts w:eastAsia="Calibri" w:cstheme="minorHAnsi"/>
              </w:rPr>
              <w:t>Hotel</w:t>
            </w:r>
          </w:p>
        </w:tc>
      </w:tr>
      <w:tr w:rsidR="00706330" w:rsidRPr="0099464A" w:rsidTr="008F688E">
        <w:tc>
          <w:tcPr>
            <w:tcW w:w="568" w:type="pct"/>
            <w:tcBorders>
              <w:top w:val="single" w:sz="4" w:space="0" w:color="000000"/>
              <w:bottom w:val="single" w:sz="4" w:space="0" w:color="000000"/>
              <w:right w:val="nil"/>
            </w:tcBorders>
            <w:shd w:val="clear" w:color="auto" w:fill="FFFFFF"/>
            <w:vAlign w:val="center"/>
            <w:hideMark/>
          </w:tcPr>
          <w:p w:rsidR="00706330" w:rsidRPr="0099464A" w:rsidRDefault="00706330" w:rsidP="004D38FC">
            <w:pPr>
              <w:spacing w:after="0"/>
              <w:ind w:left="57"/>
              <w:jc w:val="center"/>
              <w:rPr>
                <w:rFonts w:cstheme="minorHAnsi"/>
                <w:bCs/>
                <w:lang w:eastAsia="en-AU"/>
              </w:rPr>
            </w:pPr>
            <w:r w:rsidRPr="0099464A">
              <w:rPr>
                <w:rFonts w:cstheme="minorHAnsi"/>
                <w:bCs/>
                <w:lang w:eastAsia="en-AU"/>
              </w:rPr>
              <w:t>10</w:t>
            </w:r>
          </w:p>
        </w:tc>
        <w:tc>
          <w:tcPr>
            <w:tcW w:w="1160" w:type="pct"/>
            <w:tcBorders>
              <w:top w:val="single" w:sz="4" w:space="0" w:color="000000"/>
              <w:bottom w:val="single" w:sz="4" w:space="0" w:color="000000"/>
            </w:tcBorders>
            <w:shd w:val="clear" w:color="auto" w:fill="auto"/>
            <w:vAlign w:val="center"/>
            <w:hideMark/>
          </w:tcPr>
          <w:p w:rsidR="00706330" w:rsidRPr="0099464A" w:rsidRDefault="00802F28" w:rsidP="004D38FC">
            <w:pPr>
              <w:spacing w:after="0"/>
              <w:ind w:left="57"/>
              <w:rPr>
                <w:rFonts w:cstheme="minorHAnsi"/>
                <w:lang w:eastAsia="en-AU"/>
              </w:rPr>
            </w:pPr>
            <w:hyperlink r:id="rId60" w:history="1">
              <w:r w:rsidR="00706330" w:rsidRPr="0099464A">
                <w:rPr>
                  <w:rFonts w:cstheme="minorHAnsi"/>
                  <w:lang w:eastAsia="en-AU"/>
                </w:rPr>
                <w:t>Players On Lygon</w:t>
              </w:r>
            </w:hyperlink>
          </w:p>
        </w:tc>
        <w:tc>
          <w:tcPr>
            <w:tcW w:w="1337" w:type="pct"/>
            <w:tcBorders>
              <w:top w:val="single" w:sz="4" w:space="0" w:color="000000"/>
            </w:tcBorders>
            <w:shd w:val="clear" w:color="auto" w:fill="auto"/>
            <w:vAlign w:val="center"/>
            <w:hideMark/>
          </w:tcPr>
          <w:p w:rsidR="00706330" w:rsidRPr="0099464A" w:rsidRDefault="00706330" w:rsidP="004D38FC">
            <w:pPr>
              <w:spacing w:after="0"/>
              <w:ind w:left="57"/>
              <w:rPr>
                <w:rFonts w:cstheme="minorHAnsi"/>
                <w:lang w:eastAsia="en-AU"/>
              </w:rPr>
            </w:pPr>
            <w:r w:rsidRPr="0099464A">
              <w:rPr>
                <w:rFonts w:cstheme="minorHAnsi"/>
                <w:lang w:eastAsia="en-AU"/>
              </w:rPr>
              <w:t xml:space="preserve">186-200 Lygon Street, Carlton </w:t>
            </w:r>
          </w:p>
        </w:tc>
        <w:tc>
          <w:tcPr>
            <w:tcW w:w="1167" w:type="pct"/>
            <w:tcBorders>
              <w:top w:val="single" w:sz="4" w:space="0" w:color="000000"/>
            </w:tcBorders>
          </w:tcPr>
          <w:p w:rsidR="00706330" w:rsidRPr="0099464A" w:rsidRDefault="00706330" w:rsidP="004D38FC">
            <w:pPr>
              <w:spacing w:after="0"/>
              <w:ind w:left="57"/>
              <w:jc w:val="center"/>
              <w:rPr>
                <w:rFonts w:eastAsia="Calibri" w:cstheme="minorHAnsi"/>
              </w:rPr>
            </w:pPr>
            <w:r>
              <w:rPr>
                <w:rFonts w:eastAsia="Calibri" w:cstheme="minorHAnsi"/>
              </w:rPr>
              <w:t>Commercial</w:t>
            </w:r>
            <w:r w:rsidRPr="0099464A">
              <w:rPr>
                <w:rFonts w:eastAsia="Calibri" w:cstheme="minorHAnsi"/>
              </w:rPr>
              <w:t xml:space="preserve"> Zone 1</w:t>
            </w:r>
          </w:p>
        </w:tc>
        <w:tc>
          <w:tcPr>
            <w:tcW w:w="769" w:type="pct"/>
            <w:tcBorders>
              <w:top w:val="single" w:sz="4" w:space="0" w:color="000000"/>
            </w:tcBorders>
            <w:vAlign w:val="center"/>
          </w:tcPr>
          <w:p w:rsidR="00706330" w:rsidRPr="0099464A" w:rsidRDefault="00706330" w:rsidP="004D38FC">
            <w:pPr>
              <w:spacing w:after="0"/>
              <w:ind w:left="57"/>
              <w:jc w:val="center"/>
              <w:rPr>
                <w:rFonts w:cstheme="minorHAnsi"/>
                <w:lang w:eastAsia="en-AU"/>
              </w:rPr>
            </w:pPr>
            <w:r w:rsidRPr="0099464A">
              <w:rPr>
                <w:rFonts w:eastAsia="Calibri" w:cstheme="minorHAnsi"/>
              </w:rPr>
              <w:t>Hotel</w:t>
            </w:r>
          </w:p>
        </w:tc>
      </w:tr>
      <w:tr w:rsidR="00706330" w:rsidRPr="0099464A" w:rsidTr="008F688E">
        <w:tc>
          <w:tcPr>
            <w:tcW w:w="568" w:type="pct"/>
            <w:tcBorders>
              <w:top w:val="single" w:sz="4" w:space="0" w:color="000000"/>
              <w:bottom w:val="single" w:sz="4" w:space="0" w:color="000000"/>
              <w:right w:val="nil"/>
            </w:tcBorders>
            <w:shd w:val="clear" w:color="auto" w:fill="FFFFFF"/>
            <w:vAlign w:val="center"/>
            <w:hideMark/>
          </w:tcPr>
          <w:p w:rsidR="00706330" w:rsidRPr="0099464A" w:rsidRDefault="00706330" w:rsidP="004D38FC">
            <w:pPr>
              <w:spacing w:after="0"/>
              <w:ind w:left="57"/>
              <w:jc w:val="center"/>
              <w:rPr>
                <w:rFonts w:cstheme="minorHAnsi"/>
                <w:bCs/>
                <w:lang w:eastAsia="en-AU"/>
              </w:rPr>
            </w:pPr>
            <w:r w:rsidRPr="0099464A">
              <w:rPr>
                <w:rFonts w:cstheme="minorHAnsi"/>
                <w:bCs/>
                <w:lang w:eastAsia="en-AU"/>
              </w:rPr>
              <w:t>11</w:t>
            </w:r>
          </w:p>
        </w:tc>
        <w:tc>
          <w:tcPr>
            <w:tcW w:w="1160" w:type="pct"/>
            <w:tcBorders>
              <w:top w:val="single" w:sz="4" w:space="0" w:color="000000"/>
              <w:bottom w:val="single" w:sz="4" w:space="0" w:color="000000"/>
            </w:tcBorders>
            <w:shd w:val="clear" w:color="auto" w:fill="auto"/>
            <w:vAlign w:val="center"/>
            <w:hideMark/>
          </w:tcPr>
          <w:p w:rsidR="00706330" w:rsidRPr="0099464A" w:rsidRDefault="00802F28" w:rsidP="004D38FC">
            <w:pPr>
              <w:spacing w:after="0"/>
              <w:ind w:left="57"/>
              <w:rPr>
                <w:rFonts w:cstheme="minorHAnsi"/>
                <w:lang w:eastAsia="en-AU"/>
              </w:rPr>
            </w:pPr>
            <w:hyperlink r:id="rId61" w:history="1">
              <w:r w:rsidR="00706330" w:rsidRPr="0099464A">
                <w:rPr>
                  <w:rFonts w:cstheme="minorHAnsi"/>
                  <w:lang w:eastAsia="en-AU"/>
                </w:rPr>
                <w:t>Shanghai Club</w:t>
              </w:r>
            </w:hyperlink>
          </w:p>
        </w:tc>
        <w:tc>
          <w:tcPr>
            <w:tcW w:w="1337" w:type="pct"/>
            <w:tcBorders>
              <w:top w:val="single" w:sz="4" w:space="0" w:color="000000"/>
            </w:tcBorders>
            <w:shd w:val="clear" w:color="auto" w:fill="auto"/>
            <w:vAlign w:val="center"/>
            <w:hideMark/>
          </w:tcPr>
          <w:p w:rsidR="00706330" w:rsidRPr="0099464A" w:rsidRDefault="00706330" w:rsidP="004D38FC">
            <w:pPr>
              <w:spacing w:after="0"/>
              <w:ind w:left="57"/>
              <w:rPr>
                <w:rFonts w:cstheme="minorHAnsi"/>
                <w:lang w:eastAsia="en-AU"/>
              </w:rPr>
            </w:pPr>
            <w:r w:rsidRPr="0099464A">
              <w:rPr>
                <w:rFonts w:cstheme="minorHAnsi"/>
                <w:lang w:eastAsia="en-AU"/>
              </w:rPr>
              <w:t xml:space="preserve">242-244 Little Bourke Street, Melbourne </w:t>
            </w:r>
          </w:p>
        </w:tc>
        <w:tc>
          <w:tcPr>
            <w:tcW w:w="1167" w:type="pct"/>
            <w:tcBorders>
              <w:top w:val="single" w:sz="4" w:space="0" w:color="000000"/>
            </w:tcBorders>
          </w:tcPr>
          <w:p w:rsidR="00706330" w:rsidRPr="0099464A" w:rsidRDefault="00706330" w:rsidP="004D38FC">
            <w:pPr>
              <w:spacing w:after="0"/>
              <w:ind w:left="57"/>
              <w:jc w:val="center"/>
              <w:rPr>
                <w:rFonts w:eastAsia="Calibri" w:cstheme="minorHAnsi"/>
              </w:rPr>
            </w:pPr>
            <w:r w:rsidRPr="0099464A">
              <w:rPr>
                <w:rFonts w:eastAsia="Calibri" w:cstheme="minorHAnsi"/>
              </w:rPr>
              <w:t>Capital City Zone 2</w:t>
            </w:r>
          </w:p>
        </w:tc>
        <w:tc>
          <w:tcPr>
            <w:tcW w:w="769" w:type="pct"/>
            <w:tcBorders>
              <w:top w:val="single" w:sz="4" w:space="0" w:color="000000"/>
            </w:tcBorders>
            <w:vAlign w:val="center"/>
          </w:tcPr>
          <w:p w:rsidR="00706330" w:rsidRPr="0099464A" w:rsidRDefault="00706330" w:rsidP="004D38FC">
            <w:pPr>
              <w:spacing w:after="0"/>
              <w:ind w:left="57"/>
              <w:jc w:val="center"/>
              <w:rPr>
                <w:rFonts w:cstheme="minorHAnsi"/>
                <w:lang w:eastAsia="en-AU"/>
              </w:rPr>
            </w:pPr>
            <w:r w:rsidRPr="0099464A">
              <w:rPr>
                <w:rFonts w:eastAsia="Calibri" w:cstheme="minorHAnsi"/>
              </w:rPr>
              <w:t>Hotel</w:t>
            </w:r>
          </w:p>
        </w:tc>
      </w:tr>
      <w:tr w:rsidR="00706330" w:rsidRPr="0099464A" w:rsidTr="008F688E">
        <w:tc>
          <w:tcPr>
            <w:tcW w:w="568" w:type="pct"/>
            <w:tcBorders>
              <w:top w:val="single" w:sz="4" w:space="0" w:color="000000"/>
              <w:bottom w:val="single" w:sz="4" w:space="0" w:color="000000"/>
              <w:right w:val="nil"/>
            </w:tcBorders>
            <w:shd w:val="clear" w:color="auto" w:fill="FFFFFF"/>
            <w:vAlign w:val="center"/>
            <w:hideMark/>
          </w:tcPr>
          <w:p w:rsidR="00706330" w:rsidRPr="0099464A" w:rsidRDefault="00706330" w:rsidP="004D38FC">
            <w:pPr>
              <w:spacing w:after="0"/>
              <w:ind w:left="57"/>
              <w:jc w:val="center"/>
              <w:rPr>
                <w:rFonts w:cstheme="minorHAnsi"/>
                <w:bCs/>
                <w:lang w:eastAsia="en-AU"/>
              </w:rPr>
            </w:pPr>
            <w:r w:rsidRPr="0099464A">
              <w:rPr>
                <w:rFonts w:cstheme="minorHAnsi"/>
                <w:bCs/>
                <w:lang w:eastAsia="en-AU"/>
              </w:rPr>
              <w:t>12</w:t>
            </w:r>
          </w:p>
        </w:tc>
        <w:tc>
          <w:tcPr>
            <w:tcW w:w="1160" w:type="pct"/>
            <w:tcBorders>
              <w:top w:val="single" w:sz="4" w:space="0" w:color="000000"/>
              <w:bottom w:val="single" w:sz="4" w:space="0" w:color="000000"/>
            </w:tcBorders>
            <w:shd w:val="clear" w:color="auto" w:fill="auto"/>
            <w:vAlign w:val="center"/>
            <w:hideMark/>
          </w:tcPr>
          <w:p w:rsidR="00706330" w:rsidRPr="0099464A" w:rsidRDefault="00802F28" w:rsidP="004D38FC">
            <w:pPr>
              <w:spacing w:after="0"/>
              <w:ind w:left="57"/>
              <w:rPr>
                <w:rFonts w:cstheme="minorHAnsi"/>
                <w:lang w:eastAsia="en-AU"/>
              </w:rPr>
            </w:pPr>
            <w:hyperlink r:id="rId62" w:history="1">
              <w:r w:rsidR="00706330" w:rsidRPr="0099464A">
                <w:rPr>
                  <w:rFonts w:cstheme="minorHAnsi"/>
                  <w:lang w:eastAsia="en-AU"/>
                </w:rPr>
                <w:t>The Meeting Place</w:t>
              </w:r>
            </w:hyperlink>
          </w:p>
        </w:tc>
        <w:tc>
          <w:tcPr>
            <w:tcW w:w="1337" w:type="pct"/>
            <w:tcBorders>
              <w:top w:val="single" w:sz="4" w:space="0" w:color="000000"/>
            </w:tcBorders>
            <w:shd w:val="clear" w:color="auto" w:fill="auto"/>
            <w:vAlign w:val="center"/>
            <w:hideMark/>
          </w:tcPr>
          <w:p w:rsidR="00706330" w:rsidRPr="0099464A" w:rsidRDefault="00706330" w:rsidP="004D38FC">
            <w:pPr>
              <w:spacing w:after="0"/>
              <w:ind w:left="57"/>
              <w:rPr>
                <w:rFonts w:cstheme="minorHAnsi"/>
                <w:lang w:eastAsia="en-AU"/>
              </w:rPr>
            </w:pPr>
            <w:r w:rsidRPr="0099464A">
              <w:rPr>
                <w:rFonts w:cstheme="minorHAnsi"/>
                <w:lang w:eastAsia="en-AU"/>
              </w:rPr>
              <w:t xml:space="preserve">315-321 Elizabeth Street, Melbourne </w:t>
            </w:r>
          </w:p>
        </w:tc>
        <w:tc>
          <w:tcPr>
            <w:tcW w:w="1167" w:type="pct"/>
            <w:tcBorders>
              <w:top w:val="single" w:sz="4" w:space="0" w:color="000000"/>
            </w:tcBorders>
          </w:tcPr>
          <w:p w:rsidR="00706330" w:rsidRPr="0099464A" w:rsidRDefault="00706330" w:rsidP="004D38FC">
            <w:pPr>
              <w:spacing w:after="0"/>
              <w:ind w:left="57"/>
              <w:jc w:val="center"/>
              <w:rPr>
                <w:rFonts w:eastAsia="Calibri" w:cstheme="minorHAnsi"/>
              </w:rPr>
            </w:pPr>
            <w:r w:rsidRPr="0099464A">
              <w:rPr>
                <w:rFonts w:eastAsia="Calibri" w:cstheme="minorHAnsi"/>
              </w:rPr>
              <w:t>Capital City Zone 1</w:t>
            </w:r>
          </w:p>
        </w:tc>
        <w:tc>
          <w:tcPr>
            <w:tcW w:w="769" w:type="pct"/>
            <w:tcBorders>
              <w:top w:val="single" w:sz="4" w:space="0" w:color="000000"/>
            </w:tcBorders>
            <w:vAlign w:val="center"/>
          </w:tcPr>
          <w:p w:rsidR="00706330" w:rsidRPr="0099464A" w:rsidRDefault="00706330" w:rsidP="004D38FC">
            <w:pPr>
              <w:spacing w:after="0"/>
              <w:ind w:left="57"/>
              <w:jc w:val="center"/>
              <w:rPr>
                <w:rFonts w:cstheme="minorHAnsi"/>
                <w:lang w:eastAsia="en-AU"/>
              </w:rPr>
            </w:pPr>
            <w:r w:rsidRPr="0099464A">
              <w:rPr>
                <w:rFonts w:eastAsia="Calibri" w:cstheme="minorHAnsi"/>
              </w:rPr>
              <w:t>Club</w:t>
            </w:r>
          </w:p>
        </w:tc>
      </w:tr>
    </w:tbl>
    <w:p w:rsidR="00706330" w:rsidRDefault="00E15F34" w:rsidP="00706330">
      <w:r>
        <w:t xml:space="preserve">Source: VCGLR and planning.vic.gov.au </w:t>
      </w:r>
    </w:p>
    <w:p w:rsidR="00706330" w:rsidRDefault="00706330" w:rsidP="00706330">
      <w:r>
        <w:t>Gaming Premises are a Section 2 (permit required) form of Retail Premises</w:t>
      </w:r>
      <w:r>
        <w:rPr>
          <w:sz w:val="16"/>
          <w:szCs w:val="16"/>
        </w:rPr>
        <w:t xml:space="preserve"> </w:t>
      </w:r>
      <w:r>
        <w:t xml:space="preserve">use in the </w:t>
      </w:r>
      <w:r w:rsidR="00382DC5">
        <w:t xml:space="preserve">Capital City Zone, </w:t>
      </w:r>
      <w:r>
        <w:t>Commercial 1, Commercial 2, Industrial 1, and Mixed Use Zones. In the residential zones gaming premises are a prohibited use, however a hotel, which may include gaming, and Place of Assembly (club) are permit required uses.</w:t>
      </w:r>
    </w:p>
    <w:p w:rsidR="00706330" w:rsidRPr="00974F48" w:rsidRDefault="00706330" w:rsidP="00706330">
      <w:pPr>
        <w:pStyle w:val="Heading3"/>
      </w:pPr>
      <w:bookmarkStart w:id="63" w:name="_Hlk485516196"/>
      <w:r w:rsidRPr="00974F48">
        <w:t>Particular Provisions – Clause 52.28</w:t>
      </w:r>
      <w:r>
        <w:t xml:space="preserve"> </w:t>
      </w:r>
    </w:p>
    <w:p w:rsidR="00E15F34" w:rsidRPr="00A0090B" w:rsidRDefault="00E15F34" w:rsidP="00E15F34">
      <w:pPr>
        <w:rPr>
          <w:rFonts w:cs="Arial"/>
        </w:rPr>
      </w:pPr>
      <w:bookmarkStart w:id="64" w:name="_Hlk484171057"/>
      <w:bookmarkEnd w:id="63"/>
      <w:r w:rsidRPr="00A0090B">
        <w:rPr>
          <w:rFonts w:cs="Arial"/>
        </w:rPr>
        <w:t>All planning schemes in Victoria contain a standard gaming provision (Clause 52.28), which was introduced by VC39 in 2006. This Clause provides the framework within which the local planning policy framework (MSS and local planning policies) are formulated and implemented across Victorian municipalities.</w:t>
      </w:r>
    </w:p>
    <w:p w:rsidR="00E15F34" w:rsidRPr="00A0090B" w:rsidRDefault="00E15F34" w:rsidP="00E15F34">
      <w:pPr>
        <w:rPr>
          <w:rFonts w:cs="Arial"/>
        </w:rPr>
      </w:pPr>
      <w:r w:rsidRPr="00A0090B">
        <w:rPr>
          <w:rFonts w:cs="Arial"/>
        </w:rPr>
        <w:t>The purposes of this Clause are:</w:t>
      </w:r>
    </w:p>
    <w:p w:rsidR="00E15F34" w:rsidRPr="00910E4C" w:rsidRDefault="00E15F34" w:rsidP="007D1909">
      <w:pPr>
        <w:pStyle w:val="ListParagraph"/>
        <w:numPr>
          <w:ilvl w:val="0"/>
          <w:numId w:val="55"/>
        </w:numPr>
        <w:spacing w:after="120"/>
        <w:ind w:left="714" w:hanging="357"/>
        <w:contextualSpacing w:val="0"/>
      </w:pPr>
      <w:r w:rsidRPr="00910E4C">
        <w:t>To ensure that gaming machines are situated in appropriate locations and premises.</w:t>
      </w:r>
    </w:p>
    <w:p w:rsidR="00E15F34" w:rsidRPr="00910E4C" w:rsidRDefault="00E15F34" w:rsidP="007D1909">
      <w:pPr>
        <w:pStyle w:val="ListParagraph"/>
        <w:numPr>
          <w:ilvl w:val="0"/>
          <w:numId w:val="55"/>
        </w:numPr>
        <w:spacing w:after="120"/>
        <w:ind w:left="714" w:hanging="357"/>
        <w:contextualSpacing w:val="0"/>
      </w:pPr>
      <w:r w:rsidRPr="00910E4C">
        <w:t>To ensure the social and economic impacts of the location of gaming machines are considered.</w:t>
      </w:r>
    </w:p>
    <w:p w:rsidR="00E15F34" w:rsidRPr="00910E4C" w:rsidRDefault="00E15F34" w:rsidP="007D1909">
      <w:pPr>
        <w:pStyle w:val="ListParagraph"/>
        <w:numPr>
          <w:ilvl w:val="0"/>
          <w:numId w:val="55"/>
        </w:numPr>
        <w:spacing w:after="120"/>
        <w:ind w:left="714" w:hanging="357"/>
        <w:contextualSpacing w:val="0"/>
      </w:pPr>
      <w:r w:rsidRPr="00910E4C">
        <w:t>To prohibit gaming machines in specified shopping complexes and strip shopping centres.</w:t>
      </w:r>
    </w:p>
    <w:p w:rsidR="00E15F34" w:rsidRPr="00632855" w:rsidRDefault="00E15F34" w:rsidP="00E15F34">
      <w:pPr>
        <w:rPr>
          <w:rFonts w:asciiTheme="minorHAnsi" w:hAnsiTheme="minorHAnsi" w:cstheme="minorHAnsi"/>
        </w:rPr>
      </w:pPr>
      <w:r w:rsidRPr="00632855">
        <w:rPr>
          <w:rFonts w:asciiTheme="minorHAnsi" w:hAnsiTheme="minorHAnsi" w:cstheme="minorHAnsi"/>
        </w:rPr>
        <w:t xml:space="preserve">This Clause introduced a prohibition on EGMs in strip shopping centres and shopping complexes. The rationale for prohibiting EGMs in shopping complexes and strip shopping centres is that their convenience in relation to areas where people undertake their day to day activities may result in impulse gaming which, in turn, is a key determinant of gambling-related harm. </w:t>
      </w:r>
    </w:p>
    <w:p w:rsidR="00E15F34" w:rsidRPr="00632855" w:rsidRDefault="00E15F34" w:rsidP="00E15F34">
      <w:pPr>
        <w:rPr>
          <w:rFonts w:asciiTheme="minorHAnsi" w:eastAsiaTheme="minorHAnsi" w:hAnsiTheme="minorHAnsi" w:cstheme="minorHAnsi"/>
          <w:szCs w:val="20"/>
        </w:rPr>
      </w:pPr>
      <w:r w:rsidRPr="00632855">
        <w:rPr>
          <w:rFonts w:asciiTheme="minorHAnsi" w:hAnsiTheme="minorHAnsi" w:cstheme="minorHAnsi"/>
        </w:rPr>
        <w:t>Clause 52.28-4 states that strip shopping centres must meet all of the following criteria:</w:t>
      </w:r>
    </w:p>
    <w:p w:rsidR="00E15F34" w:rsidRPr="00632855" w:rsidRDefault="00AA4757" w:rsidP="007D1909">
      <w:pPr>
        <w:pStyle w:val="ListParagraph"/>
        <w:numPr>
          <w:ilvl w:val="0"/>
          <w:numId w:val="56"/>
        </w:numPr>
        <w:spacing w:after="120"/>
        <w:ind w:left="714" w:hanging="357"/>
        <w:contextualSpacing w:val="0"/>
        <w:rPr>
          <w:rFonts w:asciiTheme="minorHAnsi" w:eastAsiaTheme="minorHAnsi" w:hAnsiTheme="minorHAnsi" w:cstheme="minorHAnsi"/>
          <w:szCs w:val="20"/>
        </w:rPr>
      </w:pPr>
      <w:r>
        <w:rPr>
          <w:rFonts w:asciiTheme="minorHAnsi" w:eastAsiaTheme="minorHAnsi" w:hAnsiTheme="minorHAnsi" w:cstheme="minorHAnsi"/>
          <w:szCs w:val="20"/>
        </w:rPr>
        <w:t>it is zoned for commercial use</w:t>
      </w:r>
    </w:p>
    <w:p w:rsidR="00E15F34" w:rsidRPr="00632855" w:rsidRDefault="00E15F34" w:rsidP="007D1909">
      <w:pPr>
        <w:pStyle w:val="ListParagraph"/>
        <w:numPr>
          <w:ilvl w:val="0"/>
          <w:numId w:val="56"/>
        </w:numPr>
        <w:spacing w:after="120"/>
        <w:ind w:left="714" w:hanging="357"/>
        <w:contextualSpacing w:val="0"/>
        <w:rPr>
          <w:rFonts w:asciiTheme="minorHAnsi" w:eastAsiaTheme="minorHAnsi" w:hAnsiTheme="minorHAnsi" w:cstheme="minorHAnsi"/>
          <w:szCs w:val="20"/>
        </w:rPr>
      </w:pPr>
      <w:r w:rsidRPr="00632855">
        <w:rPr>
          <w:rFonts w:asciiTheme="minorHAnsi" w:eastAsiaTheme="minorHAnsi" w:hAnsiTheme="minorHAnsi" w:cstheme="minorHAnsi"/>
          <w:szCs w:val="20"/>
        </w:rPr>
        <w:t xml:space="preserve">it consists of at least two separate buildings on at least </w:t>
      </w:r>
      <w:r w:rsidR="00AA4757">
        <w:rPr>
          <w:rFonts w:asciiTheme="minorHAnsi" w:eastAsiaTheme="minorHAnsi" w:hAnsiTheme="minorHAnsi" w:cstheme="minorHAnsi"/>
          <w:szCs w:val="20"/>
        </w:rPr>
        <w:t>two separate and adjoining lots</w:t>
      </w:r>
    </w:p>
    <w:p w:rsidR="00E15F34" w:rsidRPr="00632855" w:rsidRDefault="00E15F34" w:rsidP="007D1909">
      <w:pPr>
        <w:pStyle w:val="ListParagraph"/>
        <w:numPr>
          <w:ilvl w:val="0"/>
          <w:numId w:val="56"/>
        </w:numPr>
        <w:spacing w:after="120"/>
        <w:ind w:left="714" w:hanging="357"/>
        <w:contextualSpacing w:val="0"/>
        <w:rPr>
          <w:rFonts w:asciiTheme="minorHAnsi" w:eastAsiaTheme="minorHAnsi" w:hAnsiTheme="minorHAnsi" w:cstheme="minorHAnsi"/>
          <w:szCs w:val="20"/>
        </w:rPr>
      </w:pPr>
      <w:r w:rsidRPr="00632855">
        <w:rPr>
          <w:rFonts w:asciiTheme="minorHAnsi" w:eastAsiaTheme="minorHAnsi" w:hAnsiTheme="minorHAnsi" w:cstheme="minorHAnsi"/>
          <w:szCs w:val="20"/>
        </w:rPr>
        <w:t>it is an area in which a significant propor</w:t>
      </w:r>
      <w:r w:rsidR="00AA4757">
        <w:rPr>
          <w:rFonts w:asciiTheme="minorHAnsi" w:eastAsiaTheme="minorHAnsi" w:hAnsiTheme="minorHAnsi" w:cstheme="minorHAnsi"/>
          <w:szCs w:val="20"/>
        </w:rPr>
        <w:t>tion of the buildings are shops</w:t>
      </w:r>
    </w:p>
    <w:p w:rsidR="00E15F34" w:rsidRPr="00632855" w:rsidRDefault="00E15F34" w:rsidP="007D1909">
      <w:pPr>
        <w:pStyle w:val="ListParagraph"/>
        <w:numPr>
          <w:ilvl w:val="0"/>
          <w:numId w:val="56"/>
        </w:numPr>
        <w:spacing w:after="120"/>
        <w:ind w:left="714" w:hanging="357"/>
        <w:contextualSpacing w:val="0"/>
        <w:rPr>
          <w:rFonts w:asciiTheme="minorHAnsi" w:eastAsiaTheme="minorHAnsi" w:hAnsiTheme="minorHAnsi" w:cstheme="minorHAnsi"/>
          <w:szCs w:val="20"/>
        </w:rPr>
      </w:pPr>
      <w:r w:rsidRPr="00632855">
        <w:rPr>
          <w:rFonts w:asciiTheme="minorHAnsi" w:eastAsiaTheme="minorHAnsi" w:hAnsiTheme="minorHAnsi" w:cstheme="minorHAnsi"/>
          <w:szCs w:val="20"/>
        </w:rPr>
        <w:t>it is an area in which a significant proportion of the lots abut a road acc</w:t>
      </w:r>
      <w:r w:rsidR="00AA4757">
        <w:rPr>
          <w:rFonts w:asciiTheme="minorHAnsi" w:eastAsiaTheme="minorHAnsi" w:hAnsiTheme="minorHAnsi" w:cstheme="minorHAnsi"/>
          <w:szCs w:val="20"/>
        </w:rPr>
        <w:t>essible to the public generally.</w:t>
      </w:r>
    </w:p>
    <w:p w:rsidR="00E15F34" w:rsidRPr="00632855" w:rsidRDefault="00E15F34" w:rsidP="00E15F34">
      <w:pPr>
        <w:rPr>
          <w:rFonts w:asciiTheme="minorHAnsi" w:hAnsiTheme="minorHAnsi" w:cstheme="minorHAnsi"/>
        </w:rPr>
      </w:pPr>
      <w:r w:rsidRPr="006A714D">
        <w:rPr>
          <w:rFonts w:asciiTheme="minorHAnsi" w:eastAsiaTheme="minorHAnsi" w:hAnsiTheme="minorHAnsi" w:cstheme="minorHAnsi"/>
          <w:szCs w:val="20"/>
        </w:rPr>
        <w:t>However, areas within the Capital City Zone in the Melbourne Planning Scheme are exempt from this Clause. This means that EGMs are not prohibited in areas that would be classified as strip shopping centres.</w:t>
      </w:r>
    </w:p>
    <w:p w:rsidR="00E15F34" w:rsidRPr="00632855" w:rsidRDefault="00E15F34" w:rsidP="00E15F34">
      <w:pPr>
        <w:rPr>
          <w:rFonts w:asciiTheme="minorHAnsi" w:hAnsiTheme="minorHAnsi" w:cstheme="minorHAnsi"/>
        </w:rPr>
      </w:pPr>
      <w:r w:rsidRPr="00632855">
        <w:rPr>
          <w:rFonts w:asciiTheme="minorHAnsi" w:hAnsiTheme="minorHAnsi" w:cstheme="minorHAnsi"/>
        </w:rPr>
        <w:t xml:space="preserve">Clause 52.28-5 </w:t>
      </w:r>
      <w:r w:rsidRPr="00632855">
        <w:rPr>
          <w:rFonts w:asciiTheme="minorHAnsi" w:hAnsiTheme="minorHAnsi" w:cstheme="minorHAnsi"/>
          <w:i/>
        </w:rPr>
        <w:t xml:space="preserve">Gaming </w:t>
      </w:r>
      <w:r w:rsidRPr="00632855">
        <w:rPr>
          <w:rFonts w:asciiTheme="minorHAnsi" w:hAnsiTheme="minorHAnsi" w:cstheme="minorHAnsi"/>
        </w:rPr>
        <w:t>outlines the following decision guidelines that provide the framework within which Councils assess planning permits:</w:t>
      </w:r>
    </w:p>
    <w:p w:rsidR="00E15F34" w:rsidRPr="00A0090B" w:rsidRDefault="00E15F34" w:rsidP="007D1909">
      <w:pPr>
        <w:pStyle w:val="ListParagraph"/>
        <w:numPr>
          <w:ilvl w:val="0"/>
          <w:numId w:val="54"/>
        </w:numPr>
        <w:spacing w:after="120"/>
        <w:contextualSpacing w:val="0"/>
        <w:rPr>
          <w:rFonts w:eastAsiaTheme="minorHAnsi"/>
        </w:rPr>
      </w:pPr>
      <w:r w:rsidRPr="00A0090B">
        <w:rPr>
          <w:rFonts w:eastAsiaTheme="minorHAnsi"/>
        </w:rPr>
        <w:t>The State Planning Policy Framework and the Local Planning Policy Framework, including the Municipal Strategic Statement and local planning policies.</w:t>
      </w:r>
    </w:p>
    <w:p w:rsidR="00E15F34" w:rsidRPr="00A0090B" w:rsidRDefault="00E15F34" w:rsidP="007D1909">
      <w:pPr>
        <w:pStyle w:val="ListParagraph"/>
        <w:numPr>
          <w:ilvl w:val="0"/>
          <w:numId w:val="54"/>
        </w:numPr>
        <w:spacing w:after="120"/>
        <w:contextualSpacing w:val="0"/>
        <w:rPr>
          <w:rFonts w:eastAsiaTheme="minorHAnsi"/>
        </w:rPr>
      </w:pPr>
      <w:r w:rsidRPr="00A0090B">
        <w:rPr>
          <w:rFonts w:eastAsiaTheme="minorHAnsi"/>
        </w:rPr>
        <w:t>The compatibility of the proposal with adjoining and nearby land uses.</w:t>
      </w:r>
    </w:p>
    <w:p w:rsidR="00E15F34" w:rsidRPr="00A0090B" w:rsidRDefault="00E15F34" w:rsidP="007D1909">
      <w:pPr>
        <w:pStyle w:val="ListParagraph"/>
        <w:numPr>
          <w:ilvl w:val="0"/>
          <w:numId w:val="54"/>
        </w:numPr>
        <w:spacing w:after="120"/>
        <w:contextualSpacing w:val="0"/>
        <w:rPr>
          <w:rFonts w:eastAsiaTheme="minorHAnsi"/>
        </w:rPr>
      </w:pPr>
      <w:r w:rsidRPr="00A0090B">
        <w:rPr>
          <w:rFonts w:eastAsiaTheme="minorHAnsi"/>
        </w:rPr>
        <w:t>The capability of the site to accommodate the proposal.</w:t>
      </w:r>
    </w:p>
    <w:p w:rsidR="00E15F34" w:rsidRPr="007E00C2" w:rsidRDefault="00E15F34" w:rsidP="007D1909">
      <w:pPr>
        <w:pStyle w:val="ListParagraph"/>
        <w:numPr>
          <w:ilvl w:val="0"/>
          <w:numId w:val="54"/>
        </w:numPr>
        <w:spacing w:after="120"/>
        <w:contextualSpacing w:val="0"/>
      </w:pPr>
      <w:r w:rsidRPr="00A0090B">
        <w:rPr>
          <w:rFonts w:eastAsiaTheme="minorHAnsi"/>
        </w:rPr>
        <w:t>Whether the gaming premises provides a full range of hotel facilities or services to patrons or a full range of club facilities or services to members and patrons.</w:t>
      </w:r>
    </w:p>
    <w:p w:rsidR="00E15F34" w:rsidRPr="00A0090B" w:rsidRDefault="00E15F34" w:rsidP="00E15F34">
      <w:r w:rsidRPr="007E00C2">
        <w:t>This Clause does not provide specific guidance in relation to the information that needs to accompany an application to assist Council in assessing whether the proposal is appropriate in terms of its location and premises, or the social and economic impacts associated with the proposal.</w:t>
      </w:r>
    </w:p>
    <w:p w:rsidR="00E15F34" w:rsidRPr="006128FD" w:rsidRDefault="00E15F34" w:rsidP="00E15F34">
      <w:pPr>
        <w:rPr>
          <w:rFonts w:cs="Arial"/>
        </w:rPr>
      </w:pPr>
      <w:r w:rsidRPr="006128FD">
        <w:rPr>
          <w:rFonts w:cs="Arial"/>
        </w:rPr>
        <w:t>In the City of Melbourne, the following existing shopping complexes are included in the current schedules to Clause 52.28-3:</w:t>
      </w:r>
    </w:p>
    <w:p w:rsidR="00E15F34" w:rsidRPr="0099464A" w:rsidRDefault="00E15F34" w:rsidP="00E15F34">
      <w:pPr>
        <w:pStyle w:val="ListParagraph"/>
        <w:numPr>
          <w:ilvl w:val="0"/>
          <w:numId w:val="17"/>
        </w:numPr>
        <w:spacing w:after="120"/>
        <w:contextualSpacing w:val="0"/>
        <w:rPr>
          <w:rFonts w:cstheme="minorHAnsi"/>
          <w:szCs w:val="22"/>
        </w:rPr>
      </w:pPr>
      <w:r w:rsidRPr="006128FD">
        <w:rPr>
          <w:rFonts w:cstheme="minorHAnsi"/>
          <w:szCs w:val="22"/>
        </w:rPr>
        <w:t>Australia on Collins,</w:t>
      </w:r>
      <w:r w:rsidRPr="0099464A">
        <w:rPr>
          <w:rFonts w:cstheme="minorHAnsi"/>
          <w:szCs w:val="22"/>
        </w:rPr>
        <w:t xml:space="preserve"> Melbourne 258-274 Collins Street, Melbourne, also described in C/T Vol. 10117 Fol. 813</w:t>
      </w:r>
    </w:p>
    <w:p w:rsidR="00E15F34" w:rsidRPr="0099464A" w:rsidRDefault="00E15F34" w:rsidP="00E15F34">
      <w:pPr>
        <w:pStyle w:val="ListParagraph"/>
        <w:numPr>
          <w:ilvl w:val="0"/>
          <w:numId w:val="17"/>
        </w:numPr>
        <w:spacing w:after="120"/>
        <w:contextualSpacing w:val="0"/>
        <w:rPr>
          <w:rFonts w:cstheme="minorHAnsi"/>
          <w:szCs w:val="22"/>
        </w:rPr>
      </w:pPr>
      <w:r w:rsidRPr="0099464A">
        <w:rPr>
          <w:rFonts w:cstheme="minorHAnsi"/>
          <w:szCs w:val="22"/>
        </w:rPr>
        <w:t>The Sportsgirl Centre, Melbourne 234-250 Collins Street, Melbourne, also described in C/T Vol. 9894 Fol. 335</w:t>
      </w:r>
    </w:p>
    <w:p w:rsidR="00E15F34" w:rsidRPr="0099464A" w:rsidRDefault="00E15F34" w:rsidP="00E15F34">
      <w:pPr>
        <w:pStyle w:val="ListParagraph"/>
        <w:numPr>
          <w:ilvl w:val="0"/>
          <w:numId w:val="17"/>
        </w:numPr>
        <w:spacing w:after="120"/>
        <w:contextualSpacing w:val="0"/>
        <w:rPr>
          <w:rFonts w:cstheme="minorHAnsi"/>
          <w:szCs w:val="22"/>
        </w:rPr>
      </w:pPr>
      <w:r w:rsidRPr="0099464A">
        <w:rPr>
          <w:rFonts w:cstheme="minorHAnsi"/>
          <w:szCs w:val="22"/>
        </w:rPr>
        <w:t>The Southern Cross, Melbourne 113-149 Exhibition Street, Melbourne, being land on the west side of Exhibition Street, Melbourne between Bourke Street and Little Collins Street</w:t>
      </w:r>
    </w:p>
    <w:p w:rsidR="00E15F34" w:rsidRPr="0099464A" w:rsidRDefault="00E15F34" w:rsidP="00E15F34">
      <w:pPr>
        <w:pStyle w:val="ListParagraph"/>
        <w:numPr>
          <w:ilvl w:val="0"/>
          <w:numId w:val="17"/>
        </w:numPr>
        <w:spacing w:after="120"/>
        <w:contextualSpacing w:val="0"/>
        <w:rPr>
          <w:rFonts w:cstheme="minorHAnsi"/>
          <w:szCs w:val="22"/>
        </w:rPr>
      </w:pPr>
      <w:r w:rsidRPr="0099464A">
        <w:rPr>
          <w:rFonts w:cstheme="minorHAnsi"/>
          <w:szCs w:val="22"/>
        </w:rPr>
        <w:t>Melbourne Central Shopping Centre Land between La Trobe Street and Lonsdale Street, Melbourne, also described in C/T Vol. 10038 Fol. 995 and C/T Vol. 10070 Fol. 149</w:t>
      </w:r>
    </w:p>
    <w:p w:rsidR="00E15F34" w:rsidRPr="0099464A" w:rsidRDefault="00E15F34" w:rsidP="00E15F34">
      <w:pPr>
        <w:pStyle w:val="ListParagraph"/>
        <w:numPr>
          <w:ilvl w:val="0"/>
          <w:numId w:val="17"/>
        </w:numPr>
        <w:spacing w:after="120"/>
        <w:contextualSpacing w:val="0"/>
        <w:rPr>
          <w:rFonts w:cstheme="minorHAnsi"/>
          <w:szCs w:val="22"/>
        </w:rPr>
      </w:pPr>
      <w:r w:rsidRPr="0099464A">
        <w:rPr>
          <w:rFonts w:cstheme="minorHAnsi"/>
          <w:szCs w:val="22"/>
        </w:rPr>
        <w:t>Southgate Plaza, Southbank Part of the Southgate Complex, Southbank Promenade, Southbank</w:t>
      </w:r>
    </w:p>
    <w:p w:rsidR="00E15F34" w:rsidRPr="0099464A" w:rsidRDefault="00E15F34" w:rsidP="00E15F34">
      <w:pPr>
        <w:pStyle w:val="ListParagraph"/>
        <w:numPr>
          <w:ilvl w:val="0"/>
          <w:numId w:val="17"/>
        </w:numPr>
        <w:spacing w:after="120"/>
        <w:contextualSpacing w:val="0"/>
        <w:rPr>
          <w:rFonts w:cstheme="minorHAnsi"/>
          <w:szCs w:val="22"/>
        </w:rPr>
      </w:pPr>
      <w:r w:rsidRPr="0099464A">
        <w:rPr>
          <w:rFonts w:cstheme="minorHAnsi"/>
          <w:szCs w:val="22"/>
        </w:rPr>
        <w:t>Lygon Court Shopping Centre, Carlton 368-386 Lygon Street, Carlton, approximately 30 metres north of Faraday Street</w:t>
      </w:r>
    </w:p>
    <w:p w:rsidR="00E15F34" w:rsidRPr="006128FD" w:rsidRDefault="00E15F34" w:rsidP="00E15F34">
      <w:pPr>
        <w:rPr>
          <w:rFonts w:cstheme="minorHAnsi"/>
        </w:rPr>
      </w:pPr>
      <w:r>
        <w:rPr>
          <w:rFonts w:cstheme="minorHAnsi"/>
        </w:rPr>
        <w:t>The s</w:t>
      </w:r>
      <w:r w:rsidRPr="006128FD">
        <w:rPr>
          <w:rFonts w:cstheme="minorHAnsi"/>
        </w:rPr>
        <w:t xml:space="preserve">chedule to Clause 52.28-4 prohibits </w:t>
      </w:r>
      <w:r w:rsidR="006D76C5">
        <w:rPr>
          <w:rFonts w:cstheme="minorHAnsi"/>
          <w:color w:val="222222"/>
          <w:shd w:val="clear" w:color="auto" w:fill="FFFFFF"/>
        </w:rPr>
        <w:t>EGM</w:t>
      </w:r>
      <w:r w:rsidRPr="006128FD">
        <w:rPr>
          <w:rFonts w:cstheme="minorHAnsi"/>
        </w:rPr>
        <w:t>s in all strip shopping centres.</w:t>
      </w:r>
    </w:p>
    <w:bookmarkEnd w:id="64"/>
    <w:p w:rsidR="00706330" w:rsidRDefault="00706330" w:rsidP="00706330">
      <w:pPr>
        <w:pStyle w:val="Heading3"/>
      </w:pPr>
      <w:r>
        <w:t>General Provisions</w:t>
      </w:r>
    </w:p>
    <w:p w:rsidR="00706330" w:rsidRDefault="00706330" w:rsidP="00706330">
      <w:pPr>
        <w:pStyle w:val="Heading4"/>
        <w:rPr>
          <w:i/>
        </w:rPr>
      </w:pPr>
      <w:bookmarkStart w:id="65" w:name="_Hlk484171139"/>
      <w:r>
        <w:t xml:space="preserve">Clause 61.01 </w:t>
      </w:r>
      <w:r>
        <w:rPr>
          <w:i/>
        </w:rPr>
        <w:t>Administration and enforcement of this scheme</w:t>
      </w:r>
    </w:p>
    <w:p w:rsidR="00C45438" w:rsidRDefault="00C45438" w:rsidP="00C45438">
      <w:r>
        <w:t xml:space="preserve">Melbourne City Council is the responsible authority for administering and enforcing the Melbourne Planning Scheme throughout the municipality with the exception </w:t>
      </w:r>
      <w:r w:rsidR="00486BD7">
        <w:t xml:space="preserve">of </w:t>
      </w:r>
      <w:r>
        <w:t xml:space="preserve">several localities listed in the schedule to Clause 61.10. </w:t>
      </w:r>
      <w:bookmarkStart w:id="66" w:name="_Hlk489972194"/>
      <w:r w:rsidR="00686D96">
        <w:t xml:space="preserve"> For these exceptions</w:t>
      </w:r>
      <w:r>
        <w:t xml:space="preserve">, Melbourne City Council only has the capacity to object to an application for a planning permit or make a submission in relation to a proposed planning scheme amendment, much like any other third party. </w:t>
      </w:r>
      <w:r w:rsidR="00686D96">
        <w:t xml:space="preserve"> How</w:t>
      </w:r>
      <w:r w:rsidRPr="00686D96">
        <w:t>ever, the provisions of the Melbourne Planning Scheme still apply.</w:t>
      </w:r>
      <w:r>
        <w:t xml:space="preserve"> </w:t>
      </w:r>
    </w:p>
    <w:bookmarkEnd w:id="66"/>
    <w:p w:rsidR="00C45438" w:rsidRDefault="00C45438" w:rsidP="00C45438">
      <w:r>
        <w:t>The implication of this Clause is that the City of Melbourne is not the decision-making body for specific parts of the municipality, including those that currently contain gaming venues and those that are likely to be the subject of gaming venues in the future.</w:t>
      </w:r>
    </w:p>
    <w:p w:rsidR="00C45438" w:rsidRDefault="00C45438" w:rsidP="008D3BB2">
      <w:r>
        <w:t>The City of Melbourne is not the responsible authority und</w:t>
      </w:r>
      <w:r w:rsidR="008D3BB2">
        <w:t xml:space="preserve">er some instances.  </w:t>
      </w:r>
      <w:r>
        <w:t>The Minister for Planning is the responsible authority for developments within the municipality with a gross floor area exceeding 25,000 square meters and significant entertainment, sporting, arts and housing precincts in the municipality. These include the Melbourne Casino Area, Flemington Racecourse, Southern Cross Station, the sports and entertainment precinct surrounding AAMI Park and Melbourne Park, the Arts Precinct, the Melbourne Convention Centre in Southbank, the Games Village precinct in Parkville, the Carlton Housing Precincts. Two of these precincts, namely the Melbourne Casino Area and Flemington Racecourse have gambling and gaming components respectively. In addition, the Minister for Planning is the responsible authority for the Carlton Brewery Site which was the subject of an application for a new gaming venue.</w:t>
      </w:r>
    </w:p>
    <w:p w:rsidR="00706330" w:rsidRPr="0099464A" w:rsidRDefault="00706330" w:rsidP="00706330">
      <w:pPr>
        <w:pStyle w:val="Heading4"/>
      </w:pPr>
      <w:r w:rsidRPr="0099464A">
        <w:t xml:space="preserve">Clause 63 </w:t>
      </w:r>
      <w:r w:rsidRPr="00974F48">
        <w:rPr>
          <w:i/>
        </w:rPr>
        <w:t>Existing uses</w:t>
      </w:r>
    </w:p>
    <w:p w:rsidR="00706330" w:rsidRPr="001A22C5" w:rsidRDefault="00706330" w:rsidP="00C45438">
      <w:pPr>
        <w:rPr>
          <w:szCs w:val="22"/>
        </w:rPr>
      </w:pPr>
      <w:r w:rsidRPr="0099464A">
        <w:t xml:space="preserve">This Clause allows for existing uses to continue to operate in circumstances where they do not comply with the current provision of the planning scheme.  </w:t>
      </w:r>
      <w:r w:rsidRPr="00D417E1">
        <w:rPr>
          <w:rFonts w:cs="Calibri"/>
        </w:rPr>
        <w:t xml:space="preserve">Irrespective of current planning scheme provisions, </w:t>
      </w:r>
      <w:r w:rsidRPr="001A22C5">
        <w:rPr>
          <w:rFonts w:cs="Calibri"/>
          <w:szCs w:val="22"/>
        </w:rPr>
        <w:t>existing use rights apply to gaming activities provided that, amongst other things, they were lawfully established and the relevant conditions continue to be satisfied.</w:t>
      </w:r>
    </w:p>
    <w:p w:rsidR="00C45438" w:rsidRPr="00616A5C" w:rsidRDefault="00616A5C" w:rsidP="00616A5C">
      <w:r>
        <w:t>Golden Nugget and Batman’s Hill on Collins</w:t>
      </w:r>
      <w:r w:rsidR="00706330">
        <w:t xml:space="preserve"> venues were established prior to the introduction of Amendment VC39 in 2006</w:t>
      </w:r>
      <w:bookmarkEnd w:id="65"/>
      <w:r>
        <w:t>.</w:t>
      </w:r>
      <w:r w:rsidR="00C45438">
        <w:br w:type="page"/>
      </w:r>
    </w:p>
    <w:p w:rsidR="00F0160A" w:rsidRPr="00FC5226" w:rsidRDefault="00382DC5" w:rsidP="00FC5226">
      <w:pPr>
        <w:pStyle w:val="Heading1"/>
        <w:spacing w:before="0" w:after="120"/>
        <w:rPr>
          <w:rFonts w:ascii="CoM" w:hAnsi="CoM"/>
          <w:b w:val="0"/>
          <w:caps w:val="0"/>
          <w:sz w:val="38"/>
          <w:szCs w:val="38"/>
        </w:rPr>
      </w:pPr>
      <w:bookmarkStart w:id="67" w:name="_Toc494287763"/>
      <w:r w:rsidRPr="00FC5226">
        <w:rPr>
          <w:rFonts w:ascii="CoM" w:hAnsi="CoM"/>
          <w:b w:val="0"/>
          <w:caps w:val="0"/>
          <w:sz w:val="38"/>
          <w:szCs w:val="38"/>
        </w:rPr>
        <w:t>Regulatory and l</w:t>
      </w:r>
      <w:r w:rsidR="00051F9D" w:rsidRPr="00FC5226">
        <w:rPr>
          <w:rFonts w:ascii="CoM" w:hAnsi="CoM"/>
          <w:b w:val="0"/>
          <w:caps w:val="0"/>
          <w:sz w:val="38"/>
          <w:szCs w:val="38"/>
        </w:rPr>
        <w:t xml:space="preserve">egislative </w:t>
      </w:r>
      <w:r w:rsidR="00433CC9" w:rsidRPr="00FC5226">
        <w:rPr>
          <w:rFonts w:ascii="CoM" w:hAnsi="CoM"/>
          <w:b w:val="0"/>
          <w:caps w:val="0"/>
          <w:sz w:val="38"/>
          <w:szCs w:val="38"/>
        </w:rPr>
        <w:t>f</w:t>
      </w:r>
      <w:r w:rsidR="00051F9D" w:rsidRPr="00FC5226">
        <w:rPr>
          <w:rFonts w:ascii="CoM" w:hAnsi="CoM"/>
          <w:b w:val="0"/>
          <w:caps w:val="0"/>
          <w:sz w:val="38"/>
          <w:szCs w:val="38"/>
        </w:rPr>
        <w:t>ramework</w:t>
      </w:r>
      <w:bookmarkEnd w:id="67"/>
    </w:p>
    <w:p w:rsidR="00F0160A" w:rsidRDefault="00F0160A" w:rsidP="00F0160A">
      <w:pPr>
        <w:rPr>
          <w:rFonts w:cstheme="minorHAnsi"/>
        </w:rPr>
      </w:pPr>
      <w:bookmarkStart w:id="68" w:name="_Hlk486345981"/>
      <w:r w:rsidRPr="00F0160A">
        <w:rPr>
          <w:rFonts w:cstheme="minorHAnsi"/>
        </w:rPr>
        <w:t xml:space="preserve">Under Victorian legislation, the use of EGMs is a legal activity that is regulated through two statutory instruments, namely the </w:t>
      </w:r>
      <w:r w:rsidRPr="00F0160A">
        <w:rPr>
          <w:rFonts w:cstheme="minorHAnsi"/>
          <w:i/>
        </w:rPr>
        <w:t>Planning and Environment Act 1987</w:t>
      </w:r>
      <w:r w:rsidRPr="00F0160A">
        <w:rPr>
          <w:rFonts w:cstheme="minorHAnsi"/>
        </w:rPr>
        <w:t xml:space="preserve"> and the </w:t>
      </w:r>
      <w:r w:rsidRPr="00F0160A">
        <w:rPr>
          <w:rFonts w:cstheme="minorHAnsi"/>
          <w:i/>
        </w:rPr>
        <w:t>Gambling Regulation Act 2003.</w:t>
      </w:r>
      <w:r w:rsidRPr="00F0160A">
        <w:rPr>
          <w:rFonts w:cstheme="minorHAnsi"/>
        </w:rPr>
        <w:t xml:space="preserve"> </w:t>
      </w:r>
      <w:bookmarkEnd w:id="68"/>
      <w:r w:rsidRPr="00F0160A">
        <w:rPr>
          <w:rFonts w:cstheme="minorHAnsi"/>
        </w:rPr>
        <w:t>This Chapter discusses these two primary statutory instruments, and other legislation that provides the framework within which local governments seek to prevent and address the social and health impacts associated with gambling-related harms.</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4D4A0D" w:rsidTr="004D4A0D">
        <w:tc>
          <w:tcPr>
            <w:tcW w:w="9016" w:type="dxa"/>
            <w:shd w:val="clear" w:color="auto" w:fill="D9D9D9" w:themeFill="background1" w:themeFillShade="D9"/>
          </w:tcPr>
          <w:p w:rsidR="004D4A0D" w:rsidRDefault="004D4A0D" w:rsidP="00396A73">
            <w:pPr>
              <w:spacing w:after="120"/>
              <w:rPr>
                <w:rFonts w:cstheme="minorHAnsi"/>
                <w:b/>
              </w:rPr>
            </w:pPr>
            <w:r>
              <w:rPr>
                <w:rFonts w:cstheme="minorHAnsi"/>
                <w:b/>
              </w:rPr>
              <w:t>Key findings</w:t>
            </w:r>
          </w:p>
          <w:p w:rsidR="006E239A" w:rsidRDefault="00573A4E" w:rsidP="00396A73">
            <w:pPr>
              <w:spacing w:after="120"/>
              <w:rPr>
                <w:rFonts w:cstheme="minorHAnsi"/>
                <w:i/>
              </w:rPr>
            </w:pPr>
            <w:r>
              <w:rPr>
                <w:rFonts w:cstheme="minorHAnsi"/>
              </w:rPr>
              <w:t>Two approvals are required to operate of gaming ve</w:t>
            </w:r>
            <w:r w:rsidR="00083A1E">
              <w:rPr>
                <w:rFonts w:cstheme="minorHAnsi"/>
              </w:rPr>
              <w:t>nues in the City of Melbourne including</w:t>
            </w:r>
            <w:r>
              <w:rPr>
                <w:rFonts w:cstheme="minorHAnsi"/>
              </w:rPr>
              <w:t xml:space="preserve"> one under the </w:t>
            </w:r>
            <w:r>
              <w:rPr>
                <w:rFonts w:cstheme="minorHAnsi"/>
                <w:i/>
              </w:rPr>
              <w:t xml:space="preserve">Gambling Regulation Act 2003 </w:t>
            </w:r>
            <w:r>
              <w:rPr>
                <w:rFonts w:cstheme="minorHAnsi"/>
              </w:rPr>
              <w:t xml:space="preserve">and the second under the </w:t>
            </w:r>
            <w:r>
              <w:rPr>
                <w:rFonts w:cstheme="minorHAnsi"/>
                <w:i/>
              </w:rPr>
              <w:t>Planning and Environment Act 1987.</w:t>
            </w:r>
          </w:p>
          <w:p w:rsidR="006E239A" w:rsidRDefault="006E239A" w:rsidP="006E239A">
            <w:pPr>
              <w:spacing w:after="120"/>
              <w:rPr>
                <w:rFonts w:cstheme="minorHAnsi"/>
              </w:rPr>
            </w:pPr>
            <w:r>
              <w:rPr>
                <w:rFonts w:cstheme="minorHAnsi"/>
              </w:rPr>
              <w:t>Councils statutory roles in relation to preventing and minimising gambling-related harms include planning and regulation, service delivery, advocacy and collaboration and capacity building.</w:t>
            </w:r>
          </w:p>
          <w:p w:rsidR="00573A4E" w:rsidRDefault="006E239A" w:rsidP="00396A73">
            <w:pPr>
              <w:spacing w:after="120"/>
              <w:rPr>
                <w:rFonts w:cstheme="minorHAnsi"/>
              </w:rPr>
            </w:pPr>
            <w:r>
              <w:rPr>
                <w:rFonts w:cstheme="minorHAnsi"/>
              </w:rPr>
              <w:t xml:space="preserve">Council’s role under the </w:t>
            </w:r>
            <w:r>
              <w:rPr>
                <w:rFonts w:cstheme="minorHAnsi"/>
                <w:i/>
              </w:rPr>
              <w:t xml:space="preserve">Gambling Regulation Act 2003 </w:t>
            </w:r>
            <w:r>
              <w:rPr>
                <w:rFonts w:cstheme="minorHAnsi"/>
              </w:rPr>
              <w:t xml:space="preserve">is to make submissions to the Gaming Commission on applications for gaming approval. Council’s role under the </w:t>
            </w:r>
            <w:r>
              <w:rPr>
                <w:rFonts w:cstheme="minorHAnsi"/>
                <w:i/>
              </w:rPr>
              <w:t xml:space="preserve">Planning and Environment Act 1987 </w:t>
            </w:r>
            <w:r>
              <w:rPr>
                <w:rFonts w:cstheme="minorHAnsi"/>
              </w:rPr>
              <w:t>is to determine the outcome of planning permit applications to install and operate EGMs in gaming venues.</w:t>
            </w:r>
            <w:r w:rsidR="00573A4E">
              <w:rPr>
                <w:rFonts w:cstheme="minorHAnsi"/>
              </w:rPr>
              <w:t xml:space="preserve"> </w:t>
            </w:r>
          </w:p>
          <w:p w:rsidR="00573A4E" w:rsidRDefault="00573A4E" w:rsidP="00396A73">
            <w:pPr>
              <w:spacing w:after="120"/>
              <w:rPr>
                <w:rFonts w:cstheme="minorHAnsi"/>
              </w:rPr>
            </w:pPr>
            <w:r>
              <w:rPr>
                <w:rFonts w:cstheme="minorHAnsi"/>
              </w:rPr>
              <w:t>Although there is overlap between the considerations under these two statutory instruments, there are differences. The key differences are:</w:t>
            </w:r>
          </w:p>
          <w:p w:rsidR="00573A4E" w:rsidRDefault="00573A4E" w:rsidP="007D1909">
            <w:pPr>
              <w:pStyle w:val="ListParagraph"/>
              <w:numPr>
                <w:ilvl w:val="0"/>
                <w:numId w:val="73"/>
              </w:numPr>
              <w:spacing w:after="120"/>
              <w:contextualSpacing w:val="0"/>
              <w:rPr>
                <w:rFonts w:cstheme="minorHAnsi"/>
              </w:rPr>
            </w:pPr>
            <w:r>
              <w:rPr>
                <w:rFonts w:cstheme="minorHAnsi"/>
              </w:rPr>
              <w:t xml:space="preserve">The achievement of a positive or neutral impact on the wellbeing of a community is a statutory requirement under the </w:t>
            </w:r>
            <w:r>
              <w:rPr>
                <w:rFonts w:cstheme="minorHAnsi"/>
                <w:i/>
              </w:rPr>
              <w:t xml:space="preserve">Gambling Regulation Act 2003 </w:t>
            </w:r>
            <w:r>
              <w:rPr>
                <w:rFonts w:cstheme="minorHAnsi"/>
              </w:rPr>
              <w:t xml:space="preserve">whereas the achievement of net community benefit is </w:t>
            </w:r>
            <w:r w:rsidR="007E13EB">
              <w:rPr>
                <w:rFonts w:cstheme="minorHAnsi"/>
              </w:rPr>
              <w:t>a key consideration.</w:t>
            </w:r>
          </w:p>
          <w:p w:rsidR="007E13EB" w:rsidRPr="007E13EB" w:rsidRDefault="007E13EB" w:rsidP="007D1909">
            <w:pPr>
              <w:pStyle w:val="ListParagraph"/>
              <w:numPr>
                <w:ilvl w:val="0"/>
                <w:numId w:val="73"/>
              </w:numPr>
              <w:spacing w:after="120"/>
              <w:contextualSpacing w:val="0"/>
              <w:rPr>
                <w:rFonts w:cstheme="minorHAnsi"/>
              </w:rPr>
            </w:pPr>
            <w:r>
              <w:rPr>
                <w:rFonts w:cstheme="minorHAnsi"/>
              </w:rPr>
              <w:t xml:space="preserve">The </w:t>
            </w:r>
            <w:r>
              <w:rPr>
                <w:rFonts w:cstheme="minorHAnsi"/>
                <w:i/>
              </w:rPr>
              <w:t xml:space="preserve">Gambling Regulation Act 2003 </w:t>
            </w:r>
            <w:r>
              <w:rPr>
                <w:rFonts w:cstheme="minorHAnsi"/>
              </w:rPr>
              <w:t xml:space="preserve">focuses on whether the premises are suitable for gaming whereas both the location and the premises are key considerations under the </w:t>
            </w:r>
            <w:r>
              <w:rPr>
                <w:rFonts w:cstheme="minorHAnsi"/>
                <w:i/>
              </w:rPr>
              <w:t>Planning and Environment Act 1987.</w:t>
            </w:r>
          </w:p>
          <w:p w:rsidR="007E13EB" w:rsidRPr="009D0DC3" w:rsidRDefault="007E13EB" w:rsidP="007D1909">
            <w:pPr>
              <w:pStyle w:val="ListParagraph"/>
              <w:numPr>
                <w:ilvl w:val="0"/>
                <w:numId w:val="73"/>
              </w:numPr>
              <w:spacing w:after="120"/>
              <w:contextualSpacing w:val="0"/>
              <w:rPr>
                <w:rFonts w:cstheme="minorHAnsi"/>
              </w:rPr>
            </w:pPr>
            <w:r>
              <w:rPr>
                <w:rFonts w:cstheme="minorHAnsi"/>
              </w:rPr>
              <w:t xml:space="preserve">The </w:t>
            </w:r>
            <w:r>
              <w:rPr>
                <w:rFonts w:cstheme="minorHAnsi"/>
                <w:i/>
              </w:rPr>
              <w:t>Gambling Regulation Act 2003</w:t>
            </w:r>
            <w:r w:rsidRPr="009D0DC3">
              <w:rPr>
                <w:rFonts w:cstheme="minorHAnsi"/>
              </w:rPr>
              <w:t xml:space="preserve"> considers the impact on the municipality as a whole where</w:t>
            </w:r>
            <w:r>
              <w:rPr>
                <w:rFonts w:cstheme="minorHAnsi"/>
              </w:rPr>
              <w:t>as</w:t>
            </w:r>
            <w:r w:rsidRPr="009D0DC3">
              <w:rPr>
                <w:rFonts w:cstheme="minorHAnsi"/>
              </w:rPr>
              <w:t xml:space="preserve"> </w:t>
            </w:r>
            <w:r>
              <w:rPr>
                <w:rFonts w:cstheme="minorHAnsi"/>
              </w:rPr>
              <w:t xml:space="preserve">the </w:t>
            </w:r>
            <w:r>
              <w:rPr>
                <w:rFonts w:cstheme="minorHAnsi"/>
                <w:i/>
              </w:rPr>
              <w:t>Planning and Environment Act 1987</w:t>
            </w:r>
            <w:r w:rsidRPr="009D0DC3">
              <w:rPr>
                <w:rFonts w:cstheme="minorHAnsi"/>
              </w:rPr>
              <w:t xml:space="preserve"> considers the impact on a more defined area around the site namely adjoining and nearby land uses.</w:t>
            </w:r>
          </w:p>
          <w:p w:rsidR="007E13EB" w:rsidRPr="00E738B8" w:rsidRDefault="00E738B8" w:rsidP="00C70183">
            <w:pPr>
              <w:spacing w:after="120"/>
              <w:rPr>
                <w:rFonts w:cstheme="minorHAnsi"/>
              </w:rPr>
            </w:pPr>
            <w:r>
              <w:rPr>
                <w:rFonts w:cstheme="minorHAnsi"/>
              </w:rPr>
              <w:t xml:space="preserve">The Victorian State Government implements several statutory harm minimisation measures that address the design and operation of gaming venues, advertising and marketing, information and awareness of the risks of gambling harms, smoking and access to cash. </w:t>
            </w:r>
          </w:p>
        </w:tc>
      </w:tr>
    </w:tbl>
    <w:p w:rsidR="004D4A0D" w:rsidRDefault="004D4A0D" w:rsidP="00F0160A">
      <w:pPr>
        <w:rPr>
          <w:rFonts w:cstheme="minorHAnsi"/>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4D4A0D" w:rsidTr="004D4A0D">
        <w:tc>
          <w:tcPr>
            <w:tcW w:w="9016" w:type="dxa"/>
            <w:shd w:val="clear" w:color="auto" w:fill="D9D9D9" w:themeFill="background1" w:themeFillShade="D9"/>
          </w:tcPr>
          <w:p w:rsidR="004D4A0D" w:rsidRDefault="004D4A0D" w:rsidP="004D4A0D">
            <w:pPr>
              <w:spacing w:after="120"/>
              <w:rPr>
                <w:rFonts w:cstheme="minorHAnsi"/>
                <w:b/>
              </w:rPr>
            </w:pPr>
            <w:r>
              <w:rPr>
                <w:rFonts w:cstheme="minorHAnsi"/>
                <w:b/>
              </w:rPr>
              <w:t xml:space="preserve">Implications for the </w:t>
            </w:r>
            <w:r w:rsidR="007B3C27">
              <w:rPr>
                <w:rFonts w:cstheme="minorHAnsi"/>
                <w:b/>
              </w:rPr>
              <w:t>Electronic Gaming Decision</w:t>
            </w:r>
            <w:r>
              <w:rPr>
                <w:rFonts w:cstheme="minorHAnsi"/>
                <w:b/>
              </w:rPr>
              <w:t>-Making Framework and Local Planning Policy for Gaming</w:t>
            </w:r>
          </w:p>
          <w:p w:rsidR="006E239A" w:rsidRDefault="006E239A" w:rsidP="004D4A0D">
            <w:pPr>
              <w:spacing w:after="120"/>
              <w:rPr>
                <w:rFonts w:cstheme="minorHAnsi"/>
              </w:rPr>
            </w:pPr>
            <w:r>
              <w:rPr>
                <w:rFonts w:cstheme="minorHAnsi"/>
              </w:rPr>
              <w:t xml:space="preserve">The </w:t>
            </w:r>
            <w:r w:rsidR="007B3C27">
              <w:rPr>
                <w:rFonts w:cstheme="minorHAnsi"/>
              </w:rPr>
              <w:t>Electronic Gaming Decision</w:t>
            </w:r>
            <w:r>
              <w:rPr>
                <w:rFonts w:cstheme="minorHAnsi"/>
              </w:rPr>
              <w:t xml:space="preserve">-Making Framework will need to incorporate strategies and guidance to inform all Council’s statutory roles under both the </w:t>
            </w:r>
            <w:r>
              <w:rPr>
                <w:rFonts w:cstheme="minorHAnsi"/>
                <w:i/>
              </w:rPr>
              <w:t xml:space="preserve">Gambling Regulation Act 2003 </w:t>
            </w:r>
            <w:r>
              <w:rPr>
                <w:rFonts w:cstheme="minorHAnsi"/>
              </w:rPr>
              <w:t xml:space="preserve">and the </w:t>
            </w:r>
            <w:r>
              <w:rPr>
                <w:rFonts w:cstheme="minorHAnsi"/>
                <w:i/>
              </w:rPr>
              <w:t>Planning and Environment Act 1987.</w:t>
            </w:r>
            <w:r>
              <w:rPr>
                <w:rFonts w:cstheme="minorHAnsi"/>
              </w:rPr>
              <w:t xml:space="preserve"> It will also need to differentiate between the different roles Council fulfils under the two separate legislative instruments.</w:t>
            </w:r>
          </w:p>
          <w:p w:rsidR="006E239A" w:rsidRPr="006E239A" w:rsidRDefault="006E239A" w:rsidP="006E239A">
            <w:pPr>
              <w:spacing w:after="120"/>
              <w:rPr>
                <w:rFonts w:cstheme="minorHAnsi"/>
              </w:rPr>
            </w:pPr>
            <w:r>
              <w:rPr>
                <w:rFonts w:cstheme="minorHAnsi"/>
              </w:rPr>
              <w:t xml:space="preserve">The scope of the Local Planning Policy for Gaming is restricted to Council’s roles under the </w:t>
            </w:r>
            <w:r>
              <w:rPr>
                <w:rFonts w:cstheme="minorHAnsi"/>
                <w:i/>
              </w:rPr>
              <w:t xml:space="preserve">Planning and Environment Act 1987 </w:t>
            </w:r>
            <w:r>
              <w:rPr>
                <w:rFonts w:cstheme="minorHAnsi"/>
              </w:rPr>
              <w:t>and the Melbourne Planning Scheme which focus on guiding the appropriate location and operation of EGMs and consideration of the social and economic impacts of EGMs.</w:t>
            </w:r>
          </w:p>
        </w:tc>
      </w:tr>
    </w:tbl>
    <w:p w:rsidR="004D4A0D" w:rsidRPr="00F0160A" w:rsidRDefault="004D4A0D" w:rsidP="00F0160A">
      <w:pPr>
        <w:rPr>
          <w:rFonts w:cstheme="minorHAnsi"/>
        </w:rPr>
      </w:pPr>
    </w:p>
    <w:p w:rsidR="006E239A" w:rsidRDefault="006E239A">
      <w:pPr>
        <w:spacing w:line="276" w:lineRule="auto"/>
        <w:ind w:left="720"/>
        <w:rPr>
          <w:rFonts w:asciiTheme="minorHAnsi" w:eastAsiaTheme="majorEastAsia" w:hAnsiTheme="minorHAnsi" w:cstheme="minorHAnsi"/>
          <w:b/>
          <w:bCs/>
          <w:color w:val="4F81BD" w:themeColor="accent1"/>
          <w:sz w:val="26"/>
          <w:szCs w:val="26"/>
        </w:rPr>
      </w:pPr>
      <w:bookmarkStart w:id="69" w:name="_Toc475982178"/>
      <w:r>
        <w:rPr>
          <w:rFonts w:asciiTheme="minorHAnsi" w:hAnsiTheme="minorHAnsi" w:cstheme="minorHAnsi"/>
        </w:rPr>
        <w:br w:type="page"/>
      </w:r>
    </w:p>
    <w:p w:rsidR="00455611" w:rsidRPr="0099464A" w:rsidRDefault="00455611" w:rsidP="00FC5226">
      <w:pPr>
        <w:pStyle w:val="Heading2"/>
      </w:pPr>
      <w:bookmarkStart w:id="70" w:name="_Toc494287764"/>
      <w:r w:rsidRPr="0099464A">
        <w:t>Planning and local government</w:t>
      </w:r>
      <w:bookmarkEnd w:id="69"/>
      <w:r w:rsidR="00396A73">
        <w:t xml:space="preserve"> legislation</w:t>
      </w:r>
      <w:bookmarkEnd w:id="70"/>
    </w:p>
    <w:p w:rsidR="00C45438" w:rsidRPr="005C4639" w:rsidRDefault="00C45438" w:rsidP="00C45438">
      <w:pPr>
        <w:rPr>
          <w:rFonts w:cs="Arial"/>
        </w:rPr>
      </w:pPr>
      <w:r w:rsidRPr="005C4639">
        <w:rPr>
          <w:rFonts w:cs="Arial"/>
        </w:rPr>
        <w:t xml:space="preserve">The </w:t>
      </w:r>
      <w:r w:rsidRPr="005C4639">
        <w:rPr>
          <w:rFonts w:cs="Arial"/>
          <w:i/>
        </w:rPr>
        <w:t xml:space="preserve">Planning and Environment Act 1987 </w:t>
      </w:r>
      <w:r w:rsidRPr="005C4639">
        <w:rPr>
          <w:rFonts w:cs="Arial"/>
        </w:rPr>
        <w:t>is the key legislative tool involved in assessing planning permit applications for gaming venues.</w:t>
      </w:r>
    </w:p>
    <w:p w:rsidR="00455611" w:rsidRPr="0099464A" w:rsidRDefault="00455611" w:rsidP="00455611">
      <w:pPr>
        <w:pStyle w:val="Heading3"/>
        <w:rPr>
          <w:rFonts w:asciiTheme="minorHAnsi" w:hAnsiTheme="minorHAnsi" w:cstheme="minorHAnsi"/>
        </w:rPr>
      </w:pPr>
      <w:r w:rsidRPr="0099464A">
        <w:rPr>
          <w:rFonts w:asciiTheme="minorHAnsi" w:hAnsiTheme="minorHAnsi" w:cstheme="minorHAnsi"/>
        </w:rPr>
        <w:t>Planning and Environment Act 1987</w:t>
      </w:r>
    </w:p>
    <w:p w:rsidR="00455611" w:rsidRPr="0099464A" w:rsidRDefault="00455611" w:rsidP="00455611">
      <w:pPr>
        <w:pStyle w:val="Heading4"/>
        <w:rPr>
          <w:rFonts w:asciiTheme="minorHAnsi" w:hAnsiTheme="minorHAnsi" w:cstheme="minorHAnsi"/>
        </w:rPr>
      </w:pPr>
      <w:r w:rsidRPr="0099464A">
        <w:rPr>
          <w:rFonts w:asciiTheme="minorHAnsi" w:hAnsiTheme="minorHAnsi" w:cstheme="minorHAnsi"/>
        </w:rPr>
        <w:t>Purpose and objectives</w:t>
      </w:r>
    </w:p>
    <w:p w:rsidR="00455611" w:rsidRPr="0099464A" w:rsidRDefault="00455611" w:rsidP="00455611">
      <w:pPr>
        <w:rPr>
          <w:rFonts w:cstheme="minorHAnsi"/>
        </w:rPr>
      </w:pPr>
      <w:r w:rsidRPr="0099464A">
        <w:rPr>
          <w:rFonts w:cstheme="minorHAnsi"/>
        </w:rPr>
        <w:t xml:space="preserve">The purpose of the </w:t>
      </w:r>
      <w:r w:rsidRPr="0099464A">
        <w:rPr>
          <w:rFonts w:cstheme="minorHAnsi"/>
          <w:i/>
        </w:rPr>
        <w:t xml:space="preserve">Planning and Environment Act 1987 </w:t>
      </w:r>
      <w:r w:rsidRPr="0099464A">
        <w:rPr>
          <w:rFonts w:cstheme="minorHAnsi"/>
        </w:rPr>
        <w:t xml:space="preserve">is to guide planning for the use, development and protection of land in Victoria. Relevant objectives of planning in Victoria, as described in the </w:t>
      </w:r>
      <w:r w:rsidRPr="0099464A">
        <w:rPr>
          <w:rFonts w:cstheme="minorHAnsi"/>
          <w:i/>
        </w:rPr>
        <w:t>Planning and Environment Act 1987</w:t>
      </w:r>
      <w:r w:rsidRPr="0099464A">
        <w:rPr>
          <w:rFonts w:cstheme="minorHAnsi"/>
        </w:rPr>
        <w:t xml:space="preserve"> include:</w:t>
      </w:r>
    </w:p>
    <w:p w:rsidR="00455611" w:rsidRPr="0099464A" w:rsidRDefault="00455611" w:rsidP="00455611">
      <w:pPr>
        <w:pStyle w:val="ListParagraph"/>
        <w:numPr>
          <w:ilvl w:val="1"/>
          <w:numId w:val="5"/>
        </w:numPr>
        <w:spacing w:after="120"/>
        <w:contextualSpacing w:val="0"/>
        <w:rPr>
          <w:rFonts w:cstheme="minorHAnsi"/>
        </w:rPr>
      </w:pPr>
      <w:r w:rsidRPr="0099464A">
        <w:rPr>
          <w:rFonts w:cstheme="minorHAnsi"/>
        </w:rPr>
        <w:t>to provide for the fair, orderly, economic and sustainab</w:t>
      </w:r>
      <w:r w:rsidR="00AA4757">
        <w:rPr>
          <w:rFonts w:cstheme="minorHAnsi"/>
        </w:rPr>
        <w:t>le use, and development of land.</w:t>
      </w:r>
    </w:p>
    <w:p w:rsidR="00455611" w:rsidRPr="0099464A" w:rsidRDefault="00455611" w:rsidP="00455611">
      <w:pPr>
        <w:ind w:left="720"/>
        <w:rPr>
          <w:rFonts w:cstheme="minorHAnsi"/>
        </w:rPr>
      </w:pPr>
      <w:r w:rsidRPr="0099464A">
        <w:rPr>
          <w:rFonts w:cstheme="minorHAnsi"/>
        </w:rPr>
        <w:t>(c)  to secure a pleasant, efficient and safe working, living and recreational environment for all Vict</w:t>
      </w:r>
      <w:r w:rsidR="00AA4757">
        <w:rPr>
          <w:rFonts w:cstheme="minorHAnsi"/>
        </w:rPr>
        <w:t>orians and visitors to Victoria.</w:t>
      </w:r>
    </w:p>
    <w:p w:rsidR="00455611" w:rsidRPr="0099464A" w:rsidRDefault="00455611" w:rsidP="00455611">
      <w:pPr>
        <w:ind w:left="720"/>
        <w:rPr>
          <w:rFonts w:cstheme="minorHAnsi"/>
        </w:rPr>
      </w:pPr>
      <w:r w:rsidRPr="0099464A">
        <w:rPr>
          <w:rFonts w:cstheme="minorHAnsi"/>
        </w:rPr>
        <w:t>(e) to protect public utilities and other assets and enable the orderly provision and coordination of public utilities and other facilities f</w:t>
      </w:r>
      <w:r w:rsidR="00AA4757">
        <w:rPr>
          <w:rFonts w:cstheme="minorHAnsi"/>
        </w:rPr>
        <w:t>or the benefit of the community.</w:t>
      </w:r>
    </w:p>
    <w:p w:rsidR="00455611" w:rsidRPr="0099464A" w:rsidRDefault="00455611" w:rsidP="00455611">
      <w:pPr>
        <w:ind w:left="720"/>
        <w:rPr>
          <w:rFonts w:cstheme="minorHAnsi"/>
        </w:rPr>
      </w:pPr>
      <w:r w:rsidRPr="0099464A">
        <w:rPr>
          <w:rFonts w:cstheme="minorHAnsi"/>
        </w:rPr>
        <w:t>(f)  to facilitate development in accordance with the ob</w:t>
      </w:r>
      <w:r w:rsidR="00AA4757">
        <w:rPr>
          <w:rFonts w:cstheme="minorHAnsi"/>
        </w:rPr>
        <w:t>jectives set out in the Act.</w:t>
      </w:r>
    </w:p>
    <w:p w:rsidR="00455611" w:rsidRPr="0099464A" w:rsidRDefault="00455611" w:rsidP="00455611">
      <w:pPr>
        <w:ind w:left="720"/>
        <w:rPr>
          <w:rFonts w:cstheme="minorHAnsi"/>
        </w:rPr>
      </w:pPr>
      <w:r w:rsidRPr="0099464A">
        <w:rPr>
          <w:rFonts w:cstheme="minorHAnsi"/>
        </w:rPr>
        <w:t>(g)  to balance the present and fut</w:t>
      </w:r>
      <w:r w:rsidR="00AA4757">
        <w:rPr>
          <w:rFonts w:cstheme="minorHAnsi"/>
        </w:rPr>
        <w:t>ure interests of all Victorians.</w:t>
      </w:r>
    </w:p>
    <w:p w:rsidR="00455611" w:rsidRPr="0099464A" w:rsidRDefault="00455611" w:rsidP="00455611">
      <w:pPr>
        <w:pStyle w:val="Heading4"/>
        <w:rPr>
          <w:rFonts w:asciiTheme="minorHAnsi" w:hAnsiTheme="minorHAnsi" w:cstheme="minorHAnsi"/>
        </w:rPr>
      </w:pPr>
      <w:r w:rsidRPr="0099464A">
        <w:rPr>
          <w:rFonts w:asciiTheme="minorHAnsi" w:hAnsiTheme="minorHAnsi" w:cstheme="minorHAnsi"/>
        </w:rPr>
        <w:t>Matters to be considered by a local authority</w:t>
      </w:r>
    </w:p>
    <w:p w:rsidR="00455611" w:rsidRPr="0099464A" w:rsidRDefault="00455611" w:rsidP="00455611">
      <w:pPr>
        <w:rPr>
          <w:rFonts w:cstheme="minorHAnsi"/>
        </w:rPr>
      </w:pPr>
      <w:r w:rsidRPr="0099464A">
        <w:rPr>
          <w:rFonts w:cstheme="minorHAnsi"/>
        </w:rPr>
        <w:t xml:space="preserve">Section 60 of the </w:t>
      </w:r>
      <w:r w:rsidRPr="0099464A">
        <w:rPr>
          <w:rFonts w:cstheme="minorHAnsi"/>
          <w:i/>
        </w:rPr>
        <w:t>Planning and Environment Act 1987</w:t>
      </w:r>
      <w:r w:rsidRPr="0099464A">
        <w:rPr>
          <w:rFonts w:cstheme="minorHAnsi"/>
        </w:rPr>
        <w:t xml:space="preserve"> outlines a number of matters that a local authority must and may consider before deciding on an application. Matters that </w:t>
      </w:r>
      <w:r w:rsidRPr="0099464A">
        <w:rPr>
          <w:rFonts w:cstheme="minorHAnsi"/>
          <w:u w:val="single"/>
        </w:rPr>
        <w:t>must</w:t>
      </w:r>
      <w:r w:rsidRPr="0099464A">
        <w:rPr>
          <w:rFonts w:cstheme="minorHAnsi"/>
        </w:rPr>
        <w:t xml:space="preserve"> be considered inclu</w:t>
      </w:r>
      <w:r w:rsidR="00397893">
        <w:rPr>
          <w:rFonts w:cstheme="minorHAnsi"/>
        </w:rPr>
        <w:t>de the relevant planning scheme,</w:t>
      </w:r>
      <w:r w:rsidRPr="0099464A">
        <w:rPr>
          <w:rFonts w:cstheme="minorHAnsi"/>
        </w:rPr>
        <w:t xml:space="preserve"> the obj</w:t>
      </w:r>
      <w:r w:rsidR="00397893">
        <w:rPr>
          <w:rFonts w:cstheme="minorHAnsi"/>
        </w:rPr>
        <w:t>ectives of planning in Victoria,</w:t>
      </w:r>
      <w:r w:rsidRPr="0099464A">
        <w:rPr>
          <w:rFonts w:cstheme="minorHAnsi"/>
        </w:rPr>
        <w:t xml:space="preserve"> all objections and submissions received</w:t>
      </w:r>
      <w:r w:rsidR="00397893">
        <w:rPr>
          <w:rFonts w:cstheme="minorHAnsi"/>
        </w:rPr>
        <w:t>,</w:t>
      </w:r>
      <w:r w:rsidRPr="0099464A">
        <w:rPr>
          <w:rFonts w:cstheme="minorHAnsi"/>
        </w:rPr>
        <w:t xml:space="preserve"> decisions and comments of a referral authority</w:t>
      </w:r>
      <w:r w:rsidR="00397893">
        <w:rPr>
          <w:rFonts w:cstheme="minorHAnsi"/>
        </w:rPr>
        <w:t>,</w:t>
      </w:r>
      <w:r w:rsidRPr="0099464A">
        <w:rPr>
          <w:rFonts w:cstheme="minorHAnsi"/>
        </w:rPr>
        <w:t xml:space="preserve"> and any significant effects (including social and economic) that the use or development of land may have on the environment. Amendments to the </w:t>
      </w:r>
      <w:r w:rsidRPr="0099464A">
        <w:rPr>
          <w:rFonts w:cstheme="minorHAnsi"/>
          <w:i/>
        </w:rPr>
        <w:t xml:space="preserve">Planning and Environment Act, 1987 </w:t>
      </w:r>
      <w:r w:rsidRPr="0099464A">
        <w:rPr>
          <w:rFonts w:cstheme="minorHAnsi"/>
        </w:rPr>
        <w:t>in 2015 now require Council to have regard to the number of objectors in considering whether the use of development of land may have a significant social effect.</w:t>
      </w:r>
    </w:p>
    <w:p w:rsidR="00455611" w:rsidRPr="0099464A" w:rsidRDefault="00455611" w:rsidP="00455611">
      <w:pPr>
        <w:rPr>
          <w:rFonts w:cstheme="minorHAnsi"/>
        </w:rPr>
      </w:pPr>
      <w:r w:rsidRPr="0099464A">
        <w:rPr>
          <w:rFonts w:cstheme="minorHAnsi"/>
        </w:rPr>
        <w:t xml:space="preserve">Matters that </w:t>
      </w:r>
      <w:r w:rsidRPr="0099464A">
        <w:rPr>
          <w:rFonts w:cstheme="minorHAnsi"/>
          <w:u w:val="single"/>
        </w:rPr>
        <w:t>may</w:t>
      </w:r>
      <w:r w:rsidRPr="0099464A">
        <w:rPr>
          <w:rFonts w:cstheme="minorHAnsi"/>
        </w:rPr>
        <w:t xml:space="preserve"> </w:t>
      </w:r>
      <w:r w:rsidR="00D417E1">
        <w:rPr>
          <w:rFonts w:cstheme="minorHAnsi"/>
        </w:rPr>
        <w:t xml:space="preserve">be </w:t>
      </w:r>
      <w:r w:rsidRPr="0099464A">
        <w:rPr>
          <w:rFonts w:cstheme="minorHAnsi"/>
        </w:rPr>
        <w:t xml:space="preserve">considered by the Council include an approved regional strategy plan (including those adopted by a Minister, government department, public </w:t>
      </w:r>
      <w:r w:rsidR="00397893">
        <w:rPr>
          <w:rFonts w:cstheme="minorHAnsi"/>
        </w:rPr>
        <w:t>authority or municipal council)</w:t>
      </w:r>
      <w:r w:rsidRPr="0099464A">
        <w:rPr>
          <w:rFonts w:cstheme="minorHAnsi"/>
        </w:rPr>
        <w:t xml:space="preserve"> and an amendment to a planning scheme that has been adopted by Council but not yet approved by the Minister.</w:t>
      </w:r>
    </w:p>
    <w:p w:rsidR="00455611" w:rsidRPr="0099464A" w:rsidRDefault="00455611" w:rsidP="00455611">
      <w:pPr>
        <w:pStyle w:val="Heading4"/>
        <w:rPr>
          <w:rFonts w:asciiTheme="minorHAnsi" w:hAnsiTheme="minorHAnsi" w:cstheme="minorHAnsi"/>
        </w:rPr>
      </w:pPr>
      <w:r w:rsidRPr="0099464A">
        <w:rPr>
          <w:rFonts w:asciiTheme="minorHAnsi" w:hAnsiTheme="minorHAnsi" w:cstheme="minorHAnsi"/>
        </w:rPr>
        <w:t>Planning schemes</w:t>
      </w:r>
    </w:p>
    <w:p w:rsidR="00455611" w:rsidRPr="0099464A" w:rsidRDefault="00455611" w:rsidP="00455611">
      <w:pPr>
        <w:rPr>
          <w:rFonts w:cstheme="minorHAnsi"/>
        </w:rPr>
      </w:pPr>
      <w:r>
        <w:rPr>
          <w:rFonts w:cstheme="minorHAnsi"/>
        </w:rPr>
        <w:t>Councils</w:t>
      </w:r>
      <w:r w:rsidRPr="0099464A">
        <w:rPr>
          <w:rFonts w:cstheme="minorHAnsi"/>
        </w:rPr>
        <w:t xml:space="preserve"> are required to prepare, administer and enforce planning schemes within their jurisdictions. Planning schemes must be prepared in accordance with the </w:t>
      </w:r>
      <w:r w:rsidRPr="0099464A">
        <w:rPr>
          <w:rFonts w:cstheme="minorHAnsi"/>
          <w:i/>
        </w:rPr>
        <w:t>Victoria Planning Provisions</w:t>
      </w:r>
      <w:r w:rsidRPr="0099464A">
        <w:rPr>
          <w:rFonts w:cstheme="minorHAnsi"/>
        </w:rPr>
        <w:t>, which set out the format in which strategies, policies and provisions must be prepared, including standard zone and overlay provisions.</w:t>
      </w:r>
    </w:p>
    <w:p w:rsidR="00455611" w:rsidRPr="0099464A" w:rsidRDefault="00455611" w:rsidP="00455611">
      <w:pPr>
        <w:spacing w:before="240"/>
        <w:rPr>
          <w:rFonts w:cstheme="minorHAnsi"/>
        </w:rPr>
      </w:pPr>
      <w:r w:rsidRPr="0099464A">
        <w:rPr>
          <w:rFonts w:cstheme="minorHAnsi"/>
        </w:rPr>
        <w:t>Each planning scheme must also contain a Local Planning Policy Framework (LPPF) comprising a municipal strategic statement (MSS) and local planning policies (LPPs).  MSSs outline local objectives, strategies, implementation approaches and performance measures. Local planning policies assist in exercising discretion regarding planning permit decisions, but cannot override zones or other regulatory provisions. LPPs must support the SPPF.</w:t>
      </w:r>
    </w:p>
    <w:p w:rsidR="00455611" w:rsidRPr="0099464A" w:rsidRDefault="00455611" w:rsidP="00455611">
      <w:pPr>
        <w:rPr>
          <w:rFonts w:cstheme="minorHAnsi"/>
        </w:rPr>
      </w:pPr>
      <w:bookmarkStart w:id="71" w:name="_Hlk485516407"/>
      <w:r w:rsidRPr="0099464A">
        <w:rPr>
          <w:rFonts w:cstheme="minorHAnsi"/>
        </w:rPr>
        <w:t xml:space="preserve">All planning schemes in Victoria contain a standard gaming provision (Clause 52.28), which was introduced in 2006. The Clause requires that a planning permit be granted for the installation and use of EGMs in a new venue or to increase the number of machines in an existing venue. </w:t>
      </w:r>
      <w:bookmarkEnd w:id="71"/>
      <w:r w:rsidRPr="0099464A">
        <w:rPr>
          <w:rFonts w:cstheme="minorHAnsi"/>
        </w:rPr>
        <w:t>Schedules to the Clause allow for local variations to the standard provisions, enabling planning authorities to prohibit EGMs in specific strip shopping centres or complexes. A default schedule prohibits EGMs in all strip shopping centres where a detailed schedule has not been included in the scheme.</w:t>
      </w:r>
    </w:p>
    <w:p w:rsidR="00455611" w:rsidRPr="0099464A" w:rsidRDefault="00455611" w:rsidP="00455611">
      <w:pPr>
        <w:pStyle w:val="Heading3"/>
        <w:rPr>
          <w:rFonts w:asciiTheme="minorHAnsi" w:hAnsiTheme="minorHAnsi" w:cstheme="minorHAnsi"/>
        </w:rPr>
      </w:pPr>
      <w:r w:rsidRPr="0099464A">
        <w:rPr>
          <w:rFonts w:asciiTheme="minorHAnsi" w:hAnsiTheme="minorHAnsi" w:cstheme="minorHAnsi"/>
        </w:rPr>
        <w:t>Local Government Act 1989</w:t>
      </w:r>
    </w:p>
    <w:p w:rsidR="00455611" w:rsidRPr="0099464A" w:rsidRDefault="00455611" w:rsidP="00455611">
      <w:pPr>
        <w:rPr>
          <w:rFonts w:cstheme="minorHAnsi"/>
        </w:rPr>
      </w:pPr>
      <w:r w:rsidRPr="0099464A">
        <w:rPr>
          <w:rFonts w:cstheme="minorHAnsi"/>
        </w:rPr>
        <w:t xml:space="preserve">The </w:t>
      </w:r>
      <w:r w:rsidRPr="0099464A">
        <w:rPr>
          <w:rFonts w:cstheme="minorHAnsi"/>
          <w:i/>
        </w:rPr>
        <w:t xml:space="preserve">Local Government Act 1989 </w:t>
      </w:r>
      <w:r w:rsidRPr="0099464A">
        <w:rPr>
          <w:rFonts w:cstheme="minorHAnsi"/>
        </w:rPr>
        <w:t>is the statutory instrument that prescribes Council’s role in relation to administering its municipality.</w:t>
      </w:r>
    </w:p>
    <w:p w:rsidR="00455611" w:rsidRPr="0099464A" w:rsidRDefault="00455611" w:rsidP="00455611">
      <w:pPr>
        <w:rPr>
          <w:rFonts w:cstheme="minorHAnsi"/>
        </w:rPr>
      </w:pPr>
      <w:r w:rsidRPr="0099464A">
        <w:rPr>
          <w:rFonts w:cstheme="minorHAnsi"/>
        </w:rPr>
        <w:t xml:space="preserve">The functions of a Council are defined by the </w:t>
      </w:r>
      <w:r w:rsidRPr="0099464A">
        <w:rPr>
          <w:rFonts w:cstheme="minorHAnsi"/>
          <w:i/>
        </w:rPr>
        <w:t>Local Government Act 1989</w:t>
      </w:r>
      <w:r w:rsidRPr="0099464A">
        <w:rPr>
          <w:rFonts w:cstheme="minorHAnsi"/>
        </w:rPr>
        <w:t xml:space="preserve"> as follows:</w:t>
      </w:r>
    </w:p>
    <w:p w:rsidR="00455611" w:rsidRPr="00455611" w:rsidRDefault="00455611" w:rsidP="00455611">
      <w:pPr>
        <w:pStyle w:val="DraftHeading3"/>
        <w:tabs>
          <w:tab w:val="right" w:pos="1757"/>
        </w:tabs>
        <w:spacing w:before="0" w:after="120"/>
        <w:ind w:left="720"/>
        <w:rPr>
          <w:rFonts w:asciiTheme="minorHAnsi" w:hAnsiTheme="minorHAnsi" w:cstheme="minorHAnsi"/>
          <w:sz w:val="22"/>
          <w:szCs w:val="22"/>
        </w:rPr>
      </w:pPr>
      <w:r w:rsidRPr="00455611">
        <w:rPr>
          <w:rFonts w:asciiTheme="minorHAnsi" w:hAnsiTheme="minorHAnsi" w:cstheme="minorHAnsi"/>
          <w:sz w:val="22"/>
          <w:szCs w:val="22"/>
        </w:rPr>
        <w:t>(a) advocating and promoting proposals which are in the best i</w:t>
      </w:r>
      <w:r w:rsidR="00AA4757">
        <w:rPr>
          <w:rFonts w:asciiTheme="minorHAnsi" w:hAnsiTheme="minorHAnsi" w:cstheme="minorHAnsi"/>
          <w:sz w:val="22"/>
          <w:szCs w:val="22"/>
        </w:rPr>
        <w:t>nterests of the local community.</w:t>
      </w:r>
    </w:p>
    <w:p w:rsidR="00455611" w:rsidRPr="00455611" w:rsidRDefault="00455611" w:rsidP="00455611">
      <w:pPr>
        <w:pStyle w:val="DraftHeading3"/>
        <w:tabs>
          <w:tab w:val="right" w:pos="1757"/>
        </w:tabs>
        <w:spacing w:before="0" w:after="120"/>
        <w:ind w:left="720"/>
        <w:rPr>
          <w:rFonts w:asciiTheme="minorHAnsi" w:hAnsiTheme="minorHAnsi" w:cstheme="minorHAnsi"/>
          <w:sz w:val="22"/>
          <w:szCs w:val="22"/>
        </w:rPr>
      </w:pPr>
      <w:r w:rsidRPr="00455611">
        <w:rPr>
          <w:rFonts w:asciiTheme="minorHAnsi" w:hAnsiTheme="minorHAnsi" w:cstheme="minorHAnsi"/>
          <w:sz w:val="22"/>
          <w:szCs w:val="22"/>
        </w:rPr>
        <w:t>(b) planning for and providing services and fac</w:t>
      </w:r>
      <w:r w:rsidR="00AA4757">
        <w:rPr>
          <w:rFonts w:asciiTheme="minorHAnsi" w:hAnsiTheme="minorHAnsi" w:cstheme="minorHAnsi"/>
          <w:sz w:val="22"/>
          <w:szCs w:val="22"/>
        </w:rPr>
        <w:t>ilities for the local community.</w:t>
      </w:r>
    </w:p>
    <w:p w:rsidR="00455611" w:rsidRPr="00455611" w:rsidRDefault="00455611" w:rsidP="00455611">
      <w:pPr>
        <w:pStyle w:val="DraftHeading3"/>
        <w:tabs>
          <w:tab w:val="right" w:pos="1757"/>
        </w:tabs>
        <w:spacing w:before="0" w:after="120"/>
        <w:ind w:left="2591" w:hanging="1871"/>
        <w:rPr>
          <w:rFonts w:asciiTheme="minorHAnsi" w:hAnsiTheme="minorHAnsi" w:cstheme="minorHAnsi"/>
          <w:sz w:val="22"/>
          <w:szCs w:val="22"/>
        </w:rPr>
      </w:pPr>
      <w:r w:rsidRPr="00455611">
        <w:rPr>
          <w:rFonts w:asciiTheme="minorHAnsi" w:hAnsiTheme="minorHAnsi" w:cstheme="minorHAnsi"/>
          <w:sz w:val="22"/>
          <w:szCs w:val="22"/>
        </w:rPr>
        <w:t>(c)</w:t>
      </w:r>
      <w:r w:rsidRPr="00455611">
        <w:rPr>
          <w:rFonts w:asciiTheme="minorHAnsi" w:hAnsiTheme="minorHAnsi" w:cstheme="minorHAnsi"/>
          <w:sz w:val="22"/>
          <w:szCs w:val="22"/>
        </w:rPr>
        <w:tab/>
        <w:t xml:space="preserve"> providing and maintaining community infrastru</w:t>
      </w:r>
      <w:r w:rsidR="00AA4757">
        <w:rPr>
          <w:rFonts w:asciiTheme="minorHAnsi" w:hAnsiTheme="minorHAnsi" w:cstheme="minorHAnsi"/>
          <w:sz w:val="22"/>
          <w:szCs w:val="22"/>
        </w:rPr>
        <w:t>cture in the municipal district.</w:t>
      </w:r>
    </w:p>
    <w:p w:rsidR="00455611" w:rsidRPr="00455611" w:rsidRDefault="00455611" w:rsidP="00455611">
      <w:pPr>
        <w:pStyle w:val="DraftHeading3"/>
        <w:tabs>
          <w:tab w:val="right" w:pos="1757"/>
        </w:tabs>
        <w:spacing w:before="0" w:after="120"/>
        <w:ind w:left="2591" w:hanging="1871"/>
        <w:rPr>
          <w:rFonts w:asciiTheme="minorHAnsi" w:hAnsiTheme="minorHAnsi" w:cstheme="minorHAnsi"/>
          <w:sz w:val="22"/>
          <w:szCs w:val="22"/>
        </w:rPr>
      </w:pPr>
      <w:r w:rsidRPr="00455611">
        <w:rPr>
          <w:rFonts w:asciiTheme="minorHAnsi" w:hAnsiTheme="minorHAnsi" w:cstheme="minorHAnsi"/>
          <w:sz w:val="22"/>
          <w:szCs w:val="22"/>
        </w:rPr>
        <w:t>(d)</w:t>
      </w:r>
      <w:r w:rsidRPr="00455611">
        <w:rPr>
          <w:rFonts w:asciiTheme="minorHAnsi" w:hAnsiTheme="minorHAnsi" w:cstheme="minorHAnsi"/>
          <w:sz w:val="22"/>
          <w:szCs w:val="22"/>
        </w:rPr>
        <w:tab/>
        <w:t xml:space="preserve"> undertaking strategic and land use plan</w:t>
      </w:r>
      <w:r w:rsidR="00AA4757">
        <w:rPr>
          <w:rFonts w:asciiTheme="minorHAnsi" w:hAnsiTheme="minorHAnsi" w:cstheme="minorHAnsi"/>
          <w:sz w:val="22"/>
          <w:szCs w:val="22"/>
        </w:rPr>
        <w:t>ning for the municipal district.</w:t>
      </w:r>
    </w:p>
    <w:p w:rsidR="00455611" w:rsidRPr="00455611" w:rsidRDefault="00455611" w:rsidP="00455611">
      <w:pPr>
        <w:pStyle w:val="DraftHeading3"/>
        <w:tabs>
          <w:tab w:val="right" w:pos="1757"/>
        </w:tabs>
        <w:spacing w:before="0" w:after="120"/>
        <w:ind w:left="2591" w:hanging="1871"/>
        <w:rPr>
          <w:rFonts w:asciiTheme="minorHAnsi" w:hAnsiTheme="minorHAnsi" w:cstheme="minorHAnsi"/>
          <w:sz w:val="22"/>
          <w:szCs w:val="22"/>
        </w:rPr>
      </w:pPr>
      <w:r w:rsidRPr="00455611">
        <w:rPr>
          <w:rFonts w:asciiTheme="minorHAnsi" w:hAnsiTheme="minorHAnsi" w:cstheme="minorHAnsi"/>
          <w:sz w:val="22"/>
          <w:szCs w:val="22"/>
        </w:rPr>
        <w:t>(e)</w:t>
      </w:r>
      <w:r w:rsidRPr="00455611">
        <w:rPr>
          <w:rFonts w:asciiTheme="minorHAnsi" w:hAnsiTheme="minorHAnsi" w:cstheme="minorHAnsi"/>
          <w:sz w:val="22"/>
          <w:szCs w:val="22"/>
        </w:rPr>
        <w:tab/>
        <w:t xml:space="preserve"> raising revenue to enable the C</w:t>
      </w:r>
      <w:r w:rsidR="00AA4757">
        <w:rPr>
          <w:rFonts w:asciiTheme="minorHAnsi" w:hAnsiTheme="minorHAnsi" w:cstheme="minorHAnsi"/>
          <w:sz w:val="22"/>
          <w:szCs w:val="22"/>
        </w:rPr>
        <w:t>ouncil to perform its functions.</w:t>
      </w:r>
    </w:p>
    <w:p w:rsidR="00455611" w:rsidRPr="00455611" w:rsidRDefault="00455611" w:rsidP="00455611">
      <w:pPr>
        <w:pStyle w:val="DraftHeading3"/>
        <w:tabs>
          <w:tab w:val="right" w:pos="1757"/>
        </w:tabs>
        <w:spacing w:before="0" w:after="120"/>
        <w:ind w:left="2591" w:hanging="1871"/>
        <w:rPr>
          <w:rFonts w:asciiTheme="minorHAnsi" w:hAnsiTheme="minorHAnsi" w:cstheme="minorHAnsi"/>
          <w:sz w:val="22"/>
          <w:szCs w:val="22"/>
        </w:rPr>
      </w:pPr>
      <w:r w:rsidRPr="00455611">
        <w:rPr>
          <w:rFonts w:asciiTheme="minorHAnsi" w:hAnsiTheme="minorHAnsi" w:cstheme="minorHAnsi"/>
          <w:sz w:val="22"/>
          <w:szCs w:val="22"/>
        </w:rPr>
        <w:t>(f)</w:t>
      </w:r>
      <w:r w:rsidRPr="00455611">
        <w:rPr>
          <w:rFonts w:asciiTheme="minorHAnsi" w:hAnsiTheme="minorHAnsi" w:cstheme="minorHAnsi"/>
          <w:sz w:val="22"/>
          <w:szCs w:val="22"/>
        </w:rPr>
        <w:tab/>
        <w:t xml:space="preserve"> </w:t>
      </w:r>
      <w:r w:rsidR="00AA4757">
        <w:rPr>
          <w:rFonts w:asciiTheme="minorHAnsi" w:hAnsiTheme="minorHAnsi" w:cstheme="minorHAnsi"/>
          <w:sz w:val="22"/>
          <w:szCs w:val="22"/>
        </w:rPr>
        <w:t>making and enforcing local laws.</w:t>
      </w:r>
    </w:p>
    <w:p w:rsidR="00455611" w:rsidRPr="00455611" w:rsidRDefault="00455611" w:rsidP="00455611">
      <w:pPr>
        <w:pStyle w:val="DraftHeading3"/>
        <w:tabs>
          <w:tab w:val="right" w:pos="1757"/>
        </w:tabs>
        <w:spacing w:before="0" w:after="120"/>
        <w:ind w:left="709" w:firstLine="11"/>
        <w:rPr>
          <w:rFonts w:asciiTheme="minorHAnsi" w:hAnsiTheme="minorHAnsi" w:cstheme="minorHAnsi"/>
          <w:sz w:val="22"/>
          <w:szCs w:val="22"/>
        </w:rPr>
      </w:pPr>
      <w:r w:rsidRPr="00455611">
        <w:rPr>
          <w:rFonts w:asciiTheme="minorHAnsi" w:hAnsiTheme="minorHAnsi" w:cstheme="minorHAnsi"/>
          <w:sz w:val="22"/>
          <w:szCs w:val="22"/>
        </w:rPr>
        <w:t>(g)</w:t>
      </w:r>
      <w:r w:rsidRPr="00455611">
        <w:rPr>
          <w:rFonts w:asciiTheme="minorHAnsi" w:hAnsiTheme="minorHAnsi" w:cstheme="minorHAnsi"/>
          <w:sz w:val="22"/>
          <w:szCs w:val="22"/>
        </w:rPr>
        <w:tab/>
        <w:t xml:space="preserve"> exercising, performing and discharging the duties, functions and powers of Councils under th</w:t>
      </w:r>
      <w:r w:rsidR="00AA4757">
        <w:rPr>
          <w:rFonts w:asciiTheme="minorHAnsi" w:hAnsiTheme="minorHAnsi" w:cstheme="minorHAnsi"/>
          <w:sz w:val="22"/>
          <w:szCs w:val="22"/>
        </w:rPr>
        <w:t>is Act and other Acts.</w:t>
      </w:r>
    </w:p>
    <w:p w:rsidR="00455611" w:rsidRPr="00455611" w:rsidRDefault="00455611" w:rsidP="00455611">
      <w:pPr>
        <w:pStyle w:val="DraftHeading3"/>
        <w:tabs>
          <w:tab w:val="right" w:pos="1757"/>
        </w:tabs>
        <w:spacing w:before="0" w:after="120"/>
        <w:ind w:left="709" w:firstLine="11"/>
        <w:rPr>
          <w:rFonts w:asciiTheme="minorHAnsi" w:hAnsiTheme="minorHAnsi" w:cstheme="minorHAnsi"/>
          <w:sz w:val="22"/>
          <w:szCs w:val="22"/>
        </w:rPr>
      </w:pPr>
      <w:r w:rsidRPr="00455611">
        <w:rPr>
          <w:rFonts w:asciiTheme="minorHAnsi" w:hAnsiTheme="minorHAnsi" w:cstheme="minorHAnsi"/>
          <w:sz w:val="22"/>
          <w:szCs w:val="22"/>
        </w:rPr>
        <w:t xml:space="preserve">(h) </w:t>
      </w:r>
      <w:r w:rsidRPr="00455611">
        <w:rPr>
          <w:rFonts w:asciiTheme="minorHAnsi" w:hAnsiTheme="minorHAnsi" w:cstheme="minorHAnsi"/>
          <w:sz w:val="22"/>
          <w:szCs w:val="22"/>
        </w:rPr>
        <w:tab/>
        <w:t>any other function relating to the peace, order and good government of the municipal district.</w:t>
      </w:r>
    </w:p>
    <w:p w:rsidR="00455611" w:rsidRPr="0099464A" w:rsidRDefault="00455611" w:rsidP="00455611">
      <w:pPr>
        <w:pStyle w:val="Heading3"/>
        <w:rPr>
          <w:rFonts w:asciiTheme="minorHAnsi" w:hAnsiTheme="minorHAnsi" w:cstheme="minorHAnsi"/>
        </w:rPr>
      </w:pPr>
      <w:r w:rsidRPr="0099464A">
        <w:rPr>
          <w:rFonts w:asciiTheme="minorHAnsi" w:hAnsiTheme="minorHAnsi" w:cstheme="minorHAnsi"/>
        </w:rPr>
        <w:t>Public Health and Wellbeing Act 2008</w:t>
      </w:r>
    </w:p>
    <w:p w:rsidR="00455611" w:rsidRPr="0099464A" w:rsidRDefault="00455611" w:rsidP="00455611">
      <w:pPr>
        <w:rPr>
          <w:rFonts w:cstheme="minorHAnsi"/>
        </w:rPr>
      </w:pPr>
      <w:bookmarkStart w:id="72" w:name="_Toc296024290"/>
      <w:r w:rsidRPr="0099464A">
        <w:rPr>
          <w:rFonts w:cstheme="minorHAnsi"/>
        </w:rPr>
        <w:t xml:space="preserve">The purpose of the </w:t>
      </w:r>
      <w:r w:rsidRPr="0099464A">
        <w:rPr>
          <w:rFonts w:cstheme="minorHAnsi"/>
          <w:i/>
        </w:rPr>
        <w:t xml:space="preserve">Public Health and Wellbeing Act 2008 </w:t>
      </w:r>
      <w:r w:rsidRPr="0099464A">
        <w:rPr>
          <w:rFonts w:cstheme="minorHAnsi"/>
        </w:rPr>
        <w:t xml:space="preserve">is to promote and protect public health and wellbeing across Victoria. The functions of Councils, as defined by Section 24 of the </w:t>
      </w:r>
      <w:r w:rsidRPr="0099464A">
        <w:rPr>
          <w:rFonts w:cstheme="minorHAnsi"/>
          <w:i/>
        </w:rPr>
        <w:t>Public Health and Wellbeing Act 2008</w:t>
      </w:r>
      <w:r w:rsidRPr="0099464A">
        <w:rPr>
          <w:rFonts w:cstheme="minorHAnsi"/>
        </w:rPr>
        <w:t xml:space="preserve"> include:</w:t>
      </w:r>
    </w:p>
    <w:p w:rsidR="00455611" w:rsidRPr="0099464A" w:rsidRDefault="00455611" w:rsidP="00455611">
      <w:pPr>
        <w:ind w:left="716" w:hanging="280"/>
        <w:rPr>
          <w:rFonts w:cstheme="minorHAnsi"/>
        </w:rPr>
      </w:pPr>
      <w:r w:rsidRPr="0099464A">
        <w:rPr>
          <w:rFonts w:cstheme="minorHAnsi"/>
        </w:rPr>
        <w:t>(a) creating an environment which supports the health of members of the local community and strengthens the capacity of the community and indiv</w:t>
      </w:r>
      <w:r w:rsidR="00AA4757">
        <w:rPr>
          <w:rFonts w:cstheme="minorHAnsi"/>
        </w:rPr>
        <w:t>iduals to achieve better health.</w:t>
      </w:r>
    </w:p>
    <w:p w:rsidR="00455611" w:rsidRPr="0099464A" w:rsidRDefault="00455611" w:rsidP="00455611">
      <w:pPr>
        <w:ind w:left="716" w:hanging="280"/>
        <w:rPr>
          <w:rFonts w:cstheme="minorHAnsi"/>
        </w:rPr>
      </w:pPr>
      <w:r w:rsidRPr="0099464A">
        <w:rPr>
          <w:rFonts w:cstheme="minorHAnsi"/>
        </w:rPr>
        <w:t>(b) initiating, supporting and managing public health planning processes at the local government leve</w:t>
      </w:r>
      <w:r w:rsidR="00AA4757">
        <w:rPr>
          <w:rFonts w:cstheme="minorHAnsi"/>
        </w:rPr>
        <w:t>l.</w:t>
      </w:r>
    </w:p>
    <w:p w:rsidR="00455611" w:rsidRPr="0099464A" w:rsidRDefault="00455611" w:rsidP="00455611">
      <w:pPr>
        <w:ind w:left="416"/>
        <w:rPr>
          <w:rFonts w:cstheme="minorHAnsi"/>
        </w:rPr>
      </w:pPr>
      <w:r w:rsidRPr="0099464A">
        <w:rPr>
          <w:rFonts w:cstheme="minorHAnsi"/>
        </w:rPr>
        <w:t xml:space="preserve">(d) ...intervening if the health of people within the municipal district is affected.  </w:t>
      </w:r>
    </w:p>
    <w:p w:rsidR="00455611" w:rsidRPr="0099464A" w:rsidRDefault="00455611" w:rsidP="00455611">
      <w:pPr>
        <w:rPr>
          <w:rFonts w:cstheme="minorHAnsi"/>
        </w:rPr>
      </w:pPr>
      <w:r w:rsidRPr="0099464A">
        <w:rPr>
          <w:rFonts w:cstheme="minorHAnsi"/>
        </w:rPr>
        <w:t xml:space="preserve">One of the principles underpinning this legislation is the </w:t>
      </w:r>
      <w:r w:rsidRPr="0099464A">
        <w:rPr>
          <w:rFonts w:cstheme="minorHAnsi"/>
          <w:bCs/>
        </w:rPr>
        <w:t>precautionary principle,</w:t>
      </w:r>
      <w:r w:rsidRPr="0099464A">
        <w:rPr>
          <w:rFonts w:cstheme="minorHAnsi"/>
        </w:rPr>
        <w:t xml:space="preserve"> described in Section 6 of the Act.  This principle requires that:</w:t>
      </w:r>
    </w:p>
    <w:p w:rsidR="00455611" w:rsidRPr="0099464A" w:rsidRDefault="00455611" w:rsidP="00455611">
      <w:pPr>
        <w:pStyle w:val="BodySectionSub"/>
        <w:spacing w:before="0" w:after="120"/>
        <w:ind w:left="720" w:firstLine="0"/>
        <w:rPr>
          <w:rFonts w:asciiTheme="minorHAnsi" w:hAnsiTheme="minorHAnsi" w:cstheme="minorHAnsi"/>
          <w:i/>
          <w:iCs/>
          <w:sz w:val="20"/>
          <w:szCs w:val="20"/>
        </w:rPr>
      </w:pPr>
      <w:r w:rsidRPr="0099464A">
        <w:rPr>
          <w:rFonts w:asciiTheme="minorHAnsi" w:hAnsiTheme="minorHAnsi" w:cstheme="minorHAnsi"/>
          <w:i/>
          <w:iCs/>
          <w:sz w:val="20"/>
          <w:szCs w:val="20"/>
        </w:rPr>
        <w:t>If a public health risk poses a serious threat, lack of full scientific certainty should not be used as a reason for postponing measures to prevent or control the public health risk.</w:t>
      </w:r>
    </w:p>
    <w:p w:rsidR="00455611" w:rsidRPr="0099464A" w:rsidRDefault="00455611" w:rsidP="00FC5226">
      <w:pPr>
        <w:pStyle w:val="Heading2"/>
      </w:pPr>
      <w:bookmarkStart w:id="73" w:name="_Toc475982179"/>
      <w:bookmarkStart w:id="74" w:name="_Toc494287765"/>
      <w:bookmarkEnd w:id="72"/>
      <w:r w:rsidRPr="0099464A">
        <w:t>Gambling</w:t>
      </w:r>
      <w:bookmarkEnd w:id="73"/>
      <w:r w:rsidR="00396A73">
        <w:t xml:space="preserve"> legislation</w:t>
      </w:r>
      <w:bookmarkEnd w:id="74"/>
    </w:p>
    <w:p w:rsidR="00455611" w:rsidRPr="0099464A" w:rsidRDefault="00455611" w:rsidP="00455611">
      <w:pPr>
        <w:pStyle w:val="Heading3"/>
        <w:rPr>
          <w:rFonts w:asciiTheme="minorHAnsi" w:hAnsiTheme="minorHAnsi" w:cstheme="minorHAnsi"/>
        </w:rPr>
      </w:pPr>
      <w:r w:rsidRPr="0099464A">
        <w:rPr>
          <w:rFonts w:asciiTheme="minorHAnsi" w:hAnsiTheme="minorHAnsi" w:cstheme="minorHAnsi"/>
        </w:rPr>
        <w:t>Gambling Regulation Act 2003</w:t>
      </w:r>
    </w:p>
    <w:p w:rsidR="00455611" w:rsidRPr="0099464A" w:rsidRDefault="00455611" w:rsidP="00455611">
      <w:pPr>
        <w:rPr>
          <w:rFonts w:cstheme="minorHAnsi"/>
        </w:rPr>
      </w:pPr>
      <w:r w:rsidRPr="0099464A">
        <w:rPr>
          <w:rFonts w:cstheme="minorHAnsi"/>
        </w:rPr>
        <w:t xml:space="preserve">The </w:t>
      </w:r>
      <w:r w:rsidRPr="0099464A">
        <w:rPr>
          <w:rFonts w:cstheme="minorHAnsi"/>
          <w:i/>
        </w:rPr>
        <w:t>Gambling Regulation Act 2003</w:t>
      </w:r>
      <w:r w:rsidRPr="0099464A">
        <w:rPr>
          <w:rFonts w:cstheme="minorHAnsi"/>
        </w:rPr>
        <w:t xml:space="preserve"> is the statutory instrument within which applications for gaming venues and licences are assessed.</w:t>
      </w:r>
    </w:p>
    <w:p w:rsidR="00455611" w:rsidRPr="0099464A" w:rsidRDefault="00455611" w:rsidP="00455611">
      <w:pPr>
        <w:pStyle w:val="Heading4"/>
        <w:rPr>
          <w:rFonts w:asciiTheme="minorHAnsi" w:hAnsiTheme="minorHAnsi" w:cstheme="minorHAnsi"/>
        </w:rPr>
      </w:pPr>
      <w:r w:rsidRPr="0099464A">
        <w:rPr>
          <w:rFonts w:asciiTheme="minorHAnsi" w:hAnsiTheme="minorHAnsi" w:cstheme="minorHAnsi"/>
        </w:rPr>
        <w:t>Objectives</w:t>
      </w:r>
    </w:p>
    <w:p w:rsidR="00455611" w:rsidRPr="0099464A" w:rsidRDefault="00455611" w:rsidP="00455611">
      <w:pPr>
        <w:rPr>
          <w:rFonts w:cstheme="minorHAnsi"/>
          <w:szCs w:val="20"/>
        </w:rPr>
      </w:pPr>
      <w:r w:rsidRPr="0099464A">
        <w:rPr>
          <w:rFonts w:cstheme="minorHAnsi"/>
          <w:szCs w:val="20"/>
        </w:rPr>
        <w:t xml:space="preserve">The </w:t>
      </w:r>
      <w:r w:rsidRPr="0099464A">
        <w:rPr>
          <w:rFonts w:cstheme="minorHAnsi"/>
          <w:i/>
          <w:szCs w:val="20"/>
        </w:rPr>
        <w:t>Gambling Regulation Act 2003</w:t>
      </w:r>
      <w:r w:rsidRPr="0099464A">
        <w:rPr>
          <w:rFonts w:cstheme="minorHAnsi"/>
          <w:szCs w:val="20"/>
        </w:rPr>
        <w:t xml:space="preserve"> is the statutory instrument under which applications for approval of premises as suitable for gaming are considered. The main objectives of the </w:t>
      </w:r>
      <w:r w:rsidRPr="0099464A">
        <w:rPr>
          <w:rFonts w:cstheme="minorHAnsi"/>
          <w:bCs/>
          <w:i/>
          <w:szCs w:val="20"/>
        </w:rPr>
        <w:t>Gambling Regulation Act 2003</w:t>
      </w:r>
      <w:r w:rsidRPr="0099464A">
        <w:rPr>
          <w:rFonts w:cstheme="minorHAnsi"/>
          <w:szCs w:val="20"/>
        </w:rPr>
        <w:t xml:space="preserve"> (GRA) are:</w:t>
      </w:r>
    </w:p>
    <w:p w:rsidR="00455611" w:rsidRPr="00455611" w:rsidRDefault="00455611" w:rsidP="00455611">
      <w:pPr>
        <w:pStyle w:val="DraftHeading3"/>
        <w:tabs>
          <w:tab w:val="right" w:pos="1758"/>
        </w:tabs>
        <w:spacing w:before="0" w:after="120"/>
        <w:ind w:left="2591" w:hanging="1871"/>
        <w:rPr>
          <w:rFonts w:asciiTheme="minorHAnsi" w:hAnsiTheme="minorHAnsi" w:cstheme="minorHAnsi"/>
          <w:sz w:val="22"/>
          <w:szCs w:val="22"/>
        </w:rPr>
      </w:pPr>
      <w:r w:rsidRPr="0099464A">
        <w:rPr>
          <w:rFonts w:asciiTheme="minorHAnsi" w:hAnsiTheme="minorHAnsi" w:cstheme="minorHAnsi"/>
          <w:sz w:val="20"/>
          <w:szCs w:val="22"/>
        </w:rPr>
        <w:t>(</w:t>
      </w:r>
      <w:r w:rsidRPr="00455611">
        <w:rPr>
          <w:rFonts w:asciiTheme="minorHAnsi" w:hAnsiTheme="minorHAnsi" w:cstheme="minorHAnsi"/>
          <w:sz w:val="22"/>
          <w:szCs w:val="22"/>
        </w:rPr>
        <w:t>a) to foster responsible gambling in order to—</w:t>
      </w:r>
    </w:p>
    <w:p w:rsidR="00455611" w:rsidRPr="00455611" w:rsidRDefault="00455611" w:rsidP="00455611">
      <w:pPr>
        <w:pStyle w:val="DraftHeading4"/>
        <w:tabs>
          <w:tab w:val="right" w:pos="2268"/>
        </w:tabs>
        <w:spacing w:before="0"/>
        <w:ind w:left="3821" w:hanging="2381"/>
        <w:rPr>
          <w:rFonts w:asciiTheme="minorHAnsi" w:hAnsiTheme="minorHAnsi" w:cstheme="minorHAnsi"/>
          <w:sz w:val="22"/>
          <w:szCs w:val="22"/>
        </w:rPr>
      </w:pPr>
      <w:r w:rsidRPr="00455611">
        <w:rPr>
          <w:rFonts w:asciiTheme="minorHAnsi" w:hAnsiTheme="minorHAnsi" w:cstheme="minorHAnsi"/>
          <w:sz w:val="22"/>
          <w:szCs w:val="22"/>
        </w:rPr>
        <w:t>(i)</w:t>
      </w:r>
      <w:r w:rsidRPr="00455611">
        <w:rPr>
          <w:rFonts w:asciiTheme="minorHAnsi" w:hAnsiTheme="minorHAnsi" w:cstheme="minorHAnsi"/>
          <w:sz w:val="22"/>
          <w:szCs w:val="22"/>
        </w:rPr>
        <w:tab/>
        <w:t xml:space="preserve"> minimise harm</w:t>
      </w:r>
      <w:r w:rsidR="00AA4757">
        <w:rPr>
          <w:rFonts w:asciiTheme="minorHAnsi" w:hAnsiTheme="minorHAnsi" w:cstheme="minorHAnsi"/>
          <w:sz w:val="22"/>
          <w:szCs w:val="22"/>
        </w:rPr>
        <w:t xml:space="preserve"> caused by problem gambling.</w:t>
      </w:r>
    </w:p>
    <w:p w:rsidR="00455611" w:rsidRPr="00455611" w:rsidRDefault="00455611" w:rsidP="00455611">
      <w:pPr>
        <w:pStyle w:val="DraftHeading4"/>
        <w:tabs>
          <w:tab w:val="right" w:pos="2268"/>
        </w:tabs>
        <w:spacing w:before="0"/>
        <w:ind w:left="3821" w:hanging="2381"/>
        <w:rPr>
          <w:rFonts w:asciiTheme="minorHAnsi" w:hAnsiTheme="minorHAnsi" w:cstheme="minorHAnsi"/>
          <w:sz w:val="22"/>
          <w:szCs w:val="22"/>
        </w:rPr>
      </w:pPr>
      <w:r w:rsidRPr="00455611">
        <w:rPr>
          <w:rFonts w:asciiTheme="minorHAnsi" w:hAnsiTheme="minorHAnsi" w:cstheme="minorHAnsi"/>
          <w:sz w:val="22"/>
          <w:szCs w:val="22"/>
        </w:rPr>
        <w:t>(ii)</w:t>
      </w:r>
      <w:r w:rsidRPr="00455611">
        <w:rPr>
          <w:rFonts w:asciiTheme="minorHAnsi" w:hAnsiTheme="minorHAnsi" w:cstheme="minorHAnsi"/>
          <w:sz w:val="22"/>
          <w:szCs w:val="22"/>
        </w:rPr>
        <w:tab/>
        <w:t xml:space="preserve"> accommodate those who gamble witho</w:t>
      </w:r>
      <w:r w:rsidR="00AA4757">
        <w:rPr>
          <w:rFonts w:asciiTheme="minorHAnsi" w:hAnsiTheme="minorHAnsi" w:cstheme="minorHAnsi"/>
          <w:sz w:val="22"/>
          <w:szCs w:val="22"/>
        </w:rPr>
        <w:t>ut harming themselves or others.</w:t>
      </w:r>
    </w:p>
    <w:p w:rsidR="00455611" w:rsidRPr="00455611" w:rsidRDefault="00AA4757" w:rsidP="00455611">
      <w:pPr>
        <w:pStyle w:val="DraftHeading3"/>
        <w:spacing w:before="0" w:after="120"/>
        <w:ind w:left="709" w:firstLine="11"/>
        <w:rPr>
          <w:rFonts w:asciiTheme="minorHAnsi" w:hAnsiTheme="minorHAnsi" w:cstheme="minorHAnsi"/>
          <w:sz w:val="22"/>
          <w:szCs w:val="22"/>
        </w:rPr>
      </w:pPr>
      <w:r>
        <w:rPr>
          <w:rFonts w:asciiTheme="minorHAnsi" w:hAnsiTheme="minorHAnsi" w:cstheme="minorHAnsi"/>
          <w:sz w:val="22"/>
          <w:szCs w:val="22"/>
        </w:rPr>
        <w:t>(</w:t>
      </w:r>
      <w:r w:rsidR="00455611" w:rsidRPr="00455611">
        <w:rPr>
          <w:rFonts w:asciiTheme="minorHAnsi" w:hAnsiTheme="minorHAnsi" w:cstheme="minorHAnsi"/>
          <w:sz w:val="22"/>
          <w:szCs w:val="22"/>
        </w:rPr>
        <w:t>b) to ensure that minors are neither encouraged</w:t>
      </w:r>
      <w:r>
        <w:rPr>
          <w:rFonts w:asciiTheme="minorHAnsi" w:hAnsiTheme="minorHAnsi" w:cstheme="minorHAnsi"/>
          <w:sz w:val="22"/>
          <w:szCs w:val="22"/>
        </w:rPr>
        <w:t xml:space="preserve"> to gamble nor allowed to do so.</w:t>
      </w:r>
    </w:p>
    <w:p w:rsidR="00455611" w:rsidRPr="00455611" w:rsidRDefault="00455611" w:rsidP="00455611">
      <w:pPr>
        <w:pStyle w:val="DraftHeading3"/>
        <w:tabs>
          <w:tab w:val="right" w:pos="1757"/>
        </w:tabs>
        <w:spacing w:before="0" w:after="120"/>
        <w:ind w:left="2580" w:hanging="1871"/>
        <w:rPr>
          <w:rFonts w:asciiTheme="minorHAnsi" w:hAnsiTheme="minorHAnsi" w:cstheme="minorHAnsi"/>
          <w:sz w:val="22"/>
          <w:szCs w:val="22"/>
        </w:rPr>
      </w:pPr>
      <w:r w:rsidRPr="00455611">
        <w:rPr>
          <w:rFonts w:asciiTheme="minorHAnsi" w:hAnsiTheme="minorHAnsi" w:cstheme="minorHAnsi"/>
          <w:sz w:val="22"/>
          <w:szCs w:val="22"/>
        </w:rPr>
        <w:t>(</w:t>
      </w:r>
      <w:r w:rsidR="00AA4757">
        <w:rPr>
          <w:rFonts w:asciiTheme="minorHAnsi" w:hAnsiTheme="minorHAnsi" w:cstheme="minorHAnsi"/>
          <w:sz w:val="22"/>
          <w:szCs w:val="22"/>
        </w:rPr>
        <w:t>c</w:t>
      </w:r>
      <w:r w:rsidRPr="00455611">
        <w:rPr>
          <w:rFonts w:asciiTheme="minorHAnsi" w:hAnsiTheme="minorHAnsi" w:cstheme="minorHAnsi"/>
          <w:sz w:val="22"/>
          <w:szCs w:val="22"/>
        </w:rPr>
        <w:t>)</w:t>
      </w:r>
      <w:r w:rsidRPr="00455611">
        <w:rPr>
          <w:rFonts w:asciiTheme="minorHAnsi" w:hAnsiTheme="minorHAnsi" w:cstheme="minorHAnsi"/>
          <w:sz w:val="22"/>
          <w:szCs w:val="22"/>
        </w:rPr>
        <w:tab/>
        <w:t xml:space="preserve"> to ensure that gaming on gaming</w:t>
      </w:r>
      <w:r w:rsidR="00AA4757">
        <w:rPr>
          <w:rFonts w:asciiTheme="minorHAnsi" w:hAnsiTheme="minorHAnsi" w:cstheme="minorHAnsi"/>
          <w:sz w:val="22"/>
          <w:szCs w:val="22"/>
        </w:rPr>
        <w:t xml:space="preserve"> machines is conducted honestly.</w:t>
      </w:r>
    </w:p>
    <w:p w:rsidR="00455611" w:rsidRPr="00455611" w:rsidRDefault="00AA4757" w:rsidP="00455611">
      <w:pPr>
        <w:pStyle w:val="DraftHeading3"/>
        <w:spacing w:before="0" w:after="120"/>
        <w:ind w:left="709"/>
        <w:rPr>
          <w:rFonts w:asciiTheme="minorHAnsi" w:hAnsiTheme="minorHAnsi" w:cstheme="minorHAnsi"/>
          <w:sz w:val="22"/>
          <w:szCs w:val="22"/>
        </w:rPr>
      </w:pPr>
      <w:r>
        <w:rPr>
          <w:rFonts w:asciiTheme="minorHAnsi" w:hAnsiTheme="minorHAnsi" w:cstheme="minorHAnsi"/>
          <w:sz w:val="22"/>
          <w:szCs w:val="22"/>
        </w:rPr>
        <w:t>(d</w:t>
      </w:r>
      <w:r w:rsidR="00455611" w:rsidRPr="00455611">
        <w:rPr>
          <w:rFonts w:asciiTheme="minorHAnsi" w:hAnsiTheme="minorHAnsi" w:cstheme="minorHAnsi"/>
          <w:sz w:val="22"/>
          <w:szCs w:val="22"/>
        </w:rPr>
        <w:t>) to ensure that the management of gaming machines and gaming equipment is free from crim</w:t>
      </w:r>
      <w:r>
        <w:rPr>
          <w:rFonts w:asciiTheme="minorHAnsi" w:hAnsiTheme="minorHAnsi" w:cstheme="minorHAnsi"/>
          <w:sz w:val="22"/>
          <w:szCs w:val="22"/>
        </w:rPr>
        <w:t>inal influence and exploitation.</w:t>
      </w:r>
    </w:p>
    <w:p w:rsidR="00455611" w:rsidRPr="00455611" w:rsidRDefault="00AA4757" w:rsidP="00455611">
      <w:pPr>
        <w:pStyle w:val="DraftHeading3"/>
        <w:tabs>
          <w:tab w:val="right" w:pos="1757"/>
        </w:tabs>
        <w:spacing w:before="0" w:after="120"/>
        <w:ind w:left="709"/>
        <w:rPr>
          <w:rFonts w:asciiTheme="minorHAnsi" w:hAnsiTheme="minorHAnsi" w:cstheme="minorHAnsi"/>
          <w:sz w:val="22"/>
          <w:szCs w:val="22"/>
        </w:rPr>
      </w:pPr>
      <w:r>
        <w:rPr>
          <w:rFonts w:asciiTheme="minorHAnsi" w:hAnsiTheme="minorHAnsi" w:cstheme="minorHAnsi"/>
          <w:sz w:val="22"/>
          <w:szCs w:val="22"/>
        </w:rPr>
        <w:t>(e</w:t>
      </w:r>
      <w:r w:rsidR="00455611" w:rsidRPr="00455611">
        <w:rPr>
          <w:rFonts w:asciiTheme="minorHAnsi" w:hAnsiTheme="minorHAnsi" w:cstheme="minorHAnsi"/>
          <w:sz w:val="22"/>
          <w:szCs w:val="22"/>
        </w:rPr>
        <w:t>)</w:t>
      </w:r>
      <w:r w:rsidR="00455611" w:rsidRPr="00455611">
        <w:rPr>
          <w:rFonts w:asciiTheme="minorHAnsi" w:hAnsiTheme="minorHAnsi" w:cstheme="minorHAnsi"/>
          <w:sz w:val="22"/>
          <w:szCs w:val="22"/>
        </w:rPr>
        <w:tab/>
        <w:t xml:space="preserve"> to ensure that other forms of gambling permitted under this or any other Act are conducted honestly and that their management is free from crim</w:t>
      </w:r>
      <w:r>
        <w:rPr>
          <w:rFonts w:asciiTheme="minorHAnsi" w:hAnsiTheme="minorHAnsi" w:cstheme="minorHAnsi"/>
          <w:sz w:val="22"/>
          <w:szCs w:val="22"/>
        </w:rPr>
        <w:t>inal influence and exploitation.</w:t>
      </w:r>
    </w:p>
    <w:p w:rsidR="00455611" w:rsidRPr="00455611" w:rsidRDefault="00455611" w:rsidP="00455611">
      <w:pPr>
        <w:pStyle w:val="DraftHeading3"/>
        <w:tabs>
          <w:tab w:val="right" w:pos="1757"/>
        </w:tabs>
        <w:spacing w:before="0" w:after="120"/>
        <w:ind w:left="2580" w:hanging="1871"/>
        <w:rPr>
          <w:rFonts w:asciiTheme="minorHAnsi" w:hAnsiTheme="minorHAnsi" w:cstheme="minorHAnsi"/>
          <w:sz w:val="22"/>
          <w:szCs w:val="22"/>
        </w:rPr>
      </w:pPr>
      <w:r w:rsidRPr="00455611">
        <w:rPr>
          <w:rFonts w:asciiTheme="minorHAnsi" w:hAnsiTheme="minorHAnsi" w:cstheme="minorHAnsi"/>
          <w:sz w:val="22"/>
          <w:szCs w:val="22"/>
        </w:rPr>
        <w:t>(e)</w:t>
      </w:r>
      <w:r w:rsidRPr="00455611">
        <w:rPr>
          <w:rFonts w:asciiTheme="minorHAnsi" w:hAnsiTheme="minorHAnsi" w:cstheme="minorHAnsi"/>
          <w:sz w:val="22"/>
          <w:szCs w:val="22"/>
        </w:rPr>
        <w:tab/>
        <w:t xml:space="preserve"> to ensure that—</w:t>
      </w:r>
    </w:p>
    <w:p w:rsidR="00455611" w:rsidRPr="00455611" w:rsidRDefault="00455611" w:rsidP="00455611">
      <w:pPr>
        <w:pStyle w:val="DraftHeading4"/>
        <w:tabs>
          <w:tab w:val="right" w:pos="2268"/>
        </w:tabs>
        <w:spacing w:before="0"/>
        <w:ind w:left="1418" w:firstLine="22"/>
        <w:rPr>
          <w:rFonts w:asciiTheme="minorHAnsi" w:hAnsiTheme="minorHAnsi" w:cstheme="minorHAnsi"/>
          <w:sz w:val="22"/>
          <w:szCs w:val="22"/>
        </w:rPr>
      </w:pPr>
      <w:r w:rsidRPr="00455611">
        <w:rPr>
          <w:rFonts w:asciiTheme="minorHAnsi" w:hAnsiTheme="minorHAnsi" w:cstheme="minorHAnsi"/>
          <w:sz w:val="22"/>
          <w:szCs w:val="22"/>
        </w:rPr>
        <w:t>(i)</w:t>
      </w:r>
      <w:r w:rsidRPr="00455611">
        <w:rPr>
          <w:rFonts w:asciiTheme="minorHAnsi" w:hAnsiTheme="minorHAnsi" w:cstheme="minorHAnsi"/>
          <w:sz w:val="22"/>
          <w:szCs w:val="22"/>
        </w:rPr>
        <w:tab/>
        <w:t xml:space="preserve"> community and charitable gaming benefits the community or ch</w:t>
      </w:r>
      <w:r w:rsidR="00AA4757">
        <w:rPr>
          <w:rFonts w:asciiTheme="minorHAnsi" w:hAnsiTheme="minorHAnsi" w:cstheme="minorHAnsi"/>
          <w:sz w:val="22"/>
          <w:szCs w:val="22"/>
        </w:rPr>
        <w:t>aritable organisation concerned.</w:t>
      </w:r>
    </w:p>
    <w:p w:rsidR="00455611" w:rsidRPr="00455611" w:rsidRDefault="00455611" w:rsidP="00455611">
      <w:pPr>
        <w:pStyle w:val="DraftHeading4"/>
        <w:tabs>
          <w:tab w:val="right" w:pos="2268"/>
        </w:tabs>
        <w:spacing w:before="0"/>
        <w:ind w:left="1418" w:firstLine="22"/>
        <w:rPr>
          <w:rFonts w:asciiTheme="minorHAnsi" w:hAnsiTheme="minorHAnsi" w:cstheme="minorHAnsi"/>
          <w:sz w:val="22"/>
          <w:szCs w:val="22"/>
        </w:rPr>
      </w:pPr>
      <w:r w:rsidRPr="00455611">
        <w:rPr>
          <w:rFonts w:asciiTheme="minorHAnsi" w:hAnsiTheme="minorHAnsi" w:cstheme="minorHAnsi"/>
          <w:sz w:val="22"/>
          <w:szCs w:val="22"/>
        </w:rPr>
        <w:t>(ii)</w:t>
      </w:r>
      <w:r w:rsidRPr="00455611">
        <w:rPr>
          <w:rFonts w:asciiTheme="minorHAnsi" w:hAnsiTheme="minorHAnsi" w:cstheme="minorHAnsi"/>
          <w:sz w:val="22"/>
          <w:szCs w:val="22"/>
        </w:rPr>
        <w:tab/>
        <w:t xml:space="preserve"> practices that could undermine public confidence in community and c</w:t>
      </w:r>
      <w:r w:rsidR="00AA4757">
        <w:rPr>
          <w:rFonts w:asciiTheme="minorHAnsi" w:hAnsiTheme="minorHAnsi" w:cstheme="minorHAnsi"/>
          <w:sz w:val="22"/>
          <w:szCs w:val="22"/>
        </w:rPr>
        <w:t>haritable gaming are eliminated.</w:t>
      </w:r>
    </w:p>
    <w:p w:rsidR="00455611" w:rsidRPr="00455611" w:rsidRDefault="00455611" w:rsidP="00455611">
      <w:pPr>
        <w:pStyle w:val="DraftHeading4"/>
        <w:spacing w:before="0"/>
        <w:ind w:left="1418" w:firstLine="22"/>
        <w:rPr>
          <w:rFonts w:asciiTheme="minorHAnsi" w:hAnsiTheme="minorHAnsi" w:cstheme="minorHAnsi"/>
          <w:sz w:val="22"/>
          <w:szCs w:val="22"/>
        </w:rPr>
      </w:pPr>
      <w:r w:rsidRPr="00455611">
        <w:rPr>
          <w:rFonts w:asciiTheme="minorHAnsi" w:hAnsiTheme="minorHAnsi" w:cstheme="minorHAnsi"/>
          <w:sz w:val="22"/>
          <w:szCs w:val="22"/>
        </w:rPr>
        <w:t>(iii) bingo centre operators do not act unfairly in providing commercial services to commun</w:t>
      </w:r>
      <w:r w:rsidR="00AA4757">
        <w:rPr>
          <w:rFonts w:asciiTheme="minorHAnsi" w:hAnsiTheme="minorHAnsi" w:cstheme="minorHAnsi"/>
          <w:sz w:val="22"/>
          <w:szCs w:val="22"/>
        </w:rPr>
        <w:t>ity or charitable organisations.</w:t>
      </w:r>
    </w:p>
    <w:p w:rsidR="00455611" w:rsidRPr="00455611" w:rsidRDefault="00455611" w:rsidP="00455611">
      <w:pPr>
        <w:pStyle w:val="DraftHeading3"/>
        <w:spacing w:before="0" w:after="120"/>
        <w:ind w:left="709" w:firstLine="11"/>
        <w:rPr>
          <w:rFonts w:asciiTheme="minorHAnsi" w:hAnsiTheme="minorHAnsi" w:cstheme="minorHAnsi"/>
          <w:sz w:val="22"/>
          <w:szCs w:val="22"/>
        </w:rPr>
      </w:pPr>
      <w:r w:rsidRPr="00455611">
        <w:rPr>
          <w:rFonts w:asciiTheme="minorHAnsi" w:hAnsiTheme="minorHAnsi" w:cstheme="minorHAnsi"/>
          <w:sz w:val="22"/>
          <w:szCs w:val="22"/>
        </w:rPr>
        <w:t>(f)  to promote tourism, employment and economic development generally in the State.</w:t>
      </w:r>
    </w:p>
    <w:p w:rsidR="00455611" w:rsidRPr="0099464A" w:rsidRDefault="00455611" w:rsidP="00455611">
      <w:pPr>
        <w:pStyle w:val="Heading4"/>
        <w:rPr>
          <w:rFonts w:asciiTheme="minorHAnsi" w:hAnsiTheme="minorHAnsi" w:cstheme="minorHAnsi"/>
        </w:rPr>
      </w:pPr>
      <w:r w:rsidRPr="0099464A">
        <w:rPr>
          <w:rFonts w:asciiTheme="minorHAnsi" w:hAnsiTheme="minorHAnsi" w:cstheme="minorHAnsi"/>
        </w:rPr>
        <w:t>Matters to be considered</w:t>
      </w:r>
    </w:p>
    <w:p w:rsidR="00455611" w:rsidRPr="0099464A" w:rsidRDefault="00455611" w:rsidP="00455611">
      <w:pPr>
        <w:rPr>
          <w:rFonts w:cstheme="minorHAnsi"/>
        </w:rPr>
      </w:pPr>
      <w:r w:rsidRPr="0099464A">
        <w:rPr>
          <w:rFonts w:cstheme="minorHAnsi"/>
        </w:rPr>
        <w:t xml:space="preserve">Section 3.3.7 (1) of the </w:t>
      </w:r>
      <w:r w:rsidRPr="0099464A">
        <w:rPr>
          <w:rFonts w:cstheme="minorHAnsi"/>
          <w:i/>
        </w:rPr>
        <w:t xml:space="preserve">Gambling Regulation Act 2003 </w:t>
      </w:r>
      <w:r w:rsidRPr="0099464A">
        <w:rPr>
          <w:rFonts w:cstheme="minorHAnsi"/>
        </w:rPr>
        <w:t>stipulate that the Commission must not grant an application for approval of premises as suitable for gaming unless it is satisfied that:</w:t>
      </w:r>
    </w:p>
    <w:p w:rsidR="00455611" w:rsidRPr="0099464A" w:rsidRDefault="00455611" w:rsidP="00FB1A04">
      <w:pPr>
        <w:pStyle w:val="ListParagraph"/>
        <w:numPr>
          <w:ilvl w:val="0"/>
          <w:numId w:val="10"/>
        </w:numPr>
        <w:spacing w:after="120"/>
        <w:contextualSpacing w:val="0"/>
        <w:rPr>
          <w:rFonts w:cstheme="minorHAnsi"/>
        </w:rPr>
      </w:pPr>
      <w:r w:rsidRPr="0099464A">
        <w:rPr>
          <w:rFonts w:cstheme="minorHAnsi"/>
        </w:rPr>
        <w:t>The applicant has authority to make the application</w:t>
      </w:r>
      <w:r w:rsidR="00AA4757">
        <w:rPr>
          <w:rFonts w:cstheme="minorHAnsi"/>
        </w:rPr>
        <w:t xml:space="preserve"> in respect of the premises.</w:t>
      </w:r>
    </w:p>
    <w:p w:rsidR="00455611" w:rsidRPr="0099464A" w:rsidRDefault="00455611" w:rsidP="00FB1A04">
      <w:pPr>
        <w:pStyle w:val="ListParagraph"/>
        <w:numPr>
          <w:ilvl w:val="0"/>
          <w:numId w:val="10"/>
        </w:numPr>
        <w:spacing w:after="120"/>
        <w:contextualSpacing w:val="0"/>
        <w:rPr>
          <w:rFonts w:cstheme="minorHAnsi"/>
        </w:rPr>
      </w:pPr>
      <w:r w:rsidRPr="0099464A">
        <w:rPr>
          <w:rFonts w:cstheme="minorHAnsi"/>
        </w:rPr>
        <w:t>The premises are or, on the completion off building works will be, suitable for the management and o</w:t>
      </w:r>
      <w:r w:rsidR="00AA4757">
        <w:rPr>
          <w:rFonts w:cstheme="minorHAnsi"/>
        </w:rPr>
        <w:t>peration of gaming machines.</w:t>
      </w:r>
    </w:p>
    <w:p w:rsidR="00455611" w:rsidRPr="0099464A" w:rsidRDefault="00455611" w:rsidP="00FB1A04">
      <w:pPr>
        <w:pStyle w:val="ListParagraph"/>
        <w:numPr>
          <w:ilvl w:val="0"/>
          <w:numId w:val="10"/>
        </w:numPr>
        <w:spacing w:after="120"/>
        <w:contextualSpacing w:val="0"/>
        <w:rPr>
          <w:rFonts w:cstheme="minorHAnsi"/>
        </w:rPr>
      </w:pPr>
      <w:r w:rsidRPr="0099464A">
        <w:rPr>
          <w:rFonts w:cstheme="minorHAnsi"/>
        </w:rPr>
        <w:t>The net economic and social impact of approval will not be detrimental to the well-being of the community of the municipal district in which the premises are located.</w:t>
      </w:r>
    </w:p>
    <w:p w:rsidR="00455611" w:rsidRPr="0099464A" w:rsidRDefault="00455611" w:rsidP="00455611">
      <w:pPr>
        <w:rPr>
          <w:rFonts w:cstheme="minorHAnsi"/>
        </w:rPr>
      </w:pPr>
      <w:r w:rsidRPr="0099464A">
        <w:rPr>
          <w:rFonts w:cstheme="minorHAnsi"/>
        </w:rPr>
        <w:t xml:space="preserve">In addition, the </w:t>
      </w:r>
      <w:r w:rsidRPr="0099464A">
        <w:rPr>
          <w:rFonts w:cstheme="minorHAnsi"/>
          <w:i/>
        </w:rPr>
        <w:t xml:space="preserve">Act </w:t>
      </w:r>
      <w:r w:rsidRPr="0099464A">
        <w:rPr>
          <w:rFonts w:cstheme="minorHAnsi"/>
        </w:rPr>
        <w:t>requires that the Commission must consider whether the size, layout and facilities of the premises are or will be suitable.</w:t>
      </w:r>
    </w:p>
    <w:p w:rsidR="00455611" w:rsidRPr="0099464A" w:rsidRDefault="00455611" w:rsidP="00455611">
      <w:pPr>
        <w:pStyle w:val="Heading4"/>
        <w:rPr>
          <w:rFonts w:asciiTheme="minorHAnsi" w:hAnsiTheme="minorHAnsi" w:cstheme="minorHAnsi"/>
        </w:rPr>
      </w:pPr>
      <w:r w:rsidRPr="0099464A">
        <w:rPr>
          <w:rFonts w:asciiTheme="minorHAnsi" w:hAnsiTheme="minorHAnsi" w:cstheme="minorHAnsi"/>
        </w:rPr>
        <w:t>Role of the local authority</w:t>
      </w:r>
    </w:p>
    <w:p w:rsidR="00455611" w:rsidRDefault="00455611" w:rsidP="00455611">
      <w:pPr>
        <w:rPr>
          <w:rFonts w:cstheme="minorHAnsi"/>
        </w:rPr>
      </w:pPr>
      <w:r w:rsidRPr="0099464A">
        <w:rPr>
          <w:rFonts w:cstheme="minorHAnsi"/>
        </w:rPr>
        <w:t xml:space="preserve">Section 3.3.5 of the </w:t>
      </w:r>
      <w:r w:rsidRPr="0099464A">
        <w:rPr>
          <w:rFonts w:cstheme="minorHAnsi"/>
          <w:i/>
        </w:rPr>
        <w:t xml:space="preserve">Gambling Regulation Act 2003 </w:t>
      </w:r>
      <w:r w:rsidRPr="0099464A">
        <w:rPr>
          <w:rFonts w:cstheme="minorHAnsi"/>
        </w:rPr>
        <w:t xml:space="preserve">requires that the Commission notify relevant responsible authorities of an application to establish a gaming venue or amend a venue operator’s licence. Section 3.3.6 of the </w:t>
      </w:r>
      <w:r w:rsidRPr="0099464A">
        <w:rPr>
          <w:rFonts w:cstheme="minorHAnsi"/>
          <w:i/>
        </w:rPr>
        <w:t xml:space="preserve">Act </w:t>
      </w:r>
      <w:r w:rsidRPr="0099464A">
        <w:rPr>
          <w:rFonts w:cstheme="minorHAnsi"/>
        </w:rPr>
        <w:t>enables local authorities to make a submission to the Commission that addresses the economic and social impact of the proposal on the wellbeing of the community of the municipal district within which the premises are located. This assessment may take account of the impact of the proposal on surrounding municipal districts.</w:t>
      </w:r>
    </w:p>
    <w:p w:rsidR="00235454" w:rsidRDefault="00235454" w:rsidP="00235454">
      <w:pPr>
        <w:pStyle w:val="Heading4"/>
        <w:rPr>
          <w:rFonts w:asciiTheme="minorHAnsi" w:hAnsiTheme="minorHAnsi" w:cstheme="minorHAnsi"/>
        </w:rPr>
      </w:pPr>
      <w:r>
        <w:rPr>
          <w:rFonts w:asciiTheme="minorHAnsi" w:hAnsiTheme="minorHAnsi" w:cstheme="minorHAnsi"/>
        </w:rPr>
        <w:t>24 hour gaming</w:t>
      </w:r>
    </w:p>
    <w:p w:rsidR="00235454" w:rsidRPr="0099464A" w:rsidRDefault="00235454" w:rsidP="00235454">
      <w:pPr>
        <w:rPr>
          <w:rFonts w:cstheme="minorHAnsi"/>
        </w:rPr>
      </w:pPr>
      <w:r>
        <w:rPr>
          <w:rFonts w:cstheme="minorHAnsi"/>
        </w:rPr>
        <w:t xml:space="preserve">Section 3.3.3 of the </w:t>
      </w:r>
      <w:r>
        <w:rPr>
          <w:rFonts w:cstheme="minorHAnsi"/>
          <w:i/>
        </w:rPr>
        <w:t xml:space="preserve">Gambling Regulation Act 2003 </w:t>
      </w:r>
      <w:r>
        <w:rPr>
          <w:rFonts w:cstheme="minorHAnsi"/>
        </w:rPr>
        <w:t xml:space="preserve">permits venue operators in the Melbourne Statistical Division to apply for approval to operate gaming venues 24 hours per day if the liquor licence also permits the sale of alcohol 24 hours per day. Under Section 3.3.4.4 of the </w:t>
      </w:r>
      <w:r>
        <w:rPr>
          <w:rFonts w:cstheme="minorHAnsi"/>
          <w:i/>
        </w:rPr>
        <w:t xml:space="preserve">Act </w:t>
      </w:r>
      <w:r>
        <w:rPr>
          <w:rFonts w:cstheme="minorHAnsi"/>
        </w:rPr>
        <w:t>a</w:t>
      </w:r>
      <w:r w:rsidRPr="0099464A">
        <w:rPr>
          <w:rFonts w:cstheme="minorHAnsi"/>
        </w:rPr>
        <w:t>pplicant must demonstrate that there is a net social and economic benefit associated with the 24 hour operation</w:t>
      </w:r>
      <w:r>
        <w:rPr>
          <w:rFonts w:cstheme="minorHAnsi"/>
        </w:rPr>
        <w:t>.</w:t>
      </w:r>
    </w:p>
    <w:p w:rsidR="00235454" w:rsidRPr="00235454" w:rsidRDefault="00C45438" w:rsidP="00235454">
      <w:r>
        <w:rPr>
          <w:rFonts w:cstheme="minorHAnsi"/>
        </w:rPr>
        <w:t>Under this Act, the l</w:t>
      </w:r>
      <w:r w:rsidR="00235454" w:rsidRPr="0099464A">
        <w:rPr>
          <w:rFonts w:cstheme="minorHAnsi"/>
        </w:rPr>
        <w:t>ocal authority does not have the right to submit a social and economic impact assessment if</w:t>
      </w:r>
      <w:r w:rsidR="00761187">
        <w:rPr>
          <w:rFonts w:cstheme="minorHAnsi"/>
        </w:rPr>
        <w:t xml:space="preserve"> </w:t>
      </w:r>
      <w:r w:rsidR="008D3BB2">
        <w:rPr>
          <w:rFonts w:cstheme="minorHAnsi"/>
        </w:rPr>
        <w:t xml:space="preserve">the </w:t>
      </w:r>
      <w:r w:rsidR="00235454" w:rsidRPr="0099464A">
        <w:rPr>
          <w:rFonts w:cstheme="minorHAnsi"/>
        </w:rPr>
        <w:t>application does not involve an increase in the number of EGMs</w:t>
      </w:r>
      <w:r w:rsidR="00235454">
        <w:rPr>
          <w:rFonts w:cstheme="minorHAnsi"/>
        </w:rPr>
        <w:t>.</w:t>
      </w:r>
    </w:p>
    <w:p w:rsidR="00455611" w:rsidRPr="0099464A" w:rsidRDefault="00455611" w:rsidP="00455611">
      <w:pPr>
        <w:pStyle w:val="Heading3"/>
        <w:rPr>
          <w:rFonts w:asciiTheme="minorHAnsi" w:hAnsiTheme="minorHAnsi" w:cstheme="minorHAnsi"/>
        </w:rPr>
      </w:pPr>
      <w:r w:rsidRPr="0099464A">
        <w:rPr>
          <w:rFonts w:asciiTheme="minorHAnsi" w:hAnsiTheme="minorHAnsi" w:cstheme="minorHAnsi"/>
        </w:rPr>
        <w:t>Gambling Regulation Amendment (Pre-commitment) Act 2014</w:t>
      </w:r>
    </w:p>
    <w:p w:rsidR="00455611" w:rsidRPr="0099464A" w:rsidRDefault="00455611" w:rsidP="00455611">
      <w:pPr>
        <w:rPr>
          <w:rFonts w:cstheme="minorHAnsi"/>
        </w:rPr>
      </w:pPr>
      <w:r w:rsidRPr="0099464A">
        <w:rPr>
          <w:rFonts w:cstheme="minorHAnsi"/>
        </w:rPr>
        <w:t>On the 29</w:t>
      </w:r>
      <w:r w:rsidRPr="0099464A">
        <w:rPr>
          <w:rFonts w:cstheme="minorHAnsi"/>
          <w:vertAlign w:val="superscript"/>
        </w:rPr>
        <w:t>th</w:t>
      </w:r>
      <w:r w:rsidRPr="0099464A">
        <w:rPr>
          <w:rFonts w:cstheme="minorHAnsi"/>
        </w:rPr>
        <w:t xml:space="preserve"> of October 2013, Victoria introduced the </w:t>
      </w:r>
      <w:r w:rsidRPr="0099464A">
        <w:rPr>
          <w:rFonts w:cstheme="minorHAnsi"/>
          <w:i/>
        </w:rPr>
        <w:t>Gambling Regulation (Pre-commitment) Act 2014</w:t>
      </w:r>
      <w:r w:rsidRPr="0099464A">
        <w:rPr>
          <w:rFonts w:cstheme="minorHAnsi"/>
        </w:rPr>
        <w:t>, making it the first Australian jurisdiction to introduce a pre-commitment scheme for EGMs. The Bill requires that all venue operators, including hotels, clubs and Crown Casino, become linked to a state-wide pre-commitment system by the 1</w:t>
      </w:r>
      <w:r w:rsidRPr="0099464A">
        <w:rPr>
          <w:rFonts w:cstheme="minorHAnsi"/>
          <w:vertAlign w:val="superscript"/>
        </w:rPr>
        <w:t>st</w:t>
      </w:r>
      <w:r w:rsidRPr="0099464A">
        <w:rPr>
          <w:rFonts w:cstheme="minorHAnsi"/>
        </w:rPr>
        <w:t xml:space="preserve"> December 2015. </w:t>
      </w:r>
    </w:p>
    <w:p w:rsidR="00455611" w:rsidRPr="0099464A" w:rsidRDefault="00455611" w:rsidP="00455611">
      <w:pPr>
        <w:rPr>
          <w:rFonts w:cstheme="minorHAnsi"/>
        </w:rPr>
      </w:pPr>
      <w:r w:rsidRPr="0099464A">
        <w:rPr>
          <w:rFonts w:cstheme="minorHAnsi"/>
        </w:rPr>
        <w:t xml:space="preserve">The Act provides for a ‘double voluntary’ pre-commitment scheme, enabling players to voluntarily use the scheme and set a limit on both the amount of money they spend and the length of time they play the EGMs. </w:t>
      </w:r>
    </w:p>
    <w:p w:rsidR="00455611" w:rsidRPr="0099464A" w:rsidRDefault="00455611" w:rsidP="00455611">
      <w:pPr>
        <w:rPr>
          <w:rFonts w:cstheme="minorHAnsi"/>
        </w:rPr>
      </w:pPr>
      <w:r w:rsidRPr="0099464A">
        <w:rPr>
          <w:rFonts w:cstheme="minorHAnsi"/>
        </w:rPr>
        <w:t>Although participation in the pre-commitment scheme by players is voluntary, the pre-commitment system is mandatory and must be installed on all EGMs installed at gaming venues in Victoria</w:t>
      </w:r>
      <w:r w:rsidRPr="0099464A">
        <w:rPr>
          <w:rStyle w:val="FootnoteReference"/>
          <w:rFonts w:cstheme="minorHAnsi"/>
        </w:rPr>
        <w:footnoteReference w:id="18"/>
      </w:r>
      <w:r w:rsidRPr="0099464A">
        <w:rPr>
          <w:rFonts w:cstheme="minorHAnsi"/>
        </w:rPr>
        <w:t>.</w:t>
      </w:r>
    </w:p>
    <w:p w:rsidR="00455611" w:rsidRPr="0099464A" w:rsidRDefault="00455611" w:rsidP="00455611">
      <w:pPr>
        <w:pStyle w:val="Heading3"/>
        <w:spacing w:before="40" w:after="0" w:line="259" w:lineRule="auto"/>
        <w:rPr>
          <w:rFonts w:asciiTheme="minorHAnsi" w:hAnsiTheme="minorHAnsi" w:cstheme="minorHAnsi"/>
        </w:rPr>
      </w:pPr>
      <w:r w:rsidRPr="0099464A">
        <w:rPr>
          <w:rFonts w:asciiTheme="minorHAnsi" w:hAnsiTheme="minorHAnsi" w:cstheme="minorHAnsi"/>
        </w:rPr>
        <w:t>Casino Control Act 1991</w:t>
      </w:r>
    </w:p>
    <w:p w:rsidR="00455611" w:rsidRPr="0099464A" w:rsidRDefault="00455611" w:rsidP="00455611">
      <w:pPr>
        <w:rPr>
          <w:rFonts w:cstheme="minorHAnsi"/>
        </w:rPr>
      </w:pPr>
      <w:r w:rsidRPr="0099464A">
        <w:rPr>
          <w:rFonts w:cstheme="minorHAnsi"/>
        </w:rPr>
        <w:t xml:space="preserve">Crown Casino is governed by a separate legislative instrument, namely the </w:t>
      </w:r>
      <w:r w:rsidRPr="0099464A">
        <w:rPr>
          <w:rFonts w:cstheme="minorHAnsi"/>
          <w:i/>
        </w:rPr>
        <w:t>Casino Control Act 1991</w:t>
      </w:r>
      <w:r w:rsidRPr="0099464A">
        <w:rPr>
          <w:rFonts w:cstheme="minorHAnsi"/>
        </w:rPr>
        <w:t>. Although Crown Casino is required to follow the same standards and requirements as other gaming venues, certain Victorian legislative instruments provide for some exceptions, including:</w:t>
      </w:r>
    </w:p>
    <w:p w:rsidR="00455611" w:rsidRPr="0099464A" w:rsidRDefault="00455611" w:rsidP="00FB1A04">
      <w:pPr>
        <w:pStyle w:val="ListParagraph"/>
        <w:numPr>
          <w:ilvl w:val="0"/>
          <w:numId w:val="11"/>
        </w:numPr>
        <w:spacing w:after="120"/>
        <w:ind w:left="714" w:hanging="357"/>
        <w:contextualSpacing w:val="0"/>
        <w:rPr>
          <w:rFonts w:cstheme="minorHAnsi"/>
        </w:rPr>
      </w:pPr>
      <w:r w:rsidRPr="0099464A">
        <w:rPr>
          <w:rFonts w:cstheme="minorHAnsi"/>
        </w:rPr>
        <w:t>Smoking is permitted in certain parts of the Cas</w:t>
      </w:r>
      <w:r w:rsidR="009740E9">
        <w:rPr>
          <w:rFonts w:cstheme="minorHAnsi"/>
        </w:rPr>
        <w:t>ino, including the gaming room</w:t>
      </w:r>
    </w:p>
    <w:p w:rsidR="00455611" w:rsidRPr="0099464A" w:rsidRDefault="00455611" w:rsidP="00FB1A04">
      <w:pPr>
        <w:pStyle w:val="ListParagraph"/>
        <w:numPr>
          <w:ilvl w:val="0"/>
          <w:numId w:val="11"/>
        </w:numPr>
        <w:spacing w:after="120"/>
        <w:ind w:left="714" w:hanging="357"/>
        <w:contextualSpacing w:val="0"/>
        <w:rPr>
          <w:rFonts w:cstheme="minorHAnsi"/>
        </w:rPr>
      </w:pPr>
      <w:r w:rsidRPr="0099464A">
        <w:rPr>
          <w:rFonts w:cstheme="minorHAnsi"/>
        </w:rPr>
        <w:t>It is the only venue that is permit</w:t>
      </w:r>
      <w:r w:rsidR="009740E9">
        <w:rPr>
          <w:rFonts w:cstheme="minorHAnsi"/>
        </w:rPr>
        <w:t>ted to operate 24 hours per day</w:t>
      </w:r>
    </w:p>
    <w:p w:rsidR="00455611" w:rsidRPr="0099464A" w:rsidRDefault="00455611" w:rsidP="00FB1A04">
      <w:pPr>
        <w:pStyle w:val="ListParagraph"/>
        <w:numPr>
          <w:ilvl w:val="0"/>
          <w:numId w:val="11"/>
        </w:numPr>
        <w:spacing w:after="120"/>
        <w:ind w:left="714" w:hanging="357"/>
        <w:contextualSpacing w:val="0"/>
        <w:rPr>
          <w:rFonts w:cstheme="minorHAnsi"/>
        </w:rPr>
      </w:pPr>
      <w:r w:rsidRPr="0099464A">
        <w:rPr>
          <w:rFonts w:cstheme="minorHAnsi"/>
        </w:rPr>
        <w:t xml:space="preserve">Larger cash payments </w:t>
      </w:r>
      <w:r w:rsidR="009740E9">
        <w:rPr>
          <w:rFonts w:cstheme="minorHAnsi"/>
        </w:rPr>
        <w:t>are permitted from its machines</w:t>
      </w:r>
    </w:p>
    <w:p w:rsidR="00455611" w:rsidRPr="0099464A" w:rsidRDefault="00455611" w:rsidP="00FB1A04">
      <w:pPr>
        <w:pStyle w:val="ListParagraph"/>
        <w:numPr>
          <w:ilvl w:val="0"/>
          <w:numId w:val="11"/>
        </w:numPr>
        <w:spacing w:after="120"/>
        <w:ind w:left="714" w:hanging="357"/>
        <w:contextualSpacing w:val="0"/>
        <w:rPr>
          <w:rFonts w:cstheme="minorHAnsi"/>
        </w:rPr>
      </w:pPr>
      <w:r w:rsidRPr="0099464A">
        <w:rPr>
          <w:rFonts w:cstheme="minorHAnsi"/>
        </w:rPr>
        <w:t xml:space="preserve">It can offer higher bets per spin on some EGMs than the </w:t>
      </w:r>
      <w:r w:rsidR="009740E9">
        <w:rPr>
          <w:rFonts w:cstheme="minorHAnsi"/>
        </w:rPr>
        <w:t>$5 limit that applies elsewhere</w:t>
      </w:r>
    </w:p>
    <w:p w:rsidR="00455611" w:rsidRPr="0099464A" w:rsidRDefault="00455611" w:rsidP="00FB1A04">
      <w:pPr>
        <w:pStyle w:val="ListParagraph"/>
        <w:numPr>
          <w:ilvl w:val="0"/>
          <w:numId w:val="11"/>
        </w:numPr>
        <w:spacing w:after="120"/>
        <w:ind w:left="714" w:hanging="357"/>
        <w:contextualSpacing w:val="0"/>
        <w:rPr>
          <w:rFonts w:cstheme="minorHAnsi"/>
        </w:rPr>
      </w:pPr>
      <w:r w:rsidRPr="0099464A">
        <w:rPr>
          <w:rFonts w:cstheme="minorHAnsi"/>
        </w:rPr>
        <w:t>It is permitted to operate more EGMs than any other single venue, with other venues in Victoria being capped at 105 EGMs.</w:t>
      </w:r>
    </w:p>
    <w:p w:rsidR="00455611" w:rsidRPr="0099464A" w:rsidRDefault="00455611" w:rsidP="00455611">
      <w:pPr>
        <w:spacing w:before="48" w:after="100" w:afterAutospacing="1"/>
        <w:jc w:val="both"/>
        <w:rPr>
          <w:rFonts w:cstheme="minorHAnsi"/>
          <w:color w:val="222222"/>
          <w:lang w:eastAsia="en-AU"/>
        </w:rPr>
      </w:pPr>
      <w:r w:rsidRPr="0099464A">
        <w:rPr>
          <w:rFonts w:cstheme="minorHAnsi"/>
          <w:color w:val="222222"/>
          <w:lang w:eastAsia="en-AU"/>
        </w:rPr>
        <w:t xml:space="preserve">The Casino (Management Agreement) Act 1993 between the Commission and Crown Melbourne Limited details Crown Casino's license conditions, including the approval of games and operating practices. Under Section 27.3 of the Agreement, EGMs must be </w:t>
      </w:r>
      <w:r w:rsidRPr="0099464A">
        <w:rPr>
          <w:rFonts w:cstheme="minorHAnsi"/>
        </w:rPr>
        <w:t>linked with EGMs in other gaming venues such as hotels and clubs in Victoria.</w:t>
      </w:r>
    </w:p>
    <w:p w:rsidR="00382DC5" w:rsidRDefault="00382DC5" w:rsidP="00FC5226">
      <w:pPr>
        <w:pStyle w:val="Heading2"/>
      </w:pPr>
      <w:bookmarkStart w:id="75" w:name="_Toc494287766"/>
      <w:bookmarkStart w:id="76" w:name="_Hlk489971389"/>
      <w:r>
        <w:t>Regulatory environment</w:t>
      </w:r>
      <w:bookmarkEnd w:id="75"/>
    </w:p>
    <w:p w:rsidR="00A8406A" w:rsidRDefault="00A8406A" w:rsidP="00BF4E11">
      <w:pPr>
        <w:pStyle w:val="Heading3"/>
        <w:rPr>
          <w:lang w:eastAsia="en-AU"/>
        </w:rPr>
      </w:pPr>
      <w:r>
        <w:rPr>
          <w:lang w:eastAsia="en-AU"/>
        </w:rPr>
        <w:t>Industry structure</w:t>
      </w:r>
    </w:p>
    <w:p w:rsidR="00A8406A" w:rsidRPr="00A8406A" w:rsidRDefault="00B0496B" w:rsidP="00A8406A">
      <w:pPr>
        <w:rPr>
          <w:lang w:eastAsia="en-AU"/>
        </w:rPr>
      </w:pPr>
      <w:r>
        <w:t xml:space="preserve">In August 2012 Victoria went from a duopoly gaming operator model to a venue operator model. The previous duopoly model was held by Tatts Group and Tabcorp, allowing each company to operate 50 per cent of the total number of EGMs in hotels and clubs across Victoria. </w:t>
      </w:r>
      <w:r w:rsidR="00A8406A">
        <w:t xml:space="preserve">Venue operators are now directly responsible for the conduct of gaming in their venues. This includes responsibility for acquiring and operating </w:t>
      </w:r>
      <w:r>
        <w:t>EGMs</w:t>
      </w:r>
      <w:r w:rsidR="00A8406A">
        <w:t xml:space="preserve"> and paying the monitoring services fee, the supervision charge and </w:t>
      </w:r>
      <w:r>
        <w:t>EGM</w:t>
      </w:r>
      <w:r w:rsidR="00A8406A">
        <w:t xml:space="preserve"> taxes.</w:t>
      </w:r>
    </w:p>
    <w:p w:rsidR="00BF4E11" w:rsidRDefault="00BF4E11" w:rsidP="00BF4E11">
      <w:pPr>
        <w:pStyle w:val="Heading3"/>
        <w:rPr>
          <w:lang w:eastAsia="en-AU"/>
        </w:rPr>
      </w:pPr>
      <w:r>
        <w:rPr>
          <w:lang w:eastAsia="en-AU"/>
        </w:rPr>
        <w:t>Allocation of EGMs</w:t>
      </w:r>
    </w:p>
    <w:bookmarkEnd w:id="76"/>
    <w:p w:rsidR="00B3078D" w:rsidRDefault="00B3078D" w:rsidP="00B3078D">
      <w:r>
        <w:rPr>
          <w:lang w:eastAsia="en-AU"/>
        </w:rPr>
        <w:t>T</w:t>
      </w:r>
      <w:r w:rsidRPr="00A4528B">
        <w:rPr>
          <w:lang w:eastAsia="en-AU"/>
        </w:rPr>
        <w:t xml:space="preserve">he total number of gaming machines allowed </w:t>
      </w:r>
      <w:r>
        <w:rPr>
          <w:lang w:eastAsia="en-AU"/>
        </w:rPr>
        <w:t xml:space="preserve">in Victoria is 30,000. Of these </w:t>
      </w:r>
      <w:r w:rsidRPr="00A4528B">
        <w:rPr>
          <w:lang w:eastAsia="en-AU"/>
        </w:rPr>
        <w:t>2</w:t>
      </w:r>
      <w:r>
        <w:rPr>
          <w:lang w:eastAsia="en-AU"/>
        </w:rPr>
        <w:t>,</w:t>
      </w:r>
      <w:r w:rsidRPr="00A4528B">
        <w:rPr>
          <w:lang w:eastAsia="en-AU"/>
        </w:rPr>
        <w:t xml:space="preserve">628 are allocated to </w:t>
      </w:r>
      <w:r>
        <w:rPr>
          <w:lang w:eastAsia="en-AU"/>
        </w:rPr>
        <w:t>Crown Casino</w:t>
      </w:r>
      <w:r w:rsidRPr="00A4528B">
        <w:rPr>
          <w:lang w:eastAsia="en-AU"/>
        </w:rPr>
        <w:t xml:space="preserve"> and </w:t>
      </w:r>
      <w:r>
        <w:rPr>
          <w:lang w:eastAsia="en-AU"/>
        </w:rPr>
        <w:t xml:space="preserve">the </w:t>
      </w:r>
      <w:r w:rsidRPr="00A4528B">
        <w:rPr>
          <w:lang w:eastAsia="en-AU"/>
        </w:rPr>
        <w:t>remaining 27,372 are allocated to clubs</w:t>
      </w:r>
      <w:r>
        <w:rPr>
          <w:lang w:eastAsia="en-AU"/>
        </w:rPr>
        <w:t xml:space="preserve"> and hotels.</w:t>
      </w:r>
    </w:p>
    <w:p w:rsidR="00B3078D" w:rsidRPr="0056336E" w:rsidRDefault="00B3078D" w:rsidP="00B3078D">
      <w:pPr>
        <w:rPr>
          <w:lang w:eastAsia="en-AU"/>
        </w:rPr>
      </w:pPr>
      <w:r>
        <w:t>On 7 July 2017, the Minister for Consumer Affairs, Gaming and Liquor Regulation announced that the number of EGMs operating in hotels and clubs in Victoria will remain capped at 27,372</w:t>
      </w:r>
      <w:r w:rsidR="008F688E">
        <w:t xml:space="preserve"> for the next 25 years</w:t>
      </w:r>
      <w:r>
        <w:t xml:space="preserve">. As of June 2017 </w:t>
      </w:r>
      <w:r w:rsidRPr="0056336E">
        <w:rPr>
          <w:lang w:eastAsia="en-AU"/>
        </w:rPr>
        <w:t xml:space="preserve">26,365 </w:t>
      </w:r>
      <w:r w:rsidR="008F688E">
        <w:rPr>
          <w:lang w:eastAsia="en-AU"/>
        </w:rPr>
        <w:t xml:space="preserve">EGMs </w:t>
      </w:r>
      <w:r>
        <w:rPr>
          <w:lang w:eastAsia="en-AU"/>
        </w:rPr>
        <w:t>were operating in hotels and clubs in Victoria. This is 1,007 EGMs below the cap that was imposed prior to the Minister’s announcement in July 2017. As a result, the regulations do not prevent an increase in the number of permissible EGMs across Victoria</w:t>
      </w:r>
      <w:r w:rsidR="008F688E">
        <w:rPr>
          <w:lang w:eastAsia="en-AU"/>
        </w:rPr>
        <w:t xml:space="preserve"> as long as it does not exceed the cap of 27,372</w:t>
      </w:r>
      <w:r>
        <w:rPr>
          <w:lang w:eastAsia="en-AU"/>
        </w:rPr>
        <w:t>.</w:t>
      </w:r>
    </w:p>
    <w:p w:rsidR="00B3078D" w:rsidRDefault="00B3078D" w:rsidP="00B3078D">
      <w:r>
        <w:t>Other relevant changes to the gaming machine entitlements system include:</w:t>
      </w:r>
    </w:p>
    <w:p w:rsidR="00B3078D" w:rsidRPr="00E01932" w:rsidRDefault="00B3078D" w:rsidP="007D1909">
      <w:pPr>
        <w:pStyle w:val="ListParagraph"/>
        <w:numPr>
          <w:ilvl w:val="0"/>
          <w:numId w:val="76"/>
        </w:numPr>
        <w:spacing w:after="120"/>
        <w:contextualSpacing w:val="0"/>
      </w:pPr>
      <w:r>
        <w:t>in</w:t>
      </w:r>
      <w:r w:rsidRPr="00E01932">
        <w:t>creasing the maximum number of entitlements held by a club venue operator from 420 to 840</w:t>
      </w:r>
      <w:r>
        <w:t xml:space="preserve"> (hotel venue operators may still only operate a total of 420</w:t>
      </w:r>
      <w:r w:rsidR="00AA4757">
        <w:t xml:space="preserve"> EGMs across all their venues).</w:t>
      </w:r>
    </w:p>
    <w:p w:rsidR="00B3078D" w:rsidRDefault="00B3078D" w:rsidP="007D1909">
      <w:pPr>
        <w:pStyle w:val="ListParagraph"/>
        <w:numPr>
          <w:ilvl w:val="0"/>
          <w:numId w:val="76"/>
        </w:numPr>
        <w:spacing w:after="120"/>
        <w:contextualSpacing w:val="0"/>
      </w:pPr>
      <w:r>
        <w:t>a</w:t>
      </w:r>
      <w:r w:rsidRPr="00E01932">
        <w:t>djusting the 50:50 rule to facilitate the allocation of unused club entitlements to the hotel sector</w:t>
      </w:r>
      <w:r>
        <w:t xml:space="preserve"> (previously no more than half of the total number of EGMs may have been placed in either hotels or clubs).</w:t>
      </w:r>
    </w:p>
    <w:p w:rsidR="00B3078D" w:rsidRDefault="00B3078D" w:rsidP="00B3078D">
      <w:r>
        <w:t>The implications of these changes are:</w:t>
      </w:r>
    </w:p>
    <w:p w:rsidR="00B3078D" w:rsidRDefault="00B3078D" w:rsidP="007D1909">
      <w:pPr>
        <w:pStyle w:val="ListParagraph"/>
        <w:numPr>
          <w:ilvl w:val="0"/>
          <w:numId w:val="77"/>
        </w:numPr>
        <w:spacing w:after="120"/>
        <w:contextualSpacing w:val="0"/>
      </w:pPr>
      <w:r>
        <w:t>the number of EGMs in Victori</w:t>
      </w:r>
      <w:r w:rsidR="00AA4757">
        <w:t>a may be permitted to increase.</w:t>
      </w:r>
    </w:p>
    <w:p w:rsidR="00B3078D" w:rsidRDefault="00B3078D" w:rsidP="007D1909">
      <w:pPr>
        <w:pStyle w:val="ListParagraph"/>
        <w:numPr>
          <w:ilvl w:val="0"/>
          <w:numId w:val="77"/>
        </w:numPr>
        <w:spacing w:after="120"/>
        <w:contextualSpacing w:val="0"/>
      </w:pPr>
      <w:r>
        <w:t xml:space="preserve">a single club venue operator may now operate a larger proportion of EGMs across all their </w:t>
      </w:r>
      <w:r w:rsidR="00AA4757">
        <w:t>venues than hotel operators.</w:t>
      </w:r>
    </w:p>
    <w:p w:rsidR="00B3078D" w:rsidRDefault="00B3078D" w:rsidP="007D1909">
      <w:pPr>
        <w:pStyle w:val="ListParagraph"/>
        <w:numPr>
          <w:ilvl w:val="0"/>
          <w:numId w:val="77"/>
        </w:numPr>
        <w:spacing w:after="120"/>
        <w:contextualSpacing w:val="0"/>
      </w:pPr>
      <w:r>
        <w:t>more than half of the total number of EGMs may be placed in hotels across Victoria.</w:t>
      </w:r>
    </w:p>
    <w:p w:rsidR="008F688E" w:rsidRPr="002C5C8B" w:rsidRDefault="008F688E" w:rsidP="00BF4E11">
      <w:pPr>
        <w:pStyle w:val="Heading3"/>
      </w:pPr>
      <w:r w:rsidRPr="002C5C8B">
        <w:t>Venue Size</w:t>
      </w:r>
    </w:p>
    <w:p w:rsidR="008F688E" w:rsidRPr="008F688E" w:rsidRDefault="008F688E" w:rsidP="008F688E">
      <w:r w:rsidRPr="002C5C8B">
        <w:t>The maximum number of EGMs permitted in a gaming venue, other than Crown Casino is 105.</w:t>
      </w:r>
    </w:p>
    <w:p w:rsidR="00BF4E11" w:rsidRDefault="00BF4E11" w:rsidP="00BF4E11">
      <w:pPr>
        <w:pStyle w:val="Heading3"/>
      </w:pPr>
      <w:r>
        <w:t>Smoking</w:t>
      </w:r>
    </w:p>
    <w:p w:rsidR="005E18B6" w:rsidRPr="00397893" w:rsidRDefault="00BF4E11" w:rsidP="00BF4E11">
      <w:bookmarkStart w:id="77" w:name="_Hlk489972819"/>
      <w:r w:rsidRPr="00BF4E11">
        <w:t xml:space="preserve">On October 12, 2004, the Victorian Government </w:t>
      </w:r>
      <w:r>
        <w:t>introduced total</w:t>
      </w:r>
      <w:r w:rsidRPr="00BF4E11">
        <w:t xml:space="preserve"> smoking bans in all enclosed areas of licensed h</w:t>
      </w:r>
      <w:r>
        <w:t>otels, bars and nightclubs. On 1</w:t>
      </w:r>
      <w:r w:rsidRPr="00397893">
        <w:t>st</w:t>
      </w:r>
      <w:r>
        <w:t xml:space="preserve"> August 2017 additional smoking bans were imposed in </w:t>
      </w:r>
      <w:r w:rsidRPr="00397893">
        <w:t>all outdoor dining areas when food is available for consumption. This includes courtyard dining areas and footpath trading areas associated with licensed premises and gaming venues.</w:t>
      </w:r>
    </w:p>
    <w:p w:rsidR="005E18B6" w:rsidRDefault="005E18B6">
      <w:pPr>
        <w:spacing w:line="276" w:lineRule="auto"/>
        <w:ind w:left="720"/>
        <w:rPr>
          <w:color w:val="505050"/>
          <w:sz w:val="24"/>
          <w:lang w:eastAsia="en-AU"/>
        </w:rPr>
      </w:pPr>
      <w:r>
        <w:rPr>
          <w:color w:val="505050"/>
          <w:sz w:val="24"/>
          <w:lang w:eastAsia="en-AU"/>
        </w:rPr>
        <w:br w:type="page"/>
      </w:r>
    </w:p>
    <w:p w:rsidR="00396A73" w:rsidRDefault="00396A73" w:rsidP="00FC5226">
      <w:pPr>
        <w:pStyle w:val="Heading2"/>
      </w:pPr>
      <w:bookmarkStart w:id="78" w:name="_Toc494287767"/>
      <w:bookmarkEnd w:id="77"/>
      <w:r>
        <w:t>Council’s roles</w:t>
      </w:r>
      <w:bookmarkEnd w:id="78"/>
    </w:p>
    <w:p w:rsidR="00396A73" w:rsidRPr="001614C3" w:rsidRDefault="00396A73" w:rsidP="00396A73">
      <w:r>
        <w:t xml:space="preserve">Council’s roles in managing gambling activities, and addressing gambling-related harms, as defined by </w:t>
      </w:r>
      <w:r>
        <w:rPr>
          <w:i/>
        </w:rPr>
        <w:t xml:space="preserve">Planning and Environment Act 1987, </w:t>
      </w:r>
      <w:r>
        <w:t xml:space="preserve">the </w:t>
      </w:r>
      <w:r>
        <w:rPr>
          <w:i/>
        </w:rPr>
        <w:t xml:space="preserve">Local Government Act 1989, </w:t>
      </w:r>
      <w:r>
        <w:t xml:space="preserve">the </w:t>
      </w:r>
      <w:r>
        <w:rPr>
          <w:i/>
        </w:rPr>
        <w:t>Gambling Regulation Act 2003</w:t>
      </w:r>
      <w:r>
        <w:t xml:space="preserve">, and the </w:t>
      </w:r>
      <w:r>
        <w:rPr>
          <w:i/>
        </w:rPr>
        <w:t>Public Health and Wellbeing Act 2008</w:t>
      </w:r>
      <w:r>
        <w:t xml:space="preserve"> are illustrated in Figure 1</w:t>
      </w:r>
      <w:r w:rsidR="00456EC4">
        <w:t>3</w:t>
      </w:r>
      <w:r>
        <w:t>.</w:t>
      </w:r>
    </w:p>
    <w:p w:rsidR="008C1A0A" w:rsidRDefault="00396A73" w:rsidP="00827672">
      <w:pPr>
        <w:pStyle w:val="Caption"/>
      </w:pPr>
      <w:bookmarkStart w:id="79" w:name="_Toc494287817"/>
      <w:r>
        <w:t xml:space="preserve">Figure </w:t>
      </w:r>
      <w:r w:rsidR="00802F28">
        <w:fldChar w:fldCharType="begin"/>
      </w:r>
      <w:r w:rsidR="00802F28">
        <w:instrText xml:space="preserve"> SEQ Figure \* ARABIC </w:instrText>
      </w:r>
      <w:r w:rsidR="00802F28">
        <w:fldChar w:fldCharType="separate"/>
      </w:r>
      <w:r w:rsidR="002E7243">
        <w:rPr>
          <w:noProof/>
        </w:rPr>
        <w:t>13</w:t>
      </w:r>
      <w:r w:rsidR="00802F28">
        <w:rPr>
          <w:noProof/>
        </w:rPr>
        <w:fldChar w:fldCharType="end"/>
      </w:r>
      <w:r>
        <w:t xml:space="preserve"> - Council’s roles in addressing gambling-related harm</w:t>
      </w:r>
      <w:bookmarkEnd w:id="79"/>
    </w:p>
    <w:p w:rsidR="00396A73" w:rsidRDefault="006D76C5" w:rsidP="008C1A0A">
      <w:r>
        <w:rPr>
          <w:noProof/>
          <w:lang w:eastAsia="en-AU"/>
        </w:rPr>
        <w:drawing>
          <wp:inline distT="0" distB="0" distL="0" distR="0" wp14:anchorId="24958A83" wp14:editId="61E0C317">
            <wp:extent cx="6281639" cy="6889898"/>
            <wp:effectExtent l="0" t="0" r="5080" b="635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3">
                      <a:extLst>
                        <a:ext uri="{28A0092B-C50C-407E-A947-70E740481C1C}">
                          <a14:useLocalDpi xmlns:a14="http://schemas.microsoft.com/office/drawing/2010/main" val="0"/>
                        </a:ext>
                      </a:extLst>
                    </a:blip>
                    <a:stretch>
                      <a:fillRect/>
                    </a:stretch>
                  </pic:blipFill>
                  <pic:spPr>
                    <a:xfrm>
                      <a:off x="0" y="0"/>
                      <a:ext cx="6284608" cy="6893155"/>
                    </a:xfrm>
                    <a:prstGeom prst="rect">
                      <a:avLst/>
                    </a:prstGeom>
                  </pic:spPr>
                </pic:pic>
              </a:graphicData>
            </a:graphic>
          </wp:inline>
        </w:drawing>
      </w:r>
    </w:p>
    <w:p w:rsidR="00686D96" w:rsidRDefault="00686D96">
      <w:pPr>
        <w:spacing w:line="276" w:lineRule="auto"/>
        <w:ind w:left="720"/>
        <w:rPr>
          <w:rFonts w:ascii="CoM" w:eastAsiaTheme="majorEastAsia" w:hAnsi="CoM" w:cstheme="majorBidi"/>
          <w:bCs/>
          <w:sz w:val="32"/>
          <w:szCs w:val="32"/>
        </w:rPr>
      </w:pPr>
      <w:bookmarkStart w:id="80" w:name="_Hlk489975532"/>
      <w:r>
        <w:br w:type="page"/>
      </w:r>
    </w:p>
    <w:p w:rsidR="000D7CF1" w:rsidRDefault="00F218DE" w:rsidP="00FC5226">
      <w:pPr>
        <w:pStyle w:val="Heading2"/>
      </w:pPr>
      <w:bookmarkStart w:id="81" w:name="_Toc494287768"/>
      <w:r>
        <w:t>G</w:t>
      </w:r>
      <w:r w:rsidR="000D7CF1">
        <w:t>ambling and planning considerations</w:t>
      </w:r>
      <w:bookmarkEnd w:id="81"/>
    </w:p>
    <w:p w:rsidR="00F218DE" w:rsidRDefault="00F218DE" w:rsidP="00F218DE">
      <w:pPr>
        <w:pStyle w:val="Heading3"/>
      </w:pPr>
      <w:r>
        <w:t>Differences</w:t>
      </w:r>
    </w:p>
    <w:p w:rsidR="00F218DE" w:rsidRDefault="00F218DE" w:rsidP="00F218DE">
      <w:pPr>
        <w:rPr>
          <w:rFonts w:cstheme="minorHAnsi"/>
        </w:rPr>
      </w:pPr>
      <w:r w:rsidRPr="004D1CB9">
        <w:rPr>
          <w:rFonts w:cstheme="minorHAnsi"/>
        </w:rPr>
        <w:t xml:space="preserve">The application </w:t>
      </w:r>
      <w:r>
        <w:rPr>
          <w:rFonts w:cstheme="minorHAnsi"/>
        </w:rPr>
        <w:t xml:space="preserve">processes and considerations </w:t>
      </w:r>
      <w:r w:rsidRPr="004D1CB9">
        <w:rPr>
          <w:rFonts w:cstheme="minorHAnsi"/>
        </w:rPr>
        <w:t xml:space="preserve">under the </w:t>
      </w:r>
      <w:r w:rsidRPr="008041D0">
        <w:rPr>
          <w:rFonts w:cstheme="minorHAnsi"/>
          <w:i/>
        </w:rPr>
        <w:t>Gambling Regulation Act 2003</w:t>
      </w:r>
      <w:r>
        <w:rPr>
          <w:rFonts w:cstheme="minorHAnsi"/>
        </w:rPr>
        <w:t xml:space="preserve"> and </w:t>
      </w:r>
      <w:r w:rsidRPr="008041D0">
        <w:rPr>
          <w:rFonts w:cstheme="minorHAnsi"/>
          <w:i/>
        </w:rPr>
        <w:t>Planning and Environment Act 1987</w:t>
      </w:r>
      <w:r w:rsidRPr="004D1CB9">
        <w:rPr>
          <w:rFonts w:cstheme="minorHAnsi"/>
        </w:rPr>
        <w:t xml:space="preserve"> are separate and distinct</w:t>
      </w:r>
      <w:r>
        <w:rPr>
          <w:rFonts w:cstheme="minorHAnsi"/>
        </w:rPr>
        <w:t>.</w:t>
      </w:r>
    </w:p>
    <w:p w:rsidR="00F218DE" w:rsidRPr="00376767" w:rsidRDefault="00F218DE" w:rsidP="00F218DE">
      <w:pPr>
        <w:rPr>
          <w:rFonts w:cstheme="minorHAnsi"/>
        </w:rPr>
      </w:pPr>
      <w:r>
        <w:rPr>
          <w:rFonts w:cstheme="minorHAnsi"/>
        </w:rPr>
        <w:t>These differences are as follows</w:t>
      </w:r>
      <w:r w:rsidR="00C40980">
        <w:rPr>
          <w:rFonts w:cstheme="minorHAnsi"/>
        </w:rPr>
        <w:t xml:space="preserve"> (refer to Table </w:t>
      </w:r>
      <w:r w:rsidR="008F688E">
        <w:rPr>
          <w:rFonts w:cstheme="minorHAnsi"/>
        </w:rPr>
        <w:t>6</w:t>
      </w:r>
      <w:r w:rsidR="00C40980">
        <w:rPr>
          <w:rFonts w:cstheme="minorHAnsi"/>
        </w:rPr>
        <w:t>)</w:t>
      </w:r>
      <w:r>
        <w:rPr>
          <w:rFonts w:cstheme="minorHAnsi"/>
        </w:rPr>
        <w:t>:</w:t>
      </w:r>
    </w:p>
    <w:p w:rsidR="00F218DE" w:rsidRDefault="00F218DE" w:rsidP="00F218DE">
      <w:pPr>
        <w:pStyle w:val="ListParagraph"/>
        <w:numPr>
          <w:ilvl w:val="0"/>
          <w:numId w:val="12"/>
        </w:numPr>
        <w:spacing w:after="120"/>
        <w:contextualSpacing w:val="0"/>
        <w:rPr>
          <w:rFonts w:cstheme="minorHAnsi"/>
        </w:rPr>
      </w:pPr>
      <w:bookmarkStart w:id="82" w:name="_Hlk489972050"/>
      <w:r>
        <w:rPr>
          <w:rFonts w:cstheme="minorHAnsi"/>
        </w:rPr>
        <w:t>The responsible authority, Council</w:t>
      </w:r>
      <w:r w:rsidR="00D728CD">
        <w:rPr>
          <w:rFonts w:cstheme="minorHAnsi"/>
        </w:rPr>
        <w:t xml:space="preserve"> or the Minister for Planning for developments over 25,000 square metr</w:t>
      </w:r>
      <w:r w:rsidR="00486BD7">
        <w:rPr>
          <w:rFonts w:cstheme="minorHAnsi"/>
        </w:rPr>
        <w:t>e</w:t>
      </w:r>
      <w:r w:rsidR="00D728CD">
        <w:rPr>
          <w:rFonts w:cstheme="minorHAnsi"/>
        </w:rPr>
        <w:t>s</w:t>
      </w:r>
      <w:r>
        <w:rPr>
          <w:rFonts w:cstheme="minorHAnsi"/>
        </w:rPr>
        <w:t>, is the decision-mak</w:t>
      </w:r>
      <w:r w:rsidR="00D728CD">
        <w:rPr>
          <w:rFonts w:cstheme="minorHAnsi"/>
        </w:rPr>
        <w:t>er</w:t>
      </w:r>
      <w:r>
        <w:rPr>
          <w:rFonts w:cstheme="minorHAnsi"/>
        </w:rPr>
        <w:t xml:space="preserve"> for planning permit applications </w:t>
      </w:r>
      <w:bookmarkEnd w:id="82"/>
      <w:r>
        <w:rPr>
          <w:rFonts w:cstheme="minorHAnsi"/>
        </w:rPr>
        <w:t>while the Commission is the decision-maker for applications for gaming approval. Appeals against the decisions made by both the responsible authority and the Commission are heard by the Tribunal.</w:t>
      </w:r>
    </w:p>
    <w:p w:rsidR="00F218DE" w:rsidRPr="009D0DC3" w:rsidRDefault="00F218DE" w:rsidP="00F218DE">
      <w:pPr>
        <w:pStyle w:val="ListParagraph"/>
        <w:numPr>
          <w:ilvl w:val="0"/>
          <w:numId w:val="12"/>
        </w:numPr>
        <w:spacing w:after="120"/>
        <w:contextualSpacing w:val="0"/>
        <w:rPr>
          <w:rFonts w:cstheme="minorHAnsi"/>
        </w:rPr>
      </w:pPr>
      <w:r w:rsidRPr="009D0DC3">
        <w:rPr>
          <w:rFonts w:cstheme="minorHAnsi"/>
        </w:rPr>
        <w:t>Key considerations under the planning legislation are whether the location and premises are suitable for gaming. This involves assessing whether the area, location and venue are suitable from a land use point of view in the context of surrounding land uses.</w:t>
      </w:r>
      <w:r>
        <w:rPr>
          <w:rStyle w:val="FootnoteReference"/>
          <w:rFonts w:cstheme="minorHAnsi"/>
        </w:rPr>
        <w:footnoteReference w:id="19"/>
      </w:r>
      <w:r w:rsidRPr="009D0DC3">
        <w:rPr>
          <w:rFonts w:cstheme="minorHAnsi"/>
        </w:rPr>
        <w:t xml:space="preserve"> Gaming legislation on the other hand</w:t>
      </w:r>
      <w:r w:rsidR="00D728CD">
        <w:rPr>
          <w:rFonts w:cstheme="minorHAnsi"/>
        </w:rPr>
        <w:t xml:space="preserve"> focuses on whether the premises are </w:t>
      </w:r>
      <w:r w:rsidRPr="009D0DC3">
        <w:rPr>
          <w:rFonts w:cstheme="minorHAnsi"/>
        </w:rPr>
        <w:t>suitable for gaming and whether the management and operations of the venue are effective in minimising harm.</w:t>
      </w:r>
    </w:p>
    <w:p w:rsidR="00F218DE" w:rsidRDefault="00F218DE" w:rsidP="00F218DE">
      <w:pPr>
        <w:pStyle w:val="ListParagraph"/>
        <w:numPr>
          <w:ilvl w:val="0"/>
          <w:numId w:val="12"/>
        </w:numPr>
        <w:spacing w:after="120"/>
        <w:contextualSpacing w:val="0"/>
        <w:rPr>
          <w:rFonts w:cstheme="minorHAnsi"/>
        </w:rPr>
      </w:pPr>
      <w:r w:rsidRPr="009D0DC3">
        <w:rPr>
          <w:rFonts w:cstheme="minorHAnsi"/>
        </w:rPr>
        <w:t>Key considerations under the planning legislation are whether the approval will result in net community benefit while the key consideration under the gambling legislation is whether there will be a net detriment to community wellbeing.</w:t>
      </w:r>
    </w:p>
    <w:p w:rsidR="00EC5959" w:rsidRPr="00EC5959" w:rsidRDefault="00F218DE" w:rsidP="00F218DE">
      <w:pPr>
        <w:pStyle w:val="ListParagraph"/>
        <w:numPr>
          <w:ilvl w:val="0"/>
          <w:numId w:val="12"/>
        </w:numPr>
        <w:spacing w:after="120"/>
        <w:contextualSpacing w:val="0"/>
        <w:rPr>
          <w:rFonts w:cstheme="minorHAnsi"/>
        </w:rPr>
      </w:pPr>
      <w:r>
        <w:rPr>
          <w:rFonts w:cstheme="minorHAnsi"/>
        </w:rPr>
        <w:t xml:space="preserve">Under the </w:t>
      </w:r>
      <w:r w:rsidRPr="00EC5959">
        <w:rPr>
          <w:rFonts w:cstheme="minorHAnsi"/>
          <w:i/>
        </w:rPr>
        <w:t>Planning and Environment Act 1987</w:t>
      </w:r>
      <w:r>
        <w:rPr>
          <w:rFonts w:cstheme="minorHAnsi"/>
        </w:rPr>
        <w:t>, the achievement of net community benefit is an i</w:t>
      </w:r>
      <w:r w:rsidR="00EC5959">
        <w:rPr>
          <w:rFonts w:cstheme="minorHAnsi"/>
        </w:rPr>
        <w:t>mportant consideration.</w:t>
      </w:r>
    </w:p>
    <w:p w:rsidR="00F218DE" w:rsidRPr="009D0DC3" w:rsidRDefault="00EC5959" w:rsidP="00F218DE">
      <w:pPr>
        <w:pStyle w:val="ListParagraph"/>
        <w:numPr>
          <w:ilvl w:val="0"/>
          <w:numId w:val="12"/>
        </w:numPr>
        <w:spacing w:after="120"/>
        <w:contextualSpacing w:val="0"/>
        <w:rPr>
          <w:rFonts w:cstheme="minorHAnsi"/>
        </w:rPr>
      </w:pPr>
      <w:r>
        <w:rPr>
          <w:rFonts w:cstheme="minorHAnsi"/>
        </w:rPr>
        <w:t xml:space="preserve">Under the </w:t>
      </w:r>
      <w:r>
        <w:rPr>
          <w:rFonts w:cstheme="minorHAnsi"/>
          <w:i/>
        </w:rPr>
        <w:t xml:space="preserve">Gambling Regulation Act </w:t>
      </w:r>
      <w:r w:rsidR="00F218DE" w:rsidRPr="00EC5959">
        <w:rPr>
          <w:rFonts w:cstheme="minorHAnsi"/>
          <w:i/>
        </w:rPr>
        <w:t>2003</w:t>
      </w:r>
      <w:r w:rsidR="00F218DE">
        <w:rPr>
          <w:rFonts w:cstheme="minorHAnsi"/>
        </w:rPr>
        <w:t xml:space="preserve"> the achievement of a neutral or positive social and economic benefit is a statutory requirement.</w:t>
      </w:r>
      <w:r w:rsidR="00F218DE" w:rsidRPr="00F218DE">
        <w:rPr>
          <w:rFonts w:asciiTheme="minorHAnsi" w:hAnsiTheme="minorHAnsi" w:cstheme="minorHAnsi"/>
          <w:szCs w:val="22"/>
        </w:rPr>
        <w:t xml:space="preserve"> </w:t>
      </w:r>
      <w:r w:rsidR="00F218DE">
        <w:rPr>
          <w:rFonts w:asciiTheme="minorHAnsi" w:hAnsiTheme="minorHAnsi" w:cstheme="minorHAnsi"/>
          <w:szCs w:val="22"/>
        </w:rPr>
        <w:t xml:space="preserve">While it is a goal of planning under the State Planning Policy Framework to achieve net community benefit, this is not a statutory requirement as it is under the gaming legislation. As a result, a planning permit application will not automatically fail if it does not achieve net community benefit </w:t>
      </w:r>
      <w:r w:rsidR="00F218DE">
        <w:rPr>
          <w:rStyle w:val="FootnoteReference"/>
          <w:rFonts w:cstheme="minorHAnsi"/>
        </w:rPr>
        <w:footnoteReference w:id="20"/>
      </w:r>
      <w:r w:rsidR="00F218DE">
        <w:rPr>
          <w:rFonts w:asciiTheme="minorHAnsi" w:hAnsiTheme="minorHAnsi" w:cstheme="minorHAnsi"/>
          <w:szCs w:val="22"/>
        </w:rPr>
        <w:t xml:space="preserve"> whereas a gaming approval application will fail if it is found that it will result in net detriment to the community.</w:t>
      </w:r>
    </w:p>
    <w:p w:rsidR="00F218DE" w:rsidRPr="009D0DC3" w:rsidRDefault="00F218DE" w:rsidP="00F218DE">
      <w:pPr>
        <w:pStyle w:val="ListParagraph"/>
        <w:numPr>
          <w:ilvl w:val="0"/>
          <w:numId w:val="12"/>
        </w:numPr>
        <w:spacing w:after="120"/>
        <w:contextualSpacing w:val="0"/>
        <w:rPr>
          <w:rFonts w:cstheme="minorHAnsi"/>
        </w:rPr>
      </w:pPr>
      <w:r w:rsidRPr="009D0DC3">
        <w:rPr>
          <w:rFonts w:cstheme="minorHAnsi"/>
        </w:rPr>
        <w:t>Gaming considers the impact on the municipality as a whole where</w:t>
      </w:r>
      <w:r w:rsidR="00D728CD">
        <w:rPr>
          <w:rFonts w:cstheme="minorHAnsi"/>
        </w:rPr>
        <w:t>as</w:t>
      </w:r>
      <w:r w:rsidRPr="009D0DC3">
        <w:rPr>
          <w:rFonts w:cstheme="minorHAnsi"/>
        </w:rPr>
        <w:t xml:space="preserve"> planning considers the impact on a more defined area around the site namely adjoining and nearby land uses.</w:t>
      </w:r>
    </w:p>
    <w:p w:rsidR="00F218DE" w:rsidRDefault="00F218DE" w:rsidP="00F218DE">
      <w:pPr>
        <w:pStyle w:val="ListParagraph"/>
        <w:numPr>
          <w:ilvl w:val="0"/>
          <w:numId w:val="12"/>
        </w:numPr>
        <w:spacing w:after="120" w:line="259" w:lineRule="auto"/>
      </w:pPr>
      <w:r w:rsidRPr="009D0DC3">
        <w:t xml:space="preserve">The purpose of planning is merely to ‘consider’ the social and economic impacts of the proposal. </w:t>
      </w:r>
      <w:r>
        <w:t>T</w:t>
      </w:r>
      <w:r w:rsidRPr="009D0DC3">
        <w:t xml:space="preserve">he social and economic impacts are the key decision-making criteria under the gaming legislation and are used to determine whether or not the proposal will have a net detriment on the wellbeing of the community. </w:t>
      </w:r>
      <w:r>
        <w:t>As a result, greater weight is given to the social and economic impacts in applications for gaming approvals</w:t>
      </w:r>
      <w:r w:rsidR="00D728CD">
        <w:t xml:space="preserve"> under the </w:t>
      </w:r>
      <w:r w:rsidR="00D728CD">
        <w:rPr>
          <w:i/>
        </w:rPr>
        <w:t>Gambling Regulation Act 2003</w:t>
      </w:r>
      <w:r>
        <w:t xml:space="preserve"> than planning permits</w:t>
      </w:r>
      <w:r w:rsidR="00D728CD">
        <w:t xml:space="preserve"> under the </w:t>
      </w:r>
      <w:r w:rsidR="00D728CD">
        <w:rPr>
          <w:i/>
        </w:rPr>
        <w:t>Planning and Environment Act 1987</w:t>
      </w:r>
      <w:r>
        <w:t>.</w:t>
      </w:r>
    </w:p>
    <w:p w:rsidR="00F218DE" w:rsidRDefault="00F218DE" w:rsidP="00F218DE">
      <w:pPr>
        <w:rPr>
          <w:rFonts w:asciiTheme="minorHAnsi" w:hAnsiTheme="minorHAnsi" w:cstheme="minorHAnsi"/>
          <w:szCs w:val="22"/>
        </w:rPr>
      </w:pPr>
      <w:r>
        <w:rPr>
          <w:rFonts w:cstheme="minorHAnsi"/>
        </w:rPr>
        <w:t xml:space="preserve">The planning considerations therefore </w:t>
      </w:r>
      <w:r w:rsidRPr="004D1CB9">
        <w:rPr>
          <w:rFonts w:asciiTheme="minorHAnsi" w:hAnsiTheme="minorHAnsi" w:cstheme="minorHAnsi"/>
          <w:szCs w:val="22"/>
        </w:rPr>
        <w:t xml:space="preserve">extend beyond those </w:t>
      </w:r>
      <w:r>
        <w:rPr>
          <w:rFonts w:asciiTheme="minorHAnsi" w:hAnsiTheme="minorHAnsi" w:cstheme="minorHAnsi"/>
          <w:szCs w:val="22"/>
        </w:rPr>
        <w:t xml:space="preserve">covered by the gambling legislation. </w:t>
      </w:r>
      <w:r w:rsidRPr="004D1CB9">
        <w:rPr>
          <w:rFonts w:asciiTheme="minorHAnsi" w:hAnsiTheme="minorHAnsi" w:cstheme="minorHAnsi"/>
          <w:szCs w:val="22"/>
        </w:rPr>
        <w:t xml:space="preserve">These considerations may result in some variation in conditions imposed compared to those applied to address the particular concerns under the </w:t>
      </w:r>
      <w:r w:rsidRPr="004D1CB9">
        <w:rPr>
          <w:rFonts w:asciiTheme="minorHAnsi" w:hAnsiTheme="minorHAnsi" w:cstheme="minorHAnsi"/>
          <w:i/>
          <w:szCs w:val="22"/>
        </w:rPr>
        <w:t>G</w:t>
      </w:r>
      <w:r>
        <w:rPr>
          <w:rFonts w:asciiTheme="minorHAnsi" w:hAnsiTheme="minorHAnsi" w:cstheme="minorHAnsi"/>
          <w:i/>
          <w:szCs w:val="22"/>
        </w:rPr>
        <w:t>ambling Regulation Act 2003</w:t>
      </w:r>
      <w:r w:rsidRPr="004D1CB9">
        <w:rPr>
          <w:rFonts w:asciiTheme="minorHAnsi" w:hAnsiTheme="minorHAnsi" w:cstheme="minorHAnsi"/>
          <w:szCs w:val="22"/>
        </w:rPr>
        <w:t xml:space="preserve">. </w:t>
      </w:r>
    </w:p>
    <w:p w:rsidR="000D7CF1" w:rsidRDefault="00F218DE" w:rsidP="00F218DE">
      <w:pPr>
        <w:pStyle w:val="Heading3"/>
      </w:pPr>
      <w:r>
        <w:t>Areas of overlap</w:t>
      </w:r>
      <w:r w:rsidR="000D7CF1">
        <w:t xml:space="preserve"> between gaming and planning considerations</w:t>
      </w:r>
    </w:p>
    <w:p w:rsidR="000D7CF1" w:rsidRDefault="000D7CF1" w:rsidP="000D7CF1">
      <w:pPr>
        <w:rPr>
          <w:rFonts w:cstheme="minorHAnsi"/>
        </w:rPr>
      </w:pPr>
      <w:r>
        <w:rPr>
          <w:rFonts w:cstheme="minorHAnsi"/>
        </w:rPr>
        <w:t>The</w:t>
      </w:r>
      <w:r w:rsidRPr="009D0DC3">
        <w:rPr>
          <w:rFonts w:cstheme="minorHAnsi"/>
        </w:rPr>
        <w:t xml:space="preserve"> Tribunal has recognised that although the application regimes under the </w:t>
      </w:r>
      <w:r w:rsidRPr="009D0DC3">
        <w:rPr>
          <w:rFonts w:cstheme="minorHAnsi"/>
          <w:i/>
        </w:rPr>
        <w:t xml:space="preserve">Planning and Environment Act 1987 </w:t>
      </w:r>
      <w:r w:rsidRPr="009D0DC3">
        <w:rPr>
          <w:rFonts w:cstheme="minorHAnsi"/>
        </w:rPr>
        <w:t xml:space="preserve">and the </w:t>
      </w:r>
      <w:r w:rsidRPr="009D0DC3">
        <w:rPr>
          <w:rFonts w:cstheme="minorHAnsi"/>
          <w:i/>
        </w:rPr>
        <w:t>Gambling Regulation Act 2003</w:t>
      </w:r>
      <w:r w:rsidRPr="009D0DC3">
        <w:rPr>
          <w:rFonts w:cstheme="minorHAnsi"/>
        </w:rPr>
        <w:t xml:space="preserve"> are separate and distinct, they are </w:t>
      </w:r>
      <w:r>
        <w:rPr>
          <w:rFonts w:cstheme="minorHAnsi"/>
        </w:rPr>
        <w:t>also linked and overlap</w:t>
      </w:r>
      <w:r w:rsidR="00F218DE">
        <w:rPr>
          <w:rFonts w:cstheme="minorHAnsi"/>
        </w:rPr>
        <w:t xml:space="preserve"> (refer </w:t>
      </w:r>
      <w:r w:rsidR="00C40980">
        <w:rPr>
          <w:rFonts w:cstheme="minorHAnsi"/>
        </w:rPr>
        <w:t xml:space="preserve">to Table </w:t>
      </w:r>
      <w:r w:rsidR="008F688E">
        <w:rPr>
          <w:rFonts w:cstheme="minorHAnsi"/>
        </w:rPr>
        <w:t>6</w:t>
      </w:r>
      <w:r w:rsidR="00F218DE">
        <w:rPr>
          <w:rFonts w:cstheme="minorHAnsi"/>
        </w:rPr>
        <w:t>)</w:t>
      </w:r>
      <w:r>
        <w:rPr>
          <w:rFonts w:cstheme="minorHAnsi"/>
        </w:rPr>
        <w:t>.</w:t>
      </w:r>
      <w:r w:rsidRPr="009D0DC3">
        <w:rPr>
          <w:rStyle w:val="FootnoteReference"/>
          <w:rFonts w:cstheme="minorHAnsi"/>
        </w:rPr>
        <w:footnoteReference w:id="21"/>
      </w:r>
      <w:r w:rsidR="00F218DE" w:rsidRPr="00F218DE">
        <w:rPr>
          <w:rFonts w:asciiTheme="minorHAnsi" w:hAnsiTheme="minorHAnsi" w:cstheme="minorHAnsi"/>
          <w:szCs w:val="22"/>
        </w:rPr>
        <w:t xml:space="preserve"> </w:t>
      </w:r>
      <w:r w:rsidR="00F218DE">
        <w:rPr>
          <w:rFonts w:asciiTheme="minorHAnsi" w:hAnsiTheme="minorHAnsi" w:cstheme="minorHAnsi"/>
          <w:szCs w:val="22"/>
        </w:rPr>
        <w:t>The most significant overlap is the assessment of the social and economic impacts of the proposal, particularly on groups at an elevated risk of gambling-related harm.</w:t>
      </w:r>
    </w:p>
    <w:p w:rsidR="008F688E" w:rsidRDefault="008F688E" w:rsidP="008F688E">
      <w:pPr>
        <w:pStyle w:val="Caption"/>
        <w:rPr>
          <w:rFonts w:cstheme="minorHAnsi"/>
        </w:rPr>
      </w:pPr>
      <w:bookmarkStart w:id="83" w:name="_Toc494206924"/>
      <w:bookmarkStart w:id="84" w:name="_Toc490045357"/>
      <w:bookmarkStart w:id="85" w:name="_Toc494287823"/>
      <w:r w:rsidRPr="008F688E">
        <w:t xml:space="preserve">Table </w:t>
      </w:r>
      <w:r w:rsidR="00802F28">
        <w:fldChar w:fldCharType="begin"/>
      </w:r>
      <w:r w:rsidR="00802F28">
        <w:instrText xml:space="preserve"> SEQ Table \* ARABIC </w:instrText>
      </w:r>
      <w:r w:rsidR="00802F28">
        <w:fldChar w:fldCharType="separate"/>
      </w:r>
      <w:r w:rsidRPr="008F688E">
        <w:rPr>
          <w:noProof/>
        </w:rPr>
        <w:t>6</w:t>
      </w:r>
      <w:r w:rsidR="00802F28">
        <w:rPr>
          <w:noProof/>
        </w:rPr>
        <w:fldChar w:fldCharType="end"/>
      </w:r>
      <w:r w:rsidRPr="008F688E">
        <w:t xml:space="preserve"> – Areas of overlap between the different planning and gaming considerations</w:t>
      </w:r>
      <w:bookmarkEnd w:id="83"/>
      <w:bookmarkEnd w:id="84"/>
      <w:bookmarkEnd w:id="85"/>
    </w:p>
    <w:tbl>
      <w:tblPr>
        <w:tblStyle w:val="ListTable3"/>
        <w:tblW w:w="0" w:type="auto"/>
        <w:tblLook w:val="04A0" w:firstRow="1" w:lastRow="0" w:firstColumn="1" w:lastColumn="0" w:noHBand="0" w:noVBand="1"/>
      </w:tblPr>
      <w:tblGrid>
        <w:gridCol w:w="2263"/>
        <w:gridCol w:w="2977"/>
        <w:gridCol w:w="3776"/>
      </w:tblGrid>
      <w:tr w:rsidR="002C5C8B" w:rsidTr="002C5C8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3" w:type="dxa"/>
            <w:tcBorders>
              <w:top w:val="single" w:sz="4" w:space="0" w:color="000000" w:themeColor="text1"/>
              <w:left w:val="single" w:sz="4" w:space="0" w:color="000000" w:themeColor="text1"/>
            </w:tcBorders>
            <w:vAlign w:val="center"/>
            <w:hideMark/>
          </w:tcPr>
          <w:p w:rsidR="002C5C8B" w:rsidRDefault="002C5C8B">
            <w:pPr>
              <w:spacing w:after="40"/>
              <w:rPr>
                <w:rFonts w:ascii="Arial" w:hAnsi="Arial" w:cs="Arial"/>
                <w:sz w:val="20"/>
              </w:rPr>
            </w:pPr>
            <w:bookmarkStart w:id="86" w:name="_Toc485906287"/>
            <w:bookmarkEnd w:id="80"/>
            <w:r>
              <w:rPr>
                <w:rFonts w:ascii="Arial" w:hAnsi="Arial" w:cs="Arial"/>
                <w:sz w:val="20"/>
              </w:rPr>
              <w:t>Factor</w:t>
            </w:r>
          </w:p>
        </w:tc>
        <w:tc>
          <w:tcPr>
            <w:tcW w:w="2977" w:type="dxa"/>
            <w:tcBorders>
              <w:top w:val="single" w:sz="4" w:space="0" w:color="000000" w:themeColor="text1"/>
              <w:left w:val="nil"/>
              <w:bottom w:val="nil"/>
              <w:right w:val="nil"/>
            </w:tcBorders>
            <w:shd w:val="clear" w:color="auto" w:fill="00AECB"/>
            <w:vAlign w:val="center"/>
            <w:hideMark/>
          </w:tcPr>
          <w:p w:rsidR="002C5C8B" w:rsidRDefault="002C5C8B">
            <w:pPr>
              <w:spacing w:after="40"/>
              <w:cnfStyle w:val="100000000000" w:firstRow="1"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Gaming approvals</w:t>
            </w:r>
          </w:p>
        </w:tc>
        <w:tc>
          <w:tcPr>
            <w:tcW w:w="3776" w:type="dxa"/>
            <w:tcBorders>
              <w:top w:val="single" w:sz="4" w:space="0" w:color="000000" w:themeColor="text1"/>
              <w:left w:val="nil"/>
              <w:bottom w:val="nil"/>
              <w:right w:val="single" w:sz="4" w:space="0" w:color="000000" w:themeColor="text1"/>
            </w:tcBorders>
            <w:shd w:val="clear" w:color="auto" w:fill="00B74F"/>
            <w:vAlign w:val="center"/>
            <w:hideMark/>
          </w:tcPr>
          <w:p w:rsidR="002C5C8B" w:rsidRDefault="002C5C8B">
            <w:pPr>
              <w:spacing w:after="40"/>
              <w:cnfStyle w:val="100000000000" w:firstRow="1"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Planning permits</w:t>
            </w:r>
          </w:p>
        </w:tc>
      </w:tr>
      <w:tr w:rsidR="002C5C8B" w:rsidTr="002C5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000000" w:themeColor="text1"/>
            </w:tcBorders>
            <w:shd w:val="clear" w:color="auto" w:fill="E5E1DD"/>
            <w:vAlign w:val="center"/>
            <w:hideMark/>
          </w:tcPr>
          <w:p w:rsidR="002C5C8B" w:rsidRDefault="002C5C8B">
            <w:pPr>
              <w:spacing w:after="40"/>
              <w:rPr>
                <w:rFonts w:ascii="Arial" w:hAnsi="Arial" w:cs="Arial"/>
                <w:sz w:val="20"/>
              </w:rPr>
            </w:pPr>
            <w:r>
              <w:rPr>
                <w:rFonts w:ascii="Arial" w:hAnsi="Arial" w:cs="Arial"/>
                <w:sz w:val="20"/>
              </w:rPr>
              <w:t>Legislative instrument</w:t>
            </w:r>
          </w:p>
        </w:tc>
        <w:tc>
          <w:tcPr>
            <w:tcW w:w="2977" w:type="dxa"/>
            <w:tcBorders>
              <w:left w:val="nil"/>
              <w:right w:val="nil"/>
            </w:tcBorders>
            <w:shd w:val="clear" w:color="auto" w:fill="CCE3F0"/>
            <w:vAlign w:val="center"/>
            <w:hideMark/>
          </w:tcPr>
          <w:p w:rsidR="002C5C8B" w:rsidRDefault="002C5C8B">
            <w:pPr>
              <w:spacing w:after="40"/>
              <w:cnfStyle w:val="000000100000" w:firstRow="0" w:lastRow="0" w:firstColumn="0" w:lastColumn="0" w:oddVBand="0" w:evenVBand="0" w:oddHBand="1" w:evenHBand="0" w:firstRowFirstColumn="0" w:firstRowLastColumn="0" w:lastRowFirstColumn="0" w:lastRowLastColumn="0"/>
              <w:rPr>
                <w:rFonts w:ascii="Arial" w:hAnsi="Arial" w:cs="Arial"/>
                <w:i/>
                <w:sz w:val="20"/>
              </w:rPr>
            </w:pPr>
            <w:r>
              <w:rPr>
                <w:rFonts w:ascii="Arial" w:hAnsi="Arial" w:cs="Arial"/>
                <w:i/>
                <w:sz w:val="20"/>
              </w:rPr>
              <w:t>Gambling Regulation Act 2003</w:t>
            </w:r>
          </w:p>
        </w:tc>
        <w:tc>
          <w:tcPr>
            <w:tcW w:w="3776" w:type="dxa"/>
            <w:tcBorders>
              <w:left w:val="nil"/>
              <w:right w:val="single" w:sz="4" w:space="0" w:color="000000" w:themeColor="text1"/>
            </w:tcBorders>
            <w:shd w:val="clear" w:color="auto" w:fill="E1ECC6"/>
            <w:vAlign w:val="center"/>
            <w:hideMark/>
          </w:tcPr>
          <w:p w:rsidR="002C5C8B" w:rsidRDefault="002C5C8B">
            <w:pPr>
              <w:spacing w:after="40"/>
              <w:cnfStyle w:val="000000100000" w:firstRow="0" w:lastRow="0" w:firstColumn="0" w:lastColumn="0" w:oddVBand="0" w:evenVBand="0" w:oddHBand="1" w:evenHBand="0" w:firstRowFirstColumn="0" w:firstRowLastColumn="0" w:lastRowFirstColumn="0" w:lastRowLastColumn="0"/>
              <w:rPr>
                <w:rFonts w:ascii="Arial" w:hAnsi="Arial" w:cs="Arial"/>
                <w:i/>
                <w:sz w:val="20"/>
              </w:rPr>
            </w:pPr>
            <w:r>
              <w:rPr>
                <w:rFonts w:ascii="Arial" w:hAnsi="Arial" w:cs="Arial"/>
                <w:i/>
                <w:sz w:val="20"/>
              </w:rPr>
              <w:t>Planning and Environment Act 1987</w:t>
            </w:r>
          </w:p>
        </w:tc>
      </w:tr>
      <w:tr w:rsidR="002C5C8B" w:rsidTr="002C5C8B">
        <w:tc>
          <w:tcPr>
            <w:cnfStyle w:val="001000000000" w:firstRow="0" w:lastRow="0" w:firstColumn="1" w:lastColumn="0" w:oddVBand="0" w:evenVBand="0" w:oddHBand="0" w:evenHBand="0" w:firstRowFirstColumn="0" w:firstRowLastColumn="0" w:lastRowFirstColumn="0" w:lastRowLastColumn="0"/>
            <w:tcW w:w="2263" w:type="dxa"/>
            <w:tcBorders>
              <w:top w:val="nil"/>
              <w:left w:val="single" w:sz="4" w:space="0" w:color="000000" w:themeColor="text1"/>
              <w:bottom w:val="nil"/>
            </w:tcBorders>
            <w:shd w:val="clear" w:color="auto" w:fill="E5E1DD"/>
            <w:vAlign w:val="center"/>
            <w:hideMark/>
          </w:tcPr>
          <w:p w:rsidR="002C5C8B" w:rsidRDefault="002C5C8B">
            <w:pPr>
              <w:spacing w:after="40"/>
              <w:rPr>
                <w:rFonts w:ascii="Arial" w:hAnsi="Arial" w:cs="Arial"/>
                <w:sz w:val="20"/>
              </w:rPr>
            </w:pPr>
            <w:r>
              <w:rPr>
                <w:rFonts w:ascii="Arial" w:hAnsi="Arial" w:cs="Arial"/>
                <w:sz w:val="20"/>
              </w:rPr>
              <w:t>Social and economic impacts</w:t>
            </w:r>
          </w:p>
        </w:tc>
        <w:tc>
          <w:tcPr>
            <w:tcW w:w="2977" w:type="dxa"/>
            <w:tcBorders>
              <w:top w:val="nil"/>
              <w:left w:val="nil"/>
              <w:bottom w:val="nil"/>
              <w:right w:val="nil"/>
            </w:tcBorders>
            <w:shd w:val="clear" w:color="auto" w:fill="CCE3F0"/>
            <w:vAlign w:val="center"/>
            <w:hideMark/>
          </w:tcPr>
          <w:p w:rsidR="002C5C8B" w:rsidRDefault="002C5C8B">
            <w:pPr>
              <w:spacing w:after="4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Key decision-making factor</w:t>
            </w:r>
          </w:p>
        </w:tc>
        <w:tc>
          <w:tcPr>
            <w:tcW w:w="3776" w:type="dxa"/>
            <w:tcBorders>
              <w:top w:val="nil"/>
              <w:left w:val="nil"/>
              <w:bottom w:val="nil"/>
              <w:right w:val="single" w:sz="4" w:space="0" w:color="000000" w:themeColor="text1"/>
            </w:tcBorders>
            <w:shd w:val="clear" w:color="auto" w:fill="E1ECC6"/>
            <w:vAlign w:val="center"/>
            <w:hideMark/>
          </w:tcPr>
          <w:p w:rsidR="002C5C8B" w:rsidRDefault="002C5C8B">
            <w:pPr>
              <w:spacing w:after="4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Only required to consider</w:t>
            </w:r>
          </w:p>
        </w:tc>
      </w:tr>
      <w:tr w:rsidR="002C5C8B" w:rsidTr="002C5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000000" w:themeColor="text1"/>
            </w:tcBorders>
            <w:shd w:val="clear" w:color="auto" w:fill="E5E1DD"/>
            <w:vAlign w:val="center"/>
            <w:hideMark/>
          </w:tcPr>
          <w:p w:rsidR="002C5C8B" w:rsidRDefault="002C5C8B">
            <w:pPr>
              <w:spacing w:after="40"/>
              <w:rPr>
                <w:rFonts w:ascii="Arial" w:hAnsi="Arial" w:cs="Arial"/>
                <w:sz w:val="20"/>
              </w:rPr>
            </w:pPr>
            <w:r>
              <w:rPr>
                <w:rFonts w:ascii="Arial" w:hAnsi="Arial" w:cs="Arial"/>
                <w:sz w:val="20"/>
              </w:rPr>
              <w:t>Community benefit</w:t>
            </w:r>
          </w:p>
        </w:tc>
        <w:tc>
          <w:tcPr>
            <w:tcW w:w="2977" w:type="dxa"/>
            <w:tcBorders>
              <w:left w:val="nil"/>
              <w:right w:val="nil"/>
            </w:tcBorders>
            <w:shd w:val="clear" w:color="auto" w:fill="CCE3F0"/>
            <w:vAlign w:val="center"/>
            <w:hideMark/>
          </w:tcPr>
          <w:p w:rsidR="002C5C8B" w:rsidRDefault="002C5C8B">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Achievement of neutral or positive community benefit a statutory requirement</w:t>
            </w:r>
          </w:p>
        </w:tc>
        <w:tc>
          <w:tcPr>
            <w:tcW w:w="3776" w:type="dxa"/>
            <w:tcBorders>
              <w:left w:val="nil"/>
              <w:right w:val="single" w:sz="4" w:space="0" w:color="000000" w:themeColor="text1"/>
            </w:tcBorders>
            <w:shd w:val="clear" w:color="auto" w:fill="E1ECC6"/>
            <w:vAlign w:val="center"/>
            <w:hideMark/>
          </w:tcPr>
          <w:p w:rsidR="002C5C8B" w:rsidRDefault="002C5C8B">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Net community benefit a material consideration but not a statutory requirement</w:t>
            </w:r>
          </w:p>
        </w:tc>
      </w:tr>
      <w:tr w:rsidR="002C5C8B" w:rsidTr="002C5C8B">
        <w:tc>
          <w:tcPr>
            <w:cnfStyle w:val="001000000000" w:firstRow="0" w:lastRow="0" w:firstColumn="1" w:lastColumn="0" w:oddVBand="0" w:evenVBand="0" w:oddHBand="0" w:evenHBand="0" w:firstRowFirstColumn="0" w:firstRowLastColumn="0" w:lastRowFirstColumn="0" w:lastRowLastColumn="0"/>
            <w:tcW w:w="2263" w:type="dxa"/>
            <w:tcBorders>
              <w:top w:val="nil"/>
              <w:left w:val="single" w:sz="4" w:space="0" w:color="000000" w:themeColor="text1"/>
              <w:bottom w:val="nil"/>
            </w:tcBorders>
            <w:shd w:val="clear" w:color="auto" w:fill="E5E1DD"/>
            <w:vAlign w:val="center"/>
            <w:hideMark/>
          </w:tcPr>
          <w:p w:rsidR="002C5C8B" w:rsidRDefault="002C5C8B">
            <w:pPr>
              <w:spacing w:after="40"/>
              <w:rPr>
                <w:rFonts w:ascii="Arial" w:hAnsi="Arial" w:cs="Arial"/>
                <w:sz w:val="20"/>
              </w:rPr>
            </w:pPr>
            <w:r>
              <w:rPr>
                <w:rFonts w:ascii="Arial" w:hAnsi="Arial" w:cs="Arial"/>
                <w:sz w:val="20"/>
              </w:rPr>
              <w:t>Community</w:t>
            </w:r>
          </w:p>
        </w:tc>
        <w:tc>
          <w:tcPr>
            <w:tcW w:w="2977" w:type="dxa"/>
            <w:tcBorders>
              <w:top w:val="nil"/>
              <w:left w:val="nil"/>
              <w:bottom w:val="nil"/>
              <w:right w:val="nil"/>
            </w:tcBorders>
            <w:shd w:val="clear" w:color="auto" w:fill="CCE3F0"/>
            <w:vAlign w:val="center"/>
            <w:hideMark/>
          </w:tcPr>
          <w:p w:rsidR="002C5C8B" w:rsidRDefault="002C5C8B">
            <w:pPr>
              <w:spacing w:after="4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Considered at a municipal scale</w:t>
            </w:r>
          </w:p>
        </w:tc>
        <w:tc>
          <w:tcPr>
            <w:tcW w:w="3776" w:type="dxa"/>
            <w:tcBorders>
              <w:top w:val="nil"/>
              <w:left w:val="nil"/>
              <w:bottom w:val="nil"/>
              <w:right w:val="single" w:sz="4" w:space="0" w:color="000000" w:themeColor="text1"/>
            </w:tcBorders>
            <w:shd w:val="clear" w:color="auto" w:fill="E1ECC6"/>
            <w:vAlign w:val="center"/>
            <w:hideMark/>
          </w:tcPr>
          <w:p w:rsidR="002C5C8B" w:rsidRDefault="002C5C8B">
            <w:pPr>
              <w:spacing w:after="4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 xml:space="preserve">Surrounding uses and communities typically within 400m and patrons within 2.5km </w:t>
            </w:r>
          </w:p>
        </w:tc>
      </w:tr>
      <w:tr w:rsidR="002C5C8B" w:rsidTr="002C5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000000" w:themeColor="text1"/>
            </w:tcBorders>
            <w:shd w:val="clear" w:color="auto" w:fill="E5E1DD"/>
            <w:vAlign w:val="center"/>
            <w:hideMark/>
          </w:tcPr>
          <w:p w:rsidR="002C5C8B" w:rsidRDefault="002C5C8B">
            <w:pPr>
              <w:spacing w:after="40"/>
              <w:rPr>
                <w:rFonts w:ascii="Arial" w:hAnsi="Arial" w:cs="Arial"/>
                <w:sz w:val="20"/>
              </w:rPr>
            </w:pPr>
            <w:r>
              <w:rPr>
                <w:rFonts w:ascii="Arial" w:hAnsi="Arial" w:cs="Arial"/>
                <w:sz w:val="20"/>
              </w:rPr>
              <w:t>Assessment factors</w:t>
            </w:r>
          </w:p>
        </w:tc>
        <w:tc>
          <w:tcPr>
            <w:tcW w:w="2977" w:type="dxa"/>
            <w:tcBorders>
              <w:left w:val="nil"/>
              <w:right w:val="nil"/>
            </w:tcBorders>
            <w:shd w:val="clear" w:color="auto" w:fill="CCE3F0"/>
            <w:vAlign w:val="center"/>
            <w:hideMark/>
          </w:tcPr>
          <w:p w:rsidR="002C5C8B" w:rsidRDefault="002C5C8B">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Suitability of venue, for instance focus on design, operations and harm minimisation</w:t>
            </w:r>
          </w:p>
        </w:tc>
        <w:tc>
          <w:tcPr>
            <w:tcW w:w="3776" w:type="dxa"/>
            <w:tcBorders>
              <w:left w:val="nil"/>
              <w:right w:val="single" w:sz="4" w:space="0" w:color="000000" w:themeColor="text1"/>
            </w:tcBorders>
            <w:shd w:val="clear" w:color="auto" w:fill="E1ECC6"/>
            <w:vAlign w:val="center"/>
            <w:hideMark/>
          </w:tcPr>
          <w:p w:rsidR="002C5C8B" w:rsidRDefault="002C5C8B">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Suitability of location and premises for instance focus on land use</w:t>
            </w:r>
          </w:p>
        </w:tc>
      </w:tr>
      <w:tr w:rsidR="002C5C8B" w:rsidTr="002C5C8B">
        <w:tc>
          <w:tcPr>
            <w:cnfStyle w:val="001000000000" w:firstRow="0" w:lastRow="0" w:firstColumn="1" w:lastColumn="0" w:oddVBand="0" w:evenVBand="0" w:oddHBand="0" w:evenHBand="0" w:firstRowFirstColumn="0" w:firstRowLastColumn="0" w:lastRowFirstColumn="0" w:lastRowLastColumn="0"/>
            <w:tcW w:w="2263" w:type="dxa"/>
            <w:tcBorders>
              <w:top w:val="nil"/>
              <w:left w:val="single" w:sz="4" w:space="0" w:color="000000" w:themeColor="text1"/>
              <w:bottom w:val="nil"/>
            </w:tcBorders>
            <w:shd w:val="clear" w:color="auto" w:fill="E5E1DD"/>
            <w:vAlign w:val="center"/>
            <w:hideMark/>
          </w:tcPr>
          <w:p w:rsidR="002C5C8B" w:rsidRDefault="002C5C8B">
            <w:pPr>
              <w:spacing w:after="40"/>
              <w:rPr>
                <w:rFonts w:ascii="Arial" w:hAnsi="Arial" w:cs="Arial"/>
                <w:sz w:val="20"/>
              </w:rPr>
            </w:pPr>
            <w:r>
              <w:rPr>
                <w:rFonts w:ascii="Arial" w:hAnsi="Arial" w:cs="Arial"/>
                <w:sz w:val="20"/>
              </w:rPr>
              <w:t>Decision-making authority</w:t>
            </w:r>
          </w:p>
        </w:tc>
        <w:tc>
          <w:tcPr>
            <w:tcW w:w="2977" w:type="dxa"/>
            <w:tcBorders>
              <w:top w:val="nil"/>
              <w:left w:val="nil"/>
              <w:bottom w:val="nil"/>
              <w:right w:val="nil"/>
            </w:tcBorders>
            <w:shd w:val="clear" w:color="auto" w:fill="CCE3F0"/>
            <w:vAlign w:val="center"/>
            <w:hideMark/>
          </w:tcPr>
          <w:p w:rsidR="002C5C8B" w:rsidRDefault="002C5C8B">
            <w:pPr>
              <w:spacing w:after="4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Gaming Commission</w:t>
            </w:r>
          </w:p>
        </w:tc>
        <w:tc>
          <w:tcPr>
            <w:tcW w:w="3776" w:type="dxa"/>
            <w:tcBorders>
              <w:top w:val="nil"/>
              <w:left w:val="nil"/>
              <w:bottom w:val="nil"/>
              <w:right w:val="single" w:sz="4" w:space="0" w:color="000000" w:themeColor="text1"/>
            </w:tcBorders>
            <w:shd w:val="clear" w:color="auto" w:fill="E1ECC6"/>
            <w:vAlign w:val="center"/>
            <w:hideMark/>
          </w:tcPr>
          <w:p w:rsidR="002C5C8B" w:rsidRDefault="002C5C8B">
            <w:pPr>
              <w:spacing w:after="4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Responsible authority – either Council or the Minister for Planning</w:t>
            </w:r>
          </w:p>
        </w:tc>
      </w:tr>
      <w:tr w:rsidR="002C5C8B" w:rsidTr="002C5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000000" w:themeColor="text1"/>
            </w:tcBorders>
            <w:shd w:val="clear" w:color="auto" w:fill="E5E1DD"/>
            <w:vAlign w:val="center"/>
            <w:hideMark/>
          </w:tcPr>
          <w:p w:rsidR="002C5C8B" w:rsidRDefault="002C5C8B">
            <w:pPr>
              <w:spacing w:after="40"/>
              <w:rPr>
                <w:rFonts w:ascii="Arial" w:hAnsi="Arial" w:cs="Arial"/>
                <w:sz w:val="20"/>
              </w:rPr>
            </w:pPr>
            <w:r>
              <w:rPr>
                <w:rFonts w:ascii="Arial" w:hAnsi="Arial" w:cs="Arial"/>
                <w:sz w:val="20"/>
              </w:rPr>
              <w:t>Appeals against decision</w:t>
            </w:r>
          </w:p>
        </w:tc>
        <w:tc>
          <w:tcPr>
            <w:tcW w:w="2977" w:type="dxa"/>
            <w:tcBorders>
              <w:left w:val="nil"/>
              <w:right w:val="nil"/>
            </w:tcBorders>
            <w:shd w:val="clear" w:color="auto" w:fill="CCE3F0"/>
            <w:vAlign w:val="center"/>
            <w:hideMark/>
          </w:tcPr>
          <w:p w:rsidR="002C5C8B" w:rsidRDefault="002C5C8B">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Victorian Civil and Administrative Tribunal</w:t>
            </w:r>
          </w:p>
        </w:tc>
        <w:tc>
          <w:tcPr>
            <w:tcW w:w="3776" w:type="dxa"/>
            <w:tcBorders>
              <w:left w:val="nil"/>
              <w:right w:val="single" w:sz="4" w:space="0" w:color="000000" w:themeColor="text1"/>
            </w:tcBorders>
            <w:shd w:val="clear" w:color="auto" w:fill="E1ECC6"/>
            <w:vAlign w:val="center"/>
            <w:hideMark/>
          </w:tcPr>
          <w:p w:rsidR="002C5C8B" w:rsidRDefault="002C5C8B">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Victorian Civil and Administrative Tribunal</w:t>
            </w:r>
          </w:p>
        </w:tc>
      </w:tr>
      <w:tr w:rsidR="002C5C8B" w:rsidTr="002C5C8B">
        <w:tc>
          <w:tcPr>
            <w:cnfStyle w:val="001000000000" w:firstRow="0" w:lastRow="0" w:firstColumn="1" w:lastColumn="0" w:oddVBand="0" w:evenVBand="0" w:oddHBand="0" w:evenHBand="0" w:firstRowFirstColumn="0" w:firstRowLastColumn="0" w:lastRowFirstColumn="0" w:lastRowLastColumn="0"/>
            <w:tcW w:w="2263" w:type="dxa"/>
            <w:tcBorders>
              <w:top w:val="nil"/>
              <w:left w:val="single" w:sz="4" w:space="0" w:color="000000" w:themeColor="text1"/>
              <w:bottom w:val="nil"/>
            </w:tcBorders>
            <w:shd w:val="clear" w:color="auto" w:fill="E5E1DD"/>
            <w:vAlign w:val="center"/>
            <w:hideMark/>
          </w:tcPr>
          <w:p w:rsidR="002C5C8B" w:rsidRDefault="002C5C8B">
            <w:pPr>
              <w:spacing w:after="40"/>
              <w:rPr>
                <w:rFonts w:ascii="Arial" w:hAnsi="Arial" w:cs="Arial"/>
                <w:sz w:val="20"/>
              </w:rPr>
            </w:pPr>
            <w:r>
              <w:rPr>
                <w:rFonts w:ascii="Arial" w:hAnsi="Arial" w:cs="Arial"/>
                <w:sz w:val="20"/>
              </w:rPr>
              <w:t>Convenience gaming</w:t>
            </w:r>
          </w:p>
        </w:tc>
        <w:tc>
          <w:tcPr>
            <w:tcW w:w="2977" w:type="dxa"/>
            <w:tcBorders>
              <w:top w:val="nil"/>
              <w:left w:val="nil"/>
              <w:bottom w:val="nil"/>
              <w:right w:val="nil"/>
            </w:tcBorders>
            <w:shd w:val="clear" w:color="auto" w:fill="CCE3F0"/>
            <w:vAlign w:val="center"/>
            <w:hideMark/>
          </w:tcPr>
          <w:p w:rsidR="002C5C8B" w:rsidRDefault="002C5C8B">
            <w:pPr>
              <w:spacing w:after="4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Not a material consideration</w:t>
            </w:r>
          </w:p>
        </w:tc>
        <w:tc>
          <w:tcPr>
            <w:tcW w:w="3776" w:type="dxa"/>
            <w:tcBorders>
              <w:top w:val="nil"/>
              <w:left w:val="nil"/>
              <w:bottom w:val="nil"/>
              <w:right w:val="single" w:sz="4" w:space="0" w:color="000000" w:themeColor="text1"/>
            </w:tcBorders>
            <w:shd w:val="clear" w:color="auto" w:fill="E1ECC6"/>
            <w:vAlign w:val="center"/>
            <w:hideMark/>
          </w:tcPr>
          <w:p w:rsidR="002C5C8B" w:rsidRDefault="002C5C8B">
            <w:pPr>
              <w:spacing w:after="4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Except in the Capital City Zone, EGMs prohibited in shopping complexes and strip shopping centres</w:t>
            </w:r>
          </w:p>
          <w:p w:rsidR="002C5C8B" w:rsidRDefault="002C5C8B">
            <w:pPr>
              <w:spacing w:after="4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Preference for EGMs to be located outside core of activity centres</w:t>
            </w:r>
          </w:p>
        </w:tc>
      </w:tr>
      <w:tr w:rsidR="002C5C8B" w:rsidTr="002C5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000000" w:themeColor="text1"/>
            </w:tcBorders>
            <w:shd w:val="clear" w:color="auto" w:fill="E5E1DD"/>
            <w:vAlign w:val="center"/>
            <w:hideMark/>
          </w:tcPr>
          <w:p w:rsidR="002C5C8B" w:rsidRDefault="002C5C8B">
            <w:pPr>
              <w:spacing w:after="40"/>
              <w:rPr>
                <w:rFonts w:ascii="Arial" w:hAnsi="Arial" w:cs="Arial"/>
                <w:sz w:val="20"/>
              </w:rPr>
            </w:pPr>
            <w:r>
              <w:rPr>
                <w:rFonts w:ascii="Arial" w:hAnsi="Arial" w:cs="Arial"/>
                <w:sz w:val="20"/>
              </w:rPr>
              <w:t>Suitability of premises for operation and management</w:t>
            </w:r>
          </w:p>
        </w:tc>
        <w:tc>
          <w:tcPr>
            <w:tcW w:w="2977" w:type="dxa"/>
            <w:tcBorders>
              <w:left w:val="nil"/>
              <w:right w:val="nil"/>
            </w:tcBorders>
            <w:shd w:val="clear" w:color="auto" w:fill="CCE3F0"/>
            <w:vAlign w:val="center"/>
            <w:hideMark/>
          </w:tcPr>
          <w:p w:rsidR="002C5C8B" w:rsidRDefault="002C5C8B">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Size, layout and facilities</w:t>
            </w:r>
          </w:p>
          <w:p w:rsidR="002C5C8B" w:rsidRDefault="002C5C8B">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Guidelines set out in VCGLR Venue Manual</w:t>
            </w:r>
          </w:p>
          <w:p w:rsidR="002C5C8B" w:rsidRDefault="002C5C8B">
            <w:pPr>
              <w:spacing w:after="40"/>
              <w:cnfStyle w:val="000000100000" w:firstRow="0" w:lastRow="0" w:firstColumn="0" w:lastColumn="0" w:oddVBand="0" w:evenVBand="0" w:oddHBand="1" w:evenHBand="0" w:firstRowFirstColumn="0" w:firstRowLastColumn="0" w:lastRowFirstColumn="0" w:lastRowLastColumn="0"/>
              <w:rPr>
                <w:rFonts w:ascii="Arial" w:hAnsi="Arial" w:cs="Arial"/>
                <w:b/>
                <w:sz w:val="20"/>
              </w:rPr>
            </w:pPr>
            <w:r>
              <w:rPr>
                <w:rFonts w:ascii="Arial" w:hAnsi="Arial" w:cs="Arial"/>
                <w:sz w:val="20"/>
              </w:rPr>
              <w:t>Ministerial guideline outlining preferred location of children’s play areas</w:t>
            </w:r>
          </w:p>
          <w:p w:rsidR="002C5C8B" w:rsidRDefault="002C5C8B">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Physical and functional separation of gaming and non-gaming activities and facilities</w:t>
            </w:r>
          </w:p>
        </w:tc>
        <w:tc>
          <w:tcPr>
            <w:tcW w:w="3776" w:type="dxa"/>
            <w:tcBorders>
              <w:left w:val="nil"/>
              <w:right w:val="single" w:sz="4" w:space="0" w:color="000000" w:themeColor="text1"/>
            </w:tcBorders>
            <w:shd w:val="clear" w:color="auto" w:fill="E1ECC6"/>
            <w:vAlign w:val="center"/>
            <w:hideMark/>
          </w:tcPr>
          <w:p w:rsidR="002C5C8B" w:rsidRDefault="002C5C8B">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Gaming area required to be 25per cent or less than total area available to the public</w:t>
            </w:r>
          </w:p>
          <w:p w:rsidR="002C5C8B" w:rsidRDefault="002C5C8B">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Provision of a full range of facilities and services to hotel patrons and club members and patrons are a decision-guideline under Clause 52.28</w:t>
            </w:r>
          </w:p>
          <w:p w:rsidR="002C5C8B" w:rsidRDefault="002C5C8B">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Physical and functional separation of gaming and non-gaming activities and facilities required</w:t>
            </w:r>
          </w:p>
        </w:tc>
      </w:tr>
      <w:tr w:rsidR="002C5C8B" w:rsidTr="002C5C8B">
        <w:tc>
          <w:tcPr>
            <w:cnfStyle w:val="001000000000" w:firstRow="0" w:lastRow="0" w:firstColumn="1" w:lastColumn="0" w:oddVBand="0" w:evenVBand="0" w:oddHBand="0" w:evenHBand="0" w:firstRowFirstColumn="0" w:firstRowLastColumn="0" w:lastRowFirstColumn="0" w:lastRowLastColumn="0"/>
            <w:tcW w:w="2263" w:type="dxa"/>
            <w:tcBorders>
              <w:top w:val="nil"/>
              <w:left w:val="single" w:sz="4" w:space="0" w:color="000000" w:themeColor="text1"/>
              <w:bottom w:val="nil"/>
            </w:tcBorders>
            <w:shd w:val="clear" w:color="auto" w:fill="E5E1DD"/>
            <w:vAlign w:val="center"/>
            <w:hideMark/>
          </w:tcPr>
          <w:p w:rsidR="002C5C8B" w:rsidRDefault="002C5C8B">
            <w:pPr>
              <w:spacing w:after="40"/>
              <w:rPr>
                <w:rFonts w:ascii="Arial" w:hAnsi="Arial" w:cs="Arial"/>
                <w:sz w:val="20"/>
              </w:rPr>
            </w:pPr>
            <w:r>
              <w:rPr>
                <w:rFonts w:ascii="Arial" w:hAnsi="Arial" w:cs="Arial"/>
                <w:sz w:val="20"/>
              </w:rPr>
              <w:t xml:space="preserve">Impacts on amenity of surrounding area </w:t>
            </w:r>
          </w:p>
        </w:tc>
        <w:tc>
          <w:tcPr>
            <w:tcW w:w="2977" w:type="dxa"/>
            <w:tcBorders>
              <w:top w:val="nil"/>
              <w:left w:val="nil"/>
              <w:bottom w:val="nil"/>
              <w:right w:val="nil"/>
            </w:tcBorders>
            <w:shd w:val="clear" w:color="auto" w:fill="CCE3F0"/>
            <w:vAlign w:val="center"/>
            <w:hideMark/>
          </w:tcPr>
          <w:p w:rsidR="002C5C8B" w:rsidRDefault="002C5C8B">
            <w:pPr>
              <w:spacing w:after="4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Not relevant</w:t>
            </w:r>
          </w:p>
        </w:tc>
        <w:tc>
          <w:tcPr>
            <w:tcW w:w="3776" w:type="dxa"/>
            <w:tcBorders>
              <w:top w:val="nil"/>
              <w:left w:val="nil"/>
              <w:bottom w:val="nil"/>
              <w:right w:val="single" w:sz="4" w:space="0" w:color="000000" w:themeColor="text1"/>
            </w:tcBorders>
            <w:shd w:val="clear" w:color="auto" w:fill="E1ECC6"/>
            <w:vAlign w:val="center"/>
            <w:hideMark/>
          </w:tcPr>
          <w:p w:rsidR="002C5C8B" w:rsidRDefault="002C5C8B">
            <w:pPr>
              <w:spacing w:after="4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 xml:space="preserve">Impact on noise, traffic, car parking, land use mix, streetscape </w:t>
            </w:r>
          </w:p>
        </w:tc>
      </w:tr>
      <w:tr w:rsidR="002C5C8B" w:rsidTr="002C5C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left w:val="single" w:sz="4" w:space="0" w:color="000000" w:themeColor="text1"/>
            </w:tcBorders>
            <w:shd w:val="clear" w:color="auto" w:fill="E5E1DD"/>
            <w:vAlign w:val="center"/>
            <w:hideMark/>
          </w:tcPr>
          <w:p w:rsidR="002C5C8B" w:rsidRDefault="002C5C8B">
            <w:pPr>
              <w:spacing w:after="40"/>
              <w:rPr>
                <w:rFonts w:ascii="Arial" w:hAnsi="Arial" w:cs="Arial"/>
                <w:sz w:val="20"/>
              </w:rPr>
            </w:pPr>
            <w:r>
              <w:rPr>
                <w:rFonts w:ascii="Arial" w:hAnsi="Arial" w:cs="Arial"/>
                <w:sz w:val="20"/>
              </w:rPr>
              <w:t>Venue management considerations</w:t>
            </w:r>
          </w:p>
        </w:tc>
        <w:tc>
          <w:tcPr>
            <w:tcW w:w="2977" w:type="dxa"/>
            <w:tcBorders>
              <w:left w:val="nil"/>
              <w:right w:val="nil"/>
            </w:tcBorders>
            <w:shd w:val="clear" w:color="auto" w:fill="CCE3F0"/>
            <w:vAlign w:val="center"/>
            <w:hideMark/>
          </w:tcPr>
          <w:p w:rsidR="002C5C8B" w:rsidRDefault="002C5C8B">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Availability of non-gambling social, leisure, entertainment and recreation facilities</w:t>
            </w:r>
          </w:p>
        </w:tc>
        <w:tc>
          <w:tcPr>
            <w:tcW w:w="3776" w:type="dxa"/>
            <w:tcBorders>
              <w:left w:val="nil"/>
              <w:right w:val="single" w:sz="4" w:space="0" w:color="000000" w:themeColor="text1"/>
            </w:tcBorders>
            <w:shd w:val="clear" w:color="auto" w:fill="E1ECC6"/>
            <w:vAlign w:val="center"/>
            <w:hideMark/>
          </w:tcPr>
          <w:p w:rsidR="002C5C8B" w:rsidRDefault="002C5C8B">
            <w:pPr>
              <w:spacing w:after="40"/>
              <w:cnfStyle w:val="000000100000" w:firstRow="0" w:lastRow="0" w:firstColumn="0" w:lastColumn="0" w:oddVBand="0" w:evenVBand="0" w:oddHBand="1" w:evenHBand="0" w:firstRowFirstColumn="0" w:firstRowLastColumn="0" w:lastRowFirstColumn="0" w:lastRowLastColumn="0"/>
              <w:rPr>
                <w:rFonts w:ascii="Arial" w:hAnsi="Arial" w:cs="Arial"/>
                <w:sz w:val="20"/>
              </w:rPr>
            </w:pPr>
            <w:r>
              <w:rPr>
                <w:rFonts w:ascii="Arial" w:hAnsi="Arial" w:cs="Arial"/>
                <w:sz w:val="20"/>
              </w:rPr>
              <w:t>Availability of non-gambling social, leisure, entertainment and recreation facilities</w:t>
            </w:r>
          </w:p>
        </w:tc>
      </w:tr>
      <w:tr w:rsidR="002C5C8B" w:rsidTr="002C5C8B">
        <w:tc>
          <w:tcPr>
            <w:cnfStyle w:val="001000000000" w:firstRow="0" w:lastRow="0" w:firstColumn="1" w:lastColumn="0" w:oddVBand="0" w:evenVBand="0" w:oddHBand="0" w:evenHBand="0" w:firstRowFirstColumn="0" w:firstRowLastColumn="0" w:lastRowFirstColumn="0" w:lastRowLastColumn="0"/>
            <w:tcW w:w="2263" w:type="dxa"/>
            <w:tcBorders>
              <w:top w:val="nil"/>
              <w:left w:val="single" w:sz="4" w:space="0" w:color="000000" w:themeColor="text1"/>
              <w:bottom w:val="single" w:sz="4" w:space="0" w:color="000000" w:themeColor="text1"/>
            </w:tcBorders>
            <w:shd w:val="clear" w:color="auto" w:fill="E5E1DD"/>
            <w:vAlign w:val="center"/>
            <w:hideMark/>
          </w:tcPr>
          <w:p w:rsidR="002C5C8B" w:rsidRDefault="002C5C8B">
            <w:pPr>
              <w:spacing w:after="40"/>
              <w:rPr>
                <w:rFonts w:ascii="Arial" w:hAnsi="Arial" w:cs="Arial"/>
                <w:sz w:val="20"/>
              </w:rPr>
            </w:pPr>
            <w:r>
              <w:rPr>
                <w:rFonts w:ascii="Arial" w:hAnsi="Arial" w:cs="Arial"/>
                <w:sz w:val="20"/>
              </w:rPr>
              <w:t>Community views</w:t>
            </w:r>
          </w:p>
        </w:tc>
        <w:tc>
          <w:tcPr>
            <w:tcW w:w="2977" w:type="dxa"/>
            <w:tcBorders>
              <w:top w:val="nil"/>
              <w:left w:val="nil"/>
              <w:bottom w:val="single" w:sz="4" w:space="0" w:color="000000" w:themeColor="text1"/>
              <w:right w:val="nil"/>
            </w:tcBorders>
            <w:shd w:val="clear" w:color="auto" w:fill="CCE3F0"/>
            <w:hideMark/>
          </w:tcPr>
          <w:p w:rsidR="002C5C8B" w:rsidRDefault="002C5C8B">
            <w:pPr>
              <w:spacing w:after="40"/>
              <w:cnfStyle w:val="000000000000" w:firstRow="0" w:lastRow="0" w:firstColumn="0" w:lastColumn="0" w:oddVBand="0" w:evenVBand="0" w:oddHBand="0" w:evenHBand="0" w:firstRowFirstColumn="0" w:firstRowLastColumn="0" w:lastRowFirstColumn="0" w:lastRowLastColumn="0"/>
              <w:rPr>
                <w:rFonts w:ascii="Arial" w:hAnsi="Arial" w:cs="Arial"/>
                <w:sz w:val="20"/>
              </w:rPr>
            </w:pPr>
            <w:r>
              <w:rPr>
                <w:rFonts w:ascii="Arial" w:hAnsi="Arial" w:cs="Arial"/>
                <w:sz w:val="20"/>
              </w:rPr>
              <w:t>Objections and submissions taken into account</w:t>
            </w:r>
          </w:p>
        </w:tc>
        <w:tc>
          <w:tcPr>
            <w:tcW w:w="3776" w:type="dxa"/>
            <w:tcBorders>
              <w:top w:val="nil"/>
              <w:left w:val="nil"/>
              <w:bottom w:val="single" w:sz="4" w:space="0" w:color="000000" w:themeColor="text1"/>
              <w:right w:val="single" w:sz="4" w:space="0" w:color="000000" w:themeColor="text1"/>
            </w:tcBorders>
            <w:shd w:val="clear" w:color="auto" w:fill="E1ECC6"/>
            <w:hideMark/>
          </w:tcPr>
          <w:p w:rsidR="002C5C8B" w:rsidRDefault="002C5C8B">
            <w:pPr>
              <w:spacing w:after="40"/>
              <w:cnfStyle w:val="000000000000" w:firstRow="0" w:lastRow="0" w:firstColumn="0" w:lastColumn="0" w:oddVBand="0" w:evenVBand="0" w:oddHBand="0" w:evenHBand="0" w:firstRowFirstColumn="0" w:firstRowLastColumn="0" w:lastRowFirstColumn="0" w:lastRowLastColumn="0"/>
              <w:rPr>
                <w:rFonts w:ascii="Arial" w:hAnsi="Arial" w:cs="Arial"/>
                <w:i/>
                <w:sz w:val="20"/>
              </w:rPr>
            </w:pPr>
            <w:r>
              <w:rPr>
                <w:rFonts w:ascii="Arial" w:hAnsi="Arial" w:cs="Arial"/>
                <w:sz w:val="20"/>
              </w:rPr>
              <w:t xml:space="preserve">Number of objections must be considered </w:t>
            </w:r>
          </w:p>
        </w:tc>
      </w:tr>
    </w:tbl>
    <w:p w:rsidR="00686D96" w:rsidRDefault="00686D96" w:rsidP="00686D96">
      <w:pPr>
        <w:pStyle w:val="Heading2"/>
        <w:numPr>
          <w:ilvl w:val="0"/>
          <w:numId w:val="0"/>
        </w:numPr>
        <w:ind w:left="578"/>
      </w:pPr>
    </w:p>
    <w:p w:rsidR="00686D96" w:rsidRDefault="00686D96">
      <w:pPr>
        <w:spacing w:line="276" w:lineRule="auto"/>
        <w:ind w:left="720"/>
        <w:rPr>
          <w:rFonts w:ascii="CoM" w:eastAsiaTheme="majorEastAsia" w:hAnsi="CoM" w:cstheme="majorBidi"/>
          <w:bCs/>
          <w:sz w:val="32"/>
          <w:szCs w:val="32"/>
        </w:rPr>
      </w:pPr>
      <w:r>
        <w:br w:type="page"/>
      </w:r>
    </w:p>
    <w:p w:rsidR="00C45438" w:rsidRDefault="00C45438" w:rsidP="00FC5226">
      <w:pPr>
        <w:pStyle w:val="Heading2"/>
      </w:pPr>
      <w:bookmarkStart w:id="87" w:name="_Toc494287769"/>
      <w:r w:rsidRPr="009D0DC3">
        <w:t>Harm minimisation</w:t>
      </w:r>
      <w:bookmarkEnd w:id="86"/>
      <w:bookmarkEnd w:id="87"/>
    </w:p>
    <w:p w:rsidR="00C371F7" w:rsidRDefault="00C371F7" w:rsidP="00C371F7">
      <w:bookmarkStart w:id="88" w:name="_Hlk489972283"/>
      <w:r>
        <w:t>Harm minimisation or reduction has been defined as follows:</w:t>
      </w:r>
    </w:p>
    <w:p w:rsidR="00C371F7" w:rsidRDefault="00C371F7" w:rsidP="00C371F7">
      <w:pPr>
        <w:ind w:left="720"/>
      </w:pPr>
      <w:r>
        <w:t>“Harm reduction refers to a policy or program directed towards minimizing or decreasing the adverse health, social and economic consequences of gambling behaviour for individuals, families, communities and society. A harm reduction strategy does not require abstention from gambling”.</w:t>
      </w:r>
      <w:r>
        <w:rPr>
          <w:rStyle w:val="FootnoteReference"/>
        </w:rPr>
        <w:footnoteReference w:id="22"/>
      </w:r>
    </w:p>
    <w:p w:rsidR="00C371F7" w:rsidRPr="00C371F7" w:rsidRDefault="00C371F7" w:rsidP="00C371F7">
      <w:bookmarkStart w:id="89" w:name="_Hlk489972344"/>
      <w:bookmarkEnd w:id="88"/>
      <w:r>
        <w:t>The Federal Government, and State Government of Victoria have introduced several statutory harm minimisation measures and guidelines that seek to reduce the harm resulting from gambling.</w:t>
      </w:r>
      <w:r w:rsidR="00FF2AC9">
        <w:t xml:space="preserve"> These measures relate to all forms of gambling that take place in the municipality, including </w:t>
      </w:r>
      <w:r w:rsidR="006D76C5">
        <w:rPr>
          <w:rFonts w:cstheme="minorHAnsi"/>
          <w:color w:val="222222"/>
          <w:shd w:val="clear" w:color="auto" w:fill="FFFFFF"/>
        </w:rPr>
        <w:t>EGM</w:t>
      </w:r>
      <w:r w:rsidR="00FF2AC9">
        <w:t>s.</w:t>
      </w:r>
    </w:p>
    <w:p w:rsidR="00C45438" w:rsidRDefault="00C45438" w:rsidP="00C371F7">
      <w:pPr>
        <w:pStyle w:val="Heading3"/>
      </w:pPr>
      <w:bookmarkStart w:id="90" w:name="_Hlk489972377"/>
      <w:bookmarkEnd w:id="89"/>
      <w:r>
        <w:t>Federal</w:t>
      </w:r>
      <w:r w:rsidR="00C371F7">
        <w:t xml:space="preserve"> Government</w:t>
      </w:r>
    </w:p>
    <w:p w:rsidR="00226FCE" w:rsidRDefault="00226FCE" w:rsidP="00226FCE">
      <w:pPr>
        <w:rPr>
          <w:szCs w:val="22"/>
          <w:lang w:eastAsia="en-AU"/>
        </w:rPr>
      </w:pPr>
      <w:r>
        <w:rPr>
          <w:szCs w:val="22"/>
          <w:lang w:eastAsia="en-AU"/>
        </w:rPr>
        <w:t>Online gambling is the fastest growing gambling segment in Australia</w:t>
      </w:r>
      <w:r>
        <w:rPr>
          <w:rStyle w:val="FootnoteReference"/>
          <w:szCs w:val="22"/>
          <w:lang w:eastAsia="en-AU"/>
        </w:rPr>
        <w:footnoteReference w:id="23"/>
      </w:r>
      <w:r>
        <w:rPr>
          <w:szCs w:val="22"/>
          <w:lang w:eastAsia="en-AU"/>
        </w:rPr>
        <w:t>, including among children and young people.</w:t>
      </w:r>
      <w:r>
        <w:rPr>
          <w:rStyle w:val="FootnoteReference"/>
          <w:szCs w:val="22"/>
          <w:lang w:eastAsia="en-AU"/>
        </w:rPr>
        <w:footnoteReference w:id="24"/>
      </w:r>
      <w:r>
        <w:rPr>
          <w:szCs w:val="22"/>
          <w:lang w:eastAsia="en-AU"/>
        </w:rPr>
        <w:t xml:space="preserve"> Research has found that early exposure to all forms of gambling, including EGMs, and gambling advertising are risk factor for developing problems with gambling.</w:t>
      </w:r>
      <w:r>
        <w:rPr>
          <w:rStyle w:val="FootnoteReference"/>
          <w:szCs w:val="22"/>
          <w:lang w:eastAsia="en-AU"/>
        </w:rPr>
        <w:footnoteReference w:id="25"/>
      </w:r>
    </w:p>
    <w:p w:rsidR="00C45438" w:rsidRPr="00C371F7" w:rsidRDefault="00C45438" w:rsidP="00C45438">
      <w:pPr>
        <w:rPr>
          <w:szCs w:val="22"/>
          <w:lang w:eastAsia="en-AU"/>
        </w:rPr>
      </w:pPr>
      <w:r w:rsidRPr="00C371F7">
        <w:rPr>
          <w:szCs w:val="22"/>
          <w:lang w:eastAsia="en-AU"/>
        </w:rPr>
        <w:t xml:space="preserve">In April 2017 </w:t>
      </w:r>
      <w:r w:rsidRPr="00C371F7">
        <w:rPr>
          <w:szCs w:val="22"/>
        </w:rPr>
        <w:t>the Australian government reached an in-principle agreement with state and territory gambling ministers to introduce reforms to provide stronger consumer protections for online gambling. These measures are to be</w:t>
      </w:r>
      <w:r w:rsidRPr="00C371F7">
        <w:rPr>
          <w:szCs w:val="22"/>
          <w:lang w:eastAsia="en-AU"/>
        </w:rPr>
        <w:t xml:space="preserve"> included in the National Consumer Protection Framework, which will apply broadly across all forms of online and telephone wagering services.</w:t>
      </w:r>
      <w:r w:rsidR="00C371F7">
        <w:rPr>
          <w:rStyle w:val="FootnoteReference"/>
          <w:szCs w:val="22"/>
          <w:lang w:eastAsia="en-AU"/>
        </w:rPr>
        <w:footnoteReference w:id="26"/>
      </w:r>
    </w:p>
    <w:bookmarkEnd w:id="90"/>
    <w:p w:rsidR="00C45438" w:rsidRPr="00C371F7" w:rsidRDefault="00C45438" w:rsidP="00C45438">
      <w:pPr>
        <w:rPr>
          <w:szCs w:val="22"/>
          <w:lang w:eastAsia="en-AU"/>
        </w:rPr>
      </w:pPr>
      <w:r w:rsidRPr="00C371F7">
        <w:rPr>
          <w:szCs w:val="22"/>
          <w:lang w:eastAsia="en-AU"/>
        </w:rPr>
        <w:t>The measures include:</w:t>
      </w:r>
    </w:p>
    <w:p w:rsidR="00C45438" w:rsidRPr="005D64A5" w:rsidRDefault="00C45438" w:rsidP="007D1909">
      <w:pPr>
        <w:pStyle w:val="ListParagraph"/>
        <w:numPr>
          <w:ilvl w:val="0"/>
          <w:numId w:val="52"/>
        </w:numPr>
        <w:spacing w:after="120"/>
        <w:ind w:left="714" w:hanging="357"/>
        <w:contextualSpacing w:val="0"/>
        <w:rPr>
          <w:lang w:eastAsia="en-AU"/>
        </w:rPr>
      </w:pPr>
      <w:r w:rsidRPr="005D64A5">
        <w:rPr>
          <w:lang w:eastAsia="en-AU"/>
        </w:rPr>
        <w:t>a national self-exclusion register for online wagering</w:t>
      </w:r>
    </w:p>
    <w:p w:rsidR="00C45438" w:rsidRPr="005D64A5" w:rsidRDefault="00C45438" w:rsidP="007D1909">
      <w:pPr>
        <w:pStyle w:val="ListParagraph"/>
        <w:numPr>
          <w:ilvl w:val="0"/>
          <w:numId w:val="52"/>
        </w:numPr>
        <w:spacing w:after="120"/>
        <w:ind w:left="714" w:hanging="357"/>
        <w:contextualSpacing w:val="0"/>
        <w:rPr>
          <w:lang w:eastAsia="en-AU"/>
        </w:rPr>
      </w:pPr>
      <w:r w:rsidRPr="005D64A5">
        <w:rPr>
          <w:lang w:eastAsia="en-AU"/>
        </w:rPr>
        <w:t>a voluntary opt-out pre-commitment scheme for online wagering</w:t>
      </w:r>
    </w:p>
    <w:p w:rsidR="00C45438" w:rsidRPr="005D64A5" w:rsidRDefault="00C45438" w:rsidP="007D1909">
      <w:pPr>
        <w:pStyle w:val="ListParagraph"/>
        <w:numPr>
          <w:ilvl w:val="0"/>
          <w:numId w:val="52"/>
        </w:numPr>
        <w:spacing w:after="120"/>
        <w:ind w:left="714" w:hanging="357"/>
        <w:contextualSpacing w:val="0"/>
        <w:rPr>
          <w:lang w:eastAsia="en-AU"/>
        </w:rPr>
      </w:pPr>
      <w:r w:rsidRPr="005D64A5">
        <w:rPr>
          <w:lang w:eastAsia="en-AU"/>
        </w:rPr>
        <w:t>prohibiting credit being offered by online wagering providers</w:t>
      </w:r>
    </w:p>
    <w:p w:rsidR="00C45438" w:rsidRPr="005D64A5" w:rsidRDefault="00C45438" w:rsidP="007D1909">
      <w:pPr>
        <w:pStyle w:val="ListParagraph"/>
        <w:numPr>
          <w:ilvl w:val="0"/>
          <w:numId w:val="52"/>
        </w:numPr>
        <w:spacing w:after="120"/>
        <w:ind w:left="714" w:hanging="357"/>
        <w:contextualSpacing w:val="0"/>
        <w:rPr>
          <w:lang w:eastAsia="en-AU"/>
        </w:rPr>
      </w:pPr>
      <w:r w:rsidRPr="005D64A5">
        <w:rPr>
          <w:lang w:eastAsia="en-AU"/>
        </w:rPr>
        <w:t>ensuring the offer of inducements is consistent with responsible gambling</w:t>
      </w:r>
    </w:p>
    <w:p w:rsidR="00C45438" w:rsidRPr="005D64A5" w:rsidRDefault="00C45438" w:rsidP="007D1909">
      <w:pPr>
        <w:pStyle w:val="ListParagraph"/>
        <w:numPr>
          <w:ilvl w:val="0"/>
          <w:numId w:val="52"/>
        </w:numPr>
        <w:spacing w:after="120"/>
        <w:ind w:left="714" w:hanging="357"/>
        <w:contextualSpacing w:val="0"/>
        <w:rPr>
          <w:lang w:eastAsia="en-AU"/>
        </w:rPr>
      </w:pPr>
      <w:r w:rsidRPr="005D64A5">
        <w:rPr>
          <w:lang w:eastAsia="en-AU"/>
        </w:rPr>
        <w:t>providing activity statements on demand on a regular basis</w:t>
      </w:r>
    </w:p>
    <w:p w:rsidR="00C45438" w:rsidRPr="005D64A5" w:rsidRDefault="00C45438" w:rsidP="007D1909">
      <w:pPr>
        <w:pStyle w:val="ListParagraph"/>
        <w:numPr>
          <w:ilvl w:val="0"/>
          <w:numId w:val="52"/>
        </w:numPr>
        <w:spacing w:after="120"/>
        <w:ind w:left="714" w:hanging="357"/>
        <w:contextualSpacing w:val="0"/>
        <w:rPr>
          <w:lang w:eastAsia="en-AU"/>
        </w:rPr>
      </w:pPr>
      <w:r w:rsidRPr="005D64A5">
        <w:rPr>
          <w:lang w:eastAsia="en-AU"/>
        </w:rPr>
        <w:t>more consistent responsible gambling messaging</w:t>
      </w:r>
    </w:p>
    <w:p w:rsidR="00C45438" w:rsidRPr="005D64A5" w:rsidRDefault="00C45438" w:rsidP="007D1909">
      <w:pPr>
        <w:pStyle w:val="ListParagraph"/>
        <w:numPr>
          <w:ilvl w:val="0"/>
          <w:numId w:val="52"/>
        </w:numPr>
        <w:spacing w:after="120"/>
        <w:ind w:left="714" w:hanging="357"/>
        <w:contextualSpacing w:val="0"/>
        <w:rPr>
          <w:lang w:eastAsia="en-AU"/>
        </w:rPr>
      </w:pPr>
      <w:r w:rsidRPr="005D64A5">
        <w:rPr>
          <w:lang w:eastAsia="en-AU"/>
        </w:rPr>
        <w:t>staff involved in providing wagering services to complete training in the responsible conduct of gambling</w:t>
      </w:r>
    </w:p>
    <w:p w:rsidR="00C45438" w:rsidRPr="005D64A5" w:rsidRDefault="00C45438" w:rsidP="007D1909">
      <w:pPr>
        <w:pStyle w:val="ListParagraph"/>
        <w:numPr>
          <w:ilvl w:val="0"/>
          <w:numId w:val="52"/>
        </w:numPr>
        <w:spacing w:after="120"/>
        <w:ind w:left="714" w:hanging="357"/>
        <w:contextualSpacing w:val="0"/>
        <w:rPr>
          <w:lang w:eastAsia="en-AU"/>
        </w:rPr>
      </w:pPr>
      <w:r w:rsidRPr="005D64A5">
        <w:rPr>
          <w:lang w:eastAsia="en-AU"/>
        </w:rPr>
        <w:t>reducing the current 90-day verification time frame for customer verification</w:t>
      </w:r>
    </w:p>
    <w:p w:rsidR="00C45438" w:rsidRPr="005D64A5" w:rsidRDefault="00C45438" w:rsidP="007D1909">
      <w:pPr>
        <w:pStyle w:val="ListParagraph"/>
        <w:numPr>
          <w:ilvl w:val="0"/>
          <w:numId w:val="52"/>
        </w:numPr>
        <w:spacing w:after="120"/>
        <w:ind w:left="714" w:hanging="357"/>
        <w:contextualSpacing w:val="0"/>
        <w:rPr>
          <w:lang w:eastAsia="en-AU"/>
        </w:rPr>
      </w:pPr>
      <w:r w:rsidRPr="005D64A5">
        <w:rPr>
          <w:lang w:eastAsia="en-AU"/>
        </w:rPr>
        <w:t>prohibiting links between online wagering providers and payday lenders</w:t>
      </w:r>
    </w:p>
    <w:p w:rsidR="00C45438" w:rsidRPr="005D64A5" w:rsidRDefault="00C45438" w:rsidP="007D1909">
      <w:pPr>
        <w:pStyle w:val="ListParagraph"/>
        <w:numPr>
          <w:ilvl w:val="0"/>
          <w:numId w:val="52"/>
        </w:numPr>
        <w:spacing w:after="120"/>
        <w:ind w:left="714" w:hanging="357"/>
        <w:contextualSpacing w:val="0"/>
        <w:rPr>
          <w:lang w:eastAsia="en-AU"/>
        </w:rPr>
      </w:pPr>
      <w:bookmarkStart w:id="91" w:name="_Hlk489972403"/>
      <w:r w:rsidRPr="005D64A5">
        <w:rPr>
          <w:lang w:eastAsia="en-AU"/>
        </w:rPr>
        <w:t>greater national consistency in advertising of online wagering services.</w:t>
      </w:r>
    </w:p>
    <w:p w:rsidR="00C45438" w:rsidRPr="00692A70" w:rsidRDefault="00C45438" w:rsidP="00C45438">
      <w:pPr>
        <w:rPr>
          <w:lang w:eastAsia="en-AU"/>
        </w:rPr>
      </w:pPr>
      <w:bookmarkStart w:id="92" w:name="_Hlk489972421"/>
      <w:r>
        <w:rPr>
          <w:lang w:eastAsia="en-AU"/>
        </w:rPr>
        <w:t>In May 2017 the Federal Government announced that it will introduce legislation that</w:t>
      </w:r>
      <w:r w:rsidRPr="00692A70">
        <w:rPr>
          <w:lang w:eastAsia="en-AU"/>
        </w:rPr>
        <w:t xml:space="preserve"> includes further restrictions on gambling advertising and promotions during live sports programs to reduce the exposure of children to gambling. </w:t>
      </w:r>
      <w:bookmarkEnd w:id="91"/>
      <w:r w:rsidRPr="00692A70">
        <w:rPr>
          <w:lang w:eastAsia="en-AU"/>
        </w:rPr>
        <w:t xml:space="preserve">The new restrictions will prohibit all gambling promotions from five minutes before the scheduled start of play in all live sports broadcasts to five minutes after the conclusion of play or to 8:30 pm. </w:t>
      </w:r>
      <w:r>
        <w:rPr>
          <w:lang w:eastAsia="en-AU"/>
        </w:rPr>
        <w:t>The</w:t>
      </w:r>
      <w:r w:rsidRPr="00692A70">
        <w:rPr>
          <w:lang w:eastAsia="en-AU"/>
        </w:rPr>
        <w:t xml:space="preserve"> restrictions </w:t>
      </w:r>
      <w:r>
        <w:rPr>
          <w:lang w:eastAsia="en-AU"/>
        </w:rPr>
        <w:t xml:space="preserve">will also </w:t>
      </w:r>
      <w:r w:rsidRPr="00692A70">
        <w:rPr>
          <w:lang w:eastAsia="en-AU"/>
        </w:rPr>
        <w:t>apply to commercial television, commercial radio, subscription television, the Special Broadcasting Service, online services, including ‘catch up’ services, and live online streaming that are aimed at Australian audiences.</w:t>
      </w:r>
    </w:p>
    <w:p w:rsidR="00C45438" w:rsidRPr="00692A70" w:rsidRDefault="00C45438" w:rsidP="00C45438">
      <w:pPr>
        <w:rPr>
          <w:rFonts w:cstheme="minorHAnsi"/>
          <w:szCs w:val="22"/>
        </w:rPr>
      </w:pPr>
      <w:r>
        <w:rPr>
          <w:lang w:eastAsia="en-AU"/>
        </w:rPr>
        <w:t xml:space="preserve">These changes respond to </w:t>
      </w:r>
      <w:r w:rsidRPr="00692A70">
        <w:rPr>
          <w:lang w:eastAsia="en-AU"/>
        </w:rPr>
        <w:t>concern that exposing children to gambling advertising (such as sports betting) could position gambling as a normal part of the sports viewing experience</w:t>
      </w:r>
      <w:r w:rsidR="00C371F7">
        <w:rPr>
          <w:lang w:eastAsia="en-AU"/>
        </w:rPr>
        <w:t>.</w:t>
      </w:r>
      <w:r w:rsidR="00C371F7">
        <w:rPr>
          <w:rStyle w:val="FootnoteReference"/>
          <w:lang w:eastAsia="en-AU"/>
        </w:rPr>
        <w:footnoteReference w:id="27"/>
      </w:r>
    </w:p>
    <w:bookmarkEnd w:id="92"/>
    <w:p w:rsidR="00C45438" w:rsidRPr="00C45438" w:rsidRDefault="00C371F7" w:rsidP="00C371F7">
      <w:pPr>
        <w:pStyle w:val="Heading3"/>
      </w:pPr>
      <w:r>
        <w:t>Victorian State Government</w:t>
      </w:r>
    </w:p>
    <w:p w:rsidR="00C371F7" w:rsidRDefault="00C371F7" w:rsidP="00C371F7">
      <w:pPr>
        <w:pStyle w:val="Heading4"/>
      </w:pPr>
      <w:r>
        <w:t>Legislation</w:t>
      </w:r>
    </w:p>
    <w:p w:rsidR="00C45438" w:rsidRPr="009D0DC3" w:rsidRDefault="00C45438" w:rsidP="00C45438">
      <w:pPr>
        <w:rPr>
          <w:rFonts w:cstheme="minorHAnsi"/>
        </w:rPr>
      </w:pPr>
      <w:r w:rsidRPr="009D0DC3">
        <w:rPr>
          <w:rFonts w:cstheme="minorHAnsi"/>
        </w:rPr>
        <w:t xml:space="preserve">The main objectives of the </w:t>
      </w:r>
      <w:r w:rsidRPr="009D0DC3">
        <w:rPr>
          <w:rFonts w:cstheme="minorHAnsi"/>
          <w:i/>
        </w:rPr>
        <w:t>Gambling Regulation Act 2003</w:t>
      </w:r>
      <w:r w:rsidRPr="009D0DC3">
        <w:rPr>
          <w:rFonts w:cstheme="minorHAnsi"/>
        </w:rPr>
        <w:t xml:space="preserve"> are to foster responsible gambling in order to minimise harm caused by problem gambling and accommodate those who gamble without experiencing or causing harm.</w:t>
      </w:r>
    </w:p>
    <w:p w:rsidR="00C45438" w:rsidRPr="009D0DC3" w:rsidRDefault="00C45438" w:rsidP="00C45438">
      <w:pPr>
        <w:rPr>
          <w:rFonts w:cstheme="minorHAnsi"/>
        </w:rPr>
      </w:pPr>
      <w:r w:rsidRPr="009D0DC3">
        <w:rPr>
          <w:rFonts w:cstheme="minorHAnsi"/>
        </w:rPr>
        <w:t xml:space="preserve">The following statutory harm minimisation measures are applicable to </w:t>
      </w:r>
      <w:r w:rsidR="00226FCE">
        <w:rPr>
          <w:rFonts w:cstheme="minorHAnsi"/>
        </w:rPr>
        <w:t>hotels and club</w:t>
      </w:r>
      <w:r w:rsidR="00D274A0">
        <w:rPr>
          <w:rFonts w:cstheme="minorHAnsi"/>
        </w:rPr>
        <w:t xml:space="preserve"> gaming venues across </w:t>
      </w:r>
      <w:r w:rsidRPr="009D0DC3">
        <w:rPr>
          <w:rFonts w:cstheme="minorHAnsi"/>
        </w:rPr>
        <w:t>all municipalities in Victoria:</w:t>
      </w:r>
    </w:p>
    <w:p w:rsidR="00C90160" w:rsidRDefault="00C45438" w:rsidP="00C90160">
      <w:pPr>
        <w:pStyle w:val="ListParagraph"/>
        <w:numPr>
          <w:ilvl w:val="0"/>
          <w:numId w:val="15"/>
        </w:numPr>
        <w:spacing w:after="120"/>
        <w:contextualSpacing w:val="0"/>
        <w:rPr>
          <w:rFonts w:cstheme="minorHAnsi"/>
        </w:rPr>
      </w:pPr>
      <w:r w:rsidRPr="00C90160">
        <w:rPr>
          <w:rFonts w:cstheme="minorHAnsi"/>
          <w:b/>
        </w:rPr>
        <w:t>Municipal and regional caps:</w:t>
      </w:r>
      <w:r w:rsidRPr="00C90160">
        <w:rPr>
          <w:rFonts w:cstheme="minorHAnsi"/>
        </w:rPr>
        <w:t xml:space="preserve"> </w:t>
      </w:r>
      <w:bookmarkStart w:id="93" w:name="_Hlk484424827"/>
      <w:r w:rsidR="00C90160">
        <w:rPr>
          <w:rFonts w:cstheme="minorHAnsi"/>
        </w:rPr>
        <w:t xml:space="preserve">As </w:t>
      </w:r>
      <w:r w:rsidR="00C90160" w:rsidRPr="00D9712C">
        <w:rPr>
          <w:rFonts w:cstheme="minorHAnsi"/>
        </w:rPr>
        <w:t xml:space="preserve">discussed in Section </w:t>
      </w:r>
      <w:r w:rsidR="008F688E">
        <w:rPr>
          <w:rFonts w:cstheme="minorHAnsi"/>
        </w:rPr>
        <w:t>4</w:t>
      </w:r>
      <w:r w:rsidR="00C90160" w:rsidRPr="00D9712C">
        <w:rPr>
          <w:rFonts w:cstheme="minorHAnsi"/>
        </w:rPr>
        <w:t xml:space="preserve">.1.1, </w:t>
      </w:r>
      <w:r w:rsidR="00D9712C" w:rsidRPr="00D9712C">
        <w:rPr>
          <w:rFonts w:cstheme="minorHAnsi"/>
        </w:rPr>
        <w:t>t</w:t>
      </w:r>
      <w:r w:rsidR="00C90160" w:rsidRPr="00D9712C">
        <w:rPr>
          <w:rFonts w:cstheme="minorHAnsi"/>
        </w:rPr>
        <w:t>he</w:t>
      </w:r>
      <w:r w:rsidR="00C90160" w:rsidRPr="00471CD9">
        <w:rPr>
          <w:rFonts w:cstheme="minorHAnsi"/>
        </w:rPr>
        <w:t xml:space="preserve"> Victorian Government has imposed</w:t>
      </w:r>
      <w:r w:rsidR="00C90160">
        <w:rPr>
          <w:rFonts w:cstheme="minorHAnsi"/>
        </w:rPr>
        <w:t xml:space="preserve"> municipal and regional caps on local government areas in Victoria in order to manage the density of EGMs per 1,000 adults.</w:t>
      </w:r>
    </w:p>
    <w:p w:rsidR="00C45438" w:rsidRPr="009D0DC3" w:rsidRDefault="00C45438" w:rsidP="00C45438">
      <w:pPr>
        <w:pStyle w:val="ListParagraph"/>
        <w:numPr>
          <w:ilvl w:val="0"/>
          <w:numId w:val="15"/>
        </w:numPr>
        <w:spacing w:after="120"/>
        <w:contextualSpacing w:val="0"/>
        <w:rPr>
          <w:rFonts w:cstheme="minorHAnsi"/>
          <w:color w:val="000000"/>
        </w:rPr>
      </w:pPr>
      <w:bookmarkStart w:id="94" w:name="_Hlk489972506"/>
      <w:bookmarkEnd w:id="93"/>
      <w:r w:rsidRPr="009D0DC3">
        <w:rPr>
          <w:rFonts w:cstheme="minorHAnsi"/>
          <w:b/>
        </w:rPr>
        <w:t>Community Support Fund</w:t>
      </w:r>
      <w:r w:rsidR="006D76C5">
        <w:rPr>
          <w:rFonts w:cstheme="minorHAnsi"/>
          <w:b/>
        </w:rPr>
        <w:t>:</w:t>
      </w:r>
      <w:r w:rsidRPr="009D0DC3">
        <w:rPr>
          <w:rFonts w:cstheme="minorHAnsi"/>
          <w:b/>
        </w:rPr>
        <w:t xml:space="preserve"> </w:t>
      </w:r>
      <w:r w:rsidRPr="009D0DC3">
        <w:rPr>
          <w:rFonts w:cstheme="minorHAnsi"/>
        </w:rPr>
        <w:t>The Community Support Fund (CSF) receives 8.33% of the gaming revenue from EGMs</w:t>
      </w:r>
      <w:r>
        <w:rPr>
          <w:rFonts w:cstheme="minorHAnsi"/>
        </w:rPr>
        <w:t xml:space="preserve"> in hotels. I</w:t>
      </w:r>
      <w:r w:rsidRPr="009D0DC3">
        <w:rPr>
          <w:rFonts w:cstheme="minorHAnsi"/>
        </w:rPr>
        <w:t>t does not receive revenue from EGMs located in clubs or in the casino. Initiatives funded by the CSF include thos</w:t>
      </w:r>
      <w:r w:rsidR="00397893">
        <w:rPr>
          <w:rFonts w:cstheme="minorHAnsi"/>
        </w:rPr>
        <w:t>e that address problem gambling,</w:t>
      </w:r>
      <w:r w:rsidRPr="009D0DC3">
        <w:rPr>
          <w:rFonts w:cstheme="minorHAnsi"/>
        </w:rPr>
        <w:t xml:space="preserve"> drug education, treatment and rehabilitation</w:t>
      </w:r>
      <w:r w:rsidR="00397893">
        <w:rPr>
          <w:rFonts w:cstheme="minorHAnsi"/>
        </w:rPr>
        <w:t>, financial counselling,</w:t>
      </w:r>
      <w:r w:rsidRPr="009D0DC3">
        <w:rPr>
          <w:rFonts w:cstheme="minorHAnsi"/>
        </w:rPr>
        <w:t xml:space="preserve"> youth </w:t>
      </w:r>
      <w:r w:rsidR="00397893">
        <w:rPr>
          <w:rFonts w:cstheme="minorHAnsi"/>
        </w:rPr>
        <w:t>programs, sports and recreation,</w:t>
      </w:r>
      <w:r w:rsidRPr="009D0DC3">
        <w:rPr>
          <w:rFonts w:cstheme="minorHAnsi"/>
        </w:rPr>
        <w:t xml:space="preserve"> arts and tourism. </w:t>
      </w:r>
    </w:p>
    <w:p w:rsidR="00C45438" w:rsidRPr="009D0DC3" w:rsidRDefault="00C45438" w:rsidP="00C45438">
      <w:pPr>
        <w:pStyle w:val="ListParagraph"/>
        <w:numPr>
          <w:ilvl w:val="0"/>
          <w:numId w:val="15"/>
        </w:numPr>
        <w:spacing w:after="120"/>
        <w:contextualSpacing w:val="0"/>
        <w:rPr>
          <w:rFonts w:cstheme="minorHAnsi"/>
        </w:rPr>
      </w:pPr>
      <w:r w:rsidRPr="009D0DC3">
        <w:rPr>
          <w:rFonts w:cstheme="minorHAnsi"/>
          <w:b/>
        </w:rPr>
        <w:t>Responsible Service of Gambling:</w:t>
      </w:r>
      <w:r w:rsidRPr="009D0DC3">
        <w:rPr>
          <w:rFonts w:cstheme="minorHAnsi"/>
        </w:rPr>
        <w:t xml:space="preserve"> All gaming venue employees working in gaming machine areas while open to the public must complete an approved Responsible Service of Gaming training course within the first six months of starting working the gaming machine area. </w:t>
      </w:r>
    </w:p>
    <w:p w:rsidR="00C45438" w:rsidRPr="009D0DC3" w:rsidRDefault="00C45438" w:rsidP="00C45438">
      <w:pPr>
        <w:pStyle w:val="ListParagraph"/>
        <w:numPr>
          <w:ilvl w:val="0"/>
          <w:numId w:val="14"/>
        </w:numPr>
        <w:spacing w:after="120"/>
        <w:ind w:left="714" w:hanging="357"/>
        <w:contextualSpacing w:val="0"/>
        <w:rPr>
          <w:rFonts w:cstheme="minorHAnsi"/>
        </w:rPr>
      </w:pPr>
      <w:r w:rsidRPr="009D0DC3">
        <w:rPr>
          <w:rFonts w:cstheme="minorHAnsi"/>
          <w:b/>
        </w:rPr>
        <w:t>Responsible Gambling Code of Conduct:</w:t>
      </w:r>
      <w:r w:rsidRPr="009D0DC3">
        <w:rPr>
          <w:rFonts w:cstheme="minorHAnsi"/>
        </w:rPr>
        <w:t xml:space="preserve"> Section 3.4.12B of the </w:t>
      </w:r>
      <w:r w:rsidRPr="009D0DC3">
        <w:rPr>
          <w:rFonts w:cstheme="minorHAnsi"/>
          <w:i/>
        </w:rPr>
        <w:t xml:space="preserve">Gambling Regulation Act 2003 </w:t>
      </w:r>
      <w:r w:rsidRPr="009D0DC3">
        <w:rPr>
          <w:rFonts w:cstheme="minorHAnsi"/>
        </w:rPr>
        <w:t xml:space="preserve">requires that all venues have a Responsible Gambling Code of Conduct in place. There are a number of approved Codes available on the VCGLR website prepared by various authorised agencies and organisations. </w:t>
      </w:r>
    </w:p>
    <w:p w:rsidR="00C45438" w:rsidRPr="009D0DC3" w:rsidRDefault="00705CC0" w:rsidP="00C45438">
      <w:pPr>
        <w:pStyle w:val="ListParagraph"/>
        <w:numPr>
          <w:ilvl w:val="0"/>
          <w:numId w:val="14"/>
        </w:numPr>
        <w:spacing w:after="120"/>
        <w:ind w:left="714" w:hanging="357"/>
        <w:contextualSpacing w:val="0"/>
        <w:rPr>
          <w:rFonts w:cstheme="minorHAnsi"/>
        </w:rPr>
      </w:pPr>
      <w:r>
        <w:rPr>
          <w:rFonts w:cstheme="minorHAnsi"/>
          <w:b/>
        </w:rPr>
        <w:t>YourPlay Self-exclusion program</w:t>
      </w:r>
      <w:r w:rsidR="00C45438" w:rsidRPr="009D0DC3">
        <w:rPr>
          <w:rFonts w:cstheme="minorHAnsi"/>
        </w:rPr>
        <w:t xml:space="preserve">: Section 3.4.12A of the </w:t>
      </w:r>
      <w:r w:rsidR="00C45438" w:rsidRPr="009D0DC3">
        <w:rPr>
          <w:rFonts w:cstheme="minorHAnsi"/>
          <w:i/>
        </w:rPr>
        <w:t xml:space="preserve">Gambling Regulation Act 2003 </w:t>
      </w:r>
      <w:r w:rsidR="00C45438" w:rsidRPr="009D0DC3">
        <w:rPr>
          <w:rFonts w:cstheme="minorHAnsi"/>
        </w:rPr>
        <w:t>make it compulsory for all venues to have a se</w:t>
      </w:r>
      <w:r w:rsidR="00C45438">
        <w:rPr>
          <w:rFonts w:cstheme="minorHAnsi"/>
        </w:rPr>
        <w:t xml:space="preserve">lf-exclusion program in place. </w:t>
      </w:r>
      <w:bookmarkStart w:id="95" w:name="_Hlk485822745"/>
      <w:r w:rsidR="00C45438">
        <w:rPr>
          <w:rFonts w:cstheme="minorHAnsi"/>
        </w:rPr>
        <w:t>This program enables a person to ban themselves from gaming venues, TABs and gambling websites.</w:t>
      </w:r>
      <w:bookmarkEnd w:id="95"/>
    </w:p>
    <w:p w:rsidR="00C45438" w:rsidRPr="009D0DC3" w:rsidRDefault="00C45438" w:rsidP="00C45438">
      <w:pPr>
        <w:pStyle w:val="ListParagraph"/>
        <w:numPr>
          <w:ilvl w:val="0"/>
          <w:numId w:val="13"/>
        </w:numPr>
        <w:spacing w:after="120"/>
        <w:contextualSpacing w:val="0"/>
        <w:rPr>
          <w:rFonts w:cstheme="minorHAnsi"/>
        </w:rPr>
      </w:pPr>
      <w:r w:rsidRPr="009D0DC3">
        <w:rPr>
          <w:rFonts w:cstheme="minorHAnsi"/>
          <w:b/>
        </w:rPr>
        <w:t>Opening hours:</w:t>
      </w:r>
      <w:r w:rsidRPr="009D0DC3">
        <w:rPr>
          <w:rFonts w:cstheme="minorHAnsi"/>
        </w:rPr>
        <w:t xml:space="preserve"> Section 3.3.9. of the </w:t>
      </w:r>
      <w:r w:rsidRPr="009D0DC3">
        <w:rPr>
          <w:rFonts w:cstheme="minorHAnsi"/>
          <w:i/>
        </w:rPr>
        <w:t xml:space="preserve">Gambling Regulation Act 2003 </w:t>
      </w:r>
      <w:r>
        <w:rPr>
          <w:rFonts w:cstheme="minorHAnsi"/>
        </w:rPr>
        <w:t>allows</w:t>
      </w:r>
      <w:r w:rsidRPr="009D0DC3">
        <w:rPr>
          <w:rFonts w:cstheme="minorHAnsi"/>
        </w:rPr>
        <w:t xml:space="preserve"> opening hours to a maximum of 20 hours each day and requires that there is a continuous 4 hour break from gaming after every 20 hours of gaming. </w:t>
      </w:r>
      <w:r>
        <w:rPr>
          <w:rFonts w:cstheme="minorHAnsi"/>
        </w:rPr>
        <w:t>However, t</w:t>
      </w:r>
      <w:r w:rsidRPr="009D0DC3">
        <w:rPr>
          <w:rFonts w:cstheme="minorHAnsi"/>
        </w:rPr>
        <w:t xml:space="preserve">he </w:t>
      </w:r>
      <w:r w:rsidRPr="009D0DC3">
        <w:rPr>
          <w:rFonts w:cstheme="minorHAnsi"/>
          <w:i/>
        </w:rPr>
        <w:t xml:space="preserve">Act </w:t>
      </w:r>
      <w:r w:rsidRPr="009D0DC3">
        <w:rPr>
          <w:rFonts w:cstheme="minorHAnsi"/>
        </w:rPr>
        <w:t>makes provision for exemptions to this requirement, enabling gaming venues to operate for 24 hours a day.</w:t>
      </w:r>
    </w:p>
    <w:p w:rsidR="00C45438" w:rsidRPr="009D0DC3" w:rsidRDefault="00C45438" w:rsidP="00C45438">
      <w:pPr>
        <w:pStyle w:val="ListParagraph"/>
        <w:numPr>
          <w:ilvl w:val="0"/>
          <w:numId w:val="13"/>
        </w:numPr>
        <w:spacing w:after="120"/>
        <w:contextualSpacing w:val="0"/>
        <w:rPr>
          <w:rFonts w:cstheme="minorHAnsi"/>
        </w:rPr>
      </w:pPr>
      <w:r w:rsidRPr="009D0DC3">
        <w:rPr>
          <w:rFonts w:cstheme="minorHAnsi"/>
          <w:b/>
        </w:rPr>
        <w:t>Signage and advertising:</w:t>
      </w:r>
      <w:r w:rsidRPr="009D0DC3">
        <w:rPr>
          <w:rFonts w:cstheme="minorHAnsi"/>
        </w:rPr>
        <w:t xml:space="preserve"> Signage identifying that a venue operates EGM measuring 2m</w:t>
      </w:r>
      <w:r w:rsidRPr="009D0DC3">
        <w:rPr>
          <w:rFonts w:cstheme="minorHAnsi"/>
          <w:vertAlign w:val="superscript"/>
        </w:rPr>
        <w:t xml:space="preserve">2 </w:t>
      </w:r>
      <w:r w:rsidRPr="009D0DC3">
        <w:rPr>
          <w:rFonts w:cstheme="minorHAnsi"/>
        </w:rPr>
        <w:t>is permitted on the facades of hotels and clubs. These signs must be in white lettering on a single colour background with no decorative ridges or illumination.</w:t>
      </w:r>
      <w:r w:rsidR="00AA7B2D">
        <w:rPr>
          <w:rFonts w:cstheme="minorHAnsi"/>
        </w:rPr>
        <w:t xml:space="preserve">  </w:t>
      </w:r>
    </w:p>
    <w:p w:rsidR="00C45438" w:rsidRPr="009D0DC3" w:rsidRDefault="00C45438" w:rsidP="00C45438">
      <w:pPr>
        <w:pStyle w:val="ListParagraph"/>
        <w:numPr>
          <w:ilvl w:val="0"/>
          <w:numId w:val="13"/>
        </w:numPr>
        <w:spacing w:after="120"/>
        <w:ind w:left="714" w:hanging="357"/>
        <w:contextualSpacing w:val="0"/>
        <w:rPr>
          <w:rFonts w:cstheme="minorHAnsi"/>
        </w:rPr>
      </w:pPr>
      <w:r w:rsidRPr="009D0DC3">
        <w:rPr>
          <w:rFonts w:cstheme="minorHAnsi"/>
          <w:b/>
        </w:rPr>
        <w:t>Ban on smoking in licensed premises:</w:t>
      </w:r>
      <w:r w:rsidRPr="009D0DC3">
        <w:rPr>
          <w:rFonts w:cstheme="minorHAnsi"/>
        </w:rPr>
        <w:t xml:space="preserve"> On the 1</w:t>
      </w:r>
      <w:r w:rsidRPr="009D0DC3">
        <w:rPr>
          <w:rFonts w:cstheme="minorHAnsi"/>
          <w:vertAlign w:val="superscript"/>
        </w:rPr>
        <w:t>st</w:t>
      </w:r>
      <w:r w:rsidRPr="009D0DC3">
        <w:rPr>
          <w:rFonts w:cstheme="minorHAnsi"/>
        </w:rPr>
        <w:t xml:space="preserve"> of September 2002 smoking was prohibited in gaming areas and premises in Victoria</w:t>
      </w:r>
      <w:r w:rsidRPr="009D0DC3">
        <w:rPr>
          <w:rStyle w:val="FootnoteReference"/>
          <w:rFonts w:cstheme="minorHAnsi"/>
        </w:rPr>
        <w:footnoteReference w:id="28"/>
      </w:r>
      <w:r w:rsidRPr="009D0DC3">
        <w:rPr>
          <w:rFonts w:cstheme="minorHAnsi"/>
        </w:rPr>
        <w:t>.</w:t>
      </w:r>
    </w:p>
    <w:p w:rsidR="00462D5E" w:rsidRDefault="00C45438" w:rsidP="00C45438">
      <w:pPr>
        <w:pStyle w:val="ListParagraph"/>
        <w:numPr>
          <w:ilvl w:val="0"/>
          <w:numId w:val="13"/>
        </w:numPr>
        <w:spacing w:after="120"/>
        <w:ind w:left="714" w:hanging="357"/>
        <w:contextualSpacing w:val="0"/>
        <w:rPr>
          <w:rFonts w:cstheme="minorHAnsi"/>
        </w:rPr>
      </w:pPr>
      <w:r w:rsidRPr="009D0DC3">
        <w:rPr>
          <w:rFonts w:cstheme="minorHAnsi"/>
          <w:b/>
        </w:rPr>
        <w:t>Removal of ATM’s:</w:t>
      </w:r>
      <w:r w:rsidRPr="009D0DC3">
        <w:rPr>
          <w:rFonts w:cstheme="minorHAnsi"/>
        </w:rPr>
        <w:t xml:space="preserve"> Venues may not provide, or allow another person to provide, access to ATMs within an approved gaming venue, the exterior walls of an approved gaming venue, any land that is owned or leased by the gaming venue operator in which the gaming venue is located and on any car park owned or operated by the venue operator that is used primarily by the gaming venue patrons. </w:t>
      </w:r>
    </w:p>
    <w:p w:rsidR="00C45438" w:rsidRPr="0071477F" w:rsidRDefault="0071477F" w:rsidP="00C45438">
      <w:pPr>
        <w:pStyle w:val="ListParagraph"/>
        <w:numPr>
          <w:ilvl w:val="0"/>
          <w:numId w:val="13"/>
        </w:numPr>
        <w:spacing w:after="120"/>
        <w:ind w:left="714" w:hanging="357"/>
        <w:contextualSpacing w:val="0"/>
        <w:rPr>
          <w:rFonts w:cstheme="minorHAnsi"/>
        </w:rPr>
      </w:pPr>
      <w:r w:rsidRPr="0071477F">
        <w:rPr>
          <w:rFonts w:cstheme="minorHAnsi"/>
          <w:b/>
        </w:rPr>
        <w:t>EFTPOS</w:t>
      </w:r>
      <w:r w:rsidR="00462D5E" w:rsidRPr="0071477F">
        <w:rPr>
          <w:rFonts w:cstheme="minorHAnsi"/>
          <w:b/>
        </w:rPr>
        <w:t xml:space="preserve"> withdrawals: </w:t>
      </w:r>
      <w:r w:rsidR="00C45438" w:rsidRPr="0071477F">
        <w:rPr>
          <w:rFonts w:cstheme="minorHAnsi"/>
        </w:rPr>
        <w:t>Cash withdrawals of $200 per transaction are permitted at gaming venues where there is face to face interaction with staff, as occurs through traditional EFTPOS facilities</w:t>
      </w:r>
      <w:r w:rsidR="00C45438" w:rsidRPr="0071477F">
        <w:rPr>
          <w:rStyle w:val="FootnoteReference"/>
          <w:rFonts w:cstheme="minorHAnsi"/>
        </w:rPr>
        <w:footnoteReference w:id="29"/>
      </w:r>
      <w:r w:rsidR="00C45438" w:rsidRPr="0071477F">
        <w:rPr>
          <w:rFonts w:cstheme="minorHAnsi"/>
        </w:rPr>
        <w:t>.</w:t>
      </w:r>
      <w:r w:rsidR="00462D5E" w:rsidRPr="0071477F">
        <w:rPr>
          <w:rFonts w:cstheme="minorHAnsi"/>
        </w:rPr>
        <w:t xml:space="preserve">  Reforms announced in September 2017 restrict cash withdrawals at gaming venues in Victoria to a maximum of $500 within a 24-hour period.  Cashing of cheques at venues will also no longer be permitted.</w:t>
      </w:r>
    </w:p>
    <w:p w:rsidR="00632E20" w:rsidRPr="0071477F" w:rsidRDefault="00632E20" w:rsidP="00C45438">
      <w:pPr>
        <w:pStyle w:val="ListParagraph"/>
        <w:numPr>
          <w:ilvl w:val="0"/>
          <w:numId w:val="13"/>
        </w:numPr>
        <w:spacing w:after="120"/>
        <w:ind w:left="714" w:hanging="357"/>
        <w:contextualSpacing w:val="0"/>
        <w:rPr>
          <w:rFonts w:cstheme="minorHAnsi"/>
        </w:rPr>
      </w:pPr>
      <w:r w:rsidRPr="0071477F">
        <w:rPr>
          <w:rFonts w:cstheme="minorHAnsi"/>
          <w:b/>
        </w:rPr>
        <w:t>Cashless gaming:</w:t>
      </w:r>
      <w:r w:rsidRPr="0071477F">
        <w:rPr>
          <w:rFonts w:cstheme="minorHAnsi"/>
        </w:rPr>
        <w:t xml:space="preserve"> The Gambling Regulation Amendment (Gaming Machine Arrangements) Bill 2017 addressed the emergence of cashless gaming by banning the purchase of cashless gaming tickets or credits with a credit card and banning any encouragement of players receiving winnings in the form of cashless gaming tickets or credits.  New limits on the amount that can be loaded onto a card or ticket for gaming have also been introduced.</w:t>
      </w:r>
    </w:p>
    <w:bookmarkEnd w:id="94"/>
    <w:p w:rsidR="00C45438" w:rsidRPr="009D0DC3" w:rsidRDefault="00C45438" w:rsidP="00C45438">
      <w:pPr>
        <w:rPr>
          <w:rFonts w:cstheme="minorHAnsi"/>
        </w:rPr>
      </w:pPr>
      <w:r w:rsidRPr="009D0DC3">
        <w:rPr>
          <w:rFonts w:cstheme="minorHAnsi"/>
        </w:rPr>
        <w:t>The implementation and regulation of these statutory harm minimisation measures are under the jurisdiction of the gaming legislation</w:t>
      </w:r>
      <w:r>
        <w:rPr>
          <w:rFonts w:cstheme="minorHAnsi"/>
        </w:rPr>
        <w:t>. Even though there is no prohibition to including them in a local planning policy for gaming, they are deemed to be beyond the scope of planning and are therefore not typically included.</w:t>
      </w:r>
    </w:p>
    <w:p w:rsidR="00C45438" w:rsidRPr="009D0DC3" w:rsidRDefault="00C45438" w:rsidP="00C371F7">
      <w:pPr>
        <w:pStyle w:val="Heading4"/>
      </w:pPr>
      <w:bookmarkStart w:id="96" w:name="_Toc485906289"/>
      <w:r w:rsidRPr="009D0DC3">
        <w:t>VCGLR Guidelines</w:t>
      </w:r>
      <w:bookmarkEnd w:id="96"/>
    </w:p>
    <w:p w:rsidR="00C45438" w:rsidRPr="009D0DC3" w:rsidRDefault="00C45438" w:rsidP="00C45438">
      <w:pPr>
        <w:rPr>
          <w:rFonts w:cstheme="minorHAnsi"/>
        </w:rPr>
      </w:pPr>
      <w:r w:rsidRPr="009D0DC3">
        <w:rPr>
          <w:rFonts w:cstheme="minorHAnsi"/>
        </w:rPr>
        <w:t>The VCGLR Venue Manual provides the necessary information to assist gaming venue operators to meet their regulatory and compliance obligations. The Manual covers a range of matters including gaming machine are</w:t>
      </w:r>
      <w:r w:rsidR="00397893">
        <w:rPr>
          <w:rFonts w:cstheme="minorHAnsi"/>
        </w:rPr>
        <w:t>a (size, layout and facilities),</w:t>
      </w:r>
      <w:r w:rsidRPr="009D0DC3">
        <w:rPr>
          <w:rFonts w:cstheme="minorHAnsi"/>
        </w:rPr>
        <w:t xml:space="preserve"> gaming hours</w:t>
      </w:r>
      <w:r w:rsidR="00397893">
        <w:rPr>
          <w:rFonts w:cstheme="minorHAnsi"/>
        </w:rPr>
        <w:t>,</w:t>
      </w:r>
      <w:r w:rsidRPr="009D0DC3">
        <w:rPr>
          <w:rFonts w:cstheme="minorHAnsi"/>
        </w:rPr>
        <w:t xml:space="preserve"> patron interaction and support</w:t>
      </w:r>
      <w:r w:rsidR="00397893">
        <w:rPr>
          <w:rFonts w:cstheme="minorHAnsi"/>
        </w:rPr>
        <w:t>,</w:t>
      </w:r>
      <w:r w:rsidRPr="009D0DC3">
        <w:rPr>
          <w:rFonts w:cstheme="minorHAnsi"/>
        </w:rPr>
        <w:t xml:space="preserve"> display of notices, signs and rules and advertising of gaming products.</w:t>
      </w:r>
    </w:p>
    <w:p w:rsidR="00C45438" w:rsidRPr="009D0DC3" w:rsidRDefault="00C45438" w:rsidP="00C45438">
      <w:pPr>
        <w:rPr>
          <w:rFonts w:cstheme="minorHAnsi"/>
        </w:rPr>
      </w:pPr>
      <w:r w:rsidRPr="009D0DC3">
        <w:rPr>
          <w:rFonts w:cstheme="minorHAnsi"/>
        </w:rPr>
        <w:t>In October 2013 the Minister issued guidelines relating to the location of children’s play areas in gaming venues. These guidelines seek to minimise exposure of the gaming area to children in play areas by maximising distance, restricting access, and minimising the visibility and audibility of the gaming area. These guidelines align with the general prohibition of gambling and gaming among minors.</w:t>
      </w:r>
    </w:p>
    <w:p w:rsidR="00C45438" w:rsidRPr="009D0DC3" w:rsidRDefault="00C45438" w:rsidP="00C45438">
      <w:pPr>
        <w:rPr>
          <w:rFonts w:cstheme="minorHAnsi"/>
        </w:rPr>
      </w:pPr>
      <w:r w:rsidRPr="009D0DC3">
        <w:rPr>
          <w:rFonts w:cstheme="minorHAnsi"/>
        </w:rPr>
        <w:t>In February 2017 the Minister issued guidelines stating that the Commission should not approve gaming machines in buildings with permanent residential accommodation as this could increase exposure to gaming for residents, children and people at risk of gambling-related harms. These guidelines are based on research which indicates that frequent exposure to gambling can lead to gambling-related harms and that easy access to a gaming venue is a potential risk factor for people experiencing gambling-related harms who are in treatment.</w:t>
      </w:r>
      <w:r w:rsidRPr="009D0DC3">
        <w:rPr>
          <w:rStyle w:val="FootnoteReference"/>
          <w:rFonts w:cstheme="minorHAnsi"/>
        </w:rPr>
        <w:footnoteReference w:id="30"/>
      </w:r>
    </w:p>
    <w:p w:rsidR="00C45438" w:rsidRPr="009D0DC3" w:rsidRDefault="00C45438" w:rsidP="00C45438">
      <w:pPr>
        <w:rPr>
          <w:rFonts w:cstheme="minorHAnsi"/>
          <w:i/>
        </w:rPr>
      </w:pPr>
      <w:r w:rsidRPr="009D0DC3">
        <w:rPr>
          <w:rFonts w:cstheme="minorHAnsi"/>
        </w:rPr>
        <w:t>These guidelines are under the jurisdiction of the gaming legislation. However, it is common for local planning policies for electronic gaming to require applicants to demonstrate how they comply with these guidelines as part of the overall assessment of the planning permit application</w:t>
      </w:r>
      <w:r>
        <w:rPr>
          <w:rFonts w:cstheme="minorHAnsi"/>
        </w:rPr>
        <w:t>.</w:t>
      </w:r>
    </w:p>
    <w:p w:rsidR="002806A3" w:rsidRDefault="002806A3">
      <w:pPr>
        <w:spacing w:line="276" w:lineRule="auto"/>
        <w:ind w:left="720"/>
        <w:rPr>
          <w:rFonts w:asciiTheme="minorHAnsi" w:eastAsiaTheme="majorEastAsia" w:hAnsiTheme="minorHAnsi" w:cstheme="minorHAnsi"/>
          <w:b/>
          <w:bCs/>
          <w:caps/>
          <w:color w:val="365F91" w:themeColor="accent1" w:themeShade="BF"/>
          <w:sz w:val="28"/>
          <w:szCs w:val="28"/>
        </w:rPr>
      </w:pPr>
      <w:r>
        <w:rPr>
          <w:rFonts w:asciiTheme="minorHAnsi" w:hAnsiTheme="minorHAnsi" w:cstheme="minorHAnsi"/>
        </w:rPr>
        <w:br w:type="page"/>
      </w:r>
    </w:p>
    <w:p w:rsidR="0063624D" w:rsidRPr="00FC5226" w:rsidRDefault="00051F9D" w:rsidP="00FC5226">
      <w:pPr>
        <w:pStyle w:val="Heading1"/>
        <w:spacing w:before="0" w:after="120"/>
        <w:rPr>
          <w:rFonts w:ascii="CoM" w:hAnsi="CoM"/>
          <w:b w:val="0"/>
          <w:caps w:val="0"/>
          <w:sz w:val="38"/>
          <w:szCs w:val="38"/>
        </w:rPr>
      </w:pPr>
      <w:bookmarkStart w:id="97" w:name="_Toc494287770"/>
      <w:r w:rsidRPr="00FC5226">
        <w:rPr>
          <w:rFonts w:ascii="CoM" w:hAnsi="CoM"/>
          <w:b w:val="0"/>
          <w:caps w:val="0"/>
          <w:sz w:val="38"/>
          <w:szCs w:val="38"/>
        </w:rPr>
        <w:t xml:space="preserve">Relevant </w:t>
      </w:r>
      <w:r w:rsidR="008F68AA" w:rsidRPr="00FC5226">
        <w:rPr>
          <w:rFonts w:ascii="CoM" w:hAnsi="CoM"/>
          <w:b w:val="0"/>
          <w:caps w:val="0"/>
          <w:sz w:val="38"/>
          <w:szCs w:val="38"/>
        </w:rPr>
        <w:t>gaming and planning d</w:t>
      </w:r>
      <w:r w:rsidRPr="00FC5226">
        <w:rPr>
          <w:rFonts w:ascii="CoM" w:hAnsi="CoM"/>
          <w:b w:val="0"/>
          <w:caps w:val="0"/>
          <w:sz w:val="38"/>
          <w:szCs w:val="38"/>
        </w:rPr>
        <w:t>ecisions</w:t>
      </w:r>
      <w:bookmarkEnd w:id="97"/>
    </w:p>
    <w:p w:rsidR="0063624D" w:rsidRDefault="0063624D" w:rsidP="0063624D">
      <w:r>
        <w:t xml:space="preserve">This </w:t>
      </w:r>
      <w:r w:rsidR="00FF2AC9">
        <w:t>Chapter</w:t>
      </w:r>
      <w:r>
        <w:t xml:space="preserve"> provides a history of relevant decisions on gaming approvals and planning permits in the City of Melbourne. It also summarises the key principles underpinning decisions made by the Commission and the Tribunal on gaming approvals and planning permit applications. These principles will be used to prepare the Decision-Making Framework and the Local Planning Policy for Gaming. </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DA255B" w:rsidTr="00DA255B">
        <w:tc>
          <w:tcPr>
            <w:tcW w:w="9016" w:type="dxa"/>
            <w:shd w:val="clear" w:color="auto" w:fill="D9D9D9" w:themeFill="background1" w:themeFillShade="D9"/>
          </w:tcPr>
          <w:p w:rsidR="00DA255B" w:rsidRDefault="00DA255B" w:rsidP="005A652B">
            <w:pPr>
              <w:spacing w:after="120"/>
              <w:rPr>
                <w:b/>
              </w:rPr>
            </w:pPr>
            <w:r>
              <w:rPr>
                <w:b/>
              </w:rPr>
              <w:t>Key findings</w:t>
            </w:r>
          </w:p>
          <w:p w:rsidR="00DA255B" w:rsidRDefault="00274F9E" w:rsidP="005A652B">
            <w:pPr>
              <w:spacing w:after="120"/>
            </w:pPr>
            <w:r>
              <w:t>Key principles arising out of decisions on gaming and planning permit applications in the City of Melbourne and other Victorian municipalities are:</w:t>
            </w:r>
          </w:p>
          <w:p w:rsidR="00274F9E" w:rsidRDefault="00274F9E" w:rsidP="007D1909">
            <w:pPr>
              <w:pStyle w:val="ListParagraph"/>
              <w:numPr>
                <w:ilvl w:val="0"/>
                <w:numId w:val="74"/>
              </w:numPr>
              <w:spacing w:after="120"/>
              <w:contextualSpacing w:val="0"/>
            </w:pPr>
            <w:r>
              <w:t>Council must adopt a balanced approach to the management of EGMs in the municipality.</w:t>
            </w:r>
          </w:p>
          <w:p w:rsidR="00274F9E" w:rsidRDefault="00274F9E" w:rsidP="007D1909">
            <w:pPr>
              <w:pStyle w:val="ListParagraph"/>
              <w:numPr>
                <w:ilvl w:val="0"/>
                <w:numId w:val="74"/>
              </w:numPr>
              <w:spacing w:after="120"/>
              <w:contextualSpacing w:val="0"/>
            </w:pPr>
            <w:r>
              <w:t>The community of the City of Melbourne includes workers, visitors and students in addition to local residents.</w:t>
            </w:r>
          </w:p>
          <w:p w:rsidR="00274F9E" w:rsidRDefault="00274F9E" w:rsidP="007D1909">
            <w:pPr>
              <w:pStyle w:val="ListParagraph"/>
              <w:numPr>
                <w:ilvl w:val="0"/>
                <w:numId w:val="74"/>
              </w:numPr>
              <w:spacing w:after="120"/>
              <w:contextualSpacing w:val="0"/>
            </w:pPr>
            <w:r>
              <w:t>EGMs are associated with both social and economic harms and benefits.</w:t>
            </w:r>
            <w:r w:rsidR="003D2567">
              <w:t xml:space="preserve"> Benefits include community contributions, employment generation and provision of entertainment facilities. Gambling related harms affect both the individual and the community. </w:t>
            </w:r>
          </w:p>
          <w:p w:rsidR="00274F9E" w:rsidRDefault="00274F9E" w:rsidP="007D1909">
            <w:pPr>
              <w:pStyle w:val="ListParagraph"/>
              <w:numPr>
                <w:ilvl w:val="0"/>
                <w:numId w:val="74"/>
              </w:numPr>
              <w:spacing w:after="120"/>
              <w:contextualSpacing w:val="0"/>
            </w:pPr>
            <w:r>
              <w:t>Risk factors associated with gambling harm include clustering or concentration of gaming venues and EGM</w:t>
            </w:r>
            <w:r w:rsidR="003310FA">
              <w:t>s</w:t>
            </w:r>
            <w:r w:rsidR="00397893">
              <w:t>,</w:t>
            </w:r>
            <w:r>
              <w:t xml:space="preserve"> proximity to groups considered to be at an elevated risk of gambling harms such as people experiencing socio-economic disadvantage</w:t>
            </w:r>
            <w:r w:rsidR="00397893">
              <w:t>,</w:t>
            </w:r>
            <w:r>
              <w:t xml:space="preserve"> potential for the gaming venue to contribute to convenience gambling and proximity to facilities and services likely to be used by people experiencing gambling-related harms.</w:t>
            </w:r>
          </w:p>
          <w:p w:rsidR="00274F9E" w:rsidRPr="00DA255B" w:rsidRDefault="003D2567" w:rsidP="007D1909">
            <w:pPr>
              <w:pStyle w:val="ListParagraph"/>
              <w:numPr>
                <w:ilvl w:val="0"/>
                <w:numId w:val="74"/>
              </w:numPr>
              <w:spacing w:after="120"/>
              <w:contextualSpacing w:val="0"/>
            </w:pPr>
            <w:r>
              <w:t xml:space="preserve">Factors that can reduce the risk and achieve net community benefit include enhancements to the design and operation of the gaming venue, transfer of EGMs and EGM expenditure </w:t>
            </w:r>
            <w:r w:rsidR="005A652B">
              <w:t>away from areas of high</w:t>
            </w:r>
            <w:r>
              <w:t xml:space="preserve"> socio-economic disadvantage</w:t>
            </w:r>
            <w:r w:rsidR="005A652B">
              <w:t>, provision of cash and in-kind community contributions, employment generation and an increase in the range of non-gambling social and entertainment facilities and activities.</w:t>
            </w:r>
          </w:p>
        </w:tc>
      </w:tr>
    </w:tbl>
    <w:p w:rsidR="00DA255B" w:rsidRDefault="00DA255B" w:rsidP="0063624D"/>
    <w:tbl>
      <w:tblPr>
        <w:tblStyle w:val="TableGrid"/>
        <w:tblW w:w="0" w:type="auto"/>
        <w:shd w:val="clear" w:color="auto" w:fill="D9D9D9" w:themeFill="background1" w:themeFillShade="D9"/>
        <w:tblLook w:val="04A0" w:firstRow="1" w:lastRow="0" w:firstColumn="1" w:lastColumn="0" w:noHBand="0" w:noVBand="1"/>
      </w:tblPr>
      <w:tblGrid>
        <w:gridCol w:w="9016"/>
      </w:tblGrid>
      <w:tr w:rsidR="00DA255B" w:rsidTr="00DA255B">
        <w:tc>
          <w:tcPr>
            <w:tcW w:w="9016" w:type="dxa"/>
            <w:shd w:val="clear" w:color="auto" w:fill="D9D9D9" w:themeFill="background1" w:themeFillShade="D9"/>
          </w:tcPr>
          <w:p w:rsidR="00DA255B" w:rsidRDefault="00DA255B" w:rsidP="00DA255B">
            <w:pPr>
              <w:spacing w:after="120"/>
              <w:rPr>
                <w:b/>
              </w:rPr>
            </w:pPr>
            <w:r>
              <w:rPr>
                <w:b/>
              </w:rPr>
              <w:t xml:space="preserve">Implications for the </w:t>
            </w:r>
            <w:r w:rsidR="007B3C27">
              <w:rPr>
                <w:b/>
              </w:rPr>
              <w:t>Electronic Gaming Decision</w:t>
            </w:r>
            <w:r>
              <w:rPr>
                <w:b/>
              </w:rPr>
              <w:t>-Making Framework and Local Planning Policy for Gaming</w:t>
            </w:r>
          </w:p>
          <w:p w:rsidR="005A652B" w:rsidRDefault="005A652B" w:rsidP="00DA255B">
            <w:pPr>
              <w:spacing w:after="120"/>
            </w:pPr>
            <w:r>
              <w:t xml:space="preserve">The </w:t>
            </w:r>
            <w:r w:rsidR="007B3C27">
              <w:t>Electronic Gaming Decision</w:t>
            </w:r>
            <w:r>
              <w:t>-Making Framework will need to support Council’s roles in assessing the potential benefits and harms associated with EGMs.</w:t>
            </w:r>
          </w:p>
          <w:p w:rsidR="005A652B" w:rsidRPr="005A652B" w:rsidRDefault="005A652B" w:rsidP="00DA255B">
            <w:pPr>
              <w:spacing w:after="120"/>
            </w:pPr>
            <w:r>
              <w:t xml:space="preserve">The Local Planning Policy for Gaming will need to guide Council </w:t>
            </w:r>
            <w:r w:rsidR="00C166F9">
              <w:t>in identifying suitable locations for gaming venues and EGMs in order to ensure that the proposal does not elevate the risk of gambling harms among vulnerable groups. It will also need to include guidelines on how to assess the potential for the proposal to result in net community benefit.</w:t>
            </w:r>
          </w:p>
        </w:tc>
      </w:tr>
    </w:tbl>
    <w:p w:rsidR="00DA255B" w:rsidRDefault="00DA255B" w:rsidP="0063624D"/>
    <w:p w:rsidR="00D9712C" w:rsidRDefault="00D9712C">
      <w:pPr>
        <w:spacing w:line="276" w:lineRule="auto"/>
        <w:ind w:left="720"/>
        <w:rPr>
          <w:rFonts w:asciiTheme="minorHAnsi" w:eastAsiaTheme="majorEastAsia" w:hAnsiTheme="minorHAnsi" w:cstheme="minorHAnsi"/>
          <w:b/>
          <w:bCs/>
          <w:color w:val="4F81BD" w:themeColor="accent1"/>
          <w:sz w:val="26"/>
          <w:szCs w:val="26"/>
        </w:rPr>
      </w:pPr>
      <w:r>
        <w:rPr>
          <w:rFonts w:asciiTheme="minorHAnsi" w:hAnsiTheme="minorHAnsi" w:cstheme="minorHAnsi"/>
        </w:rPr>
        <w:br w:type="page"/>
      </w:r>
    </w:p>
    <w:p w:rsidR="0063624D" w:rsidRDefault="0063624D" w:rsidP="00FC5226">
      <w:pPr>
        <w:pStyle w:val="Heading2"/>
      </w:pPr>
      <w:bookmarkStart w:id="98" w:name="_Toc494287771"/>
      <w:r>
        <w:t>City of Melbourne</w:t>
      </w:r>
      <w:bookmarkEnd w:id="98"/>
    </w:p>
    <w:p w:rsidR="0063624D" w:rsidRDefault="0063624D" w:rsidP="0071477F">
      <w:r>
        <w:t xml:space="preserve">Table </w:t>
      </w:r>
      <w:r w:rsidR="00270386">
        <w:t>7</w:t>
      </w:r>
      <w:r w:rsidR="00DA255B">
        <w:t xml:space="preserve"> </w:t>
      </w:r>
      <w:r>
        <w:t>provides a summary of the applications relating to gaming venues in the City of Melbourne from 2001.</w:t>
      </w:r>
      <w:r w:rsidR="00466650">
        <w:t xml:space="preserve"> The details regarding the most relevant decisions are included in Appendix </w:t>
      </w:r>
      <w:r w:rsidR="00C40980">
        <w:t>2</w:t>
      </w:r>
      <w:r w:rsidR="00466650">
        <w:t>.</w:t>
      </w:r>
    </w:p>
    <w:p w:rsidR="0071477F" w:rsidRDefault="0071477F" w:rsidP="0071477F">
      <w:pPr>
        <w:pStyle w:val="Caption"/>
        <w:rPr>
          <w:rFonts w:cstheme="minorHAnsi"/>
        </w:rPr>
      </w:pPr>
      <w:bookmarkStart w:id="99" w:name="_Toc494206925"/>
      <w:bookmarkStart w:id="100" w:name="_Toc494287824"/>
      <w:r w:rsidRPr="0071477F">
        <w:t xml:space="preserve">Table </w:t>
      </w:r>
      <w:r w:rsidR="00802F28">
        <w:fldChar w:fldCharType="begin"/>
      </w:r>
      <w:r w:rsidR="00802F28">
        <w:instrText xml:space="preserve"> SEQ Table \* ARABIC </w:instrText>
      </w:r>
      <w:r w:rsidR="00802F28">
        <w:fldChar w:fldCharType="separate"/>
      </w:r>
      <w:r w:rsidRPr="0071477F">
        <w:rPr>
          <w:noProof/>
        </w:rPr>
        <w:t>7</w:t>
      </w:r>
      <w:r w:rsidR="00802F28">
        <w:rPr>
          <w:noProof/>
        </w:rPr>
        <w:fldChar w:fldCharType="end"/>
      </w:r>
      <w:r w:rsidRPr="0071477F">
        <w:t xml:space="preserve"> – Timeline of gaming venue applications from 2001, City of Melbourne</w:t>
      </w:r>
      <w:bookmarkEnd w:id="99"/>
      <w:bookmarkEnd w:id="100"/>
    </w:p>
    <w:tbl>
      <w:tblPr>
        <w:tblStyle w:val="ListTable3"/>
        <w:tblW w:w="5000" w:type="pct"/>
        <w:tblLook w:val="04A0" w:firstRow="1" w:lastRow="0" w:firstColumn="1" w:lastColumn="0" w:noHBand="0" w:noVBand="1"/>
      </w:tblPr>
      <w:tblGrid>
        <w:gridCol w:w="1438"/>
        <w:gridCol w:w="2336"/>
        <w:gridCol w:w="5468"/>
      </w:tblGrid>
      <w:tr w:rsidR="0063624D" w:rsidRPr="0099464A" w:rsidTr="0071477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8" w:type="pct"/>
          </w:tcPr>
          <w:p w:rsidR="0063624D" w:rsidRPr="0099464A" w:rsidRDefault="0063624D" w:rsidP="00315894">
            <w:pPr>
              <w:rPr>
                <w:rFonts w:cstheme="minorHAnsi"/>
              </w:rPr>
            </w:pPr>
            <w:r>
              <w:rPr>
                <w:rFonts w:cstheme="minorHAnsi"/>
              </w:rPr>
              <w:t>Venue and date</w:t>
            </w:r>
          </w:p>
        </w:tc>
        <w:tc>
          <w:tcPr>
            <w:tcW w:w="1264" w:type="pct"/>
          </w:tcPr>
          <w:p w:rsidR="0063624D" w:rsidRPr="0099464A" w:rsidRDefault="0063624D" w:rsidP="00315894">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Nature of application</w:t>
            </w:r>
          </w:p>
        </w:tc>
        <w:tc>
          <w:tcPr>
            <w:tcW w:w="2958" w:type="pct"/>
          </w:tcPr>
          <w:p w:rsidR="0063624D" w:rsidRPr="0099464A" w:rsidRDefault="0063624D" w:rsidP="00315894">
            <w:pPr>
              <w:cnfStyle w:val="100000000000" w:firstRow="1" w:lastRow="0" w:firstColumn="0" w:lastColumn="0" w:oddVBand="0" w:evenVBand="0" w:oddHBand="0" w:evenHBand="0" w:firstRowFirstColumn="0" w:firstRowLastColumn="0" w:lastRowFirstColumn="0" w:lastRowLastColumn="0"/>
              <w:rPr>
                <w:rFonts w:cstheme="minorHAnsi"/>
              </w:rPr>
            </w:pPr>
            <w:r>
              <w:rPr>
                <w:rFonts w:cstheme="minorHAnsi"/>
              </w:rPr>
              <w:t>Comments</w:t>
            </w:r>
          </w:p>
        </w:tc>
      </w:tr>
      <w:tr w:rsidR="0063624D" w:rsidRPr="0099464A" w:rsidTr="00714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tcPr>
          <w:p w:rsidR="0063624D" w:rsidRDefault="0063624D" w:rsidP="00315894">
            <w:pPr>
              <w:rPr>
                <w:rFonts w:cstheme="minorHAnsi"/>
              </w:rPr>
            </w:pPr>
            <w:r w:rsidRPr="0099464A">
              <w:rPr>
                <w:rFonts w:cstheme="minorHAnsi"/>
              </w:rPr>
              <w:t>Golden Nugget Hotel</w:t>
            </w:r>
          </w:p>
          <w:p w:rsidR="0063624D" w:rsidRPr="0099464A" w:rsidRDefault="0063624D" w:rsidP="00315894">
            <w:pPr>
              <w:rPr>
                <w:rFonts w:cstheme="minorHAnsi"/>
              </w:rPr>
            </w:pPr>
            <w:r>
              <w:rPr>
                <w:rFonts w:cstheme="minorHAnsi"/>
              </w:rPr>
              <w:t>2001</w:t>
            </w:r>
          </w:p>
        </w:tc>
        <w:tc>
          <w:tcPr>
            <w:tcW w:w="1264" w:type="pct"/>
          </w:tcPr>
          <w:p w:rsidR="0063624D" w:rsidRPr="0099464A" w:rsidRDefault="0063624D" w:rsidP="0031589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Application to operate 24 hours per day in an e</w:t>
            </w:r>
            <w:r w:rsidRPr="0099464A">
              <w:rPr>
                <w:rFonts w:cstheme="minorHAnsi"/>
              </w:rPr>
              <w:t>xisting gaming venue</w:t>
            </w:r>
            <w:r>
              <w:rPr>
                <w:rFonts w:cstheme="minorHAnsi"/>
              </w:rPr>
              <w:t xml:space="preserve"> with 60 EGMs</w:t>
            </w:r>
          </w:p>
        </w:tc>
        <w:tc>
          <w:tcPr>
            <w:tcW w:w="2958" w:type="pct"/>
          </w:tcPr>
          <w:p w:rsidR="0063624D" w:rsidRPr="0099464A" w:rsidRDefault="0063624D" w:rsidP="0031589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Application refused by the Commission </w:t>
            </w:r>
            <w:r w:rsidR="00477EA9">
              <w:rPr>
                <w:rFonts w:cstheme="minorHAnsi"/>
              </w:rPr>
              <w:t>as</w:t>
            </w:r>
            <w:r>
              <w:rPr>
                <w:rFonts w:cstheme="minorHAnsi"/>
              </w:rPr>
              <w:t xml:space="preserve"> the venue</w:t>
            </w:r>
            <w:r w:rsidR="00477EA9">
              <w:rPr>
                <w:rFonts w:cstheme="minorHAnsi"/>
              </w:rPr>
              <w:t xml:space="preserve"> was</w:t>
            </w:r>
            <w:r>
              <w:rPr>
                <w:rFonts w:cstheme="minorHAnsi"/>
              </w:rPr>
              <w:t xml:space="preserve"> not considered a tourist venue.</w:t>
            </w:r>
            <w:r>
              <w:rPr>
                <w:rStyle w:val="FootnoteReference"/>
                <w:rFonts w:cstheme="minorHAnsi"/>
              </w:rPr>
              <w:footnoteReference w:id="31"/>
            </w:r>
          </w:p>
        </w:tc>
      </w:tr>
      <w:tr w:rsidR="0063624D" w:rsidRPr="0099464A" w:rsidTr="0071477F">
        <w:tc>
          <w:tcPr>
            <w:cnfStyle w:val="001000000000" w:firstRow="0" w:lastRow="0" w:firstColumn="1" w:lastColumn="0" w:oddVBand="0" w:evenVBand="0" w:oddHBand="0" w:evenHBand="0" w:firstRowFirstColumn="0" w:firstRowLastColumn="0" w:lastRowFirstColumn="0" w:lastRowLastColumn="0"/>
            <w:tcW w:w="778" w:type="pct"/>
          </w:tcPr>
          <w:p w:rsidR="0063624D" w:rsidRDefault="0063624D" w:rsidP="00315894">
            <w:pPr>
              <w:rPr>
                <w:rFonts w:cstheme="minorHAnsi"/>
              </w:rPr>
            </w:pPr>
            <w:r w:rsidRPr="0099464A">
              <w:rPr>
                <w:rFonts w:cstheme="minorHAnsi"/>
              </w:rPr>
              <w:t>Docklands Stadium</w:t>
            </w:r>
          </w:p>
          <w:p w:rsidR="0063624D" w:rsidRPr="0099464A" w:rsidRDefault="0063624D" w:rsidP="00315894">
            <w:pPr>
              <w:rPr>
                <w:rFonts w:cstheme="minorHAnsi"/>
              </w:rPr>
            </w:pPr>
            <w:r>
              <w:rPr>
                <w:rFonts w:cstheme="minorHAnsi"/>
              </w:rPr>
              <w:t>2003</w:t>
            </w:r>
          </w:p>
        </w:tc>
        <w:tc>
          <w:tcPr>
            <w:tcW w:w="1264" w:type="pct"/>
          </w:tcPr>
          <w:p w:rsidR="0063624D" w:rsidRPr="0099464A" w:rsidRDefault="0063624D" w:rsidP="00315894">
            <w:pPr>
              <w:cnfStyle w:val="000000000000" w:firstRow="0" w:lastRow="0" w:firstColumn="0" w:lastColumn="0" w:oddVBand="0" w:evenVBand="0" w:oddHBand="0" w:evenHBand="0" w:firstRowFirstColumn="0" w:firstRowLastColumn="0" w:lastRowFirstColumn="0" w:lastRowLastColumn="0"/>
              <w:rPr>
                <w:rFonts w:cstheme="minorHAnsi"/>
              </w:rPr>
            </w:pPr>
            <w:r w:rsidRPr="0099464A">
              <w:rPr>
                <w:rFonts w:cstheme="minorHAnsi"/>
              </w:rPr>
              <w:t xml:space="preserve">Relocation of existing venue </w:t>
            </w:r>
            <w:r>
              <w:rPr>
                <w:rFonts w:cstheme="minorHAnsi"/>
              </w:rPr>
              <w:t>in</w:t>
            </w:r>
            <w:r w:rsidRPr="0099464A">
              <w:rPr>
                <w:rFonts w:cstheme="minorHAnsi"/>
              </w:rPr>
              <w:t xml:space="preserve"> North Melbourne Football </w:t>
            </w:r>
            <w:r>
              <w:rPr>
                <w:rFonts w:cstheme="minorHAnsi"/>
              </w:rPr>
              <w:t>Club to Docklands Stadium to operate 50 EGMs, involved transfer of existing EGMs</w:t>
            </w:r>
          </w:p>
        </w:tc>
        <w:tc>
          <w:tcPr>
            <w:tcW w:w="2958" w:type="pct"/>
          </w:tcPr>
          <w:p w:rsidR="0063624D" w:rsidRPr="0099464A" w:rsidRDefault="0063624D" w:rsidP="0031589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Council supported the application in principle. The Grounds for Commission’s support were that</w:t>
            </w:r>
            <w:r w:rsidRPr="0099464A">
              <w:rPr>
                <w:rFonts w:cstheme="minorHAnsi"/>
              </w:rPr>
              <w:t xml:space="preserve"> the Docklands area is a designated sporting, entertainment and tourist location with upmarket residential development, in contrast to the industrial/residential area from whi</w:t>
            </w:r>
            <w:r>
              <w:rPr>
                <w:rFonts w:cstheme="minorHAnsi"/>
              </w:rPr>
              <w:t>ch the relocation is being made and that the proposal would not involve a net increase in the number of EGMs in the municipality. However, the Commission found that it did not have jurisdiction to approve the application as Docklands by definition is not a municipal district, and the Commission only has jurisdiction to approve an application that is located in a municipal district.</w:t>
            </w:r>
          </w:p>
        </w:tc>
      </w:tr>
      <w:tr w:rsidR="0063624D" w:rsidRPr="0099464A" w:rsidTr="00714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tcPr>
          <w:p w:rsidR="0063624D" w:rsidRDefault="0063624D" w:rsidP="00315894">
            <w:pPr>
              <w:rPr>
                <w:rFonts w:cstheme="minorHAnsi"/>
              </w:rPr>
            </w:pPr>
            <w:r w:rsidRPr="0099464A">
              <w:rPr>
                <w:rFonts w:cstheme="minorHAnsi"/>
              </w:rPr>
              <w:t>Batman’s Hill on Collins</w:t>
            </w:r>
          </w:p>
          <w:p w:rsidR="0063624D" w:rsidRPr="0099464A" w:rsidRDefault="0063624D" w:rsidP="00315894">
            <w:pPr>
              <w:rPr>
                <w:rFonts w:cstheme="minorHAnsi"/>
              </w:rPr>
            </w:pPr>
            <w:r>
              <w:rPr>
                <w:rFonts w:cstheme="minorHAnsi"/>
              </w:rPr>
              <w:t>2005</w:t>
            </w:r>
          </w:p>
        </w:tc>
        <w:tc>
          <w:tcPr>
            <w:tcW w:w="1264" w:type="pct"/>
          </w:tcPr>
          <w:p w:rsidR="0063624D" w:rsidRDefault="0063624D" w:rsidP="00315894">
            <w:pPr>
              <w:cnfStyle w:val="000000100000" w:firstRow="0" w:lastRow="0" w:firstColumn="0" w:lastColumn="0" w:oddVBand="0" w:evenVBand="0" w:oddHBand="1" w:evenHBand="0" w:firstRowFirstColumn="0" w:firstRowLastColumn="0" w:lastRowFirstColumn="0" w:lastRowLastColumn="0"/>
              <w:rPr>
                <w:rFonts w:cstheme="minorHAnsi"/>
              </w:rPr>
            </w:pPr>
            <w:r w:rsidRPr="0099464A">
              <w:rPr>
                <w:rFonts w:cstheme="minorHAnsi"/>
              </w:rPr>
              <w:t>New gaming venue</w:t>
            </w:r>
          </w:p>
          <w:p w:rsidR="0063624D" w:rsidRPr="0099464A" w:rsidRDefault="0063624D" w:rsidP="006F0468">
            <w:pPr>
              <w:cnfStyle w:val="000000100000" w:firstRow="0" w:lastRow="0" w:firstColumn="0" w:lastColumn="0" w:oddVBand="0" w:evenVBand="0" w:oddHBand="1" w:evenHBand="0" w:firstRowFirstColumn="0" w:firstRowLastColumn="0" w:lastRowFirstColumn="0" w:lastRowLastColumn="0"/>
              <w:rPr>
                <w:rFonts w:cstheme="minorHAnsi"/>
              </w:rPr>
            </w:pPr>
            <w:r w:rsidRPr="0099464A">
              <w:rPr>
                <w:rFonts w:cstheme="minorHAnsi"/>
              </w:rPr>
              <w:t xml:space="preserve">22 EGMs relocated from an existing gaming premises at the Menzies </w:t>
            </w:r>
          </w:p>
          <w:p w:rsidR="0063624D" w:rsidRPr="0099464A" w:rsidRDefault="0063624D" w:rsidP="006F0468">
            <w:pPr>
              <w:cnfStyle w:val="000000100000" w:firstRow="0" w:lastRow="0" w:firstColumn="0" w:lastColumn="0" w:oddVBand="0" w:evenVBand="0" w:oddHBand="1" w:evenHBand="0" w:firstRowFirstColumn="0" w:firstRowLastColumn="0" w:lastRowFirstColumn="0" w:lastRowLastColumn="0"/>
              <w:rPr>
                <w:rFonts w:cstheme="minorHAnsi"/>
              </w:rPr>
            </w:pPr>
            <w:r w:rsidRPr="0099464A">
              <w:rPr>
                <w:rFonts w:cstheme="minorHAnsi"/>
              </w:rPr>
              <w:t>Tavern at 500 Collins Street</w:t>
            </w:r>
          </w:p>
        </w:tc>
        <w:tc>
          <w:tcPr>
            <w:tcW w:w="2958" w:type="pct"/>
          </w:tcPr>
          <w:p w:rsidR="0063624D" w:rsidRPr="0099464A" w:rsidRDefault="0063624D" w:rsidP="0031589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w:t>
            </w:r>
            <w:r w:rsidRPr="0099464A">
              <w:rPr>
                <w:rFonts w:cstheme="minorHAnsi"/>
              </w:rPr>
              <w:t>pproved by Commission</w:t>
            </w:r>
            <w:r>
              <w:rPr>
                <w:rFonts w:cstheme="minorHAnsi"/>
              </w:rPr>
              <w:t xml:space="preserve"> due to the potential to attract international </w:t>
            </w:r>
            <w:r w:rsidRPr="0099464A">
              <w:rPr>
                <w:rFonts w:cstheme="minorHAnsi"/>
              </w:rPr>
              <w:t xml:space="preserve">tourists/visitors, conference attendees, local residents from Docklands, employees in close proximity to the venue and in the </w:t>
            </w:r>
            <w:r w:rsidR="007B3C27">
              <w:rPr>
                <w:rFonts w:cstheme="minorHAnsi"/>
              </w:rPr>
              <w:t>Hoddle Grid</w:t>
            </w:r>
            <w:r w:rsidRPr="0099464A">
              <w:rPr>
                <w:rFonts w:cstheme="minorHAnsi"/>
              </w:rPr>
              <w:t xml:space="preserve">, and visitors to events at Docklands Studio. Future patronage </w:t>
            </w:r>
            <w:r>
              <w:rPr>
                <w:rFonts w:cstheme="minorHAnsi"/>
              </w:rPr>
              <w:t xml:space="preserve">was </w:t>
            </w:r>
            <w:r w:rsidRPr="0099464A">
              <w:rPr>
                <w:rFonts w:cstheme="minorHAnsi"/>
              </w:rPr>
              <w:t>anticipated from new facilities, Southern Cross Station and Exhibition Centre</w:t>
            </w:r>
            <w:r>
              <w:rPr>
                <w:rFonts w:cstheme="minorHAnsi"/>
              </w:rPr>
              <w:t>.</w:t>
            </w:r>
          </w:p>
        </w:tc>
      </w:tr>
      <w:tr w:rsidR="0063624D" w:rsidRPr="0099464A" w:rsidTr="0071477F">
        <w:tc>
          <w:tcPr>
            <w:cnfStyle w:val="001000000000" w:firstRow="0" w:lastRow="0" w:firstColumn="1" w:lastColumn="0" w:oddVBand="0" w:evenVBand="0" w:oddHBand="0" w:evenHBand="0" w:firstRowFirstColumn="0" w:firstRowLastColumn="0" w:lastRowFirstColumn="0" w:lastRowLastColumn="0"/>
            <w:tcW w:w="778" w:type="pct"/>
          </w:tcPr>
          <w:p w:rsidR="0063624D" w:rsidRDefault="0063624D" w:rsidP="00315894">
            <w:pPr>
              <w:rPr>
                <w:rFonts w:cstheme="minorHAnsi"/>
              </w:rPr>
            </w:pPr>
            <w:r w:rsidRPr="0099464A">
              <w:rPr>
                <w:rFonts w:cstheme="minorHAnsi"/>
              </w:rPr>
              <w:t>Victoria Hotel</w:t>
            </w:r>
          </w:p>
          <w:p w:rsidR="0063624D" w:rsidRPr="0099464A" w:rsidRDefault="0063624D" w:rsidP="00315894">
            <w:pPr>
              <w:rPr>
                <w:rFonts w:cstheme="minorHAnsi"/>
              </w:rPr>
            </w:pPr>
            <w:r>
              <w:rPr>
                <w:rFonts w:cstheme="minorHAnsi"/>
              </w:rPr>
              <w:t>2007</w:t>
            </w:r>
          </w:p>
        </w:tc>
        <w:tc>
          <w:tcPr>
            <w:tcW w:w="1264" w:type="pct"/>
          </w:tcPr>
          <w:p w:rsidR="0063624D" w:rsidRPr="0099464A" w:rsidRDefault="0063624D" w:rsidP="00315894">
            <w:pPr>
              <w:cnfStyle w:val="000000000000" w:firstRow="0" w:lastRow="0" w:firstColumn="0" w:lastColumn="0" w:oddVBand="0" w:evenVBand="0" w:oddHBand="0" w:evenHBand="0" w:firstRowFirstColumn="0" w:firstRowLastColumn="0" w:lastRowFirstColumn="0" w:lastRowLastColumn="0"/>
              <w:rPr>
                <w:rFonts w:cstheme="minorHAnsi"/>
              </w:rPr>
            </w:pPr>
            <w:r w:rsidRPr="0099464A">
              <w:rPr>
                <w:rFonts w:cstheme="minorHAnsi"/>
              </w:rPr>
              <w:t>New gaming venue</w:t>
            </w:r>
            <w:r>
              <w:rPr>
                <w:rFonts w:cstheme="minorHAnsi"/>
              </w:rPr>
              <w:t xml:space="preserve"> with 30 EGMs</w:t>
            </w:r>
          </w:p>
        </w:tc>
        <w:tc>
          <w:tcPr>
            <w:tcW w:w="2958" w:type="pct"/>
          </w:tcPr>
          <w:p w:rsidR="0063624D" w:rsidRDefault="0063624D" w:rsidP="0031589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Council objected.</w:t>
            </w:r>
          </w:p>
          <w:p w:rsidR="0063624D" w:rsidRPr="0099464A" w:rsidRDefault="0063624D" w:rsidP="00315894">
            <w:pPr>
              <w:cnfStyle w:val="000000000000" w:firstRow="0" w:lastRow="0" w:firstColumn="0" w:lastColumn="0" w:oddVBand="0" w:evenVBand="0" w:oddHBand="0" w:evenHBand="0" w:firstRowFirstColumn="0" w:firstRowLastColumn="0" w:lastRowFirstColumn="0" w:lastRowLastColumn="0"/>
              <w:rPr>
                <w:rFonts w:cstheme="minorHAnsi"/>
              </w:rPr>
            </w:pPr>
            <w:r w:rsidRPr="0099464A">
              <w:rPr>
                <w:rFonts w:cstheme="minorHAnsi"/>
              </w:rPr>
              <w:t>Refused by commission</w:t>
            </w:r>
            <w:r>
              <w:rPr>
                <w:rFonts w:cstheme="minorHAnsi"/>
              </w:rPr>
              <w:t xml:space="preserve"> due to concern with </w:t>
            </w:r>
            <w:r w:rsidRPr="0099464A">
              <w:rPr>
                <w:rFonts w:cstheme="minorHAnsi"/>
              </w:rPr>
              <w:t xml:space="preserve">cluster of five gaming venues within </w:t>
            </w:r>
            <w:r w:rsidR="003310FA">
              <w:rPr>
                <w:rFonts w:cstheme="minorHAnsi"/>
              </w:rPr>
              <w:t>4</w:t>
            </w:r>
            <w:r w:rsidRPr="0099464A">
              <w:rPr>
                <w:rFonts w:cstheme="minorHAnsi"/>
              </w:rPr>
              <w:t>00m</w:t>
            </w:r>
          </w:p>
        </w:tc>
      </w:tr>
      <w:tr w:rsidR="0063624D" w:rsidRPr="0099464A" w:rsidTr="00714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tcPr>
          <w:p w:rsidR="0063624D" w:rsidRPr="0099464A" w:rsidRDefault="0063624D" w:rsidP="00315894">
            <w:pPr>
              <w:rPr>
                <w:rFonts w:cstheme="minorHAnsi"/>
              </w:rPr>
            </w:pPr>
            <w:r w:rsidRPr="0099464A">
              <w:rPr>
                <w:rFonts w:cstheme="minorHAnsi"/>
              </w:rPr>
              <w:t xml:space="preserve">Mail Exchange Hotel </w:t>
            </w:r>
          </w:p>
          <w:p w:rsidR="0063624D" w:rsidRDefault="0063624D" w:rsidP="00315894">
            <w:pPr>
              <w:rPr>
                <w:rFonts w:cstheme="minorHAnsi"/>
              </w:rPr>
            </w:pPr>
            <w:r w:rsidRPr="0099464A">
              <w:rPr>
                <w:rFonts w:cstheme="minorHAnsi"/>
              </w:rPr>
              <w:t xml:space="preserve">Heritage listed </w:t>
            </w:r>
          </w:p>
          <w:p w:rsidR="0063624D" w:rsidRPr="0099464A" w:rsidRDefault="0063624D" w:rsidP="00315894">
            <w:pPr>
              <w:rPr>
                <w:rFonts w:cstheme="minorHAnsi"/>
              </w:rPr>
            </w:pPr>
            <w:r>
              <w:rPr>
                <w:rFonts w:cstheme="minorHAnsi"/>
              </w:rPr>
              <w:t>2009</w:t>
            </w:r>
          </w:p>
        </w:tc>
        <w:tc>
          <w:tcPr>
            <w:tcW w:w="1264" w:type="pct"/>
          </w:tcPr>
          <w:p w:rsidR="0063624D" w:rsidRPr="0099464A" w:rsidRDefault="0063624D" w:rsidP="00315894">
            <w:pPr>
              <w:cnfStyle w:val="000000100000" w:firstRow="0" w:lastRow="0" w:firstColumn="0" w:lastColumn="0" w:oddVBand="0" w:evenVBand="0" w:oddHBand="1" w:evenHBand="0" w:firstRowFirstColumn="0" w:firstRowLastColumn="0" w:lastRowFirstColumn="0" w:lastRowLastColumn="0"/>
              <w:rPr>
                <w:rFonts w:cstheme="minorHAnsi"/>
              </w:rPr>
            </w:pPr>
            <w:r w:rsidRPr="0099464A">
              <w:rPr>
                <w:rFonts w:cstheme="minorHAnsi"/>
              </w:rPr>
              <w:t>New gaming venue</w:t>
            </w:r>
            <w:r>
              <w:rPr>
                <w:rFonts w:cstheme="minorHAnsi"/>
              </w:rPr>
              <w:t xml:space="preserve"> with 80 EGMs</w:t>
            </w:r>
          </w:p>
        </w:tc>
        <w:tc>
          <w:tcPr>
            <w:tcW w:w="2958" w:type="pct"/>
          </w:tcPr>
          <w:p w:rsidR="0063624D" w:rsidRDefault="0063624D" w:rsidP="00315894">
            <w:pPr>
              <w:cnfStyle w:val="000000100000" w:firstRow="0" w:lastRow="0" w:firstColumn="0" w:lastColumn="0" w:oddVBand="0" w:evenVBand="0" w:oddHBand="1" w:evenHBand="0" w:firstRowFirstColumn="0" w:firstRowLastColumn="0" w:lastRowFirstColumn="0" w:lastRowLastColumn="0"/>
              <w:rPr>
                <w:rFonts w:cstheme="minorHAnsi"/>
              </w:rPr>
            </w:pPr>
            <w:r w:rsidRPr="0099464A">
              <w:rPr>
                <w:rFonts w:cstheme="minorHAnsi"/>
              </w:rPr>
              <w:t>Council did not oppose the application</w:t>
            </w:r>
            <w:r>
              <w:rPr>
                <w:rFonts w:cstheme="minorHAnsi"/>
              </w:rPr>
              <w:t xml:space="preserve"> on the grounds of the venue’s proximity to public transport, potential to </w:t>
            </w:r>
            <w:r w:rsidRPr="0099464A">
              <w:rPr>
                <w:rFonts w:cstheme="minorHAnsi"/>
              </w:rPr>
              <w:t xml:space="preserve">attract </w:t>
            </w:r>
            <w:r>
              <w:rPr>
                <w:rFonts w:cstheme="minorHAnsi"/>
              </w:rPr>
              <w:t xml:space="preserve">a </w:t>
            </w:r>
            <w:r w:rsidRPr="0099464A">
              <w:rPr>
                <w:rFonts w:cstheme="minorHAnsi"/>
              </w:rPr>
              <w:t>diverse patron</w:t>
            </w:r>
            <w:r>
              <w:rPr>
                <w:rFonts w:cstheme="minorHAnsi"/>
              </w:rPr>
              <w:t xml:space="preserve"> profile, and reduction in both the number of gaming venues and EGMs in the municipality.</w:t>
            </w:r>
          </w:p>
          <w:p w:rsidR="0063624D" w:rsidRPr="0099464A" w:rsidRDefault="0063624D" w:rsidP="00F7040E">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application was approved by the Commission.</w:t>
            </w:r>
          </w:p>
        </w:tc>
      </w:tr>
      <w:tr w:rsidR="0063624D" w:rsidRPr="0099464A" w:rsidTr="0071477F">
        <w:tc>
          <w:tcPr>
            <w:cnfStyle w:val="001000000000" w:firstRow="0" w:lastRow="0" w:firstColumn="1" w:lastColumn="0" w:oddVBand="0" w:evenVBand="0" w:oddHBand="0" w:evenHBand="0" w:firstRowFirstColumn="0" w:firstRowLastColumn="0" w:lastRowFirstColumn="0" w:lastRowLastColumn="0"/>
            <w:tcW w:w="778" w:type="pct"/>
          </w:tcPr>
          <w:p w:rsidR="0063624D" w:rsidRPr="0099464A" w:rsidRDefault="0063624D" w:rsidP="00315894">
            <w:pPr>
              <w:rPr>
                <w:rFonts w:cstheme="minorHAnsi"/>
              </w:rPr>
            </w:pPr>
            <w:r w:rsidRPr="0099464A">
              <w:rPr>
                <w:rFonts w:cstheme="minorHAnsi"/>
              </w:rPr>
              <w:t>Queensberry Hotel</w:t>
            </w:r>
          </w:p>
          <w:p w:rsidR="0063624D" w:rsidRDefault="0063624D" w:rsidP="00315894">
            <w:pPr>
              <w:rPr>
                <w:rFonts w:cstheme="minorHAnsi"/>
              </w:rPr>
            </w:pPr>
            <w:r w:rsidRPr="0099464A">
              <w:rPr>
                <w:rFonts w:cstheme="minorHAnsi"/>
              </w:rPr>
              <w:t>Heritage Listed</w:t>
            </w:r>
          </w:p>
          <w:p w:rsidR="0063624D" w:rsidRPr="0099464A" w:rsidRDefault="0063624D" w:rsidP="00315894">
            <w:pPr>
              <w:rPr>
                <w:rFonts w:cstheme="minorHAnsi"/>
              </w:rPr>
            </w:pPr>
            <w:r>
              <w:rPr>
                <w:rFonts w:cstheme="minorHAnsi"/>
              </w:rPr>
              <w:t>2011</w:t>
            </w:r>
          </w:p>
        </w:tc>
        <w:tc>
          <w:tcPr>
            <w:tcW w:w="1264" w:type="pct"/>
          </w:tcPr>
          <w:p w:rsidR="0063624D" w:rsidRPr="0099464A" w:rsidRDefault="0063624D" w:rsidP="00315894">
            <w:pPr>
              <w:cnfStyle w:val="000000000000" w:firstRow="0" w:lastRow="0" w:firstColumn="0" w:lastColumn="0" w:oddVBand="0" w:evenVBand="0" w:oddHBand="0" w:evenHBand="0" w:firstRowFirstColumn="0" w:firstRowLastColumn="0" w:lastRowFirstColumn="0" w:lastRowLastColumn="0"/>
              <w:rPr>
                <w:rFonts w:cstheme="minorHAnsi"/>
              </w:rPr>
            </w:pPr>
            <w:r w:rsidRPr="0099464A">
              <w:rPr>
                <w:rFonts w:cstheme="minorHAnsi"/>
              </w:rPr>
              <w:t>New gaming venue</w:t>
            </w:r>
            <w:r>
              <w:rPr>
                <w:rFonts w:cstheme="minorHAnsi"/>
              </w:rPr>
              <w:t xml:space="preserve"> with 30 EGMs to be transferred from an existing venue</w:t>
            </w:r>
          </w:p>
        </w:tc>
        <w:tc>
          <w:tcPr>
            <w:tcW w:w="2958" w:type="pct"/>
          </w:tcPr>
          <w:p w:rsidR="0063624D" w:rsidRDefault="0063624D" w:rsidP="0031589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Council opposed application on grounds of proximity to public and student housing and student accommodation, and potential to contribute to convenience gambling.</w:t>
            </w:r>
          </w:p>
          <w:p w:rsidR="0063624D" w:rsidRPr="0099464A" w:rsidRDefault="0063624D" w:rsidP="00315894">
            <w:pPr>
              <w:cnfStyle w:val="000000000000" w:firstRow="0" w:lastRow="0" w:firstColumn="0" w:lastColumn="0" w:oddVBand="0" w:evenVBand="0" w:oddHBand="0" w:evenHBand="0" w:firstRowFirstColumn="0" w:firstRowLastColumn="0" w:lastRowFirstColumn="0" w:lastRowLastColumn="0"/>
              <w:rPr>
                <w:rFonts w:cstheme="minorHAnsi"/>
              </w:rPr>
            </w:pPr>
            <w:r w:rsidRPr="0099464A">
              <w:rPr>
                <w:rFonts w:cstheme="minorHAnsi"/>
              </w:rPr>
              <w:t>Approved by Commission</w:t>
            </w:r>
            <w:r>
              <w:rPr>
                <w:rFonts w:cstheme="minorHAnsi"/>
              </w:rPr>
              <w:t xml:space="preserve"> but planning permit refused by Tribunal</w:t>
            </w:r>
          </w:p>
        </w:tc>
      </w:tr>
      <w:tr w:rsidR="0063624D" w:rsidRPr="0099464A" w:rsidTr="00714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tcPr>
          <w:p w:rsidR="0063624D" w:rsidRDefault="0063624D" w:rsidP="00315894">
            <w:pPr>
              <w:rPr>
                <w:rFonts w:cstheme="minorHAnsi"/>
              </w:rPr>
            </w:pPr>
            <w:r w:rsidRPr="0099464A">
              <w:rPr>
                <w:rFonts w:cstheme="minorHAnsi"/>
              </w:rPr>
              <w:t>Exchange Hotel</w:t>
            </w:r>
          </w:p>
          <w:p w:rsidR="0063624D" w:rsidRPr="0099464A" w:rsidRDefault="0063624D" w:rsidP="00315894">
            <w:pPr>
              <w:rPr>
                <w:rFonts w:cstheme="minorHAnsi"/>
              </w:rPr>
            </w:pPr>
            <w:r>
              <w:rPr>
                <w:rFonts w:cstheme="minorHAnsi"/>
              </w:rPr>
              <w:t>2012</w:t>
            </w:r>
          </w:p>
        </w:tc>
        <w:tc>
          <w:tcPr>
            <w:tcW w:w="1264" w:type="pct"/>
          </w:tcPr>
          <w:p w:rsidR="0063624D" w:rsidRPr="0099464A" w:rsidRDefault="0063624D" w:rsidP="00315894">
            <w:pPr>
              <w:cnfStyle w:val="000000100000" w:firstRow="0" w:lastRow="0" w:firstColumn="0" w:lastColumn="0" w:oddVBand="0" w:evenVBand="0" w:oddHBand="1" w:evenHBand="0" w:firstRowFirstColumn="0" w:firstRowLastColumn="0" w:lastRowFirstColumn="0" w:lastRowLastColumn="0"/>
              <w:rPr>
                <w:rFonts w:cstheme="minorHAnsi"/>
              </w:rPr>
            </w:pPr>
            <w:r w:rsidRPr="0099464A">
              <w:rPr>
                <w:rFonts w:cstheme="minorHAnsi"/>
              </w:rPr>
              <w:t>New gaming venue</w:t>
            </w:r>
            <w:r>
              <w:rPr>
                <w:rFonts w:cstheme="minorHAnsi"/>
              </w:rPr>
              <w:t xml:space="preserve"> with 54 EGMs</w:t>
            </w:r>
          </w:p>
        </w:tc>
        <w:tc>
          <w:tcPr>
            <w:tcW w:w="2958" w:type="pct"/>
          </w:tcPr>
          <w:p w:rsidR="0063624D" w:rsidRDefault="0063624D" w:rsidP="00315894">
            <w:pPr>
              <w:cnfStyle w:val="000000100000" w:firstRow="0" w:lastRow="0" w:firstColumn="0" w:lastColumn="0" w:oddVBand="0" w:evenVBand="0" w:oddHBand="1" w:evenHBand="0" w:firstRowFirstColumn="0" w:firstRowLastColumn="0" w:lastRowFirstColumn="0" w:lastRowLastColumn="0"/>
              <w:rPr>
                <w:rFonts w:cstheme="minorHAnsi"/>
              </w:rPr>
            </w:pPr>
            <w:r w:rsidRPr="0099464A">
              <w:rPr>
                <w:rFonts w:cstheme="minorHAnsi"/>
              </w:rPr>
              <w:t>Council objected to proposal based on proximity to education uses.</w:t>
            </w:r>
          </w:p>
          <w:p w:rsidR="0063624D" w:rsidRPr="0099464A" w:rsidRDefault="0063624D" w:rsidP="0031589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Approved by Commission but refused by Tribunal</w:t>
            </w:r>
          </w:p>
        </w:tc>
      </w:tr>
      <w:tr w:rsidR="0063624D" w:rsidRPr="0099464A" w:rsidTr="0071477F">
        <w:tc>
          <w:tcPr>
            <w:cnfStyle w:val="001000000000" w:firstRow="0" w:lastRow="0" w:firstColumn="1" w:lastColumn="0" w:oddVBand="0" w:evenVBand="0" w:oddHBand="0" w:evenHBand="0" w:firstRowFirstColumn="0" w:firstRowLastColumn="0" w:lastRowFirstColumn="0" w:lastRowLastColumn="0"/>
            <w:tcW w:w="778" w:type="pct"/>
          </w:tcPr>
          <w:p w:rsidR="0063624D" w:rsidRDefault="0063624D" w:rsidP="00315894">
            <w:pPr>
              <w:rPr>
                <w:rFonts w:cstheme="minorHAnsi"/>
              </w:rPr>
            </w:pPr>
            <w:r w:rsidRPr="0099464A">
              <w:rPr>
                <w:rFonts w:cstheme="minorHAnsi"/>
              </w:rPr>
              <w:t>Francis Hotel</w:t>
            </w:r>
          </w:p>
          <w:p w:rsidR="0063624D" w:rsidRPr="0099464A" w:rsidRDefault="0063624D" w:rsidP="00315894">
            <w:pPr>
              <w:rPr>
                <w:rFonts w:cstheme="minorHAnsi"/>
              </w:rPr>
            </w:pPr>
            <w:r>
              <w:rPr>
                <w:rFonts w:cstheme="minorHAnsi"/>
              </w:rPr>
              <w:t>2012</w:t>
            </w:r>
          </w:p>
        </w:tc>
        <w:tc>
          <w:tcPr>
            <w:tcW w:w="1264" w:type="pct"/>
          </w:tcPr>
          <w:p w:rsidR="0063624D" w:rsidRPr="0099464A" w:rsidRDefault="0063624D" w:rsidP="00315894">
            <w:pPr>
              <w:cnfStyle w:val="000000000000" w:firstRow="0" w:lastRow="0" w:firstColumn="0" w:lastColumn="0" w:oddVBand="0" w:evenVBand="0" w:oddHBand="0" w:evenHBand="0" w:firstRowFirstColumn="0" w:firstRowLastColumn="0" w:lastRowFirstColumn="0" w:lastRowLastColumn="0"/>
              <w:rPr>
                <w:rFonts w:cstheme="minorHAnsi"/>
              </w:rPr>
            </w:pPr>
            <w:r w:rsidRPr="0099464A">
              <w:rPr>
                <w:rFonts w:cstheme="minorHAnsi"/>
              </w:rPr>
              <w:t>New gaming venue</w:t>
            </w:r>
            <w:r>
              <w:rPr>
                <w:rFonts w:cstheme="minorHAnsi"/>
              </w:rPr>
              <w:t xml:space="preserve"> with 32 EGMs</w:t>
            </w:r>
          </w:p>
        </w:tc>
        <w:tc>
          <w:tcPr>
            <w:tcW w:w="2958" w:type="pct"/>
          </w:tcPr>
          <w:p w:rsidR="0063624D" w:rsidRDefault="0063624D" w:rsidP="00315894">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Council</w:t>
            </w:r>
            <w:r w:rsidRPr="0099464A">
              <w:rPr>
                <w:rFonts w:cstheme="minorHAnsi"/>
              </w:rPr>
              <w:t xml:space="preserve"> objected </w:t>
            </w:r>
            <w:r>
              <w:rPr>
                <w:rFonts w:cstheme="minorHAnsi"/>
              </w:rPr>
              <w:t>to the application as it would result in an increase in both the number of EGMs and gaming venues in the municipality.</w:t>
            </w:r>
          </w:p>
          <w:p w:rsidR="0063624D" w:rsidRPr="0099464A" w:rsidRDefault="0063624D" w:rsidP="00F7040E">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application was approved by the Commission but refused by the Tribunal.</w:t>
            </w:r>
          </w:p>
        </w:tc>
      </w:tr>
      <w:tr w:rsidR="0063624D" w:rsidRPr="0099464A" w:rsidTr="007147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8" w:type="pct"/>
          </w:tcPr>
          <w:p w:rsidR="0063624D" w:rsidRPr="0099464A" w:rsidRDefault="0063624D" w:rsidP="00315894">
            <w:pPr>
              <w:rPr>
                <w:rFonts w:cstheme="minorHAnsi"/>
              </w:rPr>
            </w:pPr>
            <w:r>
              <w:rPr>
                <w:rFonts w:cstheme="minorHAnsi"/>
              </w:rPr>
              <w:t>The Meeting Place, 2016</w:t>
            </w:r>
          </w:p>
        </w:tc>
        <w:tc>
          <w:tcPr>
            <w:tcW w:w="1264" w:type="pct"/>
          </w:tcPr>
          <w:p w:rsidR="0063624D" w:rsidRPr="0099464A" w:rsidRDefault="0063624D" w:rsidP="0031589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Increase of 20 EGMs in an existing venue operated by The Doxa Club Inc.</w:t>
            </w:r>
          </w:p>
        </w:tc>
        <w:tc>
          <w:tcPr>
            <w:tcW w:w="2958" w:type="pct"/>
          </w:tcPr>
          <w:p w:rsidR="0063624D" w:rsidRDefault="0063624D" w:rsidP="004E306C">
            <w:pPr>
              <w:spacing w:after="12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Council objected to the application due to its potential to contribute to convenience gambling, the socio-economic profile of the venue’s patrons displayed vulnerability to gambling-related harms, and the inadequacy of the proposed community contributions.</w:t>
            </w:r>
          </w:p>
          <w:p w:rsidR="0063624D" w:rsidRDefault="0063624D" w:rsidP="004E306C">
            <w:pPr>
              <w:spacing w:after="120"/>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Commission approved the application on the basis that the design and improvements would reduce the proportion of the venue set aside for gambling. It imposed conditions relating to the allocation of community contributions to homelessness services and the removal of the Keno facility.</w:t>
            </w:r>
          </w:p>
        </w:tc>
      </w:tr>
    </w:tbl>
    <w:p w:rsidR="0063624D" w:rsidRDefault="0063624D" w:rsidP="0063624D"/>
    <w:p w:rsidR="0063624D" w:rsidRDefault="0063624D" w:rsidP="00FC5226">
      <w:pPr>
        <w:pStyle w:val="Heading2"/>
      </w:pPr>
      <w:bookmarkStart w:id="101" w:name="_Toc494287772"/>
      <w:r w:rsidRPr="0099464A">
        <w:t>Key principles</w:t>
      </w:r>
      <w:r w:rsidR="008F68AA">
        <w:t xml:space="preserve"> from </w:t>
      </w:r>
      <w:r w:rsidR="00433CC9">
        <w:t>gaming and planning decisions</w:t>
      </w:r>
      <w:bookmarkEnd w:id="101"/>
      <w:r w:rsidR="008F68AA">
        <w:t xml:space="preserve"> </w:t>
      </w:r>
    </w:p>
    <w:p w:rsidR="0063624D" w:rsidRPr="004D1CB9" w:rsidRDefault="0063624D" w:rsidP="0063624D">
      <w:bookmarkStart w:id="102" w:name="_Hlk489976132"/>
      <w:r>
        <w:t>The following principles have emerged from decisions made by Planning Panels Victoria, the Tribunal and the Commission for decisions across Victoria</w:t>
      </w:r>
      <w:r w:rsidR="00433CC9">
        <w:t>, including the City of Melbourne</w:t>
      </w:r>
      <w:r>
        <w:t>.</w:t>
      </w:r>
    </w:p>
    <w:p w:rsidR="0063624D" w:rsidRDefault="00761187" w:rsidP="0063624D">
      <w:pPr>
        <w:pStyle w:val="Heading4"/>
        <w:rPr>
          <w:rFonts w:asciiTheme="minorHAnsi" w:hAnsiTheme="minorHAnsi" w:cstheme="minorHAnsi"/>
        </w:rPr>
      </w:pPr>
      <w:r>
        <w:rPr>
          <w:rFonts w:asciiTheme="minorHAnsi" w:hAnsiTheme="minorHAnsi" w:cstheme="minorHAnsi"/>
        </w:rPr>
        <w:t>P</w:t>
      </w:r>
      <w:r w:rsidR="0063624D">
        <w:rPr>
          <w:rFonts w:asciiTheme="minorHAnsi" w:hAnsiTheme="minorHAnsi" w:cstheme="minorHAnsi"/>
        </w:rPr>
        <w:t>osition on gaming</w:t>
      </w:r>
    </w:p>
    <w:p w:rsidR="0063624D" w:rsidRPr="001B3A49" w:rsidRDefault="00761187" w:rsidP="0063624D">
      <w:r>
        <w:t>Gamb</w:t>
      </w:r>
      <w:r w:rsidR="0063624D">
        <w:t xml:space="preserve">ling is a legitimate form of recreation and that there can be benefits to the community </w:t>
      </w:r>
      <w:r w:rsidR="0063624D">
        <w:rPr>
          <w:rStyle w:val="FootnoteReference"/>
        </w:rPr>
        <w:footnoteReference w:id="32"/>
      </w:r>
    </w:p>
    <w:p w:rsidR="0063624D" w:rsidRPr="0099464A" w:rsidRDefault="0063624D" w:rsidP="0063624D">
      <w:pPr>
        <w:pStyle w:val="Heading4"/>
        <w:rPr>
          <w:rFonts w:asciiTheme="minorHAnsi" w:hAnsiTheme="minorHAnsi" w:cstheme="minorHAnsi"/>
        </w:rPr>
      </w:pPr>
      <w:r w:rsidRPr="0099464A">
        <w:rPr>
          <w:rFonts w:asciiTheme="minorHAnsi" w:hAnsiTheme="minorHAnsi" w:cstheme="minorHAnsi"/>
        </w:rPr>
        <w:t>Council’s role</w:t>
      </w:r>
    </w:p>
    <w:p w:rsidR="0063624D" w:rsidRPr="004D1CB9" w:rsidRDefault="0063624D" w:rsidP="0063624D">
      <w:pPr>
        <w:rPr>
          <w:rFonts w:cstheme="minorHAnsi"/>
        </w:rPr>
      </w:pPr>
      <w:r w:rsidRPr="004D1CB9">
        <w:rPr>
          <w:rFonts w:cstheme="minorHAnsi"/>
        </w:rPr>
        <w:t xml:space="preserve">Councils have important functions relating to the health and wellbeing under the </w:t>
      </w:r>
      <w:r w:rsidRPr="004D1CB9">
        <w:rPr>
          <w:rFonts w:cstheme="minorHAnsi"/>
          <w:i/>
        </w:rPr>
        <w:t>Local Government Act</w:t>
      </w:r>
      <w:r>
        <w:rPr>
          <w:rFonts w:cstheme="minorHAnsi"/>
          <w:i/>
        </w:rPr>
        <w:t xml:space="preserve"> 1989</w:t>
      </w:r>
      <w:r w:rsidRPr="004D1CB9">
        <w:rPr>
          <w:rFonts w:cstheme="minorHAnsi"/>
          <w:i/>
        </w:rPr>
        <w:t xml:space="preserve"> </w:t>
      </w:r>
      <w:r w:rsidRPr="004D1CB9">
        <w:rPr>
          <w:rFonts w:cstheme="minorHAnsi"/>
        </w:rPr>
        <w:t xml:space="preserve">and the </w:t>
      </w:r>
      <w:r w:rsidRPr="004D1CB9">
        <w:rPr>
          <w:rFonts w:cstheme="minorHAnsi"/>
          <w:i/>
        </w:rPr>
        <w:t>Public Health and Wellbeing Act</w:t>
      </w:r>
      <w:r>
        <w:rPr>
          <w:rFonts w:cstheme="minorHAnsi"/>
          <w:i/>
        </w:rPr>
        <w:t xml:space="preserve"> 2008</w:t>
      </w:r>
      <w:r w:rsidRPr="004D1CB9">
        <w:rPr>
          <w:rFonts w:cstheme="minorHAnsi"/>
        </w:rPr>
        <w:t xml:space="preserve">. These functions give councils the foundation on which to make informed decisions about the economic and social impact of EGMs on the </w:t>
      </w:r>
      <w:r>
        <w:rPr>
          <w:rFonts w:cstheme="minorHAnsi"/>
        </w:rPr>
        <w:t>wellbeing of local communities.</w:t>
      </w:r>
      <w:r>
        <w:rPr>
          <w:rStyle w:val="FootnoteReference"/>
          <w:rFonts w:cstheme="minorHAnsi"/>
        </w:rPr>
        <w:footnoteReference w:id="33"/>
      </w:r>
    </w:p>
    <w:p w:rsidR="0063624D" w:rsidRPr="0099464A" w:rsidRDefault="0063624D" w:rsidP="0063624D">
      <w:pPr>
        <w:pStyle w:val="Heading4"/>
        <w:rPr>
          <w:rFonts w:asciiTheme="minorHAnsi" w:hAnsiTheme="minorHAnsi" w:cstheme="minorHAnsi"/>
        </w:rPr>
      </w:pPr>
      <w:r w:rsidRPr="0099464A">
        <w:rPr>
          <w:rFonts w:asciiTheme="minorHAnsi" w:hAnsiTheme="minorHAnsi" w:cstheme="minorHAnsi"/>
        </w:rPr>
        <w:t xml:space="preserve">Status of </w:t>
      </w:r>
      <w:r>
        <w:rPr>
          <w:rFonts w:asciiTheme="minorHAnsi" w:hAnsiTheme="minorHAnsi" w:cstheme="minorHAnsi"/>
        </w:rPr>
        <w:t xml:space="preserve">local planning </w:t>
      </w:r>
      <w:r w:rsidRPr="0099464A">
        <w:rPr>
          <w:rFonts w:asciiTheme="minorHAnsi" w:hAnsiTheme="minorHAnsi" w:cstheme="minorHAnsi"/>
        </w:rPr>
        <w:t>policy</w:t>
      </w:r>
    </w:p>
    <w:p w:rsidR="0063624D" w:rsidRPr="0099464A" w:rsidRDefault="0063624D" w:rsidP="0063624D">
      <w:pPr>
        <w:rPr>
          <w:rFonts w:cstheme="minorHAnsi"/>
        </w:rPr>
      </w:pPr>
      <w:r>
        <w:rPr>
          <w:rFonts w:cstheme="minorHAnsi"/>
        </w:rPr>
        <w:t>A</w:t>
      </w:r>
      <w:r w:rsidRPr="0099464A">
        <w:rPr>
          <w:rFonts w:cstheme="minorHAnsi"/>
        </w:rPr>
        <w:t xml:space="preserve"> </w:t>
      </w:r>
      <w:r>
        <w:rPr>
          <w:rFonts w:cstheme="minorHAnsi"/>
        </w:rPr>
        <w:t xml:space="preserve">local planning </w:t>
      </w:r>
      <w:r w:rsidRPr="0099464A">
        <w:rPr>
          <w:rFonts w:cstheme="minorHAnsi"/>
        </w:rPr>
        <w:t xml:space="preserve">policy is not a requirement and must be applied flexibly having regard to the policy context as a whole and to the circumstances of a particular case.   An unsatisfactory response to </w:t>
      </w:r>
      <w:r>
        <w:rPr>
          <w:rFonts w:cstheme="minorHAnsi"/>
        </w:rPr>
        <w:t>certain</w:t>
      </w:r>
      <w:r w:rsidRPr="0099464A">
        <w:rPr>
          <w:rFonts w:cstheme="minorHAnsi"/>
        </w:rPr>
        <w:t xml:space="preserve"> aspects of </w:t>
      </w:r>
      <w:r>
        <w:rPr>
          <w:rFonts w:cstheme="minorHAnsi"/>
        </w:rPr>
        <w:t>the local planning</w:t>
      </w:r>
      <w:r w:rsidRPr="0099464A">
        <w:rPr>
          <w:rFonts w:cstheme="minorHAnsi"/>
        </w:rPr>
        <w:t xml:space="preserve"> policy does not mean that the application should be refused</w:t>
      </w:r>
      <w:r>
        <w:rPr>
          <w:rFonts w:cstheme="minorHAnsi"/>
        </w:rPr>
        <w:t>.</w:t>
      </w:r>
      <w:r>
        <w:rPr>
          <w:rStyle w:val="FootnoteReference"/>
          <w:rFonts w:cstheme="minorHAnsi"/>
        </w:rPr>
        <w:footnoteReference w:id="34"/>
      </w:r>
    </w:p>
    <w:p w:rsidR="0063624D" w:rsidRPr="004D1CB9" w:rsidRDefault="0063624D" w:rsidP="0063624D">
      <w:pPr>
        <w:pStyle w:val="Heading4"/>
      </w:pPr>
      <w:r w:rsidRPr="004D1CB9">
        <w:t>Caps</w:t>
      </w:r>
      <w:r>
        <w:t xml:space="preserve"> on EGM numbers</w:t>
      </w:r>
    </w:p>
    <w:p w:rsidR="0063624D" w:rsidRPr="0099464A" w:rsidRDefault="0063624D" w:rsidP="0063624D">
      <w:pPr>
        <w:rPr>
          <w:rFonts w:cstheme="minorHAnsi"/>
        </w:rPr>
      </w:pPr>
      <w:bookmarkStart w:id="103" w:name="_Hlk481495460"/>
      <w:r>
        <w:rPr>
          <w:rFonts w:cstheme="minorHAnsi"/>
        </w:rPr>
        <w:t>The i</w:t>
      </w:r>
      <w:r w:rsidRPr="004D1CB9">
        <w:rPr>
          <w:rFonts w:cstheme="minorHAnsi"/>
        </w:rPr>
        <w:t xml:space="preserve">mposition of </w:t>
      </w:r>
      <w:r>
        <w:rPr>
          <w:rFonts w:cstheme="minorHAnsi"/>
        </w:rPr>
        <w:t>municipal and regional caps on the maximum number of EGMs permissible in a local government area</w:t>
      </w:r>
      <w:r w:rsidRPr="004D1CB9">
        <w:rPr>
          <w:rFonts w:cstheme="minorHAnsi"/>
        </w:rPr>
        <w:t xml:space="preserve"> is the </w:t>
      </w:r>
      <w:r w:rsidR="00471CD9">
        <w:rPr>
          <w:rFonts w:cstheme="minorHAnsi"/>
        </w:rPr>
        <w:t>State G</w:t>
      </w:r>
      <w:r w:rsidRPr="004D1CB9">
        <w:rPr>
          <w:rFonts w:cstheme="minorHAnsi"/>
        </w:rPr>
        <w:t>overnment’s response to a concentration of gaming venues</w:t>
      </w:r>
      <w:r>
        <w:rPr>
          <w:rStyle w:val="FootnoteReference"/>
          <w:rFonts w:cstheme="minorHAnsi"/>
        </w:rPr>
        <w:footnoteReference w:id="35"/>
      </w:r>
      <w:bookmarkEnd w:id="103"/>
      <w:r>
        <w:rPr>
          <w:rFonts w:cstheme="minorHAnsi"/>
        </w:rPr>
        <w:t>. The a</w:t>
      </w:r>
      <w:r w:rsidRPr="0099464A">
        <w:rPr>
          <w:rFonts w:cstheme="minorHAnsi"/>
        </w:rPr>
        <w:t xml:space="preserve">bsence of </w:t>
      </w:r>
      <w:r>
        <w:rPr>
          <w:rFonts w:cstheme="minorHAnsi"/>
        </w:rPr>
        <w:t xml:space="preserve">either a municipal or regional </w:t>
      </w:r>
      <w:r w:rsidRPr="0099464A">
        <w:rPr>
          <w:rFonts w:cstheme="minorHAnsi"/>
        </w:rPr>
        <w:t xml:space="preserve">cap in </w:t>
      </w:r>
      <w:r>
        <w:rPr>
          <w:rFonts w:cstheme="minorHAnsi"/>
        </w:rPr>
        <w:t xml:space="preserve">the </w:t>
      </w:r>
      <w:r w:rsidRPr="0099464A">
        <w:rPr>
          <w:rFonts w:cstheme="minorHAnsi"/>
        </w:rPr>
        <w:t xml:space="preserve">Melbourne </w:t>
      </w:r>
      <w:r w:rsidR="007B3C27">
        <w:rPr>
          <w:rFonts w:cstheme="minorHAnsi"/>
        </w:rPr>
        <w:t>Hoddle Grid</w:t>
      </w:r>
      <w:r w:rsidRPr="0099464A">
        <w:rPr>
          <w:rFonts w:cstheme="minorHAnsi"/>
        </w:rPr>
        <w:t xml:space="preserve"> has been deemed to be based on the State’s opinion that the area is not vulnerable to problem gambling</w:t>
      </w:r>
      <w:r>
        <w:rPr>
          <w:rFonts w:cstheme="minorHAnsi"/>
        </w:rPr>
        <w:t>.</w:t>
      </w:r>
      <w:r>
        <w:rPr>
          <w:rStyle w:val="FootnoteReference"/>
          <w:rFonts w:cstheme="minorHAnsi"/>
        </w:rPr>
        <w:footnoteReference w:id="36"/>
      </w:r>
      <w:r w:rsidRPr="0099464A">
        <w:rPr>
          <w:rFonts w:cstheme="minorHAnsi"/>
        </w:rPr>
        <w:t xml:space="preserve"> </w:t>
      </w:r>
    </w:p>
    <w:p w:rsidR="0063624D" w:rsidRPr="0099464A" w:rsidRDefault="0063624D" w:rsidP="0063624D">
      <w:pPr>
        <w:pStyle w:val="Heading4"/>
        <w:rPr>
          <w:rFonts w:asciiTheme="minorHAnsi" w:hAnsiTheme="minorHAnsi" w:cstheme="minorHAnsi"/>
        </w:rPr>
      </w:pPr>
      <w:r w:rsidRPr="0099464A">
        <w:rPr>
          <w:rFonts w:asciiTheme="minorHAnsi" w:hAnsiTheme="minorHAnsi" w:cstheme="minorHAnsi"/>
        </w:rPr>
        <w:t>Community</w:t>
      </w:r>
    </w:p>
    <w:p w:rsidR="0063624D" w:rsidRPr="0099464A" w:rsidRDefault="0063624D" w:rsidP="0063624D">
      <w:pPr>
        <w:rPr>
          <w:rFonts w:cstheme="minorHAnsi"/>
        </w:rPr>
      </w:pPr>
      <w:r w:rsidRPr="00AB0DC4">
        <w:rPr>
          <w:rFonts w:cstheme="minorHAnsi"/>
        </w:rPr>
        <w:t>Typically the community</w:t>
      </w:r>
      <w:r>
        <w:rPr>
          <w:rFonts w:cstheme="minorHAnsi"/>
        </w:rPr>
        <w:t xml:space="preserve"> is considered to be the municipality for</w:t>
      </w:r>
      <w:r w:rsidRPr="00AB0DC4">
        <w:rPr>
          <w:rFonts w:cstheme="minorHAnsi"/>
        </w:rPr>
        <w:t xml:space="preserve"> a gaming application</w:t>
      </w:r>
      <w:r>
        <w:rPr>
          <w:rFonts w:cstheme="minorHAnsi"/>
        </w:rPr>
        <w:t>. However, adjoining municipalities may also be taken into account</w:t>
      </w:r>
      <w:r>
        <w:rPr>
          <w:rStyle w:val="FootnoteReference"/>
          <w:rFonts w:cstheme="minorHAnsi"/>
        </w:rPr>
        <w:footnoteReference w:id="37"/>
      </w:r>
      <w:r>
        <w:rPr>
          <w:rFonts w:cstheme="minorHAnsi"/>
        </w:rPr>
        <w:t xml:space="preserve"> if the venue is in close proximity to the municipal boundary and if they have made submissions in relation to the application.</w:t>
      </w:r>
      <w:r>
        <w:rPr>
          <w:rStyle w:val="FootnoteReference"/>
          <w:rFonts w:cstheme="minorHAnsi"/>
        </w:rPr>
        <w:footnoteReference w:id="38"/>
      </w:r>
    </w:p>
    <w:p w:rsidR="00595237" w:rsidRDefault="00595237" w:rsidP="0063624D">
      <w:pPr>
        <w:pStyle w:val="Heading4"/>
        <w:rPr>
          <w:rFonts w:asciiTheme="minorHAnsi" w:hAnsiTheme="minorHAnsi" w:cstheme="minorHAnsi"/>
        </w:rPr>
      </w:pPr>
      <w:r>
        <w:rPr>
          <w:rFonts w:asciiTheme="minorHAnsi" w:hAnsiTheme="minorHAnsi" w:cstheme="minorHAnsi"/>
        </w:rPr>
        <w:t>Economic impacts</w:t>
      </w:r>
    </w:p>
    <w:p w:rsidR="00595237" w:rsidRDefault="00595237" w:rsidP="00595237">
      <w:r>
        <w:t>Economic benefits include expenditure on renovations and associated supply contracts, employment generation, complementary expenditures (increased economic activity) and expenditure not associated with gambling-related harms. These are only considered benefits if they occur within the municipality.</w:t>
      </w:r>
      <w:r>
        <w:rPr>
          <w:rStyle w:val="FootnoteReference"/>
        </w:rPr>
        <w:footnoteReference w:id="39"/>
      </w:r>
      <w:r>
        <w:t xml:space="preserve"> </w:t>
      </w:r>
    </w:p>
    <w:p w:rsidR="00595237" w:rsidRPr="00595237" w:rsidRDefault="00595237" w:rsidP="00595237">
      <w:r>
        <w:t>The most significant economic harm is expenditure associated with problem gambling.</w:t>
      </w:r>
    </w:p>
    <w:p w:rsidR="00274F9E" w:rsidRDefault="00274F9E" w:rsidP="00274F9E">
      <w:pPr>
        <w:pStyle w:val="Heading4"/>
        <w:rPr>
          <w:rFonts w:asciiTheme="minorHAnsi" w:hAnsiTheme="minorHAnsi" w:cstheme="minorHAnsi"/>
        </w:rPr>
      </w:pPr>
      <w:r>
        <w:rPr>
          <w:rFonts w:asciiTheme="minorHAnsi" w:hAnsiTheme="minorHAnsi" w:cstheme="minorHAnsi"/>
        </w:rPr>
        <w:t>P</w:t>
      </w:r>
      <w:r w:rsidRPr="0099464A">
        <w:rPr>
          <w:rFonts w:asciiTheme="minorHAnsi" w:hAnsiTheme="minorHAnsi" w:cstheme="minorHAnsi"/>
        </w:rPr>
        <w:t>rotective factors</w:t>
      </w:r>
    </w:p>
    <w:p w:rsidR="00274F9E" w:rsidRDefault="00274F9E" w:rsidP="00274F9E">
      <w:r>
        <w:t>The following protective factors have been noted:</w:t>
      </w:r>
    </w:p>
    <w:p w:rsidR="00274F9E" w:rsidRPr="009D0DC3" w:rsidRDefault="00274F9E" w:rsidP="007D1909">
      <w:pPr>
        <w:pStyle w:val="ListParagraph"/>
        <w:numPr>
          <w:ilvl w:val="0"/>
          <w:numId w:val="46"/>
        </w:numPr>
        <w:spacing w:after="120"/>
        <w:ind w:left="1080"/>
        <w:contextualSpacing w:val="0"/>
        <w:rPr>
          <w:rFonts w:cstheme="minorHAnsi"/>
        </w:rPr>
      </w:pPr>
      <w:bookmarkStart w:id="104" w:name="_Hlk481494843"/>
      <w:bookmarkStart w:id="105" w:name="_Hlk482955260"/>
      <w:r>
        <w:rPr>
          <w:rFonts w:cstheme="minorHAnsi"/>
        </w:rPr>
        <w:t>preference for the increase in the number of EGMs in existing venues, often referred to as ‘top ups’ over the establishment of a new venue</w:t>
      </w:r>
      <w:r w:rsidRPr="009D0DC3">
        <w:rPr>
          <w:rStyle w:val="FootnoteReference"/>
          <w:rFonts w:cstheme="minorHAnsi"/>
        </w:rPr>
        <w:footnoteReference w:id="40"/>
      </w:r>
      <w:r w:rsidRPr="009D0DC3">
        <w:rPr>
          <w:rFonts w:cstheme="minorHAnsi"/>
        </w:rPr>
        <w:t xml:space="preserve"> </w:t>
      </w:r>
    </w:p>
    <w:bookmarkEnd w:id="104"/>
    <w:p w:rsidR="00274F9E" w:rsidRPr="009D0DC3" w:rsidRDefault="00274F9E" w:rsidP="007D1909">
      <w:pPr>
        <w:pStyle w:val="ListParagraph"/>
        <w:numPr>
          <w:ilvl w:val="0"/>
          <w:numId w:val="46"/>
        </w:numPr>
        <w:spacing w:after="120"/>
        <w:ind w:left="1080"/>
        <w:contextualSpacing w:val="0"/>
        <w:rPr>
          <w:rFonts w:cstheme="minorHAnsi"/>
        </w:rPr>
      </w:pPr>
      <w:r>
        <w:rPr>
          <w:rFonts w:cstheme="minorHAnsi"/>
        </w:rPr>
        <w:t>the level of socio-economic disadvantage may reduce in areas undergoing urban renewal</w:t>
      </w:r>
      <w:r w:rsidRPr="009D0DC3">
        <w:rPr>
          <w:rStyle w:val="FootnoteReference"/>
          <w:rFonts w:cstheme="minorHAnsi"/>
        </w:rPr>
        <w:footnoteReference w:id="41"/>
      </w:r>
    </w:p>
    <w:p w:rsidR="00274F9E" w:rsidRPr="009D0DC3" w:rsidRDefault="00274F9E" w:rsidP="007D1909">
      <w:pPr>
        <w:pStyle w:val="ListParagraph"/>
        <w:numPr>
          <w:ilvl w:val="0"/>
          <w:numId w:val="46"/>
        </w:numPr>
        <w:spacing w:after="120"/>
        <w:ind w:left="1080"/>
        <w:contextualSpacing w:val="0"/>
        <w:rPr>
          <w:rFonts w:cstheme="minorHAnsi"/>
        </w:rPr>
      </w:pPr>
      <w:r>
        <w:rPr>
          <w:rFonts w:cstheme="minorHAnsi"/>
        </w:rPr>
        <w:t xml:space="preserve">operation of </w:t>
      </w:r>
      <w:r w:rsidRPr="009D0DC3">
        <w:rPr>
          <w:rFonts w:cstheme="minorHAnsi"/>
        </w:rPr>
        <w:t>venue as a club rather than a hotel</w:t>
      </w:r>
      <w:r>
        <w:rPr>
          <w:rFonts w:cstheme="minorHAnsi"/>
        </w:rPr>
        <w:t xml:space="preserve"> as clubs require members to sign in and, in some circumstances, offer a wider range of non-gambling activities</w:t>
      </w:r>
      <w:r w:rsidRPr="009D0DC3">
        <w:rPr>
          <w:rStyle w:val="FootnoteReference"/>
          <w:rFonts w:cstheme="minorHAnsi"/>
        </w:rPr>
        <w:footnoteReference w:id="42"/>
      </w:r>
    </w:p>
    <w:p w:rsidR="00274F9E" w:rsidRPr="009D0DC3" w:rsidRDefault="00274F9E" w:rsidP="007D1909">
      <w:pPr>
        <w:pStyle w:val="ListParagraph"/>
        <w:numPr>
          <w:ilvl w:val="0"/>
          <w:numId w:val="46"/>
        </w:numPr>
        <w:spacing w:after="120"/>
        <w:ind w:left="1080"/>
        <w:contextualSpacing w:val="0"/>
        <w:rPr>
          <w:rFonts w:cstheme="minorHAnsi"/>
        </w:rPr>
      </w:pPr>
      <w:r w:rsidRPr="009D0DC3">
        <w:rPr>
          <w:rFonts w:cstheme="minorHAnsi"/>
        </w:rPr>
        <w:t xml:space="preserve">lower levels of </w:t>
      </w:r>
      <w:r>
        <w:rPr>
          <w:rFonts w:cstheme="minorHAnsi"/>
        </w:rPr>
        <w:t xml:space="preserve">socio-economic </w:t>
      </w:r>
      <w:r w:rsidRPr="009D0DC3">
        <w:rPr>
          <w:rFonts w:cstheme="minorHAnsi"/>
        </w:rPr>
        <w:t>disadvantage</w:t>
      </w:r>
      <w:r w:rsidRPr="009D0DC3">
        <w:rPr>
          <w:rStyle w:val="FootnoteReference"/>
          <w:rFonts w:cstheme="minorHAnsi"/>
        </w:rPr>
        <w:footnoteReference w:id="43"/>
      </w:r>
      <w:r w:rsidR="003D2567">
        <w:rPr>
          <w:rFonts w:cstheme="minorHAnsi"/>
        </w:rPr>
        <w:t xml:space="preserve"> and</w:t>
      </w:r>
    </w:p>
    <w:p w:rsidR="00274F9E" w:rsidRDefault="00274F9E" w:rsidP="007D1909">
      <w:pPr>
        <w:pStyle w:val="ListParagraph"/>
        <w:numPr>
          <w:ilvl w:val="0"/>
          <w:numId w:val="46"/>
        </w:numPr>
        <w:spacing w:after="120"/>
        <w:ind w:left="1080"/>
        <w:contextualSpacing w:val="0"/>
        <w:rPr>
          <w:rFonts w:cstheme="minorHAnsi"/>
        </w:rPr>
      </w:pPr>
      <w:r>
        <w:rPr>
          <w:rFonts w:cstheme="minorHAnsi"/>
        </w:rPr>
        <w:t>a</w:t>
      </w:r>
      <w:r w:rsidRPr="009D0DC3">
        <w:rPr>
          <w:rFonts w:cstheme="minorHAnsi"/>
        </w:rPr>
        <w:t>nticipated growth in population</w:t>
      </w:r>
      <w:r>
        <w:rPr>
          <w:rFonts w:cstheme="minorHAnsi"/>
        </w:rPr>
        <w:t xml:space="preserve"> which is associated with a reduction in the density of EGMs per 1,000 adults</w:t>
      </w:r>
      <w:r w:rsidRPr="009D0DC3">
        <w:rPr>
          <w:rStyle w:val="FootnoteReference"/>
          <w:rFonts w:cstheme="minorHAnsi"/>
        </w:rPr>
        <w:footnoteReference w:id="44"/>
      </w:r>
    </w:p>
    <w:p w:rsidR="003D2567" w:rsidRDefault="003D2567" w:rsidP="003D2567">
      <w:pPr>
        <w:pStyle w:val="Heading4"/>
      </w:pPr>
      <w:r>
        <w:t>Factors associated with net community benefit</w:t>
      </w:r>
    </w:p>
    <w:p w:rsidR="003D2567" w:rsidRPr="003D2567" w:rsidRDefault="003D2567" w:rsidP="003D2567">
      <w:r>
        <w:t>The following factors can contribute to the potential for an application to achieve net community benefit:</w:t>
      </w:r>
    </w:p>
    <w:p w:rsidR="00274F9E" w:rsidRPr="009D0DC3" w:rsidRDefault="00274F9E" w:rsidP="007D1909">
      <w:pPr>
        <w:pStyle w:val="ListParagraph"/>
        <w:numPr>
          <w:ilvl w:val="0"/>
          <w:numId w:val="46"/>
        </w:numPr>
        <w:spacing w:after="120"/>
        <w:ind w:left="1080"/>
        <w:contextualSpacing w:val="0"/>
        <w:rPr>
          <w:rFonts w:cstheme="minorHAnsi"/>
        </w:rPr>
      </w:pPr>
      <w:r>
        <w:rPr>
          <w:rFonts w:cstheme="minorHAnsi"/>
        </w:rPr>
        <w:t>t</w:t>
      </w:r>
      <w:r w:rsidRPr="009D0DC3">
        <w:rPr>
          <w:rFonts w:cstheme="minorHAnsi"/>
        </w:rPr>
        <w:t>ransfer of EGMs and revenue from areas of high to low disadvantage</w:t>
      </w:r>
      <w:r w:rsidRPr="009D0DC3">
        <w:rPr>
          <w:rStyle w:val="FootnoteReference"/>
          <w:rFonts w:cstheme="minorHAnsi"/>
        </w:rPr>
        <w:footnoteReference w:id="45"/>
      </w:r>
    </w:p>
    <w:p w:rsidR="00274F9E" w:rsidRPr="009D0DC3" w:rsidRDefault="00274F9E" w:rsidP="007D1909">
      <w:pPr>
        <w:pStyle w:val="ListParagraph"/>
        <w:numPr>
          <w:ilvl w:val="0"/>
          <w:numId w:val="46"/>
        </w:numPr>
        <w:spacing w:after="120"/>
        <w:ind w:left="1080"/>
        <w:contextualSpacing w:val="0"/>
        <w:rPr>
          <w:rFonts w:cstheme="minorHAnsi"/>
        </w:rPr>
      </w:pPr>
      <w:r>
        <w:rPr>
          <w:rFonts w:cstheme="minorHAnsi"/>
        </w:rPr>
        <w:t>renovations and provision of additional or different non-gam</w:t>
      </w:r>
      <w:r w:rsidR="00397893">
        <w:rPr>
          <w:rFonts w:cstheme="minorHAnsi"/>
        </w:rPr>
        <w:t>bling facilities and activities</w:t>
      </w:r>
      <w:r>
        <w:rPr>
          <w:rFonts w:cstheme="minorHAnsi"/>
        </w:rPr>
        <w:t xml:space="preserve"> facilities</w:t>
      </w:r>
      <w:r w:rsidRPr="009D0DC3">
        <w:rPr>
          <w:rStyle w:val="FootnoteReference"/>
          <w:rFonts w:cstheme="minorHAnsi"/>
        </w:rPr>
        <w:footnoteReference w:id="46"/>
      </w:r>
    </w:p>
    <w:p w:rsidR="00274F9E" w:rsidRPr="009D0DC3" w:rsidRDefault="00274F9E" w:rsidP="007D1909">
      <w:pPr>
        <w:pStyle w:val="ListParagraph"/>
        <w:numPr>
          <w:ilvl w:val="0"/>
          <w:numId w:val="46"/>
        </w:numPr>
        <w:spacing w:after="120"/>
        <w:ind w:left="1080"/>
        <w:contextualSpacing w:val="0"/>
        <w:rPr>
          <w:rFonts w:cstheme="minorHAnsi"/>
        </w:rPr>
      </w:pPr>
      <w:r>
        <w:rPr>
          <w:rFonts w:cstheme="minorHAnsi"/>
        </w:rPr>
        <w:t>r</w:t>
      </w:r>
      <w:r w:rsidRPr="009D0DC3">
        <w:rPr>
          <w:rFonts w:cstheme="minorHAnsi"/>
        </w:rPr>
        <w:t>eduction in trading hours</w:t>
      </w:r>
      <w:r w:rsidRPr="009D0DC3">
        <w:rPr>
          <w:rStyle w:val="FootnoteReference"/>
          <w:rFonts w:cstheme="minorHAnsi"/>
        </w:rPr>
        <w:footnoteReference w:id="47"/>
      </w:r>
      <w:r w:rsidRPr="009D0DC3">
        <w:rPr>
          <w:rFonts w:cstheme="minorHAnsi"/>
        </w:rPr>
        <w:t xml:space="preserve"> </w:t>
      </w:r>
    </w:p>
    <w:p w:rsidR="00274F9E" w:rsidRPr="009D0DC3" w:rsidRDefault="00274F9E" w:rsidP="007D1909">
      <w:pPr>
        <w:pStyle w:val="ListParagraph"/>
        <w:numPr>
          <w:ilvl w:val="0"/>
          <w:numId w:val="46"/>
        </w:numPr>
        <w:spacing w:after="120"/>
        <w:ind w:left="1080"/>
        <w:contextualSpacing w:val="0"/>
        <w:rPr>
          <w:rFonts w:cstheme="minorHAnsi"/>
        </w:rPr>
      </w:pPr>
      <w:r>
        <w:rPr>
          <w:rFonts w:cstheme="minorHAnsi"/>
        </w:rPr>
        <w:t>non-statutory c</w:t>
      </w:r>
      <w:r w:rsidRPr="009D0DC3">
        <w:rPr>
          <w:rFonts w:cstheme="minorHAnsi"/>
        </w:rPr>
        <w:t>ommunity contribution allocated to problem gambling services</w:t>
      </w:r>
      <w:r w:rsidRPr="009D0DC3">
        <w:rPr>
          <w:rStyle w:val="FootnoteReference"/>
          <w:rFonts w:cstheme="minorHAnsi"/>
        </w:rPr>
        <w:footnoteReference w:id="48"/>
      </w:r>
      <w:r w:rsidRPr="009D0DC3">
        <w:rPr>
          <w:rFonts w:cstheme="minorHAnsi"/>
        </w:rPr>
        <w:t xml:space="preserve"> and</w:t>
      </w:r>
    </w:p>
    <w:p w:rsidR="00274F9E" w:rsidRPr="009D0DC3" w:rsidRDefault="00274F9E" w:rsidP="007D1909">
      <w:pPr>
        <w:pStyle w:val="ListParagraph"/>
        <w:numPr>
          <w:ilvl w:val="0"/>
          <w:numId w:val="46"/>
        </w:numPr>
        <w:spacing w:after="120"/>
        <w:ind w:left="1080"/>
        <w:contextualSpacing w:val="0"/>
        <w:rPr>
          <w:rFonts w:cstheme="minorHAnsi"/>
        </w:rPr>
      </w:pPr>
      <w:r>
        <w:rPr>
          <w:rFonts w:cstheme="minorHAnsi"/>
        </w:rPr>
        <w:t>s</w:t>
      </w:r>
      <w:r w:rsidRPr="009D0DC3">
        <w:rPr>
          <w:rFonts w:cstheme="minorHAnsi"/>
        </w:rPr>
        <w:t>creening between gaming and non-gaming floor areas.</w:t>
      </w:r>
      <w:r w:rsidRPr="009D0DC3">
        <w:rPr>
          <w:rStyle w:val="FootnoteReference"/>
          <w:rFonts w:cstheme="minorHAnsi"/>
        </w:rPr>
        <w:footnoteReference w:id="49"/>
      </w:r>
    </w:p>
    <w:bookmarkEnd w:id="105"/>
    <w:p w:rsidR="0063624D" w:rsidRPr="0099464A" w:rsidRDefault="00595237" w:rsidP="0063624D">
      <w:pPr>
        <w:pStyle w:val="Heading4"/>
        <w:rPr>
          <w:rFonts w:asciiTheme="minorHAnsi" w:hAnsiTheme="minorHAnsi" w:cstheme="minorHAnsi"/>
        </w:rPr>
      </w:pPr>
      <w:r>
        <w:rPr>
          <w:rFonts w:asciiTheme="minorHAnsi" w:hAnsiTheme="minorHAnsi" w:cstheme="minorHAnsi"/>
        </w:rPr>
        <w:t>Social impacts</w:t>
      </w:r>
    </w:p>
    <w:p w:rsidR="00595237" w:rsidRDefault="00595237" w:rsidP="0063624D">
      <w:pPr>
        <w:rPr>
          <w:rFonts w:cstheme="minorHAnsi"/>
        </w:rPr>
      </w:pPr>
      <w:bookmarkStart w:id="106" w:name="_Hlk481402975"/>
      <w:r>
        <w:rPr>
          <w:rFonts w:cstheme="minorHAnsi"/>
        </w:rPr>
        <w:t>Social benefits include opportunities to gamble for those who do not experience harms, c</w:t>
      </w:r>
      <w:r w:rsidR="0063624D" w:rsidRPr="00233810">
        <w:rPr>
          <w:rFonts w:cstheme="minorHAnsi"/>
        </w:rPr>
        <w:t xml:space="preserve">ommunity contributions </w:t>
      </w:r>
      <w:r w:rsidR="0063624D">
        <w:rPr>
          <w:rFonts w:cstheme="minorHAnsi"/>
        </w:rPr>
        <w:t>if they are directed to services that address disadvantage and vulnerability to gambling-related harms</w:t>
      </w:r>
      <w:r w:rsidR="0063624D">
        <w:rPr>
          <w:rStyle w:val="FootnoteReference"/>
          <w:rFonts w:cstheme="minorHAnsi"/>
        </w:rPr>
        <w:footnoteReference w:id="50"/>
      </w:r>
      <w:r>
        <w:rPr>
          <w:rFonts w:cstheme="minorHAnsi"/>
        </w:rPr>
        <w:t xml:space="preserve"> and improvements and diversification of non-gambling activities. These outcomes are only of benefit if they are achieved within the municipality.</w:t>
      </w:r>
      <w:r>
        <w:rPr>
          <w:rStyle w:val="FootnoteReference"/>
          <w:rFonts w:cstheme="minorHAnsi"/>
        </w:rPr>
        <w:footnoteReference w:id="51"/>
      </w:r>
    </w:p>
    <w:p w:rsidR="0063624D" w:rsidRPr="0099464A" w:rsidRDefault="0063624D" w:rsidP="0063624D">
      <w:pPr>
        <w:pStyle w:val="Heading4"/>
        <w:rPr>
          <w:rFonts w:asciiTheme="minorHAnsi" w:hAnsiTheme="minorHAnsi" w:cstheme="minorHAnsi"/>
        </w:rPr>
      </w:pPr>
      <w:r w:rsidRPr="0099464A">
        <w:rPr>
          <w:rFonts w:asciiTheme="minorHAnsi" w:hAnsiTheme="minorHAnsi" w:cstheme="minorHAnsi"/>
        </w:rPr>
        <w:t>Sensitive uses</w:t>
      </w:r>
    </w:p>
    <w:p w:rsidR="0063624D" w:rsidRPr="003702D4" w:rsidRDefault="0063624D" w:rsidP="0063624D">
      <w:pPr>
        <w:rPr>
          <w:rFonts w:cstheme="minorHAnsi"/>
        </w:rPr>
      </w:pPr>
      <w:r w:rsidRPr="003702D4">
        <w:rPr>
          <w:rFonts w:cstheme="minorHAnsi"/>
        </w:rPr>
        <w:t>There must be an established link between the use and people vulnerable to gambling-related harms</w:t>
      </w:r>
      <w:r>
        <w:rPr>
          <w:rFonts w:cstheme="minorHAnsi"/>
        </w:rPr>
        <w:t>.</w:t>
      </w:r>
      <w:r>
        <w:rPr>
          <w:rStyle w:val="FootnoteReference"/>
          <w:rFonts w:cstheme="minorHAnsi"/>
        </w:rPr>
        <w:footnoteReference w:id="52"/>
      </w:r>
      <w:r w:rsidRPr="003702D4">
        <w:rPr>
          <w:rFonts w:cstheme="minorHAnsi"/>
        </w:rPr>
        <w:t xml:space="preserve"> </w:t>
      </w:r>
    </w:p>
    <w:bookmarkEnd w:id="106"/>
    <w:p w:rsidR="00274F9E" w:rsidRDefault="00274F9E" w:rsidP="00274F9E">
      <w:pPr>
        <w:pStyle w:val="Heading4"/>
        <w:rPr>
          <w:rFonts w:asciiTheme="minorHAnsi" w:hAnsiTheme="minorHAnsi" w:cstheme="minorHAnsi"/>
        </w:rPr>
      </w:pPr>
      <w:r>
        <w:rPr>
          <w:rFonts w:asciiTheme="minorHAnsi" w:hAnsiTheme="minorHAnsi" w:cstheme="minorHAnsi"/>
        </w:rPr>
        <w:t>Clustering</w:t>
      </w:r>
    </w:p>
    <w:p w:rsidR="00274F9E" w:rsidRPr="00B96899" w:rsidRDefault="003310FA" w:rsidP="00274F9E">
      <w:r>
        <w:t>A cluster of gaming venues exists when there are three or more gaming venues within 400m</w:t>
      </w:r>
      <w:r w:rsidR="00274F9E">
        <w:t>. The concept has a number of dimensions such as the ease of movement of problem gamblers between venues and the potential for the use to become dominant with effects on the character and function of the area.</w:t>
      </w:r>
      <w:r w:rsidR="00274F9E" w:rsidRPr="004D1CB9">
        <w:rPr>
          <w:rStyle w:val="FootnoteReference"/>
        </w:rPr>
        <w:t xml:space="preserve"> </w:t>
      </w:r>
      <w:r w:rsidR="00274F9E">
        <w:rPr>
          <w:rStyle w:val="FootnoteReference"/>
        </w:rPr>
        <w:footnoteReference w:id="53"/>
      </w:r>
      <w:r w:rsidR="00274F9E">
        <w:t xml:space="preserve"> Clustering of gaming venues is therefore discouraged as it could contribute to convenience gambling.</w:t>
      </w:r>
    </w:p>
    <w:bookmarkEnd w:id="102"/>
    <w:p w:rsidR="00C40980" w:rsidRDefault="00C40980">
      <w:pPr>
        <w:spacing w:line="276" w:lineRule="auto"/>
        <w:ind w:left="720"/>
        <w:rPr>
          <w:rFonts w:asciiTheme="minorHAnsi" w:eastAsiaTheme="majorEastAsia" w:hAnsiTheme="minorHAnsi" w:cstheme="minorHAnsi"/>
          <w:b/>
          <w:bCs/>
          <w:color w:val="365F91" w:themeColor="accent1" w:themeShade="BF"/>
          <w:sz w:val="28"/>
          <w:szCs w:val="28"/>
        </w:rPr>
      </w:pPr>
      <w:r>
        <w:rPr>
          <w:rFonts w:asciiTheme="minorHAnsi" w:hAnsiTheme="minorHAnsi" w:cstheme="minorHAnsi"/>
          <w:caps/>
        </w:rPr>
        <w:br w:type="page"/>
      </w:r>
    </w:p>
    <w:p w:rsidR="00047877" w:rsidRPr="00FC5226" w:rsidRDefault="00051F9D" w:rsidP="00FC5226">
      <w:pPr>
        <w:pStyle w:val="Heading1"/>
        <w:spacing w:before="0" w:after="120"/>
        <w:rPr>
          <w:rFonts w:ascii="CoM" w:hAnsi="CoM"/>
          <w:b w:val="0"/>
          <w:caps w:val="0"/>
          <w:sz w:val="38"/>
          <w:szCs w:val="38"/>
        </w:rPr>
      </w:pPr>
      <w:bookmarkStart w:id="107" w:name="_Toc494287773"/>
      <w:r w:rsidRPr="00FC5226">
        <w:rPr>
          <w:rFonts w:ascii="CoM" w:hAnsi="CoM"/>
          <w:b w:val="0"/>
          <w:caps w:val="0"/>
          <w:sz w:val="38"/>
          <w:szCs w:val="38"/>
        </w:rPr>
        <w:t xml:space="preserve">Framework for </w:t>
      </w:r>
      <w:r w:rsidR="008F68AA" w:rsidRPr="00FC5226">
        <w:rPr>
          <w:rFonts w:ascii="CoM" w:hAnsi="CoM"/>
          <w:b w:val="0"/>
          <w:caps w:val="0"/>
          <w:sz w:val="38"/>
          <w:szCs w:val="38"/>
        </w:rPr>
        <w:t>a</w:t>
      </w:r>
      <w:r w:rsidRPr="00FC5226">
        <w:rPr>
          <w:rFonts w:ascii="CoM" w:hAnsi="CoM"/>
          <w:b w:val="0"/>
          <w:caps w:val="0"/>
          <w:sz w:val="38"/>
          <w:szCs w:val="38"/>
        </w:rPr>
        <w:t xml:space="preserve">ssessment of </w:t>
      </w:r>
      <w:r w:rsidR="008F68AA" w:rsidRPr="00FC5226">
        <w:rPr>
          <w:rFonts w:ascii="CoM" w:hAnsi="CoM"/>
          <w:b w:val="0"/>
          <w:caps w:val="0"/>
          <w:sz w:val="38"/>
          <w:szCs w:val="38"/>
        </w:rPr>
        <w:t>s</w:t>
      </w:r>
      <w:r w:rsidRPr="00FC5226">
        <w:rPr>
          <w:rFonts w:ascii="CoM" w:hAnsi="CoM"/>
          <w:b w:val="0"/>
          <w:caps w:val="0"/>
          <w:sz w:val="38"/>
          <w:szCs w:val="38"/>
        </w:rPr>
        <w:t>ocio-</w:t>
      </w:r>
      <w:r w:rsidR="008F68AA" w:rsidRPr="00FC5226">
        <w:rPr>
          <w:rFonts w:ascii="CoM" w:hAnsi="CoM"/>
          <w:b w:val="0"/>
          <w:caps w:val="0"/>
          <w:sz w:val="38"/>
          <w:szCs w:val="38"/>
        </w:rPr>
        <w:t>e</w:t>
      </w:r>
      <w:r w:rsidRPr="00FC5226">
        <w:rPr>
          <w:rFonts w:ascii="CoM" w:hAnsi="CoM"/>
          <w:b w:val="0"/>
          <w:caps w:val="0"/>
          <w:sz w:val="38"/>
          <w:szCs w:val="38"/>
        </w:rPr>
        <w:t xml:space="preserve">conomic </w:t>
      </w:r>
      <w:r w:rsidR="008F68AA" w:rsidRPr="00FC5226">
        <w:rPr>
          <w:rFonts w:ascii="CoM" w:hAnsi="CoM"/>
          <w:b w:val="0"/>
          <w:caps w:val="0"/>
          <w:sz w:val="38"/>
          <w:szCs w:val="38"/>
        </w:rPr>
        <w:t>i</w:t>
      </w:r>
      <w:r w:rsidRPr="00FC5226">
        <w:rPr>
          <w:rFonts w:ascii="CoM" w:hAnsi="CoM"/>
          <w:b w:val="0"/>
          <w:caps w:val="0"/>
          <w:sz w:val="38"/>
          <w:szCs w:val="38"/>
        </w:rPr>
        <w:t xml:space="preserve">mpacts </w:t>
      </w:r>
      <w:r w:rsidR="008F68AA" w:rsidRPr="00FC5226">
        <w:rPr>
          <w:rFonts w:ascii="CoM" w:hAnsi="CoM"/>
          <w:b w:val="0"/>
          <w:caps w:val="0"/>
          <w:sz w:val="38"/>
          <w:szCs w:val="38"/>
        </w:rPr>
        <w:t>of</w:t>
      </w:r>
      <w:r w:rsidRPr="00FC5226">
        <w:rPr>
          <w:rFonts w:ascii="CoM" w:hAnsi="CoM"/>
          <w:b w:val="0"/>
          <w:caps w:val="0"/>
          <w:sz w:val="38"/>
          <w:szCs w:val="38"/>
        </w:rPr>
        <w:t xml:space="preserve"> </w:t>
      </w:r>
      <w:r w:rsidR="008F68AA" w:rsidRPr="00FC5226">
        <w:rPr>
          <w:rFonts w:ascii="CoM" w:hAnsi="CoM"/>
          <w:b w:val="0"/>
          <w:caps w:val="0"/>
          <w:sz w:val="38"/>
          <w:szCs w:val="38"/>
        </w:rPr>
        <w:t>g</w:t>
      </w:r>
      <w:r w:rsidRPr="00FC5226">
        <w:rPr>
          <w:rFonts w:ascii="CoM" w:hAnsi="CoM"/>
          <w:b w:val="0"/>
          <w:caps w:val="0"/>
          <w:sz w:val="38"/>
          <w:szCs w:val="38"/>
        </w:rPr>
        <w:t xml:space="preserve">ambling </w:t>
      </w:r>
      <w:r w:rsidR="008F68AA" w:rsidRPr="00FC5226">
        <w:rPr>
          <w:rFonts w:ascii="CoM" w:hAnsi="CoM"/>
          <w:b w:val="0"/>
          <w:caps w:val="0"/>
          <w:sz w:val="38"/>
          <w:szCs w:val="38"/>
        </w:rPr>
        <w:t>h</w:t>
      </w:r>
      <w:r w:rsidRPr="00FC5226">
        <w:rPr>
          <w:rFonts w:ascii="CoM" w:hAnsi="CoM"/>
          <w:b w:val="0"/>
          <w:caps w:val="0"/>
          <w:sz w:val="38"/>
          <w:szCs w:val="38"/>
        </w:rPr>
        <w:t>arm</w:t>
      </w:r>
      <w:bookmarkEnd w:id="107"/>
    </w:p>
    <w:p w:rsidR="00FF2AC9" w:rsidRDefault="00FF2AC9" w:rsidP="00FF2AC9">
      <w:r>
        <w:t>This Chapter provides the evidence base</w:t>
      </w:r>
      <w:r w:rsidR="003A0451">
        <w:t xml:space="preserve"> that will underpin the City of Melbourne Electronic Gaming Machine Decision-Making Framework and Local Planning Policy for Gaming. It draws on research into gambling participation and behaviours, factors that increase the risk of gambling-related harms for individuals and communities and the social and economic impacts of gambling-related harms.</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EB0AEE" w:rsidTr="00EB0AEE">
        <w:tc>
          <w:tcPr>
            <w:tcW w:w="9016" w:type="dxa"/>
            <w:shd w:val="clear" w:color="auto" w:fill="D9D9D9" w:themeFill="background1" w:themeFillShade="D9"/>
          </w:tcPr>
          <w:p w:rsidR="00EB0AEE" w:rsidRDefault="00EB0AEE" w:rsidP="00E256E4">
            <w:pPr>
              <w:spacing w:after="120"/>
              <w:rPr>
                <w:b/>
              </w:rPr>
            </w:pPr>
            <w:r>
              <w:rPr>
                <w:b/>
              </w:rPr>
              <w:t>Key findings</w:t>
            </w:r>
          </w:p>
          <w:p w:rsidR="00EB0AEE" w:rsidRDefault="00773238" w:rsidP="00E256E4">
            <w:pPr>
              <w:spacing w:after="120"/>
            </w:pPr>
            <w:r>
              <w:t>In recent years there has been a reduction in participation in EGM gambling and an increase in participation of online gambling.</w:t>
            </w:r>
          </w:p>
          <w:p w:rsidR="00773238" w:rsidRDefault="00773238" w:rsidP="00E256E4">
            <w:pPr>
              <w:spacing w:after="120"/>
            </w:pPr>
            <w:r>
              <w:t>The gambling participation rate among adolescents and young people aged 10-24 in Australia is significantly higher than all adults. EGMs are the most popular form of gambling among people aged 18-24 years.</w:t>
            </w:r>
          </w:p>
          <w:p w:rsidR="00E256E4" w:rsidRDefault="00E256E4" w:rsidP="00E256E4">
            <w:pPr>
              <w:spacing w:after="120"/>
            </w:pPr>
            <w:r>
              <w:t>The main risk factors for gambling harms are convenience gambling, high density and EGM expenditure, longer operating hours, exposure to gambling activities in the venue, compromised mental and physical health and wellbeing, and socio-economic profile.</w:t>
            </w:r>
          </w:p>
          <w:p w:rsidR="00E256E4" w:rsidRPr="0099464A" w:rsidRDefault="00E256E4" w:rsidP="00E256E4">
            <w:pPr>
              <w:spacing w:after="120"/>
              <w:rPr>
                <w:rFonts w:cstheme="minorHAnsi"/>
              </w:rPr>
            </w:pPr>
            <w:r w:rsidRPr="0099464A">
              <w:rPr>
                <w:rFonts w:cstheme="minorHAnsi"/>
              </w:rPr>
              <w:t xml:space="preserve">At a municipal level, the City of Melbourne/Greater Melbourne area would not be considered at an elevated risk of gambling-related harms due to the overall level of socio-economic disadvantage and other features relating to occupation, and volunteerism. </w:t>
            </w:r>
          </w:p>
          <w:p w:rsidR="00E256E4" w:rsidRPr="00EB0AEE" w:rsidRDefault="00E256E4" w:rsidP="007609EE">
            <w:pPr>
              <w:spacing w:after="120"/>
            </w:pPr>
            <w:r w:rsidRPr="0099464A">
              <w:rPr>
                <w:rFonts w:cstheme="minorHAnsi"/>
              </w:rPr>
              <w:t>However, there are certain features of the population of the City of Melbourne that increase the risks of gambling-related harms. These include households with rental stress, median annual household income, proportion of lone and group households, students and proportion of young people aged 15-24</w:t>
            </w:r>
            <w:r w:rsidR="00273D41">
              <w:rPr>
                <w:rFonts w:cstheme="minorHAnsi"/>
              </w:rPr>
              <w:t xml:space="preserve"> years</w:t>
            </w:r>
            <w:r w:rsidRPr="0099464A">
              <w:rPr>
                <w:rFonts w:cstheme="minorHAnsi"/>
              </w:rPr>
              <w:t xml:space="preserve">, and proportion of people with Chinese ancestry. The central, southern and northern areas including Melbourne, Southbank, Carlton, North Melbourne and Parkville display the most indicators of gambling related harms. These areas contain ten of the 11 </w:t>
            </w:r>
            <w:r w:rsidR="007609EE">
              <w:rPr>
                <w:rFonts w:cstheme="minorHAnsi"/>
              </w:rPr>
              <w:t>EGM</w:t>
            </w:r>
            <w:r w:rsidRPr="0099464A">
              <w:rPr>
                <w:rFonts w:cstheme="minorHAnsi"/>
              </w:rPr>
              <w:t xml:space="preserve"> venues and Crown Casino.</w:t>
            </w:r>
          </w:p>
        </w:tc>
      </w:tr>
    </w:tbl>
    <w:p w:rsidR="00EB0AEE" w:rsidRDefault="00EB0AEE" w:rsidP="00FF2AC9"/>
    <w:tbl>
      <w:tblPr>
        <w:tblStyle w:val="TableGrid"/>
        <w:tblW w:w="0" w:type="auto"/>
        <w:shd w:val="clear" w:color="auto" w:fill="D9D9D9" w:themeFill="background1" w:themeFillShade="D9"/>
        <w:tblLook w:val="04A0" w:firstRow="1" w:lastRow="0" w:firstColumn="1" w:lastColumn="0" w:noHBand="0" w:noVBand="1"/>
      </w:tblPr>
      <w:tblGrid>
        <w:gridCol w:w="9016"/>
      </w:tblGrid>
      <w:tr w:rsidR="00EB0AEE" w:rsidTr="00EB0AEE">
        <w:tc>
          <w:tcPr>
            <w:tcW w:w="9016" w:type="dxa"/>
            <w:shd w:val="clear" w:color="auto" w:fill="D9D9D9" w:themeFill="background1" w:themeFillShade="D9"/>
          </w:tcPr>
          <w:p w:rsidR="00EB0AEE" w:rsidRDefault="00EB0AEE" w:rsidP="00EB0AEE">
            <w:pPr>
              <w:spacing w:after="120"/>
              <w:rPr>
                <w:b/>
              </w:rPr>
            </w:pPr>
            <w:r w:rsidRPr="00273D41">
              <w:rPr>
                <w:b/>
              </w:rPr>
              <w:t xml:space="preserve">Implications for the </w:t>
            </w:r>
            <w:r w:rsidR="007B3C27" w:rsidRPr="00273D41">
              <w:rPr>
                <w:b/>
              </w:rPr>
              <w:t>Electronic Gaming Decision</w:t>
            </w:r>
            <w:r w:rsidRPr="00273D41">
              <w:rPr>
                <w:b/>
              </w:rPr>
              <w:t>-Making Framework and Local Planning Policy for Gaming</w:t>
            </w:r>
          </w:p>
          <w:p w:rsidR="00273D41" w:rsidRDefault="00273D41" w:rsidP="00EB0AEE">
            <w:pPr>
              <w:spacing w:after="120"/>
            </w:pPr>
            <w:r w:rsidRPr="00273D41">
              <w:t xml:space="preserve">The </w:t>
            </w:r>
            <w:r>
              <w:t>Local Planning Policy for Gaming will need to incorporate specific guidance on measures to prevent convenience gambling, particularly amongst groups that are at an elevated risk of gambling-related harms. This includes updating the list of shopping complexes for inclusion in Clause 52.28-3 Gaming and policies that are relevant to all land use zones, including the Capital City Zone.</w:t>
            </w:r>
          </w:p>
          <w:p w:rsidR="00EB0AEE" w:rsidRPr="00EB0AEE" w:rsidRDefault="00273D41" w:rsidP="00273D41">
            <w:pPr>
              <w:spacing w:after="120"/>
            </w:pPr>
            <w:r>
              <w:t>The Local Planning Policy for Gaming and amendments to the Municipal Strategic Statement will also need to include strategies to reduce the concentration and density of EGMs and gaming venues in the Hoddle Grid.</w:t>
            </w:r>
          </w:p>
        </w:tc>
      </w:tr>
    </w:tbl>
    <w:p w:rsidR="00EB0AEE" w:rsidRPr="00FF2AC9" w:rsidRDefault="00EB0AEE" w:rsidP="00FF2AC9"/>
    <w:p w:rsidR="00273D41" w:rsidRDefault="00273D41">
      <w:pPr>
        <w:spacing w:line="276" w:lineRule="auto"/>
        <w:ind w:left="720"/>
        <w:rPr>
          <w:rFonts w:asciiTheme="minorHAnsi" w:eastAsiaTheme="majorEastAsia" w:hAnsiTheme="minorHAnsi" w:cstheme="minorHAnsi"/>
          <w:b/>
          <w:bCs/>
          <w:color w:val="4F81BD" w:themeColor="accent1"/>
          <w:sz w:val="26"/>
          <w:szCs w:val="26"/>
        </w:rPr>
      </w:pPr>
      <w:r>
        <w:rPr>
          <w:rFonts w:asciiTheme="minorHAnsi" w:hAnsiTheme="minorHAnsi" w:cstheme="minorHAnsi"/>
        </w:rPr>
        <w:br w:type="page"/>
      </w:r>
    </w:p>
    <w:p w:rsidR="00047877" w:rsidRDefault="00047877" w:rsidP="00FC5226">
      <w:pPr>
        <w:pStyle w:val="Heading2"/>
      </w:pPr>
      <w:bookmarkStart w:id="108" w:name="_Toc494287774"/>
      <w:r w:rsidRPr="0099464A">
        <w:t>Participation in gambling activities</w:t>
      </w:r>
      <w:bookmarkEnd w:id="108"/>
    </w:p>
    <w:p w:rsidR="003D1F93" w:rsidRDefault="003D1F93" w:rsidP="009D4F28">
      <w:bookmarkStart w:id="109" w:name="_Hlk482963600"/>
      <w:r>
        <w:t>A study of gambling behaviours among Victorians in 2014 found the following</w:t>
      </w:r>
      <w:r w:rsidRPr="003D2615">
        <w:rPr>
          <w:rStyle w:val="FootnoteReference"/>
          <w:rFonts w:asciiTheme="minorHAnsi" w:hAnsiTheme="minorHAnsi"/>
        </w:rPr>
        <w:footnoteReference w:id="54"/>
      </w:r>
      <w:r>
        <w:t>:</w:t>
      </w:r>
    </w:p>
    <w:p w:rsidR="003D1F93" w:rsidRDefault="003D1F93" w:rsidP="007D1909">
      <w:pPr>
        <w:pStyle w:val="ListParagraph"/>
        <w:numPr>
          <w:ilvl w:val="0"/>
          <w:numId w:val="26"/>
        </w:numPr>
        <w:spacing w:after="120"/>
        <w:contextualSpacing w:val="0"/>
      </w:pPr>
      <w:r>
        <w:t>The three highest participation gambling activities were lotto,</w:t>
      </w:r>
      <w:r w:rsidR="00397893">
        <w:t xml:space="preserve"> Powerball or the Pools, </w:t>
      </w:r>
      <w:r>
        <w:t xml:space="preserve"> raffles, sweeps and other competitions and race betting.</w:t>
      </w:r>
    </w:p>
    <w:p w:rsidR="003D1F93" w:rsidRPr="000435B6" w:rsidRDefault="003D1F93" w:rsidP="007D1909">
      <w:pPr>
        <w:pStyle w:val="ListParagraph"/>
        <w:numPr>
          <w:ilvl w:val="0"/>
          <w:numId w:val="26"/>
        </w:numPr>
        <w:spacing w:after="120"/>
        <w:contextualSpacing w:val="0"/>
      </w:pPr>
      <w:r>
        <w:t>Males were more likely than females to participate in many gambling activities including informal private betting, casino table games, sports betting and Keno</w:t>
      </w:r>
    </w:p>
    <w:p w:rsidR="003D1F93" w:rsidRDefault="003D1F93" w:rsidP="007D1909">
      <w:pPr>
        <w:pStyle w:val="ListParagraph"/>
        <w:numPr>
          <w:ilvl w:val="0"/>
          <w:numId w:val="26"/>
        </w:numPr>
        <w:spacing w:after="120"/>
        <w:contextualSpacing w:val="0"/>
      </w:pPr>
      <w:r>
        <w:t>Between 2008 and 2014:</w:t>
      </w:r>
    </w:p>
    <w:p w:rsidR="003D1F93" w:rsidRDefault="003D1F93" w:rsidP="007D1909">
      <w:pPr>
        <w:pStyle w:val="ListParagraph"/>
        <w:numPr>
          <w:ilvl w:val="1"/>
          <w:numId w:val="26"/>
        </w:numPr>
        <w:spacing w:after="120"/>
        <w:contextualSpacing w:val="0"/>
      </w:pPr>
      <w:r>
        <w:t>Participation in table games remained the same.</w:t>
      </w:r>
    </w:p>
    <w:p w:rsidR="003D1F93" w:rsidRDefault="003D1F93" w:rsidP="007D1909">
      <w:pPr>
        <w:pStyle w:val="ListParagraph"/>
        <w:numPr>
          <w:ilvl w:val="1"/>
          <w:numId w:val="26"/>
        </w:numPr>
        <w:spacing w:after="120"/>
        <w:contextualSpacing w:val="0"/>
      </w:pPr>
      <w:r>
        <w:t xml:space="preserve">There was a decrease in participation in </w:t>
      </w:r>
      <w:r w:rsidR="002806A3">
        <w:t>EGMs</w:t>
      </w:r>
      <w:r>
        <w:t>, scratch ticket and phone or SMS competitions.</w:t>
      </w:r>
    </w:p>
    <w:p w:rsidR="003D1F93" w:rsidRDefault="003D1F93" w:rsidP="007D1909">
      <w:pPr>
        <w:pStyle w:val="ListParagraph"/>
        <w:numPr>
          <w:ilvl w:val="1"/>
          <w:numId w:val="26"/>
        </w:numPr>
        <w:spacing w:after="120"/>
        <w:contextualSpacing w:val="0"/>
      </w:pPr>
      <w:r>
        <w:t>There was an increase in betting or racing and sports and event betting participation.</w:t>
      </w:r>
    </w:p>
    <w:p w:rsidR="003D1F93" w:rsidRDefault="003D1F93" w:rsidP="007D1909">
      <w:pPr>
        <w:pStyle w:val="ListParagraph"/>
        <w:numPr>
          <w:ilvl w:val="0"/>
          <w:numId w:val="26"/>
        </w:numPr>
        <w:spacing w:after="120"/>
        <w:contextualSpacing w:val="0"/>
      </w:pPr>
      <w:r>
        <w:t>The growth in sports and event betting participation in Victoria is likely to be primarily driven by increased participation by males, while the growth in race betting is likely to have been driven by increased female participation.</w:t>
      </w:r>
    </w:p>
    <w:p w:rsidR="003D1F93" w:rsidRPr="002806A3" w:rsidRDefault="003D1F93" w:rsidP="007D1909">
      <w:pPr>
        <w:pStyle w:val="ListParagraph"/>
        <w:numPr>
          <w:ilvl w:val="0"/>
          <w:numId w:val="26"/>
        </w:numPr>
        <w:rPr>
          <w:rFonts w:asciiTheme="minorHAnsi" w:hAnsiTheme="minorHAnsi"/>
        </w:rPr>
      </w:pPr>
      <w:bookmarkStart w:id="110" w:name="_Hlk486346468"/>
      <w:r>
        <w:t>The main reasons people in Victoria gamble are for social reasons, to win money and for general entertainment.</w:t>
      </w:r>
      <w:r>
        <w:rPr>
          <w:rStyle w:val="FootnoteReference"/>
        </w:rPr>
        <w:footnoteReference w:id="55"/>
      </w:r>
      <w:r>
        <w:t xml:space="preserve"> </w:t>
      </w:r>
      <w:bookmarkEnd w:id="109"/>
      <w:r w:rsidRPr="002806A3">
        <w:rPr>
          <w:rFonts w:asciiTheme="minorHAnsi" w:hAnsiTheme="minorHAnsi"/>
        </w:rPr>
        <w:t>The most common reasons that young people participate in g</w:t>
      </w:r>
      <w:r w:rsidR="00CE10E5">
        <w:rPr>
          <w:rFonts w:asciiTheme="minorHAnsi" w:hAnsiTheme="minorHAnsi"/>
        </w:rPr>
        <w:t xml:space="preserve">ambling are similar to adults, for example </w:t>
      </w:r>
      <w:r w:rsidRPr="002806A3">
        <w:rPr>
          <w:rFonts w:asciiTheme="minorHAnsi" w:hAnsiTheme="minorHAnsi"/>
        </w:rPr>
        <w:t>for enjoyment and to win money,</w:t>
      </w:r>
      <w:r w:rsidRPr="005C72D0">
        <w:rPr>
          <w:rStyle w:val="FootnoteReference"/>
          <w:rFonts w:asciiTheme="minorHAnsi" w:hAnsiTheme="minorHAnsi"/>
        </w:rPr>
        <w:footnoteReference w:id="56"/>
      </w:r>
      <w:r w:rsidRPr="002806A3">
        <w:rPr>
          <w:rFonts w:asciiTheme="minorHAnsi" w:hAnsiTheme="minorHAnsi"/>
        </w:rPr>
        <w:t xml:space="preserve"> and the majority (56%) of young people are classified as social gamblers</w:t>
      </w:r>
      <w:r w:rsidRPr="005C72D0">
        <w:rPr>
          <w:rStyle w:val="FootnoteReference"/>
          <w:rFonts w:asciiTheme="minorHAnsi" w:hAnsiTheme="minorHAnsi"/>
        </w:rPr>
        <w:footnoteReference w:id="57"/>
      </w:r>
      <w:r w:rsidRPr="002806A3">
        <w:rPr>
          <w:rFonts w:asciiTheme="minorHAnsi" w:hAnsiTheme="minorHAnsi"/>
        </w:rPr>
        <w:t>. However, young people were less likely to gamble as a result of loneliness tha</w:t>
      </w:r>
      <w:r w:rsidR="006536B7">
        <w:rPr>
          <w:rFonts w:asciiTheme="minorHAnsi" w:hAnsiTheme="minorHAnsi"/>
        </w:rPr>
        <w:t>n</w:t>
      </w:r>
      <w:r w:rsidRPr="002806A3">
        <w:rPr>
          <w:rFonts w:asciiTheme="minorHAnsi" w:hAnsiTheme="minorHAnsi"/>
        </w:rPr>
        <w:t xml:space="preserve"> </w:t>
      </w:r>
      <w:r w:rsidR="006536B7">
        <w:rPr>
          <w:rFonts w:asciiTheme="minorHAnsi" w:hAnsiTheme="minorHAnsi"/>
        </w:rPr>
        <w:t>other</w:t>
      </w:r>
      <w:r w:rsidRPr="002806A3">
        <w:rPr>
          <w:rFonts w:asciiTheme="minorHAnsi" w:hAnsiTheme="minorHAnsi"/>
        </w:rPr>
        <w:t xml:space="preserve"> adults.</w:t>
      </w:r>
    </w:p>
    <w:bookmarkEnd w:id="110"/>
    <w:p w:rsidR="003D1F93" w:rsidRPr="005C72D0" w:rsidRDefault="003D1F93" w:rsidP="003D1F93">
      <w:pPr>
        <w:rPr>
          <w:rFonts w:asciiTheme="minorHAnsi" w:hAnsiTheme="minorHAnsi"/>
        </w:rPr>
      </w:pPr>
      <w:r w:rsidRPr="005C72D0">
        <w:rPr>
          <w:rFonts w:asciiTheme="minorHAnsi" w:hAnsiTheme="minorHAnsi"/>
        </w:rPr>
        <w:t>In Victoria:</w:t>
      </w:r>
    </w:p>
    <w:p w:rsidR="003D1F93" w:rsidRDefault="003D1F93" w:rsidP="007D1909">
      <w:pPr>
        <w:pStyle w:val="ListParagraph"/>
        <w:numPr>
          <w:ilvl w:val="0"/>
          <w:numId w:val="23"/>
        </w:numPr>
        <w:spacing w:after="120"/>
        <w:contextualSpacing w:val="0"/>
        <w:rPr>
          <w:rFonts w:asciiTheme="minorHAnsi" w:hAnsiTheme="minorHAnsi"/>
        </w:rPr>
      </w:pPr>
      <w:r>
        <w:rPr>
          <w:rFonts w:asciiTheme="minorHAnsi" w:hAnsiTheme="minorHAnsi"/>
        </w:rPr>
        <w:t>EGMS are the most popular form of gambling amongst people aged 18-14 years and 50-64 years.</w:t>
      </w:r>
    </w:p>
    <w:p w:rsidR="003D1F93" w:rsidRPr="005C72D0" w:rsidRDefault="003D1F93" w:rsidP="007D1909">
      <w:pPr>
        <w:pStyle w:val="ListParagraph"/>
        <w:numPr>
          <w:ilvl w:val="0"/>
          <w:numId w:val="23"/>
        </w:numPr>
        <w:spacing w:after="120"/>
        <w:contextualSpacing w:val="0"/>
        <w:rPr>
          <w:rFonts w:asciiTheme="minorHAnsi" w:eastAsiaTheme="minorHAnsi" w:hAnsiTheme="minorHAnsi"/>
        </w:rPr>
      </w:pPr>
      <w:r>
        <w:rPr>
          <w:rFonts w:asciiTheme="minorHAnsi" w:eastAsiaTheme="minorHAnsi" w:hAnsiTheme="minorHAnsi"/>
        </w:rPr>
        <w:t>Y</w:t>
      </w:r>
      <w:r w:rsidRPr="005C72D0">
        <w:rPr>
          <w:rFonts w:asciiTheme="minorHAnsi" w:eastAsiaTheme="minorHAnsi" w:hAnsiTheme="minorHAnsi"/>
        </w:rPr>
        <w:t xml:space="preserve">oung people aged 18-24 years are more likely to participate in EGMs, table games and sports betting compared to all adults (refer to Table </w:t>
      </w:r>
      <w:r w:rsidR="0071477F">
        <w:rPr>
          <w:rFonts w:asciiTheme="minorHAnsi" w:eastAsiaTheme="minorHAnsi" w:hAnsiTheme="minorHAnsi"/>
        </w:rPr>
        <w:t>8</w:t>
      </w:r>
      <w:r w:rsidRPr="005C72D0">
        <w:rPr>
          <w:rFonts w:asciiTheme="minorHAnsi" w:eastAsiaTheme="minorHAnsi" w:hAnsiTheme="minorHAnsi"/>
        </w:rPr>
        <w:t>)</w:t>
      </w:r>
      <w:r w:rsidR="00EB0AEE">
        <w:rPr>
          <w:rFonts w:asciiTheme="minorHAnsi" w:eastAsiaTheme="minorHAnsi" w:hAnsiTheme="minorHAnsi"/>
        </w:rPr>
        <w:t>.</w:t>
      </w:r>
    </w:p>
    <w:p w:rsidR="003D1F93" w:rsidRPr="005C72D0" w:rsidRDefault="003D1F93" w:rsidP="007D1909">
      <w:pPr>
        <w:pStyle w:val="ListParagraph"/>
        <w:numPr>
          <w:ilvl w:val="0"/>
          <w:numId w:val="23"/>
        </w:numPr>
        <w:spacing w:after="120"/>
        <w:contextualSpacing w:val="0"/>
        <w:rPr>
          <w:rFonts w:asciiTheme="minorHAnsi" w:eastAsiaTheme="minorHAnsi" w:hAnsiTheme="minorHAnsi"/>
        </w:rPr>
      </w:pPr>
      <w:r>
        <w:rPr>
          <w:rFonts w:asciiTheme="minorHAnsi" w:eastAsiaTheme="minorHAnsi" w:hAnsiTheme="minorHAnsi"/>
        </w:rPr>
        <w:t>O</w:t>
      </w:r>
      <w:r w:rsidRPr="005C72D0">
        <w:rPr>
          <w:rFonts w:asciiTheme="minorHAnsi" w:eastAsiaTheme="minorHAnsi" w:hAnsiTheme="minorHAnsi"/>
        </w:rPr>
        <w:t>lder people aged 65+ are less like</w:t>
      </w:r>
      <w:r>
        <w:rPr>
          <w:rFonts w:asciiTheme="minorHAnsi" w:eastAsiaTheme="minorHAnsi" w:hAnsiTheme="minorHAnsi"/>
        </w:rPr>
        <w:t>ly</w:t>
      </w:r>
      <w:r w:rsidRPr="005C72D0">
        <w:rPr>
          <w:rFonts w:asciiTheme="minorHAnsi" w:eastAsiaTheme="minorHAnsi" w:hAnsiTheme="minorHAnsi"/>
        </w:rPr>
        <w:t xml:space="preserve"> participate in table games, race betting and sports betting, compared to all adults (refer to Table </w:t>
      </w:r>
      <w:r w:rsidR="0071477F">
        <w:rPr>
          <w:rFonts w:asciiTheme="minorHAnsi" w:eastAsiaTheme="minorHAnsi" w:hAnsiTheme="minorHAnsi"/>
        </w:rPr>
        <w:t>8</w:t>
      </w:r>
      <w:r w:rsidRPr="005C72D0">
        <w:rPr>
          <w:rFonts w:asciiTheme="minorHAnsi" w:eastAsiaTheme="minorHAnsi" w:hAnsiTheme="minorHAnsi"/>
        </w:rPr>
        <w:t>)</w:t>
      </w:r>
      <w:r w:rsidR="00EB0AEE">
        <w:rPr>
          <w:rFonts w:asciiTheme="minorHAnsi" w:eastAsiaTheme="minorHAnsi" w:hAnsiTheme="minorHAnsi"/>
        </w:rPr>
        <w:t>.</w:t>
      </w:r>
    </w:p>
    <w:p w:rsidR="003D1F93" w:rsidRPr="005C72D0" w:rsidRDefault="003D1F93" w:rsidP="007D1909">
      <w:pPr>
        <w:pStyle w:val="ListParagraph"/>
        <w:numPr>
          <w:ilvl w:val="0"/>
          <w:numId w:val="23"/>
        </w:numPr>
        <w:spacing w:after="120"/>
        <w:contextualSpacing w:val="0"/>
        <w:rPr>
          <w:rFonts w:asciiTheme="minorHAnsi" w:hAnsiTheme="minorHAnsi"/>
        </w:rPr>
      </w:pPr>
      <w:r>
        <w:rPr>
          <w:rFonts w:asciiTheme="minorHAnsi" w:hAnsiTheme="minorHAnsi"/>
        </w:rPr>
        <w:t>M</w:t>
      </w:r>
      <w:r w:rsidRPr="005C72D0">
        <w:rPr>
          <w:rFonts w:asciiTheme="minorHAnsi" w:hAnsiTheme="minorHAnsi"/>
        </w:rPr>
        <w:t>ales are significantly more likely to participate in the following gambling activities, compared to females):</w:t>
      </w:r>
    </w:p>
    <w:p w:rsidR="003D1F93" w:rsidRPr="005C72D0" w:rsidRDefault="003D1F93" w:rsidP="007D1909">
      <w:pPr>
        <w:pStyle w:val="ListParagraph"/>
        <w:numPr>
          <w:ilvl w:val="1"/>
          <w:numId w:val="23"/>
        </w:numPr>
        <w:spacing w:after="120"/>
        <w:contextualSpacing w:val="0"/>
        <w:rPr>
          <w:rFonts w:asciiTheme="minorHAnsi" w:eastAsiaTheme="minorHAnsi" w:hAnsiTheme="minorHAnsi"/>
        </w:rPr>
      </w:pPr>
      <w:r w:rsidRPr="005C72D0">
        <w:rPr>
          <w:rFonts w:asciiTheme="minorHAnsi" w:eastAsiaTheme="minorHAnsi" w:hAnsiTheme="minorHAnsi"/>
        </w:rPr>
        <w:t xml:space="preserve">EGMs (23.0% versus 20.0%) </w:t>
      </w:r>
    </w:p>
    <w:p w:rsidR="003D1F93" w:rsidRPr="005C72D0" w:rsidRDefault="003D1F93" w:rsidP="007D1909">
      <w:pPr>
        <w:pStyle w:val="ListParagraph"/>
        <w:numPr>
          <w:ilvl w:val="1"/>
          <w:numId w:val="23"/>
        </w:numPr>
        <w:spacing w:after="120"/>
        <w:contextualSpacing w:val="0"/>
        <w:rPr>
          <w:rFonts w:asciiTheme="minorHAnsi" w:eastAsiaTheme="minorHAnsi" w:hAnsiTheme="minorHAnsi"/>
        </w:rPr>
      </w:pPr>
      <w:r w:rsidRPr="005C72D0">
        <w:rPr>
          <w:rFonts w:asciiTheme="minorHAnsi" w:eastAsiaTheme="minorHAnsi" w:hAnsiTheme="minorHAnsi"/>
        </w:rPr>
        <w:t xml:space="preserve">table games (7.4% versus 1.9%) </w:t>
      </w:r>
    </w:p>
    <w:p w:rsidR="003D1F93" w:rsidRPr="005C72D0" w:rsidRDefault="003D1F93" w:rsidP="007D1909">
      <w:pPr>
        <w:pStyle w:val="ListParagraph"/>
        <w:numPr>
          <w:ilvl w:val="1"/>
          <w:numId w:val="23"/>
        </w:numPr>
        <w:spacing w:after="120"/>
        <w:contextualSpacing w:val="0"/>
        <w:rPr>
          <w:rFonts w:asciiTheme="minorHAnsi" w:eastAsiaTheme="minorHAnsi" w:hAnsiTheme="minorHAnsi"/>
        </w:rPr>
      </w:pPr>
      <w:r w:rsidRPr="005C72D0">
        <w:rPr>
          <w:rFonts w:asciiTheme="minorHAnsi" w:eastAsiaTheme="minorHAnsi" w:hAnsiTheme="minorHAnsi"/>
        </w:rPr>
        <w:t xml:space="preserve">race betting (21.0% versus 12.0%) </w:t>
      </w:r>
    </w:p>
    <w:p w:rsidR="003D1F93" w:rsidRPr="005C72D0" w:rsidRDefault="003D1F93" w:rsidP="007D1909">
      <w:pPr>
        <w:pStyle w:val="ListParagraph"/>
        <w:numPr>
          <w:ilvl w:val="1"/>
          <w:numId w:val="23"/>
        </w:numPr>
        <w:spacing w:after="120"/>
        <w:contextualSpacing w:val="0"/>
        <w:rPr>
          <w:rFonts w:asciiTheme="minorHAnsi" w:eastAsiaTheme="minorHAnsi" w:hAnsiTheme="minorHAnsi"/>
        </w:rPr>
      </w:pPr>
      <w:r w:rsidRPr="005C72D0">
        <w:rPr>
          <w:rFonts w:asciiTheme="minorHAnsi" w:eastAsiaTheme="minorHAnsi" w:hAnsiTheme="minorHAnsi"/>
        </w:rPr>
        <w:t xml:space="preserve">sports betting (6.5% versus 1.5%). </w:t>
      </w:r>
    </w:p>
    <w:p w:rsidR="003D1F93" w:rsidRDefault="0071477F" w:rsidP="0071477F">
      <w:pPr>
        <w:pStyle w:val="Caption"/>
        <w:tabs>
          <w:tab w:val="left" w:pos="720"/>
        </w:tabs>
        <w:ind w:left="404"/>
        <w:jc w:val="left"/>
      </w:pPr>
      <w:r>
        <w:tab/>
      </w:r>
    </w:p>
    <w:p w:rsidR="0071477F" w:rsidRDefault="0071477F" w:rsidP="0071477F">
      <w:pPr>
        <w:pStyle w:val="Caption"/>
      </w:pPr>
      <w:bookmarkStart w:id="111" w:name="_Toc494206926"/>
      <w:bookmarkStart w:id="112" w:name="_Toc494287825"/>
      <w:r w:rsidRPr="0071477F">
        <w:t xml:space="preserve">Table </w:t>
      </w:r>
      <w:r w:rsidR="00802F28">
        <w:fldChar w:fldCharType="begin"/>
      </w:r>
      <w:r w:rsidR="00802F28">
        <w:instrText xml:space="preserve"> SEQ Table \* ARABIC </w:instrText>
      </w:r>
      <w:r w:rsidR="00802F28">
        <w:fldChar w:fldCharType="separate"/>
      </w:r>
      <w:r w:rsidRPr="0071477F">
        <w:rPr>
          <w:noProof/>
        </w:rPr>
        <w:t>8</w:t>
      </w:r>
      <w:r w:rsidR="00802F28">
        <w:rPr>
          <w:noProof/>
        </w:rPr>
        <w:fldChar w:fldCharType="end"/>
      </w:r>
      <w:r w:rsidRPr="0071477F">
        <w:t xml:space="preserve"> – Participation in gambling activities in Victoria in the past year, age comparisons with all Victorian adults</w:t>
      </w:r>
      <w:bookmarkEnd w:id="111"/>
      <w:bookmarkEnd w:id="112"/>
    </w:p>
    <w:tbl>
      <w:tblPr>
        <w:tblStyle w:val="ListTable3"/>
        <w:tblW w:w="5000" w:type="pct"/>
        <w:tblLook w:val="0000" w:firstRow="0" w:lastRow="0" w:firstColumn="0" w:lastColumn="0" w:noHBand="0" w:noVBand="0"/>
      </w:tblPr>
      <w:tblGrid>
        <w:gridCol w:w="1537"/>
        <w:gridCol w:w="1542"/>
        <w:gridCol w:w="1538"/>
        <w:gridCol w:w="1534"/>
        <w:gridCol w:w="9"/>
        <w:gridCol w:w="1540"/>
        <w:gridCol w:w="1542"/>
      </w:tblGrid>
      <w:tr w:rsidR="003D1F93" w:rsidRPr="0043013D" w:rsidTr="004424D8">
        <w:trPr>
          <w:cnfStyle w:val="000000100000" w:firstRow="0" w:lastRow="0" w:firstColumn="0" w:lastColumn="0" w:oddVBand="0" w:evenVBand="0" w:oddHBand="1" w:evenHBand="0" w:firstRowFirstColumn="0" w:firstRowLastColumn="0" w:lastRowFirstColumn="0" w:lastRowLastColumn="0"/>
          <w:trHeight w:val="304"/>
        </w:trPr>
        <w:tc>
          <w:tcPr>
            <w:cnfStyle w:val="000010000000" w:firstRow="0" w:lastRow="0" w:firstColumn="0" w:lastColumn="0" w:oddVBand="1" w:evenVBand="0" w:oddHBand="0" w:evenHBand="0" w:firstRowFirstColumn="0" w:firstRowLastColumn="0" w:lastRowFirstColumn="0" w:lastRowLastColumn="0"/>
            <w:tcW w:w="832" w:type="pct"/>
            <w:vMerge w:val="restart"/>
            <w:shd w:val="clear" w:color="auto" w:fill="000000" w:themeFill="text1"/>
          </w:tcPr>
          <w:p w:rsidR="003D1F93" w:rsidRPr="0043013D" w:rsidRDefault="003D1F93" w:rsidP="004424D8">
            <w:pPr>
              <w:jc w:val="center"/>
              <w:rPr>
                <w:rFonts w:eastAsiaTheme="minorHAnsi"/>
                <w:b/>
                <w:szCs w:val="20"/>
              </w:rPr>
            </w:pPr>
            <w:r w:rsidRPr="0043013D">
              <w:rPr>
                <w:rFonts w:eastAsiaTheme="minorHAnsi"/>
                <w:b/>
                <w:szCs w:val="20"/>
              </w:rPr>
              <w:t>Gambling activity</w:t>
            </w:r>
          </w:p>
        </w:tc>
        <w:tc>
          <w:tcPr>
            <w:tcW w:w="4168" w:type="pct"/>
            <w:gridSpan w:val="6"/>
            <w:shd w:val="clear" w:color="auto" w:fill="000000" w:themeFill="text1"/>
          </w:tcPr>
          <w:p w:rsidR="003D1F93" w:rsidRPr="0043013D" w:rsidRDefault="003D1F93" w:rsidP="004424D8">
            <w:pPr>
              <w:jc w:val="center"/>
              <w:cnfStyle w:val="000000100000" w:firstRow="0" w:lastRow="0" w:firstColumn="0" w:lastColumn="0" w:oddVBand="0" w:evenVBand="0" w:oddHBand="1" w:evenHBand="0" w:firstRowFirstColumn="0" w:firstRowLastColumn="0" w:lastRowFirstColumn="0" w:lastRowLastColumn="0"/>
              <w:rPr>
                <w:rFonts w:eastAsiaTheme="minorHAnsi" w:cs="Trade Gothic LT Std Cn"/>
                <w:b/>
                <w:szCs w:val="20"/>
              </w:rPr>
            </w:pPr>
            <w:r w:rsidRPr="0043013D">
              <w:rPr>
                <w:rFonts w:eastAsiaTheme="minorHAnsi" w:cs="Trade Gothic LT Std Cn"/>
                <w:b/>
                <w:szCs w:val="20"/>
              </w:rPr>
              <w:t>Age group (years)</w:t>
            </w:r>
          </w:p>
        </w:tc>
      </w:tr>
      <w:tr w:rsidR="003D1F93" w:rsidRPr="004401CF" w:rsidTr="004424D8">
        <w:trPr>
          <w:trHeight w:val="119"/>
        </w:trPr>
        <w:tc>
          <w:tcPr>
            <w:cnfStyle w:val="000010000000" w:firstRow="0" w:lastRow="0" w:firstColumn="0" w:lastColumn="0" w:oddVBand="1" w:evenVBand="0" w:oddHBand="0" w:evenHBand="0" w:firstRowFirstColumn="0" w:firstRowLastColumn="0" w:lastRowFirstColumn="0" w:lastRowLastColumn="0"/>
            <w:tcW w:w="832" w:type="pct"/>
            <w:vMerge/>
          </w:tcPr>
          <w:p w:rsidR="003D1F93" w:rsidRPr="004401CF" w:rsidRDefault="003D1F93" w:rsidP="004424D8">
            <w:pPr>
              <w:rPr>
                <w:rFonts w:eastAsiaTheme="minorHAnsi" w:cstheme="minorBidi"/>
                <w:szCs w:val="20"/>
              </w:rPr>
            </w:pPr>
          </w:p>
        </w:tc>
        <w:tc>
          <w:tcPr>
            <w:tcW w:w="834" w:type="pct"/>
            <w:shd w:val="clear" w:color="auto" w:fill="BFBFBF" w:themeFill="background1" w:themeFillShade="BF"/>
          </w:tcPr>
          <w:p w:rsidR="003D1F93" w:rsidRPr="0043013D" w:rsidRDefault="003D1F93" w:rsidP="004424D8">
            <w:pPr>
              <w:jc w:val="center"/>
              <w:cnfStyle w:val="000000000000" w:firstRow="0" w:lastRow="0" w:firstColumn="0" w:lastColumn="0" w:oddVBand="0" w:evenVBand="0" w:oddHBand="0" w:evenHBand="0" w:firstRowFirstColumn="0" w:firstRowLastColumn="0" w:lastRowFirstColumn="0" w:lastRowLastColumn="0"/>
              <w:rPr>
                <w:rFonts w:eastAsiaTheme="minorHAnsi" w:cs="Trade Gothic LT Std Cn"/>
                <w:b/>
                <w:szCs w:val="20"/>
              </w:rPr>
            </w:pPr>
            <w:r w:rsidRPr="0043013D">
              <w:rPr>
                <w:rFonts w:eastAsiaTheme="minorHAnsi" w:cs="Trade Gothic LT Std Cn"/>
                <w:b/>
                <w:szCs w:val="20"/>
              </w:rPr>
              <w:t>18–24 (%)</w:t>
            </w:r>
          </w:p>
        </w:tc>
        <w:tc>
          <w:tcPr>
            <w:cnfStyle w:val="000010000000" w:firstRow="0" w:lastRow="0" w:firstColumn="0" w:lastColumn="0" w:oddVBand="1" w:evenVBand="0" w:oddHBand="0" w:evenHBand="0" w:firstRowFirstColumn="0" w:firstRowLastColumn="0" w:lastRowFirstColumn="0" w:lastRowLastColumn="0"/>
            <w:tcW w:w="832" w:type="pct"/>
            <w:shd w:val="clear" w:color="auto" w:fill="BFBFBF" w:themeFill="background1" w:themeFillShade="BF"/>
          </w:tcPr>
          <w:p w:rsidR="003D1F93" w:rsidRPr="0043013D" w:rsidRDefault="003D1F93" w:rsidP="004424D8">
            <w:pPr>
              <w:jc w:val="center"/>
              <w:rPr>
                <w:rFonts w:eastAsiaTheme="minorHAnsi" w:cs="Trade Gothic LT Std Cn"/>
                <w:b/>
                <w:szCs w:val="20"/>
              </w:rPr>
            </w:pPr>
            <w:r w:rsidRPr="0043013D">
              <w:rPr>
                <w:rFonts w:eastAsiaTheme="minorHAnsi" w:cs="Trade Gothic LT Std Cn"/>
                <w:b/>
                <w:szCs w:val="20"/>
              </w:rPr>
              <w:t>25–34 (%)</w:t>
            </w:r>
          </w:p>
        </w:tc>
        <w:tc>
          <w:tcPr>
            <w:tcW w:w="830" w:type="pct"/>
            <w:shd w:val="clear" w:color="auto" w:fill="BFBFBF" w:themeFill="background1" w:themeFillShade="BF"/>
          </w:tcPr>
          <w:p w:rsidR="003D1F93" w:rsidRPr="0043013D" w:rsidRDefault="003D1F93" w:rsidP="004424D8">
            <w:pPr>
              <w:jc w:val="center"/>
              <w:cnfStyle w:val="000000000000" w:firstRow="0" w:lastRow="0" w:firstColumn="0" w:lastColumn="0" w:oddVBand="0" w:evenVBand="0" w:oddHBand="0" w:evenHBand="0" w:firstRowFirstColumn="0" w:firstRowLastColumn="0" w:lastRowFirstColumn="0" w:lastRowLastColumn="0"/>
              <w:rPr>
                <w:rFonts w:eastAsiaTheme="minorHAnsi" w:cs="Trade Gothic LT Std Cn"/>
                <w:b/>
                <w:szCs w:val="20"/>
              </w:rPr>
            </w:pPr>
            <w:r w:rsidRPr="0043013D">
              <w:rPr>
                <w:rFonts w:eastAsiaTheme="minorHAnsi" w:cs="Trade Gothic LT Std Cn"/>
                <w:b/>
                <w:szCs w:val="20"/>
              </w:rPr>
              <w:t>35–49 (%)</w:t>
            </w:r>
          </w:p>
        </w:tc>
        <w:tc>
          <w:tcPr>
            <w:cnfStyle w:val="000010000000" w:firstRow="0" w:lastRow="0" w:firstColumn="0" w:lastColumn="0" w:oddVBand="1" w:evenVBand="0" w:oddHBand="0" w:evenHBand="0" w:firstRowFirstColumn="0" w:firstRowLastColumn="0" w:lastRowFirstColumn="0" w:lastRowLastColumn="0"/>
            <w:tcW w:w="838" w:type="pct"/>
            <w:gridSpan w:val="2"/>
            <w:shd w:val="clear" w:color="auto" w:fill="BFBFBF" w:themeFill="background1" w:themeFillShade="BF"/>
          </w:tcPr>
          <w:p w:rsidR="003D1F93" w:rsidRPr="0043013D" w:rsidRDefault="003D1F93" w:rsidP="004424D8">
            <w:pPr>
              <w:jc w:val="center"/>
              <w:rPr>
                <w:rFonts w:eastAsiaTheme="minorHAnsi" w:cs="Trade Gothic LT Std Cn"/>
                <w:b/>
                <w:szCs w:val="20"/>
              </w:rPr>
            </w:pPr>
            <w:r w:rsidRPr="0043013D">
              <w:rPr>
                <w:rFonts w:eastAsiaTheme="minorHAnsi" w:cs="Trade Gothic LT Std Cn"/>
                <w:b/>
                <w:szCs w:val="20"/>
              </w:rPr>
              <w:t>50–64 (%)</w:t>
            </w:r>
          </w:p>
        </w:tc>
        <w:tc>
          <w:tcPr>
            <w:tcW w:w="834" w:type="pct"/>
            <w:shd w:val="clear" w:color="auto" w:fill="BFBFBF" w:themeFill="background1" w:themeFillShade="BF"/>
          </w:tcPr>
          <w:p w:rsidR="003D1F93" w:rsidRPr="0043013D" w:rsidRDefault="003D1F93" w:rsidP="004424D8">
            <w:pPr>
              <w:jc w:val="center"/>
              <w:cnfStyle w:val="000000000000" w:firstRow="0" w:lastRow="0" w:firstColumn="0" w:lastColumn="0" w:oddVBand="0" w:evenVBand="0" w:oddHBand="0" w:evenHBand="0" w:firstRowFirstColumn="0" w:firstRowLastColumn="0" w:lastRowFirstColumn="0" w:lastRowLastColumn="0"/>
              <w:rPr>
                <w:rFonts w:eastAsiaTheme="minorHAnsi" w:cs="Trade Gothic LT Std Cn"/>
                <w:b/>
                <w:szCs w:val="20"/>
              </w:rPr>
            </w:pPr>
            <w:r w:rsidRPr="0043013D">
              <w:rPr>
                <w:rFonts w:eastAsiaTheme="minorHAnsi" w:cs="Trade Gothic LT Std Cn"/>
                <w:b/>
                <w:szCs w:val="20"/>
              </w:rPr>
              <w:t>≥65 (%)</w:t>
            </w:r>
          </w:p>
        </w:tc>
      </w:tr>
      <w:tr w:rsidR="003D1F93" w:rsidRPr="004401CF" w:rsidTr="004424D8">
        <w:trPr>
          <w:cnfStyle w:val="000000100000" w:firstRow="0" w:lastRow="0" w:firstColumn="0" w:lastColumn="0" w:oddVBand="0" w:evenVBand="0" w:oddHBand="1" w:evenHBand="0" w:firstRowFirstColumn="0" w:firstRowLastColumn="0" w:lastRowFirstColumn="0" w:lastRowLastColumn="0"/>
          <w:trHeight w:val="116"/>
        </w:trPr>
        <w:tc>
          <w:tcPr>
            <w:cnfStyle w:val="000010000000" w:firstRow="0" w:lastRow="0" w:firstColumn="0" w:lastColumn="0" w:oddVBand="1" w:evenVBand="0" w:oddHBand="0" w:evenHBand="0" w:firstRowFirstColumn="0" w:firstRowLastColumn="0" w:lastRowFirstColumn="0" w:lastRowLastColumn="0"/>
            <w:tcW w:w="832" w:type="pct"/>
          </w:tcPr>
          <w:p w:rsidR="003D1F93" w:rsidRPr="004401CF" w:rsidRDefault="003D1F93" w:rsidP="004424D8">
            <w:pPr>
              <w:rPr>
                <w:rFonts w:eastAsiaTheme="minorHAnsi" w:cs="Trade Gothic LT Std Cn"/>
                <w:szCs w:val="20"/>
              </w:rPr>
            </w:pPr>
            <w:r w:rsidRPr="004401CF">
              <w:rPr>
                <w:rFonts w:eastAsiaTheme="minorHAnsi" w:cs="Trade Gothic LT Std Cn"/>
                <w:szCs w:val="20"/>
              </w:rPr>
              <w:t xml:space="preserve">EGMs </w:t>
            </w:r>
          </w:p>
        </w:tc>
        <w:tc>
          <w:tcPr>
            <w:tcW w:w="834" w:type="pct"/>
          </w:tcPr>
          <w:p w:rsidR="003D1F93" w:rsidRPr="004401CF" w:rsidRDefault="003D1F93" w:rsidP="004424D8">
            <w:pPr>
              <w:cnfStyle w:val="000000100000" w:firstRow="0" w:lastRow="0" w:firstColumn="0" w:lastColumn="0" w:oddVBand="0" w:evenVBand="0" w:oddHBand="1" w:evenHBand="0" w:firstRowFirstColumn="0" w:firstRowLastColumn="0" w:lastRowFirstColumn="0" w:lastRowLastColumn="0"/>
              <w:rPr>
                <w:rFonts w:eastAsiaTheme="minorHAnsi" w:cs="Trade Gothic LT Std Cn"/>
                <w:szCs w:val="20"/>
              </w:rPr>
            </w:pPr>
            <w:r w:rsidRPr="004401CF">
              <w:rPr>
                <w:rFonts w:eastAsiaTheme="minorHAnsi" w:cs="Trade Gothic LT Std Cn"/>
                <w:szCs w:val="20"/>
              </w:rPr>
              <w:t xml:space="preserve">Higher (27.0) </w:t>
            </w:r>
          </w:p>
        </w:tc>
        <w:tc>
          <w:tcPr>
            <w:cnfStyle w:val="000010000000" w:firstRow="0" w:lastRow="0" w:firstColumn="0" w:lastColumn="0" w:oddVBand="1" w:evenVBand="0" w:oddHBand="0" w:evenHBand="0" w:firstRowFirstColumn="0" w:firstRowLastColumn="0" w:lastRowFirstColumn="0" w:lastRowLastColumn="0"/>
            <w:tcW w:w="832" w:type="pct"/>
          </w:tcPr>
          <w:p w:rsidR="003D1F93" w:rsidRPr="004401CF" w:rsidRDefault="003D1F93" w:rsidP="004424D8">
            <w:pPr>
              <w:rPr>
                <w:rFonts w:eastAsiaTheme="minorHAnsi" w:cs="Trade Gothic LT Std Cn"/>
                <w:szCs w:val="20"/>
              </w:rPr>
            </w:pPr>
            <w:r w:rsidRPr="004401CF">
              <w:rPr>
                <w:rFonts w:eastAsiaTheme="minorHAnsi" w:cs="Trade Gothic LT Std Cn"/>
                <w:szCs w:val="20"/>
              </w:rPr>
              <w:t xml:space="preserve">Lower (18.0) </w:t>
            </w:r>
          </w:p>
        </w:tc>
        <w:tc>
          <w:tcPr>
            <w:tcW w:w="835" w:type="pct"/>
            <w:gridSpan w:val="2"/>
          </w:tcPr>
          <w:p w:rsidR="003D1F93" w:rsidRPr="004401CF" w:rsidRDefault="003D1F93" w:rsidP="004424D8">
            <w:pPr>
              <w:cnfStyle w:val="000000100000" w:firstRow="0" w:lastRow="0" w:firstColumn="0" w:lastColumn="0" w:oddVBand="0" w:evenVBand="0" w:oddHBand="1" w:evenHBand="0" w:firstRowFirstColumn="0" w:firstRowLastColumn="0" w:lastRowFirstColumn="0" w:lastRowLastColumn="0"/>
              <w:rPr>
                <w:rFonts w:eastAsiaTheme="minorHAnsi" w:cs="Trade Gothic LT Std Cn"/>
                <w:szCs w:val="20"/>
              </w:rPr>
            </w:pPr>
            <w:r w:rsidRPr="004401CF">
              <w:rPr>
                <w:rFonts w:eastAsiaTheme="minorHAnsi" w:cs="Trade Gothic LT Std Cn"/>
                <w:szCs w:val="20"/>
              </w:rPr>
              <w:t xml:space="preserve">Lower (17.0) </w:t>
            </w:r>
          </w:p>
        </w:tc>
        <w:tc>
          <w:tcPr>
            <w:cnfStyle w:val="000010000000" w:firstRow="0" w:lastRow="0" w:firstColumn="0" w:lastColumn="0" w:oddVBand="1" w:evenVBand="0" w:oddHBand="0" w:evenHBand="0" w:firstRowFirstColumn="0" w:firstRowLastColumn="0" w:lastRowFirstColumn="0" w:lastRowLastColumn="0"/>
            <w:tcW w:w="833" w:type="pct"/>
          </w:tcPr>
          <w:p w:rsidR="003D1F93" w:rsidRPr="004401CF" w:rsidRDefault="003D1F93" w:rsidP="004424D8">
            <w:pPr>
              <w:rPr>
                <w:rFonts w:eastAsiaTheme="minorHAnsi" w:cs="Trade Gothic LT Std Cn"/>
                <w:szCs w:val="20"/>
              </w:rPr>
            </w:pPr>
            <w:r w:rsidRPr="004401CF">
              <w:rPr>
                <w:rFonts w:eastAsiaTheme="minorHAnsi" w:cs="Trade Gothic LT Std Cn"/>
                <w:szCs w:val="20"/>
              </w:rPr>
              <w:t xml:space="preserve">Higher (25.0) </w:t>
            </w:r>
          </w:p>
        </w:tc>
        <w:tc>
          <w:tcPr>
            <w:tcW w:w="834" w:type="pct"/>
          </w:tcPr>
          <w:p w:rsidR="003D1F93" w:rsidRPr="004401CF" w:rsidRDefault="003D1F93" w:rsidP="004424D8">
            <w:pPr>
              <w:cnfStyle w:val="000000100000" w:firstRow="0" w:lastRow="0" w:firstColumn="0" w:lastColumn="0" w:oddVBand="0" w:evenVBand="0" w:oddHBand="1" w:evenHBand="0" w:firstRowFirstColumn="0" w:firstRowLastColumn="0" w:lastRowFirstColumn="0" w:lastRowLastColumn="0"/>
              <w:rPr>
                <w:rFonts w:eastAsiaTheme="minorHAnsi" w:cs="Trade Gothic LT Std Cn"/>
                <w:szCs w:val="20"/>
              </w:rPr>
            </w:pPr>
            <w:r w:rsidRPr="004401CF">
              <w:rPr>
                <w:rFonts w:eastAsiaTheme="minorHAnsi" w:cs="Trade Gothic LT Std Cn"/>
                <w:szCs w:val="20"/>
              </w:rPr>
              <w:t xml:space="preserve">NS (24.0) </w:t>
            </w:r>
          </w:p>
        </w:tc>
      </w:tr>
      <w:tr w:rsidR="003D1F93" w:rsidRPr="004401CF" w:rsidTr="004424D8">
        <w:trPr>
          <w:trHeight w:val="116"/>
        </w:trPr>
        <w:tc>
          <w:tcPr>
            <w:cnfStyle w:val="000010000000" w:firstRow="0" w:lastRow="0" w:firstColumn="0" w:lastColumn="0" w:oddVBand="1" w:evenVBand="0" w:oddHBand="0" w:evenHBand="0" w:firstRowFirstColumn="0" w:firstRowLastColumn="0" w:lastRowFirstColumn="0" w:lastRowLastColumn="0"/>
            <w:tcW w:w="832" w:type="pct"/>
          </w:tcPr>
          <w:p w:rsidR="003D1F93" w:rsidRPr="004401CF" w:rsidRDefault="003D1F93" w:rsidP="004424D8">
            <w:pPr>
              <w:rPr>
                <w:rFonts w:eastAsiaTheme="minorHAnsi" w:cs="Trade Gothic LT Std Cn"/>
                <w:szCs w:val="20"/>
              </w:rPr>
            </w:pPr>
            <w:r w:rsidRPr="004401CF">
              <w:rPr>
                <w:rFonts w:eastAsiaTheme="minorHAnsi" w:cs="Trade Gothic LT Std Cn"/>
                <w:szCs w:val="20"/>
              </w:rPr>
              <w:t xml:space="preserve">Table games </w:t>
            </w:r>
          </w:p>
        </w:tc>
        <w:tc>
          <w:tcPr>
            <w:tcW w:w="834" w:type="pct"/>
          </w:tcPr>
          <w:p w:rsidR="003D1F93" w:rsidRPr="004401CF" w:rsidRDefault="003D1F93" w:rsidP="004424D8">
            <w:pPr>
              <w:cnfStyle w:val="000000000000" w:firstRow="0" w:lastRow="0" w:firstColumn="0" w:lastColumn="0" w:oddVBand="0" w:evenVBand="0" w:oddHBand="0" w:evenHBand="0" w:firstRowFirstColumn="0" w:firstRowLastColumn="0" w:lastRowFirstColumn="0" w:lastRowLastColumn="0"/>
              <w:rPr>
                <w:rFonts w:eastAsiaTheme="minorHAnsi" w:cs="Trade Gothic LT Std Cn"/>
                <w:szCs w:val="20"/>
              </w:rPr>
            </w:pPr>
            <w:r w:rsidRPr="004401CF">
              <w:rPr>
                <w:rFonts w:eastAsiaTheme="minorHAnsi" w:cs="Trade Gothic LT Std Cn"/>
                <w:szCs w:val="20"/>
              </w:rPr>
              <w:t xml:space="preserve">Higher (13.0) </w:t>
            </w:r>
          </w:p>
        </w:tc>
        <w:tc>
          <w:tcPr>
            <w:cnfStyle w:val="000010000000" w:firstRow="0" w:lastRow="0" w:firstColumn="0" w:lastColumn="0" w:oddVBand="1" w:evenVBand="0" w:oddHBand="0" w:evenHBand="0" w:firstRowFirstColumn="0" w:firstRowLastColumn="0" w:lastRowFirstColumn="0" w:lastRowLastColumn="0"/>
            <w:tcW w:w="832" w:type="pct"/>
          </w:tcPr>
          <w:p w:rsidR="003D1F93" w:rsidRPr="004401CF" w:rsidRDefault="003D1F93" w:rsidP="004424D8">
            <w:pPr>
              <w:rPr>
                <w:rFonts w:eastAsiaTheme="minorHAnsi" w:cs="Trade Gothic LT Std Cn"/>
                <w:szCs w:val="20"/>
              </w:rPr>
            </w:pPr>
            <w:r w:rsidRPr="004401CF">
              <w:rPr>
                <w:rFonts w:eastAsiaTheme="minorHAnsi" w:cs="Trade Gothic LT Std Cn"/>
                <w:szCs w:val="20"/>
              </w:rPr>
              <w:t xml:space="preserve">Higher (7.3) </w:t>
            </w:r>
          </w:p>
        </w:tc>
        <w:tc>
          <w:tcPr>
            <w:tcW w:w="835" w:type="pct"/>
            <w:gridSpan w:val="2"/>
          </w:tcPr>
          <w:p w:rsidR="003D1F93" w:rsidRPr="004401CF" w:rsidRDefault="003D1F93" w:rsidP="004424D8">
            <w:pPr>
              <w:cnfStyle w:val="000000000000" w:firstRow="0" w:lastRow="0" w:firstColumn="0" w:lastColumn="0" w:oddVBand="0" w:evenVBand="0" w:oddHBand="0" w:evenHBand="0" w:firstRowFirstColumn="0" w:firstRowLastColumn="0" w:lastRowFirstColumn="0" w:lastRowLastColumn="0"/>
              <w:rPr>
                <w:rFonts w:eastAsiaTheme="minorHAnsi" w:cs="Trade Gothic LT Std Cn"/>
                <w:szCs w:val="20"/>
              </w:rPr>
            </w:pPr>
            <w:r w:rsidRPr="004401CF">
              <w:rPr>
                <w:rFonts w:eastAsiaTheme="minorHAnsi" w:cs="Trade Gothic LT Std Cn"/>
                <w:szCs w:val="20"/>
              </w:rPr>
              <w:t xml:space="preserve">NS (3.9) </w:t>
            </w:r>
          </w:p>
        </w:tc>
        <w:tc>
          <w:tcPr>
            <w:cnfStyle w:val="000010000000" w:firstRow="0" w:lastRow="0" w:firstColumn="0" w:lastColumn="0" w:oddVBand="1" w:evenVBand="0" w:oddHBand="0" w:evenHBand="0" w:firstRowFirstColumn="0" w:firstRowLastColumn="0" w:lastRowFirstColumn="0" w:lastRowLastColumn="0"/>
            <w:tcW w:w="833" w:type="pct"/>
          </w:tcPr>
          <w:p w:rsidR="003D1F93" w:rsidRPr="004401CF" w:rsidRDefault="003D1F93" w:rsidP="004424D8">
            <w:pPr>
              <w:rPr>
                <w:rFonts w:eastAsiaTheme="minorHAnsi" w:cs="Trade Gothic LT Std Cn"/>
                <w:szCs w:val="20"/>
              </w:rPr>
            </w:pPr>
            <w:r w:rsidRPr="004401CF">
              <w:rPr>
                <w:rFonts w:eastAsiaTheme="minorHAnsi" w:cs="Trade Gothic LT Std Cn"/>
                <w:szCs w:val="20"/>
              </w:rPr>
              <w:t xml:space="preserve">Lower (1.6) </w:t>
            </w:r>
          </w:p>
        </w:tc>
        <w:tc>
          <w:tcPr>
            <w:tcW w:w="834" w:type="pct"/>
          </w:tcPr>
          <w:p w:rsidR="003D1F93" w:rsidRPr="004401CF" w:rsidRDefault="003D1F93" w:rsidP="004424D8">
            <w:pPr>
              <w:cnfStyle w:val="000000000000" w:firstRow="0" w:lastRow="0" w:firstColumn="0" w:lastColumn="0" w:oddVBand="0" w:evenVBand="0" w:oddHBand="0" w:evenHBand="0" w:firstRowFirstColumn="0" w:firstRowLastColumn="0" w:lastRowFirstColumn="0" w:lastRowLastColumn="0"/>
              <w:rPr>
                <w:rFonts w:eastAsiaTheme="minorHAnsi" w:cs="Trade Gothic LT Std Cn"/>
                <w:szCs w:val="20"/>
              </w:rPr>
            </w:pPr>
            <w:r w:rsidRPr="004401CF">
              <w:rPr>
                <w:rFonts w:eastAsiaTheme="minorHAnsi" w:cs="Trade Gothic LT Std Cn"/>
                <w:szCs w:val="20"/>
              </w:rPr>
              <w:t xml:space="preserve">Lower (0.6) </w:t>
            </w:r>
          </w:p>
        </w:tc>
      </w:tr>
      <w:tr w:rsidR="003D1F93" w:rsidRPr="004401CF" w:rsidTr="004424D8">
        <w:trPr>
          <w:cnfStyle w:val="000000100000" w:firstRow="0" w:lastRow="0" w:firstColumn="0" w:lastColumn="0" w:oddVBand="0" w:evenVBand="0" w:oddHBand="1" w:evenHBand="0" w:firstRowFirstColumn="0" w:firstRowLastColumn="0" w:lastRowFirstColumn="0" w:lastRowLastColumn="0"/>
          <w:trHeight w:val="116"/>
        </w:trPr>
        <w:tc>
          <w:tcPr>
            <w:cnfStyle w:val="000010000000" w:firstRow="0" w:lastRow="0" w:firstColumn="0" w:lastColumn="0" w:oddVBand="1" w:evenVBand="0" w:oddHBand="0" w:evenHBand="0" w:firstRowFirstColumn="0" w:firstRowLastColumn="0" w:lastRowFirstColumn="0" w:lastRowLastColumn="0"/>
            <w:tcW w:w="832" w:type="pct"/>
          </w:tcPr>
          <w:p w:rsidR="003D1F93" w:rsidRPr="004401CF" w:rsidRDefault="003D1F93" w:rsidP="004424D8">
            <w:pPr>
              <w:rPr>
                <w:rFonts w:eastAsiaTheme="minorHAnsi" w:cs="Trade Gothic LT Std Cn"/>
                <w:szCs w:val="20"/>
              </w:rPr>
            </w:pPr>
            <w:r w:rsidRPr="004401CF">
              <w:rPr>
                <w:rFonts w:eastAsiaTheme="minorHAnsi" w:cs="Trade Gothic LT Std Cn"/>
                <w:szCs w:val="20"/>
              </w:rPr>
              <w:t xml:space="preserve">Race betting </w:t>
            </w:r>
          </w:p>
        </w:tc>
        <w:tc>
          <w:tcPr>
            <w:tcW w:w="834" w:type="pct"/>
          </w:tcPr>
          <w:p w:rsidR="003D1F93" w:rsidRPr="004401CF" w:rsidRDefault="003D1F93" w:rsidP="004424D8">
            <w:pPr>
              <w:cnfStyle w:val="000000100000" w:firstRow="0" w:lastRow="0" w:firstColumn="0" w:lastColumn="0" w:oddVBand="0" w:evenVBand="0" w:oddHBand="1" w:evenHBand="0" w:firstRowFirstColumn="0" w:firstRowLastColumn="0" w:lastRowFirstColumn="0" w:lastRowLastColumn="0"/>
              <w:rPr>
                <w:rFonts w:eastAsiaTheme="minorHAnsi" w:cs="Trade Gothic LT Std Cn"/>
                <w:szCs w:val="20"/>
              </w:rPr>
            </w:pPr>
            <w:r w:rsidRPr="004401CF">
              <w:rPr>
                <w:rFonts w:eastAsiaTheme="minorHAnsi" w:cs="Trade Gothic LT Std Cn"/>
                <w:szCs w:val="20"/>
              </w:rPr>
              <w:t xml:space="preserve">NS (16.0) </w:t>
            </w:r>
          </w:p>
        </w:tc>
        <w:tc>
          <w:tcPr>
            <w:cnfStyle w:val="000010000000" w:firstRow="0" w:lastRow="0" w:firstColumn="0" w:lastColumn="0" w:oddVBand="1" w:evenVBand="0" w:oddHBand="0" w:evenHBand="0" w:firstRowFirstColumn="0" w:firstRowLastColumn="0" w:lastRowFirstColumn="0" w:lastRowLastColumn="0"/>
            <w:tcW w:w="832" w:type="pct"/>
          </w:tcPr>
          <w:p w:rsidR="003D1F93" w:rsidRPr="004401CF" w:rsidRDefault="003D1F93" w:rsidP="004424D8">
            <w:pPr>
              <w:rPr>
                <w:rFonts w:eastAsiaTheme="minorHAnsi" w:cs="Trade Gothic LT Std Cn"/>
                <w:szCs w:val="20"/>
              </w:rPr>
            </w:pPr>
            <w:r w:rsidRPr="004401CF">
              <w:rPr>
                <w:rFonts w:eastAsiaTheme="minorHAnsi" w:cs="Trade Gothic LT Std Cn"/>
                <w:szCs w:val="20"/>
              </w:rPr>
              <w:t xml:space="preserve">Higher (21.0) </w:t>
            </w:r>
          </w:p>
        </w:tc>
        <w:tc>
          <w:tcPr>
            <w:tcW w:w="835" w:type="pct"/>
            <w:gridSpan w:val="2"/>
          </w:tcPr>
          <w:p w:rsidR="003D1F93" w:rsidRPr="004401CF" w:rsidRDefault="003D1F93" w:rsidP="004424D8">
            <w:pPr>
              <w:cnfStyle w:val="000000100000" w:firstRow="0" w:lastRow="0" w:firstColumn="0" w:lastColumn="0" w:oddVBand="0" w:evenVBand="0" w:oddHBand="1" w:evenHBand="0" w:firstRowFirstColumn="0" w:firstRowLastColumn="0" w:lastRowFirstColumn="0" w:lastRowLastColumn="0"/>
              <w:rPr>
                <w:rFonts w:eastAsiaTheme="minorHAnsi" w:cs="Trade Gothic LT Std Cn"/>
                <w:szCs w:val="20"/>
              </w:rPr>
            </w:pPr>
            <w:r w:rsidRPr="004401CF">
              <w:rPr>
                <w:rFonts w:eastAsiaTheme="minorHAnsi" w:cs="Trade Gothic LT Std Cn"/>
                <w:szCs w:val="20"/>
              </w:rPr>
              <w:t xml:space="preserve">Higher (19.0) </w:t>
            </w:r>
          </w:p>
        </w:tc>
        <w:tc>
          <w:tcPr>
            <w:cnfStyle w:val="000010000000" w:firstRow="0" w:lastRow="0" w:firstColumn="0" w:lastColumn="0" w:oddVBand="1" w:evenVBand="0" w:oddHBand="0" w:evenHBand="0" w:firstRowFirstColumn="0" w:firstRowLastColumn="0" w:lastRowFirstColumn="0" w:lastRowLastColumn="0"/>
            <w:tcW w:w="833" w:type="pct"/>
          </w:tcPr>
          <w:p w:rsidR="003D1F93" w:rsidRPr="004401CF" w:rsidRDefault="003D1F93" w:rsidP="004424D8">
            <w:pPr>
              <w:rPr>
                <w:rFonts w:eastAsiaTheme="minorHAnsi" w:cs="Trade Gothic LT Std Cn"/>
                <w:szCs w:val="20"/>
              </w:rPr>
            </w:pPr>
            <w:r w:rsidRPr="004401CF">
              <w:rPr>
                <w:rFonts w:eastAsiaTheme="minorHAnsi" w:cs="Trade Gothic LT Std Cn"/>
                <w:szCs w:val="20"/>
              </w:rPr>
              <w:t xml:space="preserve">NS (15.0) </w:t>
            </w:r>
          </w:p>
        </w:tc>
        <w:tc>
          <w:tcPr>
            <w:tcW w:w="834" w:type="pct"/>
          </w:tcPr>
          <w:p w:rsidR="003D1F93" w:rsidRPr="004401CF" w:rsidRDefault="003D1F93" w:rsidP="004424D8">
            <w:pPr>
              <w:cnfStyle w:val="000000100000" w:firstRow="0" w:lastRow="0" w:firstColumn="0" w:lastColumn="0" w:oddVBand="0" w:evenVBand="0" w:oddHBand="1" w:evenHBand="0" w:firstRowFirstColumn="0" w:firstRowLastColumn="0" w:lastRowFirstColumn="0" w:lastRowLastColumn="0"/>
              <w:rPr>
                <w:rFonts w:eastAsiaTheme="minorHAnsi" w:cs="Trade Gothic LT Std Cn"/>
                <w:szCs w:val="20"/>
              </w:rPr>
            </w:pPr>
            <w:r w:rsidRPr="004401CF">
              <w:rPr>
                <w:rFonts w:eastAsiaTheme="minorHAnsi" w:cs="Trade Gothic LT Std Cn"/>
                <w:szCs w:val="20"/>
              </w:rPr>
              <w:t xml:space="preserve">Lower (10.0) </w:t>
            </w:r>
          </w:p>
        </w:tc>
      </w:tr>
      <w:tr w:rsidR="003D1F93" w:rsidRPr="004401CF" w:rsidTr="004424D8">
        <w:trPr>
          <w:trHeight w:val="116"/>
        </w:trPr>
        <w:tc>
          <w:tcPr>
            <w:cnfStyle w:val="000010000000" w:firstRow="0" w:lastRow="0" w:firstColumn="0" w:lastColumn="0" w:oddVBand="1" w:evenVBand="0" w:oddHBand="0" w:evenHBand="0" w:firstRowFirstColumn="0" w:firstRowLastColumn="0" w:lastRowFirstColumn="0" w:lastRowLastColumn="0"/>
            <w:tcW w:w="832" w:type="pct"/>
          </w:tcPr>
          <w:p w:rsidR="003D1F93" w:rsidRPr="004401CF" w:rsidRDefault="003D1F93" w:rsidP="004424D8">
            <w:pPr>
              <w:rPr>
                <w:rFonts w:eastAsiaTheme="minorHAnsi" w:cs="Trade Gothic LT Std Cn"/>
                <w:szCs w:val="20"/>
              </w:rPr>
            </w:pPr>
            <w:r w:rsidRPr="004401CF">
              <w:rPr>
                <w:rFonts w:eastAsiaTheme="minorHAnsi" w:cs="Trade Gothic LT Std Cn"/>
                <w:szCs w:val="20"/>
              </w:rPr>
              <w:t xml:space="preserve">Sports betting </w:t>
            </w:r>
          </w:p>
        </w:tc>
        <w:tc>
          <w:tcPr>
            <w:tcW w:w="834" w:type="pct"/>
          </w:tcPr>
          <w:p w:rsidR="003D1F93" w:rsidRPr="004401CF" w:rsidRDefault="003D1F93" w:rsidP="004424D8">
            <w:pPr>
              <w:cnfStyle w:val="000000000000" w:firstRow="0" w:lastRow="0" w:firstColumn="0" w:lastColumn="0" w:oddVBand="0" w:evenVBand="0" w:oddHBand="0" w:evenHBand="0" w:firstRowFirstColumn="0" w:firstRowLastColumn="0" w:lastRowFirstColumn="0" w:lastRowLastColumn="0"/>
              <w:rPr>
                <w:rFonts w:eastAsiaTheme="minorHAnsi" w:cs="Trade Gothic LT Std Cn"/>
                <w:szCs w:val="20"/>
              </w:rPr>
            </w:pPr>
            <w:r w:rsidRPr="004401CF">
              <w:rPr>
                <w:rFonts w:eastAsiaTheme="minorHAnsi" w:cs="Trade Gothic LT Std Cn"/>
                <w:szCs w:val="20"/>
              </w:rPr>
              <w:t xml:space="preserve">Higher (6.8) </w:t>
            </w:r>
          </w:p>
        </w:tc>
        <w:tc>
          <w:tcPr>
            <w:cnfStyle w:val="000010000000" w:firstRow="0" w:lastRow="0" w:firstColumn="0" w:lastColumn="0" w:oddVBand="1" w:evenVBand="0" w:oddHBand="0" w:evenHBand="0" w:firstRowFirstColumn="0" w:firstRowLastColumn="0" w:lastRowFirstColumn="0" w:lastRowLastColumn="0"/>
            <w:tcW w:w="832" w:type="pct"/>
          </w:tcPr>
          <w:p w:rsidR="003D1F93" w:rsidRPr="004401CF" w:rsidRDefault="003D1F93" w:rsidP="004424D8">
            <w:pPr>
              <w:rPr>
                <w:rFonts w:eastAsiaTheme="minorHAnsi" w:cs="Trade Gothic LT Std Cn"/>
                <w:szCs w:val="20"/>
              </w:rPr>
            </w:pPr>
            <w:r w:rsidRPr="004401CF">
              <w:rPr>
                <w:rFonts w:eastAsiaTheme="minorHAnsi" w:cs="Trade Gothic LT Std Cn"/>
                <w:szCs w:val="20"/>
              </w:rPr>
              <w:t xml:space="preserve">Higher (6.7) </w:t>
            </w:r>
          </w:p>
        </w:tc>
        <w:tc>
          <w:tcPr>
            <w:tcW w:w="835" w:type="pct"/>
            <w:gridSpan w:val="2"/>
          </w:tcPr>
          <w:p w:rsidR="003D1F93" w:rsidRPr="004401CF" w:rsidRDefault="003D1F93" w:rsidP="004424D8">
            <w:pPr>
              <w:cnfStyle w:val="000000000000" w:firstRow="0" w:lastRow="0" w:firstColumn="0" w:lastColumn="0" w:oddVBand="0" w:evenVBand="0" w:oddHBand="0" w:evenHBand="0" w:firstRowFirstColumn="0" w:firstRowLastColumn="0" w:lastRowFirstColumn="0" w:lastRowLastColumn="0"/>
              <w:rPr>
                <w:rFonts w:eastAsiaTheme="minorHAnsi" w:cs="Trade Gothic LT Std Cn"/>
                <w:szCs w:val="20"/>
              </w:rPr>
            </w:pPr>
            <w:r w:rsidRPr="004401CF">
              <w:rPr>
                <w:rFonts w:eastAsiaTheme="minorHAnsi" w:cs="Trade Gothic LT Std Cn"/>
                <w:szCs w:val="20"/>
              </w:rPr>
              <w:t xml:space="preserve">NS (4.9) </w:t>
            </w:r>
          </w:p>
        </w:tc>
        <w:tc>
          <w:tcPr>
            <w:cnfStyle w:val="000010000000" w:firstRow="0" w:lastRow="0" w:firstColumn="0" w:lastColumn="0" w:oddVBand="1" w:evenVBand="0" w:oddHBand="0" w:evenHBand="0" w:firstRowFirstColumn="0" w:firstRowLastColumn="0" w:lastRowFirstColumn="0" w:lastRowLastColumn="0"/>
            <w:tcW w:w="833" w:type="pct"/>
          </w:tcPr>
          <w:p w:rsidR="003D1F93" w:rsidRPr="004401CF" w:rsidRDefault="003D1F93" w:rsidP="004424D8">
            <w:pPr>
              <w:rPr>
                <w:rFonts w:eastAsiaTheme="minorHAnsi" w:cs="Trade Gothic LT Std Cn"/>
                <w:szCs w:val="20"/>
              </w:rPr>
            </w:pPr>
            <w:r w:rsidRPr="004401CF">
              <w:rPr>
                <w:rFonts w:eastAsiaTheme="minorHAnsi" w:cs="Trade Gothic LT Std Cn"/>
                <w:szCs w:val="20"/>
              </w:rPr>
              <w:t xml:space="preserve">Lower (1.5) </w:t>
            </w:r>
          </w:p>
        </w:tc>
        <w:tc>
          <w:tcPr>
            <w:tcW w:w="834" w:type="pct"/>
          </w:tcPr>
          <w:p w:rsidR="003D1F93" w:rsidRPr="004401CF" w:rsidRDefault="003D1F93" w:rsidP="004424D8">
            <w:pPr>
              <w:cnfStyle w:val="000000000000" w:firstRow="0" w:lastRow="0" w:firstColumn="0" w:lastColumn="0" w:oddVBand="0" w:evenVBand="0" w:oddHBand="0" w:evenHBand="0" w:firstRowFirstColumn="0" w:firstRowLastColumn="0" w:lastRowFirstColumn="0" w:lastRowLastColumn="0"/>
              <w:rPr>
                <w:rFonts w:eastAsiaTheme="minorHAnsi" w:cs="Trade Gothic LT Std Cn"/>
                <w:szCs w:val="20"/>
              </w:rPr>
            </w:pPr>
            <w:r w:rsidRPr="004401CF">
              <w:rPr>
                <w:rFonts w:eastAsiaTheme="minorHAnsi" w:cs="Trade Gothic LT Std Cn"/>
                <w:szCs w:val="20"/>
              </w:rPr>
              <w:t xml:space="preserve">Lower (0.6) </w:t>
            </w:r>
          </w:p>
        </w:tc>
      </w:tr>
    </w:tbl>
    <w:p w:rsidR="003D1F93" w:rsidRPr="0086675F" w:rsidRDefault="003D1F93" w:rsidP="003D1F93">
      <w:pPr>
        <w:rPr>
          <w:szCs w:val="20"/>
        </w:rPr>
      </w:pPr>
      <w:r w:rsidRPr="0086675F">
        <w:rPr>
          <w:szCs w:val="20"/>
        </w:rPr>
        <w:t>Source: Billi, R., Stone, C.A., Marden, P., Yeung, K., (2014).</w:t>
      </w:r>
    </w:p>
    <w:p w:rsidR="003D1F93" w:rsidRPr="003D2615" w:rsidRDefault="003D1F93" w:rsidP="003D1F93">
      <w:pPr>
        <w:tabs>
          <w:tab w:val="left" w:pos="2268"/>
        </w:tabs>
        <w:rPr>
          <w:rFonts w:asciiTheme="minorHAnsi" w:hAnsiTheme="minorHAnsi"/>
        </w:rPr>
      </w:pPr>
      <w:r w:rsidRPr="003D2615">
        <w:rPr>
          <w:rFonts w:asciiTheme="minorHAnsi" w:hAnsiTheme="minorHAnsi"/>
        </w:rPr>
        <w:t>The following changes in the use of gaming machines in Victoria have occurred between 2008 and 2014</w:t>
      </w:r>
      <w:r w:rsidRPr="003D2615">
        <w:rPr>
          <w:rStyle w:val="FootnoteReference"/>
          <w:rFonts w:asciiTheme="minorHAnsi" w:hAnsiTheme="minorHAnsi"/>
        </w:rPr>
        <w:footnoteReference w:id="58"/>
      </w:r>
      <w:r w:rsidRPr="003D2615">
        <w:rPr>
          <w:rFonts w:asciiTheme="minorHAnsi" w:hAnsiTheme="minorHAnsi"/>
        </w:rPr>
        <w:t>:</w:t>
      </w:r>
    </w:p>
    <w:p w:rsidR="003D1F93" w:rsidRPr="003D2615" w:rsidRDefault="003D1F93" w:rsidP="007D1909">
      <w:pPr>
        <w:pStyle w:val="ListParagraph"/>
        <w:numPr>
          <w:ilvl w:val="0"/>
          <w:numId w:val="25"/>
        </w:numPr>
        <w:spacing w:after="120"/>
        <w:contextualSpacing w:val="0"/>
        <w:rPr>
          <w:rFonts w:asciiTheme="minorHAnsi" w:hAnsiTheme="minorHAnsi"/>
        </w:rPr>
      </w:pPr>
      <w:r w:rsidRPr="003D2615">
        <w:rPr>
          <w:rFonts w:asciiTheme="minorHAnsi" w:hAnsiTheme="minorHAnsi"/>
        </w:rPr>
        <w:t>Overall participation decreased by 6.24% from 21.46% to 15.22%. However, there has been a significant increase in the use of EGMs by moderate risk and problem gamblers (increased from 22.73 times to 86.24 times per annum and 56.37 times to 87.61 times per annum respectively).</w:t>
      </w:r>
    </w:p>
    <w:p w:rsidR="003D1F93" w:rsidRPr="003D2615" w:rsidRDefault="003D1F93" w:rsidP="007D1909">
      <w:pPr>
        <w:pStyle w:val="ListParagraph"/>
        <w:numPr>
          <w:ilvl w:val="0"/>
          <w:numId w:val="25"/>
        </w:numPr>
        <w:spacing w:after="120"/>
        <w:contextualSpacing w:val="0"/>
        <w:rPr>
          <w:rFonts w:asciiTheme="minorHAnsi" w:hAnsiTheme="minorHAnsi"/>
        </w:rPr>
      </w:pPr>
      <w:r w:rsidRPr="003D2615">
        <w:rPr>
          <w:rFonts w:asciiTheme="minorHAnsi" w:hAnsiTheme="minorHAnsi"/>
        </w:rPr>
        <w:t>The participation rate among males was 17.22% and females was 16.28%.</w:t>
      </w:r>
    </w:p>
    <w:p w:rsidR="003D1F93" w:rsidRPr="003D2615" w:rsidRDefault="003D1F93" w:rsidP="007D1909">
      <w:pPr>
        <w:pStyle w:val="ListParagraph"/>
        <w:numPr>
          <w:ilvl w:val="0"/>
          <w:numId w:val="25"/>
        </w:numPr>
        <w:spacing w:after="120"/>
        <w:contextualSpacing w:val="0"/>
        <w:rPr>
          <w:rFonts w:asciiTheme="minorHAnsi" w:hAnsiTheme="minorHAnsi"/>
        </w:rPr>
      </w:pPr>
      <w:r w:rsidRPr="003D2615">
        <w:rPr>
          <w:rFonts w:asciiTheme="minorHAnsi" w:hAnsiTheme="minorHAnsi"/>
        </w:rPr>
        <w:t>There was a larger decrease among males than females.</w:t>
      </w:r>
    </w:p>
    <w:p w:rsidR="003D1F93" w:rsidRPr="003D2615" w:rsidRDefault="003D1F93" w:rsidP="007D1909">
      <w:pPr>
        <w:pStyle w:val="ListParagraph"/>
        <w:numPr>
          <w:ilvl w:val="0"/>
          <w:numId w:val="25"/>
        </w:numPr>
        <w:spacing w:after="120"/>
        <w:contextualSpacing w:val="0"/>
        <w:rPr>
          <w:rFonts w:asciiTheme="minorHAnsi" w:hAnsiTheme="minorHAnsi"/>
        </w:rPr>
      </w:pPr>
      <w:r w:rsidRPr="003D2615">
        <w:rPr>
          <w:rFonts w:asciiTheme="minorHAnsi" w:hAnsiTheme="minorHAnsi"/>
        </w:rPr>
        <w:t>There has been an increase in the use of EGMs in hotels.</w:t>
      </w:r>
    </w:p>
    <w:p w:rsidR="003D1F93" w:rsidRPr="003D2615" w:rsidRDefault="003D1F93" w:rsidP="007D1909">
      <w:pPr>
        <w:pStyle w:val="ListParagraph"/>
        <w:numPr>
          <w:ilvl w:val="0"/>
          <w:numId w:val="25"/>
        </w:numPr>
        <w:spacing w:after="120"/>
        <w:contextualSpacing w:val="0"/>
        <w:rPr>
          <w:rFonts w:asciiTheme="minorHAnsi" w:hAnsiTheme="minorHAnsi"/>
        </w:rPr>
      </w:pPr>
      <w:r w:rsidRPr="003D2615">
        <w:rPr>
          <w:rFonts w:asciiTheme="minorHAnsi" w:hAnsiTheme="minorHAnsi"/>
        </w:rPr>
        <w:t>EGMs and race betting are the highest spend activities for problem gamblers.</w:t>
      </w:r>
    </w:p>
    <w:p w:rsidR="003D1F93" w:rsidRPr="003D2615" w:rsidRDefault="003D1F93" w:rsidP="007D1909">
      <w:pPr>
        <w:pStyle w:val="ListParagraph"/>
        <w:numPr>
          <w:ilvl w:val="0"/>
          <w:numId w:val="25"/>
        </w:numPr>
        <w:spacing w:after="120"/>
        <w:contextualSpacing w:val="0"/>
        <w:rPr>
          <w:rFonts w:asciiTheme="minorHAnsi" w:hAnsiTheme="minorHAnsi"/>
        </w:rPr>
      </w:pPr>
      <w:r w:rsidRPr="003D2615">
        <w:rPr>
          <w:rFonts w:asciiTheme="minorHAnsi" w:hAnsiTheme="minorHAnsi"/>
        </w:rPr>
        <w:t>There has been an increase in the intensity of ‘play’ on EGMs by problem gamblers.</w:t>
      </w:r>
    </w:p>
    <w:p w:rsidR="003D1F93" w:rsidRPr="003D2615" w:rsidRDefault="003D1F93" w:rsidP="007D1909">
      <w:pPr>
        <w:pStyle w:val="ListParagraph"/>
        <w:numPr>
          <w:ilvl w:val="0"/>
          <w:numId w:val="24"/>
        </w:numPr>
        <w:spacing w:after="120"/>
        <w:contextualSpacing w:val="0"/>
        <w:rPr>
          <w:rFonts w:asciiTheme="minorHAnsi" w:hAnsiTheme="minorHAnsi"/>
        </w:rPr>
      </w:pPr>
      <w:r>
        <w:rPr>
          <w:rFonts w:asciiTheme="minorHAnsi" w:hAnsiTheme="minorHAnsi"/>
        </w:rPr>
        <w:t>In 2014 p</w:t>
      </w:r>
      <w:r w:rsidRPr="003D2615">
        <w:rPr>
          <w:rFonts w:asciiTheme="minorHAnsi" w:hAnsiTheme="minorHAnsi"/>
        </w:rPr>
        <w:t xml:space="preserve">ubs or hotels were the most common location for the use of EGMs by all gamblers (including non-problem gamblers, low risk and moderate risk gamblers and problem gamblers) with 60.63% of EGM users visiting hotels and 43.69% visiting </w:t>
      </w:r>
      <w:r w:rsidR="006F04BE">
        <w:rPr>
          <w:rFonts w:asciiTheme="minorHAnsi" w:hAnsiTheme="minorHAnsi"/>
        </w:rPr>
        <w:t>clubs</w:t>
      </w:r>
      <w:r w:rsidRPr="003D2615">
        <w:rPr>
          <w:rFonts w:asciiTheme="minorHAnsi" w:hAnsiTheme="minorHAnsi"/>
        </w:rPr>
        <w:t>. However, the top locations or problem gamblers who used EGMs in the previous 12 months were pubs (86.53%), clubs (64.68%) and the casino (44.30%).</w:t>
      </w:r>
      <w:r w:rsidRPr="003D2615">
        <w:rPr>
          <w:rStyle w:val="FootnoteReference"/>
          <w:rFonts w:asciiTheme="minorHAnsi" w:hAnsiTheme="minorHAnsi"/>
        </w:rPr>
        <w:footnoteReference w:id="59"/>
      </w:r>
    </w:p>
    <w:p w:rsidR="003D1F93" w:rsidRDefault="003D1F93" w:rsidP="003D1F93">
      <w:r>
        <w:t>The gambling participation rate among adolescents and young people aged 10-24 in Australia is significantly higher than all adults with 85% of people in this age group reported having participated in some form of gambling in the previous 12 months.</w:t>
      </w:r>
      <w:r>
        <w:rPr>
          <w:rStyle w:val="FootnoteReference"/>
        </w:rPr>
        <w:footnoteReference w:id="60"/>
      </w:r>
      <w:r>
        <w:t xml:space="preserve"> The common reasons that young people participate in g</w:t>
      </w:r>
      <w:r w:rsidR="00CE10E5">
        <w:t>ambling are similar to adults for instance</w:t>
      </w:r>
      <w:r>
        <w:t xml:space="preserve"> for enjoyment and to win money,</w:t>
      </w:r>
      <w:r>
        <w:rPr>
          <w:rStyle w:val="FootnoteReference"/>
        </w:rPr>
        <w:footnoteReference w:id="61"/>
      </w:r>
      <w:r>
        <w:t xml:space="preserve"> and the majority (56%) of young people are classified as social gamblers</w:t>
      </w:r>
      <w:r>
        <w:rPr>
          <w:rStyle w:val="FootnoteReference"/>
        </w:rPr>
        <w:footnoteReference w:id="62"/>
      </w:r>
      <w:r>
        <w:t>. However, young people were less likely to gamble as a result of loneliness that all adults.</w:t>
      </w:r>
    </w:p>
    <w:p w:rsidR="003D1F93" w:rsidRPr="001F6970" w:rsidRDefault="003D1F93" w:rsidP="003D1F93">
      <w:r>
        <w:t xml:space="preserve">There is some evidence to suggest that gambling-related harm is more common among </w:t>
      </w:r>
      <w:r w:rsidR="002806A3">
        <w:t xml:space="preserve">people who gamble </w:t>
      </w:r>
      <w:r>
        <w:t>online,</w:t>
      </w:r>
      <w:r w:rsidRPr="00FA6F55">
        <w:rPr>
          <w:rStyle w:val="FootnoteReference"/>
        </w:rPr>
        <w:t xml:space="preserve"> </w:t>
      </w:r>
      <w:r>
        <w:rPr>
          <w:rStyle w:val="FootnoteReference"/>
        </w:rPr>
        <w:footnoteReference w:id="63"/>
      </w:r>
      <w:r>
        <w:t xml:space="preserve"> particularly young people. This is due to a number of factors, including the high rate of internet use among young people (including on smart devices), targeted advertising to young people on social media and difficulties associated with regulating access to internet sites among underage gamblers.</w:t>
      </w:r>
      <w:r>
        <w:rPr>
          <w:rStyle w:val="FootnoteReference"/>
        </w:rPr>
        <w:footnoteReference w:id="64"/>
      </w:r>
      <w:r>
        <w:t xml:space="preserve"> Online gambling is particularly risky for all age groups as there are no shutdown periods, increased risk of losing track of time and money, online gamblers tend to gamble alone reducing the capacity for moderated behaviours and the speed of online gambling is much faster.</w:t>
      </w:r>
      <w:r>
        <w:rPr>
          <w:rStyle w:val="FootnoteReference"/>
        </w:rPr>
        <w:footnoteReference w:id="65"/>
      </w:r>
    </w:p>
    <w:p w:rsidR="003D1F93" w:rsidRDefault="003D1F93" w:rsidP="003D1F93">
      <w:r>
        <w:t>Videogames are a very popular form of entertainment among young males. Recent research suggests that more than 20% of young people who have an interest in videogames with gambling-like features also have a preoccupation with gambling or intend to gamble in the future.</w:t>
      </w:r>
      <w:r>
        <w:rPr>
          <w:rStyle w:val="FootnoteReference"/>
        </w:rPr>
        <w:footnoteReference w:id="66"/>
      </w:r>
      <w:r>
        <w:t xml:space="preserve"> </w:t>
      </w:r>
    </w:p>
    <w:p w:rsidR="00047877" w:rsidRDefault="00047877" w:rsidP="00FC5226">
      <w:pPr>
        <w:pStyle w:val="Heading2"/>
      </w:pPr>
      <w:bookmarkStart w:id="113" w:name="_Toc494287775"/>
      <w:bookmarkStart w:id="114" w:name="_Hlk482963636"/>
      <w:r w:rsidRPr="0099464A">
        <w:t>Prevalence of problem gambling</w:t>
      </w:r>
      <w:bookmarkEnd w:id="113"/>
    </w:p>
    <w:p w:rsidR="003D1F93" w:rsidRDefault="003D1F93" w:rsidP="003D1F93">
      <w:r w:rsidRPr="00E637AC">
        <w:t>The P</w:t>
      </w:r>
      <w:r w:rsidR="00D274A0">
        <w:t>roductivity Commission has estim</w:t>
      </w:r>
      <w:r w:rsidRPr="00E637AC">
        <w:t xml:space="preserve">ated that between 1.9% and 3.1% of the population experience moderate or high risks of </w:t>
      </w:r>
      <w:r>
        <w:t>gambling-related harm</w:t>
      </w:r>
      <w:r w:rsidRPr="00E637AC">
        <w:t>. In Victoria, these estimates are between 0.7% and 3.1%</w:t>
      </w:r>
      <w:r>
        <w:rPr>
          <w:rStyle w:val="FootnoteReference"/>
        </w:rPr>
        <w:footnoteReference w:id="67"/>
      </w:r>
      <w:r>
        <w:t>.</w:t>
      </w:r>
    </w:p>
    <w:p w:rsidR="00C31DC6" w:rsidRDefault="00C31DC6" w:rsidP="00220D9C">
      <w:pPr>
        <w:rPr>
          <w:rFonts w:asciiTheme="minorHAnsi" w:hAnsiTheme="minorHAnsi" w:cstheme="minorHAnsi"/>
        </w:rPr>
      </w:pPr>
      <w:r>
        <w:t>A study in Victoria found that 0.81</w:t>
      </w:r>
      <w:r w:rsidR="00C22F61">
        <w:t>%</w:t>
      </w:r>
      <w:r>
        <w:t xml:space="preserve"> of Victorian adults were classified as problem </w:t>
      </w:r>
      <w:r w:rsidR="00C22F61">
        <w:t>gamblers</w:t>
      </w:r>
      <w:r>
        <w:t>, with a fu</w:t>
      </w:r>
      <w:r w:rsidR="00C22F61">
        <w:t>rther 2.79%</w:t>
      </w:r>
      <w:r>
        <w:t xml:space="preserve"> being classified as moderate risk gamblers.</w:t>
      </w:r>
      <w:r w:rsidR="00C22F61" w:rsidRPr="00C22F61">
        <w:rPr>
          <w:rStyle w:val="FootnoteReference"/>
          <w:rFonts w:asciiTheme="minorHAnsi" w:hAnsiTheme="minorHAnsi" w:cstheme="minorHAnsi"/>
        </w:rPr>
        <w:t xml:space="preserve"> </w:t>
      </w:r>
      <w:r w:rsidR="00C22F61">
        <w:rPr>
          <w:rStyle w:val="FootnoteReference"/>
          <w:rFonts w:asciiTheme="minorHAnsi" w:hAnsiTheme="minorHAnsi" w:cstheme="minorHAnsi"/>
        </w:rPr>
        <w:footnoteReference w:id="68"/>
      </w:r>
      <w:r w:rsidR="00C22F61">
        <w:rPr>
          <w:rFonts w:asciiTheme="minorHAnsi" w:hAnsiTheme="minorHAnsi" w:cstheme="minorHAnsi"/>
        </w:rPr>
        <w:t xml:space="preserve"> This study also found that</w:t>
      </w:r>
      <w:r w:rsidR="00220D9C">
        <w:rPr>
          <w:rFonts w:asciiTheme="minorHAnsi" w:hAnsiTheme="minorHAnsi" w:cstheme="minorHAnsi"/>
        </w:rPr>
        <w:t xml:space="preserve"> </w:t>
      </w:r>
      <w:r w:rsidR="00C22F61" w:rsidRPr="00C22F61">
        <w:rPr>
          <w:rFonts w:asciiTheme="minorHAnsi" w:hAnsiTheme="minorHAnsi" w:cstheme="minorHAnsi"/>
        </w:rPr>
        <w:t>41.59% of probl</w:t>
      </w:r>
      <w:r w:rsidR="001D41ED">
        <w:rPr>
          <w:rFonts w:asciiTheme="minorHAnsi" w:hAnsiTheme="minorHAnsi" w:cstheme="minorHAnsi"/>
        </w:rPr>
        <w:t xml:space="preserve">em gamblers, </w:t>
      </w:r>
      <w:r w:rsidR="00C22F61" w:rsidRPr="00C22F61">
        <w:rPr>
          <w:rFonts w:asciiTheme="minorHAnsi" w:hAnsiTheme="minorHAnsi" w:cstheme="minorHAnsi"/>
        </w:rPr>
        <w:t>3.13% of moderate risk gamblers and 0.46% of low risk gamblers reported experiencing problems because of their own gambling.</w:t>
      </w:r>
    </w:p>
    <w:p w:rsidR="00402322" w:rsidRPr="009D0DC3" w:rsidRDefault="00402322" w:rsidP="00402322">
      <w:pPr>
        <w:rPr>
          <w:rFonts w:cstheme="minorHAnsi"/>
        </w:rPr>
      </w:pPr>
      <w:r>
        <w:rPr>
          <w:rFonts w:cstheme="minorHAnsi"/>
        </w:rPr>
        <w:t>The North-West Metro region, which includes the City of Melbourne and its adjoining municipalities of Maribyrnong, Moonee Valley and Hobsons Bay to the north and west, have been included in the high EGM expenditure band. The research found that the risk of gambling-related harm was significantly higher in the high EGM expenditure band compared to the lower EGM spend band regions.</w:t>
      </w:r>
      <w:r>
        <w:rPr>
          <w:rStyle w:val="FootnoteReference"/>
          <w:rFonts w:cstheme="minorHAnsi"/>
        </w:rPr>
        <w:footnoteReference w:id="69"/>
      </w:r>
    </w:p>
    <w:p w:rsidR="00047877" w:rsidRDefault="00047877" w:rsidP="00FC5226">
      <w:pPr>
        <w:pStyle w:val="Heading2"/>
      </w:pPr>
      <w:bookmarkStart w:id="115" w:name="_Toc494287776"/>
      <w:bookmarkEnd w:id="114"/>
      <w:r w:rsidRPr="0099464A">
        <w:t>Determinants of gambling-related harm</w:t>
      </w:r>
      <w:bookmarkEnd w:id="115"/>
    </w:p>
    <w:p w:rsidR="003D1F93" w:rsidRDefault="007609EE" w:rsidP="003D1F93">
      <w:pPr>
        <w:pStyle w:val="Heading3"/>
      </w:pPr>
      <w:r>
        <w:rPr>
          <w:rFonts w:cstheme="minorHAnsi"/>
          <w:color w:val="222222"/>
          <w:shd w:val="clear" w:color="auto" w:fill="FFFFFF"/>
        </w:rPr>
        <w:t>EGM</w:t>
      </w:r>
      <w:r w:rsidR="003D1F93">
        <w:t xml:space="preserve"> gambling</w:t>
      </w:r>
    </w:p>
    <w:p w:rsidR="003D1F93" w:rsidRPr="003D2615" w:rsidRDefault="003D1F93" w:rsidP="003D1F93">
      <w:pPr>
        <w:tabs>
          <w:tab w:val="left" w:pos="2268"/>
        </w:tabs>
        <w:rPr>
          <w:rFonts w:asciiTheme="minorHAnsi" w:hAnsiTheme="minorHAnsi"/>
        </w:rPr>
      </w:pPr>
      <w:bookmarkStart w:id="116" w:name="_Hlk489973144"/>
      <w:r w:rsidRPr="002D35A1">
        <w:t>EGMs are one of the most important sources of enjoyment</w:t>
      </w:r>
      <w:r w:rsidRPr="00E637AC">
        <w:t xml:space="preserve"> for gamblers</w:t>
      </w:r>
      <w:r>
        <w:t>. However</w:t>
      </w:r>
      <w:r w:rsidRPr="00E637AC">
        <w:t>, they also pose the greatest risks to existing and potential problem gamblers.</w:t>
      </w:r>
      <w:r w:rsidRPr="00FC4293">
        <w:rPr>
          <w:rStyle w:val="FootnoteReference"/>
        </w:rPr>
        <w:t xml:space="preserve"> </w:t>
      </w:r>
      <w:r w:rsidRPr="00E637AC">
        <w:rPr>
          <w:rStyle w:val="FootnoteReference"/>
        </w:rPr>
        <w:footnoteReference w:id="70"/>
      </w:r>
      <w:r>
        <w:t xml:space="preserve"> </w:t>
      </w:r>
    </w:p>
    <w:bookmarkEnd w:id="116"/>
    <w:p w:rsidR="003D1F93" w:rsidRDefault="003D1F93" w:rsidP="003D1F93">
      <w:r>
        <w:t>The following specific factors are of relevance in relation to EGMs and gambling-related harm:</w:t>
      </w:r>
    </w:p>
    <w:p w:rsidR="003D1F93" w:rsidRDefault="003D1F93" w:rsidP="007D1909">
      <w:pPr>
        <w:pStyle w:val="ListParagraph"/>
        <w:numPr>
          <w:ilvl w:val="0"/>
          <w:numId w:val="24"/>
        </w:numPr>
        <w:spacing w:after="120"/>
        <w:contextualSpacing w:val="0"/>
      </w:pPr>
      <w:r w:rsidRPr="00E637AC">
        <w:t xml:space="preserve">EGMs </w:t>
      </w:r>
      <w:bookmarkStart w:id="117" w:name="_Hlk489973194"/>
      <w:r w:rsidRPr="00E637AC">
        <w:t>account for around 80% of presentations to counselling agencies</w:t>
      </w:r>
      <w:r w:rsidRPr="00E637AC">
        <w:rPr>
          <w:rStyle w:val="FootnoteReference"/>
        </w:rPr>
        <w:footnoteReference w:id="71"/>
      </w:r>
      <w:bookmarkEnd w:id="117"/>
    </w:p>
    <w:p w:rsidR="003D1F93" w:rsidRDefault="003D1F93" w:rsidP="007D1909">
      <w:pPr>
        <w:pStyle w:val="ListParagraph"/>
        <w:numPr>
          <w:ilvl w:val="0"/>
          <w:numId w:val="24"/>
        </w:numPr>
        <w:spacing w:after="120"/>
        <w:contextualSpacing w:val="0"/>
      </w:pPr>
      <w:r>
        <w:t>Participation in EGMs continued to be the highest reported gambling spend for problem gamblers and was ranked second in gambling activity (66.6%)) after lotteries (67.4%) and before race betting (52.5%)</w:t>
      </w:r>
      <w:r>
        <w:rPr>
          <w:rStyle w:val="FootnoteReference"/>
        </w:rPr>
        <w:footnoteReference w:id="72"/>
      </w:r>
    </w:p>
    <w:p w:rsidR="003D1F93" w:rsidRDefault="003D1F93" w:rsidP="007D1909">
      <w:pPr>
        <w:pStyle w:val="ListParagraph"/>
        <w:numPr>
          <w:ilvl w:val="0"/>
          <w:numId w:val="24"/>
        </w:numPr>
        <w:spacing w:after="120"/>
        <w:contextualSpacing w:val="0"/>
      </w:pPr>
      <w:r>
        <w:t>Three quarters of problem gamblers have problems with EGMs, with the proportion being up to nine in ten cases of ga</w:t>
      </w:r>
      <w:r w:rsidR="00270386">
        <w:t>mbling-related harm among women</w:t>
      </w:r>
      <w:r w:rsidRPr="00AB46BB">
        <w:rPr>
          <w:rStyle w:val="FootnoteReference"/>
        </w:rPr>
        <w:t xml:space="preserve"> </w:t>
      </w:r>
      <w:r>
        <w:rPr>
          <w:rStyle w:val="FootnoteReference"/>
        </w:rPr>
        <w:footnoteReference w:id="73"/>
      </w:r>
    </w:p>
    <w:p w:rsidR="003D1F93" w:rsidRDefault="003D1F93" w:rsidP="007D1909">
      <w:pPr>
        <w:pStyle w:val="ListParagraph"/>
        <w:numPr>
          <w:ilvl w:val="0"/>
          <w:numId w:val="24"/>
        </w:numPr>
        <w:spacing w:after="120"/>
        <w:contextualSpacing w:val="0"/>
      </w:pPr>
      <w:bookmarkStart w:id="118" w:name="_Hlk489973308"/>
      <w:r>
        <w:t>One in six people who use EGMs regularly has a serious addiction</w:t>
      </w:r>
      <w:r>
        <w:rPr>
          <w:rStyle w:val="FootnoteReference"/>
        </w:rPr>
        <w:footnoteReference w:id="74"/>
      </w:r>
    </w:p>
    <w:bookmarkEnd w:id="118"/>
    <w:p w:rsidR="003D1F93" w:rsidRDefault="003D1F93" w:rsidP="007D1909">
      <w:pPr>
        <w:pStyle w:val="ListParagraph"/>
        <w:numPr>
          <w:ilvl w:val="0"/>
          <w:numId w:val="24"/>
        </w:numPr>
        <w:spacing w:after="120"/>
        <w:contextualSpacing w:val="0"/>
      </w:pPr>
      <w:r>
        <w:t>F</w:t>
      </w:r>
      <w:r w:rsidRPr="002D35A1">
        <w:t xml:space="preserve">or </w:t>
      </w:r>
      <w:bookmarkStart w:id="119" w:name="_Hlk489973364"/>
      <w:r w:rsidRPr="002D35A1">
        <w:t>each additional EGM introduced into an area, there will be an increase of between 0.6 and 1 problem gamblers, with an average of 0.8 problem</w:t>
      </w:r>
      <w:r w:rsidR="00270386">
        <w:t xml:space="preserve"> gamblers per EGM</w:t>
      </w:r>
      <w:r w:rsidRPr="002D35A1">
        <w:rPr>
          <w:vertAlign w:val="superscript"/>
        </w:rPr>
        <w:footnoteReference w:id="75"/>
      </w:r>
    </w:p>
    <w:bookmarkEnd w:id="119"/>
    <w:p w:rsidR="003D1F93" w:rsidRDefault="003D1F93" w:rsidP="007D1909">
      <w:pPr>
        <w:pStyle w:val="ListParagraph"/>
        <w:numPr>
          <w:ilvl w:val="0"/>
          <w:numId w:val="24"/>
        </w:numPr>
        <w:spacing w:after="120"/>
        <w:contextualSpacing w:val="0"/>
      </w:pPr>
      <w:r w:rsidRPr="00E637AC">
        <w:t>15% of those gambling weekly or more experienc</w:t>
      </w:r>
      <w:r>
        <w:t xml:space="preserve">e </w:t>
      </w:r>
      <w:r w:rsidRPr="00E637AC">
        <w:t xml:space="preserve">moderate risks of </w:t>
      </w:r>
      <w:r>
        <w:t>gambling-related harm</w:t>
      </w:r>
      <w:r w:rsidRPr="00E637AC">
        <w:t xml:space="preserve"> and a further 15% </w:t>
      </w:r>
      <w:r>
        <w:t xml:space="preserve">are </w:t>
      </w:r>
      <w:r w:rsidRPr="00E637AC">
        <w:t xml:space="preserve">considered </w:t>
      </w:r>
      <w:r>
        <w:t xml:space="preserve">to be </w:t>
      </w:r>
      <w:r w:rsidRPr="00E637AC">
        <w:t>problem gamblers</w:t>
      </w:r>
      <w:r w:rsidRPr="00024DA1">
        <w:rPr>
          <w:rStyle w:val="FootnoteReference"/>
        </w:rPr>
        <w:t xml:space="preserve"> </w:t>
      </w:r>
      <w:r w:rsidRPr="00E637AC">
        <w:rPr>
          <w:rStyle w:val="FootnoteReference"/>
        </w:rPr>
        <w:footnoteReference w:id="76"/>
      </w:r>
    </w:p>
    <w:p w:rsidR="003D1F93" w:rsidRDefault="003D1F93" w:rsidP="007D1909">
      <w:pPr>
        <w:pStyle w:val="ListParagraph"/>
        <w:numPr>
          <w:ilvl w:val="0"/>
          <w:numId w:val="24"/>
        </w:numPr>
        <w:spacing w:after="120"/>
        <w:contextualSpacing w:val="0"/>
      </w:pPr>
      <w:r>
        <w:t>Problem gamblers using EGMs lose on average around $21,000 per annum, which is equivalent to one third of the average Australian salary.</w:t>
      </w:r>
      <w:r w:rsidRPr="00024DA1">
        <w:rPr>
          <w:rStyle w:val="FootnoteReference"/>
        </w:rPr>
        <w:t xml:space="preserve"> </w:t>
      </w:r>
      <w:r>
        <w:rPr>
          <w:rStyle w:val="FootnoteReference"/>
        </w:rPr>
        <w:footnoteReference w:id="77"/>
      </w:r>
    </w:p>
    <w:p w:rsidR="003D1F93" w:rsidRPr="00E637AC" w:rsidRDefault="003D1F93" w:rsidP="003D1F93">
      <w:r w:rsidRPr="00E637AC">
        <w:t xml:space="preserve">The reasons for the high incidence of </w:t>
      </w:r>
      <w:r>
        <w:t>gambling-related harm</w:t>
      </w:r>
      <w:r w:rsidRPr="00E637AC">
        <w:t xml:space="preserve"> amongst gamblers using EGMs are:</w:t>
      </w:r>
    </w:p>
    <w:p w:rsidR="003D1F93" w:rsidRPr="00E637AC" w:rsidRDefault="003D1F93" w:rsidP="007D1909">
      <w:pPr>
        <w:pStyle w:val="ListParagraph"/>
        <w:numPr>
          <w:ilvl w:val="0"/>
          <w:numId w:val="31"/>
        </w:numPr>
        <w:spacing w:after="120"/>
        <w:ind w:left="765" w:hanging="357"/>
        <w:contextualSpacing w:val="0"/>
      </w:pPr>
      <w:r w:rsidRPr="00E637AC">
        <w:t>EGM gamblers</w:t>
      </w:r>
      <w:r>
        <w:t>,</w:t>
      </w:r>
      <w:r w:rsidRPr="00E637AC">
        <w:t xml:space="preserve"> relative to all other types of gamblers</w:t>
      </w:r>
      <w:r>
        <w:t>,</w:t>
      </w:r>
      <w:r w:rsidRPr="00E637AC">
        <w:t xml:space="preserve"> are most prone to disassociation, have the highest tendency to play in a trance (76.9%), lose track of time (71.1%), lose track of reality (76.9%) and feel someone else is controlling their actions (81.7%)</w:t>
      </w:r>
      <w:r w:rsidRPr="00E637AC">
        <w:rPr>
          <w:rStyle w:val="FootnoteReference"/>
        </w:rPr>
        <w:footnoteReference w:id="78"/>
      </w:r>
    </w:p>
    <w:p w:rsidR="003D1F93" w:rsidRPr="00E637AC" w:rsidRDefault="003D1F93" w:rsidP="007D1909">
      <w:pPr>
        <w:pStyle w:val="ListParagraph"/>
        <w:numPr>
          <w:ilvl w:val="0"/>
          <w:numId w:val="31"/>
        </w:numPr>
        <w:spacing w:after="120"/>
        <w:ind w:left="765" w:hanging="357"/>
        <w:contextualSpacing w:val="0"/>
      </w:pPr>
      <w:r w:rsidRPr="00E637AC">
        <w:t xml:space="preserve">Most gamblers, even the average recreational gambler, have faulty beliefs about how </w:t>
      </w:r>
      <w:r>
        <w:t>EGMs</w:t>
      </w:r>
      <w:r w:rsidRPr="00E637AC">
        <w:t xml:space="preserve"> work.</w:t>
      </w:r>
      <w:r w:rsidRPr="00E637AC">
        <w:rPr>
          <w:rStyle w:val="FootnoteReference"/>
        </w:rPr>
        <w:footnoteReference w:id="79"/>
      </w:r>
      <w:r>
        <w:t xml:space="preserve"> As a result, </w:t>
      </w:r>
      <w:r w:rsidRPr="00E637AC">
        <w:t>people believe they a</w:t>
      </w:r>
      <w:r w:rsidR="00270386">
        <w:t>re able to recover their losses</w:t>
      </w:r>
      <w:r w:rsidRPr="00E637AC">
        <w:rPr>
          <w:rStyle w:val="FootnoteReference"/>
        </w:rPr>
        <w:footnoteReference w:id="80"/>
      </w:r>
    </w:p>
    <w:p w:rsidR="003D1F93" w:rsidRPr="00E637AC" w:rsidRDefault="003D1F93" w:rsidP="007D1909">
      <w:pPr>
        <w:pStyle w:val="ListParagraph"/>
        <w:numPr>
          <w:ilvl w:val="0"/>
          <w:numId w:val="31"/>
        </w:numPr>
        <w:spacing w:after="120"/>
        <w:ind w:left="765" w:hanging="357"/>
        <w:contextualSpacing w:val="0"/>
      </w:pPr>
      <w:r w:rsidRPr="00E637AC">
        <w:t>Prices of playing EGMs are poorly disclosed with the result that peo</w:t>
      </w:r>
      <w:r w:rsidR="00270386">
        <w:t>ple underestimate their spending</w:t>
      </w:r>
      <w:r w:rsidRPr="00E637AC">
        <w:rPr>
          <w:rStyle w:val="FootnoteReference"/>
        </w:rPr>
        <w:footnoteReference w:id="81"/>
      </w:r>
    </w:p>
    <w:p w:rsidR="003D1F93" w:rsidRDefault="003D1F93" w:rsidP="007D1909">
      <w:pPr>
        <w:pStyle w:val="ListParagraph"/>
        <w:numPr>
          <w:ilvl w:val="0"/>
          <w:numId w:val="31"/>
        </w:numPr>
        <w:spacing w:after="120"/>
        <w:ind w:left="765" w:hanging="357"/>
        <w:contextualSpacing w:val="0"/>
      </w:pPr>
      <w:r w:rsidRPr="00E637AC">
        <w:t>The speed of play is higher for EGMs than it is for other forms of gambling</w:t>
      </w:r>
      <w:r>
        <w:t>,</w:t>
      </w:r>
      <w:r w:rsidRPr="00E637AC">
        <w:t xml:space="preserve"> such as blackjack, craps, roulette, keno and the races</w:t>
      </w:r>
      <w:r w:rsidRPr="00E637AC">
        <w:rPr>
          <w:rStyle w:val="FootnoteReference"/>
        </w:rPr>
        <w:footnoteReference w:id="82"/>
      </w:r>
    </w:p>
    <w:p w:rsidR="003D1F93" w:rsidRPr="00E637AC" w:rsidRDefault="003D1F93" w:rsidP="007D1909">
      <w:pPr>
        <w:pStyle w:val="ListParagraph"/>
        <w:numPr>
          <w:ilvl w:val="0"/>
          <w:numId w:val="31"/>
        </w:numPr>
      </w:pPr>
      <w:r>
        <w:t>EGM gambling is viewed by some problem gamblers as the most accessible, attractive and entertaining alternative to other forms of entertainment as it is almost always available, appropriate for long visits, comfortable for a single person, private and yet social.</w:t>
      </w:r>
      <w:r>
        <w:rPr>
          <w:rStyle w:val="FootnoteReference"/>
        </w:rPr>
        <w:footnoteReference w:id="83"/>
      </w:r>
    </w:p>
    <w:p w:rsidR="003D1F93" w:rsidRDefault="003D1F93" w:rsidP="003D1F93">
      <w:pPr>
        <w:pStyle w:val="Heading3"/>
      </w:pPr>
      <w:r>
        <w:t xml:space="preserve">Geographic </w:t>
      </w:r>
      <w:r w:rsidR="00632E20">
        <w:t>determinants</w:t>
      </w:r>
    </w:p>
    <w:p w:rsidR="003D1F93" w:rsidRDefault="003D1F93" w:rsidP="003D1F93">
      <w:r>
        <w:t>A number of geographic and physical factors have been acknowledged as key determinants of gambling-related harm. These include convenience versus destination gaming, density of EGMs, clustering and concentration of gaming venues, distance travelled, clustering or concentration and exposure.</w:t>
      </w:r>
    </w:p>
    <w:p w:rsidR="003D1F93" w:rsidRDefault="003D1F93" w:rsidP="003D1F93">
      <w:pPr>
        <w:pStyle w:val="Heading4"/>
      </w:pPr>
      <w:r>
        <w:t>Destination and convenience gaming</w:t>
      </w:r>
    </w:p>
    <w:p w:rsidR="003D1F93" w:rsidRDefault="003D1F93" w:rsidP="003D1F93">
      <w:r w:rsidRPr="004527F6">
        <w:t xml:space="preserve">Research has demonstrated that convenience gaming increases the risks of </w:t>
      </w:r>
      <w:r>
        <w:t>gambling-related harm</w:t>
      </w:r>
      <w:r w:rsidR="00270386">
        <w:t>.</w:t>
      </w:r>
      <w:r w:rsidRPr="004527F6">
        <w:rPr>
          <w:rStyle w:val="FootnoteReference"/>
        </w:rPr>
        <w:footnoteReference w:id="84"/>
      </w:r>
      <w:r w:rsidR="00270386">
        <w:t xml:space="preserve"> </w:t>
      </w:r>
      <w:r>
        <w:t>The</w:t>
      </w:r>
      <w:r w:rsidRPr="00E637AC">
        <w:t xml:space="preserve"> Productivity Commission</w:t>
      </w:r>
      <w:r>
        <w:t xml:space="preserve"> found</w:t>
      </w:r>
      <w:r w:rsidRPr="00E637AC">
        <w:t xml:space="preserve"> that, had there been a better understanding of the harmful effects of substantially increasing accessibility to EGMs in the 1990s, a model that restricted convenience may have been more appropriate</w:t>
      </w:r>
      <w:r w:rsidR="00270386">
        <w:t>.</w:t>
      </w:r>
      <w:r w:rsidRPr="00E637AC">
        <w:rPr>
          <w:rStyle w:val="FootnoteReference"/>
        </w:rPr>
        <w:footnoteReference w:id="85"/>
      </w:r>
      <w:r w:rsidRPr="00E637AC">
        <w:t xml:space="preserve"> </w:t>
      </w:r>
      <w:r>
        <w:t xml:space="preserve"> As a result, there is a general preference amongst decision makers for gaming venues that function as destinations in their own right above those that contribute to impulse gambling. </w:t>
      </w:r>
    </w:p>
    <w:p w:rsidR="003D1F93" w:rsidRDefault="003D1F93" w:rsidP="003D1F93">
      <w:r w:rsidRPr="00E637AC">
        <w:t>Destination gambling refers to a model of gaming distribution where there are fewer, but larger gaming venues</w:t>
      </w:r>
      <w:r>
        <w:t>,</w:t>
      </w:r>
      <w:r w:rsidRPr="00E637AC">
        <w:t xml:space="preserve"> such as casinos</w:t>
      </w:r>
      <w:r>
        <w:t>,</w:t>
      </w:r>
      <w:r w:rsidRPr="00E637AC">
        <w:t xml:space="preserve"> that encourage predetermined decisions to travel and gamble, and offer a range of services and facilities</w:t>
      </w:r>
      <w:r w:rsidR="00270386">
        <w:t>.</w:t>
      </w:r>
      <w:r w:rsidRPr="00E637AC">
        <w:rPr>
          <w:rStyle w:val="FootnoteReference"/>
        </w:rPr>
        <w:footnoteReference w:id="86"/>
      </w:r>
      <w:r w:rsidR="00270386">
        <w:t xml:space="preserve"> </w:t>
      </w:r>
      <w:r w:rsidRPr="00E637AC">
        <w:t>The concept of a ‘destination</w:t>
      </w:r>
      <w:r>
        <w:t xml:space="preserve"> gambling</w:t>
      </w:r>
      <w:r w:rsidRPr="00E637AC">
        <w:t xml:space="preserve">’ </w:t>
      </w:r>
      <w:r>
        <w:t>involves</w:t>
      </w:r>
      <w:r w:rsidRPr="00E637AC">
        <w:t xml:space="preserve"> a decision to attend a venue as an event rather than on impulse. </w:t>
      </w:r>
    </w:p>
    <w:p w:rsidR="002806A3" w:rsidRDefault="003D1F93" w:rsidP="003D1F93">
      <w:r w:rsidRPr="00E637AC">
        <w:t>Convenience gambling is considered to include facilities that consumers and the general public may encounter on their daily activities, potentially leading to an impulse decision to gamble</w:t>
      </w:r>
      <w:r w:rsidRPr="00E637AC">
        <w:rPr>
          <w:rStyle w:val="FootnoteReference"/>
        </w:rPr>
        <w:footnoteReference w:id="87"/>
      </w:r>
      <w:r w:rsidRPr="00E637AC">
        <w:t>. These venues, which include hotels and clubs, are often highly accessible and present few barriers to consumption</w:t>
      </w:r>
      <w:r w:rsidRPr="00E637AC">
        <w:rPr>
          <w:rStyle w:val="FootnoteReference"/>
        </w:rPr>
        <w:footnoteReference w:id="88"/>
      </w:r>
      <w:r w:rsidRPr="00E637AC">
        <w:t xml:space="preserve"> as they are easy to get to in relation to a person’s home, workplace or facilities used to conduct daily activities such</w:t>
      </w:r>
      <w:r>
        <w:t>,</w:t>
      </w:r>
      <w:r w:rsidRPr="00E637AC">
        <w:t xml:space="preserve"> as transport hubs</w:t>
      </w:r>
      <w:r w:rsidR="002806A3">
        <w:t>, shops and community services.</w:t>
      </w:r>
    </w:p>
    <w:p w:rsidR="003D1F93" w:rsidRDefault="003D1F93" w:rsidP="003D1F93">
      <w:r w:rsidRPr="00E637AC">
        <w:t xml:space="preserve">The two primary criteria that determine whether a gaming venue may be categorised as a convenience venue are proximity to </w:t>
      </w:r>
      <w:r>
        <w:t xml:space="preserve">gambling </w:t>
      </w:r>
      <w:r w:rsidRPr="00E637AC">
        <w:t>sensitive uses and proximity to facilities and services that are used by the community on a daily basis</w:t>
      </w:r>
      <w:r>
        <w:t>, particularly those members of the community who are vulnerable to gambling-related harm.</w:t>
      </w:r>
    </w:p>
    <w:p w:rsidR="003D1F93" w:rsidRPr="00E637AC" w:rsidRDefault="003D1F93" w:rsidP="003D1F93">
      <w:r>
        <w:t>Three geographic or locational factors key factors are understood to determine whether or not a gaming venue may be classified as a convenience or destination venue.</w:t>
      </w:r>
    </w:p>
    <w:p w:rsidR="003D1F93" w:rsidRDefault="003D1F93" w:rsidP="007D1909">
      <w:pPr>
        <w:pStyle w:val="ListParagraph"/>
        <w:numPr>
          <w:ilvl w:val="0"/>
          <w:numId w:val="32"/>
        </w:numPr>
        <w:spacing w:after="120"/>
        <w:ind w:left="357"/>
        <w:contextualSpacing w:val="0"/>
      </w:pPr>
      <w:r w:rsidRPr="00C1249F">
        <w:rPr>
          <w:u w:val="single"/>
        </w:rPr>
        <w:t>Location in relation to facilities and services associated with day to day activities</w:t>
      </w:r>
      <w:r>
        <w:rPr>
          <w:u w:val="single"/>
        </w:rPr>
        <w:t xml:space="preserve"> </w:t>
      </w:r>
      <w:r>
        <w:t>The State Planning Policy Framework gives preference to the location of entertainment facilities in activity centres as this maximises accessibility and contributes to land use diversity. Many of these services and facilities, which are associated with people’s every day activities, are located in both strip shopping centres and shopping complexes, and are encouraged to be in close proximity to public transport.</w:t>
      </w:r>
    </w:p>
    <w:p w:rsidR="003D1F93" w:rsidRPr="007171EA" w:rsidRDefault="003D1F93" w:rsidP="003D1F93">
      <w:pPr>
        <w:ind w:left="357"/>
        <w:rPr>
          <w:strike/>
        </w:rPr>
      </w:pPr>
      <w:r>
        <w:t xml:space="preserve">Clause 52.28 of the Victoria Planning Provisions therefore prohibits the location of gaming venues in strip shopping centres and many shopping complexes in Victoria. This is </w:t>
      </w:r>
      <w:r w:rsidR="002806A3">
        <w:t>because</w:t>
      </w:r>
      <w:r>
        <w:t xml:space="preserve"> venues that are conveniently located in relation to facilities and services associated with people’s day to day activities</w:t>
      </w:r>
      <w:r w:rsidRPr="004527F6">
        <w:rPr>
          <w:rStyle w:val="FootnoteReference"/>
        </w:rPr>
        <w:footnoteReference w:id="89"/>
      </w:r>
      <w:r w:rsidR="00E95B6B">
        <w:t>,</w:t>
      </w:r>
      <w:r w:rsidR="00CE10E5">
        <w:t xml:space="preserve"> such as</w:t>
      </w:r>
      <w:r>
        <w:t xml:space="preserve"> those typically found in strip shopping centres and shopping complexes, attract people who may be encouraged to make with spontaneous decisions to gamble when they pass the gaming venue. </w:t>
      </w:r>
    </w:p>
    <w:p w:rsidR="00E95B6B" w:rsidRPr="004527F6" w:rsidRDefault="003D1F93" w:rsidP="007D1909">
      <w:pPr>
        <w:pStyle w:val="ListParagraph"/>
        <w:numPr>
          <w:ilvl w:val="0"/>
          <w:numId w:val="32"/>
        </w:numPr>
      </w:pPr>
      <w:r w:rsidRPr="00E95B6B">
        <w:rPr>
          <w:u w:val="single"/>
        </w:rPr>
        <w:t xml:space="preserve">Location in relation to gambling sensitive uses </w:t>
      </w:r>
      <w:r w:rsidR="00E95B6B">
        <w:t xml:space="preserve">The proximity of a gambling-sensitive use to a gaming venue is considered to be a risk factor as it may encourage convenience gambling. </w:t>
      </w:r>
      <w:r w:rsidR="00E95B6B" w:rsidRPr="001C2569">
        <w:t>Clause 52.28 does not give guidance as to what may be defined as a gambling sensitive use.  However</w:t>
      </w:r>
      <w:r w:rsidR="00E95B6B">
        <w:t>,</w:t>
      </w:r>
      <w:r w:rsidR="00E95B6B" w:rsidRPr="004527F6">
        <w:t xml:space="preserve"> they </w:t>
      </w:r>
      <w:r w:rsidR="00E95B6B">
        <w:t>are</w:t>
      </w:r>
      <w:r w:rsidR="00E95B6B" w:rsidRPr="004527F6">
        <w:t xml:space="preserve"> generally understood to be </w:t>
      </w:r>
      <w:r w:rsidR="00E95B6B">
        <w:t>services and facilities</w:t>
      </w:r>
      <w:r w:rsidR="00E95B6B" w:rsidRPr="004527F6">
        <w:t xml:space="preserve"> directly associated with people </w:t>
      </w:r>
      <w:r w:rsidR="00E95B6B">
        <w:t xml:space="preserve">vulnerable to, or </w:t>
      </w:r>
      <w:r w:rsidR="00E95B6B" w:rsidRPr="004527F6">
        <w:t>experiencing</w:t>
      </w:r>
      <w:r w:rsidR="00E95B6B">
        <w:t>,</w:t>
      </w:r>
      <w:r w:rsidR="00E95B6B" w:rsidRPr="004527F6">
        <w:t xml:space="preserve"> problem gambling.</w:t>
      </w:r>
      <w:r w:rsidR="00E95B6B" w:rsidRPr="00B7677F">
        <w:t xml:space="preserve"> </w:t>
      </w:r>
      <w:r w:rsidR="00E95B6B" w:rsidRPr="004527F6">
        <w:t>Land uses that have been included</w:t>
      </w:r>
      <w:r w:rsidR="00E95B6B">
        <w:t xml:space="preserve"> by the Tribunal</w:t>
      </w:r>
      <w:r w:rsidR="00E95B6B" w:rsidRPr="004527F6">
        <w:t xml:space="preserve"> in the list of gambling sensitive uses include social housing (used by people who are disadvantaged, and/or previously homeless</w:t>
      </w:r>
      <w:r w:rsidR="00E95B6B" w:rsidRPr="004527F6">
        <w:rPr>
          <w:rStyle w:val="FootnoteReference"/>
        </w:rPr>
        <w:footnoteReference w:id="90"/>
      </w:r>
      <w:r w:rsidR="00E95B6B" w:rsidRPr="004527F6">
        <w:t>), victims of domestic violence,</w:t>
      </w:r>
      <w:r w:rsidR="00E95B6B" w:rsidRPr="00F0684D">
        <w:rPr>
          <w:rStyle w:val="FootnoteReference"/>
        </w:rPr>
        <w:t xml:space="preserve"> </w:t>
      </w:r>
      <w:r w:rsidR="00E95B6B" w:rsidRPr="004527F6">
        <w:rPr>
          <w:rStyle w:val="FootnoteReference"/>
        </w:rPr>
        <w:footnoteReference w:id="91"/>
      </w:r>
      <w:r w:rsidR="00E95B6B" w:rsidRPr="004527F6">
        <w:t xml:space="preserve"> support </w:t>
      </w:r>
      <w:r w:rsidR="00E95B6B">
        <w:t xml:space="preserve">services </w:t>
      </w:r>
      <w:r w:rsidR="00E95B6B" w:rsidRPr="004527F6">
        <w:t>such as offices of public and private welfare agencies</w:t>
      </w:r>
      <w:r w:rsidR="00E95B6B" w:rsidRPr="004527F6">
        <w:rPr>
          <w:rStyle w:val="FootnoteReference"/>
        </w:rPr>
        <w:footnoteReference w:id="92"/>
      </w:r>
      <w:r w:rsidR="00E95B6B" w:rsidRPr="004527F6">
        <w:t xml:space="preserve"> and welfare services.</w:t>
      </w:r>
    </w:p>
    <w:p w:rsidR="00E95B6B" w:rsidRPr="004527F6" w:rsidRDefault="00E95B6B" w:rsidP="00E95B6B">
      <w:pPr>
        <w:ind w:left="360"/>
      </w:pPr>
      <w:r w:rsidRPr="00E95B6B">
        <w:t>The Tribunal and Commission have used the following criteria to determine whether a service or facility can</w:t>
      </w:r>
      <w:r w:rsidRPr="004527F6">
        <w:t xml:space="preserve"> be classified as a ‘gambling sensitive use’</w:t>
      </w:r>
      <w:r>
        <w:t xml:space="preserve"> and whether the proposal would increase exposure to gambling amongst people who are at an elevated risk of gambling-related harm</w:t>
      </w:r>
      <w:r w:rsidRPr="004527F6">
        <w:t>:</w:t>
      </w:r>
    </w:p>
    <w:p w:rsidR="00E95B6B" w:rsidRPr="004527F6" w:rsidRDefault="00E95B6B" w:rsidP="007D1909">
      <w:pPr>
        <w:pStyle w:val="ListParagraph"/>
        <w:numPr>
          <w:ilvl w:val="0"/>
          <w:numId w:val="33"/>
        </w:numPr>
        <w:spacing w:after="120"/>
        <w:contextualSpacing w:val="0"/>
      </w:pPr>
      <w:r>
        <w:t>w</w:t>
      </w:r>
      <w:r w:rsidRPr="004527F6">
        <w:t xml:space="preserve">hether the patron profile clearly includes people vulnerable to </w:t>
      </w:r>
      <w:r>
        <w:t>gambling-related harms</w:t>
      </w:r>
      <w:r w:rsidRPr="00F0684D">
        <w:rPr>
          <w:rStyle w:val="FootnoteReference"/>
        </w:rPr>
        <w:t xml:space="preserve"> </w:t>
      </w:r>
      <w:r w:rsidRPr="004527F6">
        <w:rPr>
          <w:rStyle w:val="FootnoteReference"/>
        </w:rPr>
        <w:footnoteReference w:id="93"/>
      </w:r>
    </w:p>
    <w:p w:rsidR="00E95B6B" w:rsidRPr="004527F6" w:rsidRDefault="00E95B6B" w:rsidP="007D1909">
      <w:pPr>
        <w:pStyle w:val="ListParagraph"/>
        <w:numPr>
          <w:ilvl w:val="0"/>
          <w:numId w:val="33"/>
        </w:numPr>
        <w:spacing w:after="120"/>
        <w:contextualSpacing w:val="0"/>
      </w:pPr>
      <w:r>
        <w:t>w</w:t>
      </w:r>
      <w:r w:rsidRPr="004527F6">
        <w:t>hether</w:t>
      </w:r>
      <w:r w:rsidR="006536B7">
        <w:t xml:space="preserve"> the venue is located along a route</w:t>
      </w:r>
      <w:r w:rsidRPr="004527F6">
        <w:t xml:space="preserve"> that includes people vulnerable to problem gambling</w:t>
      </w:r>
      <w:r w:rsidRPr="004527F6">
        <w:rPr>
          <w:rStyle w:val="FootnoteReference"/>
        </w:rPr>
        <w:footnoteReference w:id="94"/>
      </w:r>
    </w:p>
    <w:p w:rsidR="00E95B6B" w:rsidRPr="004527F6" w:rsidRDefault="00E95B6B" w:rsidP="007D1909">
      <w:pPr>
        <w:pStyle w:val="ListParagraph"/>
        <w:numPr>
          <w:ilvl w:val="0"/>
          <w:numId w:val="33"/>
        </w:numPr>
        <w:spacing w:after="120"/>
        <w:contextualSpacing w:val="0"/>
      </w:pPr>
      <w:r>
        <w:t>w</w:t>
      </w:r>
      <w:r w:rsidRPr="004527F6">
        <w:t>hether the identified gaming sensitive use was present before the proposed gaming venue or EGMs</w:t>
      </w:r>
      <w:r w:rsidRPr="004527F6">
        <w:rPr>
          <w:rStyle w:val="FootnoteReference"/>
        </w:rPr>
        <w:footnoteReference w:id="95"/>
      </w:r>
    </w:p>
    <w:p w:rsidR="00E95B6B" w:rsidRDefault="00E95B6B" w:rsidP="007D1909">
      <w:pPr>
        <w:pStyle w:val="ListParagraph"/>
        <w:numPr>
          <w:ilvl w:val="0"/>
          <w:numId w:val="33"/>
        </w:numPr>
        <w:spacing w:after="120"/>
        <w:contextualSpacing w:val="0"/>
      </w:pPr>
      <w:r>
        <w:t>t</w:t>
      </w:r>
      <w:r w:rsidRPr="004527F6">
        <w:t xml:space="preserve">he relative ease of access </w:t>
      </w:r>
      <w:r>
        <w:t xml:space="preserve">to the proposal site </w:t>
      </w:r>
      <w:r w:rsidRPr="004527F6">
        <w:t>rather than distance</w:t>
      </w:r>
      <w:r w:rsidRPr="004527F6">
        <w:rPr>
          <w:rStyle w:val="FootnoteReference"/>
        </w:rPr>
        <w:footnoteReference w:id="96"/>
      </w:r>
    </w:p>
    <w:p w:rsidR="00E95B6B" w:rsidRPr="004527F6" w:rsidRDefault="00E95B6B" w:rsidP="007D1909">
      <w:pPr>
        <w:pStyle w:val="ListParagraph"/>
        <w:numPr>
          <w:ilvl w:val="0"/>
          <w:numId w:val="33"/>
        </w:numPr>
        <w:spacing w:after="120"/>
        <w:contextualSpacing w:val="0"/>
      </w:pPr>
      <w:r>
        <w:t>t</w:t>
      </w:r>
      <w:r w:rsidRPr="004527F6">
        <w:t>he hours of operation of the identified gambling sensitive use in relation to the hours of operation of the gaming venue</w:t>
      </w:r>
      <w:r w:rsidRPr="00DF4666">
        <w:rPr>
          <w:rStyle w:val="FootnoteReference"/>
        </w:rPr>
        <w:t xml:space="preserve"> </w:t>
      </w:r>
      <w:r w:rsidRPr="004527F6">
        <w:rPr>
          <w:rStyle w:val="FootnoteReference"/>
        </w:rPr>
        <w:footnoteReference w:id="97"/>
      </w:r>
      <w:r>
        <w:t xml:space="preserve"> </w:t>
      </w:r>
    </w:p>
    <w:p w:rsidR="00E95B6B" w:rsidRPr="004527F6" w:rsidRDefault="00E95B6B" w:rsidP="007D1909">
      <w:pPr>
        <w:pStyle w:val="ListParagraph"/>
        <w:numPr>
          <w:ilvl w:val="0"/>
          <w:numId w:val="33"/>
        </w:numPr>
        <w:spacing w:after="120"/>
        <w:contextualSpacing w:val="0"/>
      </w:pPr>
      <w:r>
        <w:t>w</w:t>
      </w:r>
      <w:r w:rsidRPr="004527F6">
        <w:t>hether there is an existing gaming venue that is more accessible in terms of distance and exposure to the gaming sensitive use.</w:t>
      </w:r>
      <w:r w:rsidRPr="004527F6">
        <w:rPr>
          <w:rStyle w:val="FootnoteReference"/>
        </w:rPr>
        <w:footnoteReference w:id="98"/>
      </w:r>
    </w:p>
    <w:p w:rsidR="00E95B6B" w:rsidRDefault="00E95B6B" w:rsidP="00E95B6B">
      <w:pPr>
        <w:ind w:left="360"/>
      </w:pPr>
      <w:r w:rsidRPr="004527F6">
        <w:t>The typical threshold that is used to assess the location of the venue and EGMs in relation to gam</w:t>
      </w:r>
      <w:r>
        <w:t>bl</w:t>
      </w:r>
      <w:r w:rsidRPr="004527F6">
        <w:t xml:space="preserve">ing sensitive uses </w:t>
      </w:r>
      <w:r>
        <w:t xml:space="preserve">and people at an elevated risk of gambling-related harm </w:t>
      </w:r>
      <w:r w:rsidRPr="004527F6">
        <w:t>is 400m.</w:t>
      </w:r>
      <w:r w:rsidRPr="00947686">
        <w:rPr>
          <w:rStyle w:val="FootnoteReference"/>
        </w:rPr>
        <w:t xml:space="preserve"> </w:t>
      </w:r>
      <w:r w:rsidRPr="004527F6">
        <w:rPr>
          <w:rStyle w:val="FootnoteReference"/>
        </w:rPr>
        <w:footnoteReference w:id="99"/>
      </w:r>
    </w:p>
    <w:p w:rsidR="003D1F93" w:rsidRDefault="003D1F93" w:rsidP="00E95B6B">
      <w:pPr>
        <w:ind w:left="360"/>
      </w:pPr>
      <w:r>
        <w:t>The Tribunal typically dismisses land uses</w:t>
      </w:r>
      <w:r w:rsidRPr="004527F6">
        <w:t xml:space="preserve"> from the list of gambling sensitive </w:t>
      </w:r>
      <w:r>
        <w:t>if there is</w:t>
      </w:r>
      <w:r w:rsidRPr="004527F6">
        <w:t xml:space="preserve"> a lack of clear evidence of a link with </w:t>
      </w:r>
      <w:r>
        <w:t>gambling-related harm e.g.</w:t>
      </w:r>
      <w:r w:rsidRPr="004527F6">
        <w:t xml:space="preserve"> schools, kindergartens, libraries, medical centres, sports and recreation centres</w:t>
      </w:r>
      <w:r>
        <w:t xml:space="preserve"> and</w:t>
      </w:r>
      <w:r w:rsidRPr="004527F6">
        <w:t xml:space="preserve"> public open spaces. This is likely due to the fact that these uses are more closely associated with convenience gaming than they are with vulnerable communities.</w:t>
      </w:r>
    </w:p>
    <w:p w:rsidR="003D1F93" w:rsidRDefault="003D1F93" w:rsidP="007D1909">
      <w:pPr>
        <w:pStyle w:val="ListParagraph"/>
        <w:numPr>
          <w:ilvl w:val="0"/>
          <w:numId w:val="32"/>
        </w:numPr>
        <w:spacing w:after="120"/>
        <w:contextualSpacing w:val="0"/>
      </w:pPr>
      <w:r w:rsidRPr="0081165C">
        <w:rPr>
          <w:u w:val="single"/>
        </w:rPr>
        <w:t>Location in relation to non-gaming social, leisure, entertainment and recreation uses</w:t>
      </w:r>
      <w:r>
        <w:rPr>
          <w:u w:val="single"/>
        </w:rPr>
        <w:t xml:space="preserve"> </w:t>
      </w:r>
      <w:r>
        <w:t>The availability of non-gaming facilities and activities in the area surrounding the gaming venue is considered by the Tribunal</w:t>
      </w:r>
      <w:r>
        <w:rPr>
          <w:rStyle w:val="FootnoteReference"/>
        </w:rPr>
        <w:footnoteReference w:id="100"/>
      </w:r>
      <w:r>
        <w:t xml:space="preserve"> to be a protective factor as it provides patrons and visitors with an option to engage in alternative non-gaming social, recreational and leisure activities. This is due to the fact that the absence of alternative social, entertainment leisure </w:t>
      </w:r>
      <w:r w:rsidRPr="00504B02">
        <w:t xml:space="preserve">activities may make people feel isolated or lonely and reduce </w:t>
      </w:r>
      <w:r>
        <w:t>the potential for people to choose</w:t>
      </w:r>
      <w:r w:rsidRPr="00504B02">
        <w:t xml:space="preserve"> to engage in healthy pursuits. These factors may </w:t>
      </w:r>
      <w:r>
        <w:t>encourage people to engage in gambling-</w:t>
      </w:r>
      <w:r w:rsidRPr="00504B02">
        <w:t xml:space="preserve">related activities </w:t>
      </w:r>
      <w:r>
        <w:t>which in turn may</w:t>
      </w:r>
      <w:r w:rsidRPr="00504B02">
        <w:t xml:space="preserve"> increase the risk of </w:t>
      </w:r>
      <w:r>
        <w:t>gambling-related harm</w:t>
      </w:r>
      <w:r w:rsidRPr="00504B02">
        <w:rPr>
          <w:rStyle w:val="FootnoteReference"/>
        </w:rPr>
        <w:footnoteReference w:id="101"/>
      </w:r>
      <w:r w:rsidRPr="00504B02">
        <w:t>, particularly in rural or remote areas where access to alternative non-gaming activities is particularly limited.</w:t>
      </w:r>
      <w:r w:rsidRPr="00524FB9">
        <w:rPr>
          <w:rStyle w:val="FootnoteReference"/>
        </w:rPr>
        <w:t xml:space="preserve"> </w:t>
      </w:r>
      <w:r w:rsidRPr="00504B02">
        <w:rPr>
          <w:rStyle w:val="FootnoteReference"/>
        </w:rPr>
        <w:footnoteReference w:id="102"/>
      </w:r>
    </w:p>
    <w:p w:rsidR="003D1F93" w:rsidRDefault="003D1F93" w:rsidP="003D1F93">
      <w:pPr>
        <w:ind w:left="360"/>
      </w:pPr>
      <w:r w:rsidRPr="00504B02">
        <w:t>For this reason, activity centres are considered by the State Planning Policy Framework</w:t>
      </w:r>
      <w:r>
        <w:t xml:space="preserve"> </w:t>
      </w:r>
      <w:r w:rsidRPr="00504B02">
        <w:t>to be the preferred location for gaming venues</w:t>
      </w:r>
      <w:r>
        <w:t xml:space="preserve"> as they have the greatest potential to contain the widest range of non-gaming social, leisure, entertainment and recreational uses, and are more likely to have the capacity to incorporate a facility that functions as a destination gaming venue</w:t>
      </w:r>
      <w:r w:rsidRPr="00504B02">
        <w:t>.</w:t>
      </w:r>
      <w:r>
        <w:t xml:space="preserve"> However, </w:t>
      </w:r>
      <w:r w:rsidRPr="00504B02">
        <w:t>during the assessment of whether or not a particular activity centre would be appropriate for a new gaming venue, the Tribunal concluded that there is no imperative to provide gaming opportunities in all neighbourhoods.</w:t>
      </w:r>
      <w:r w:rsidRPr="00524FB9">
        <w:rPr>
          <w:rStyle w:val="FootnoteReference"/>
          <w:rFonts w:eastAsiaTheme="minorHAnsi"/>
        </w:rPr>
        <w:t xml:space="preserve"> </w:t>
      </w:r>
      <w:r w:rsidRPr="00504B02">
        <w:rPr>
          <w:rStyle w:val="FootnoteReference"/>
          <w:rFonts w:eastAsiaTheme="minorHAnsi"/>
        </w:rPr>
        <w:footnoteReference w:id="103"/>
      </w:r>
      <w:r w:rsidRPr="00504B02">
        <w:t xml:space="preserve"> This suggests that the principle that </w:t>
      </w:r>
      <w:r>
        <w:t xml:space="preserve">activity centres are the preferred location for </w:t>
      </w:r>
      <w:r w:rsidRPr="00504B02">
        <w:t xml:space="preserve">gaming venues serves only to give guidance as to the location of the gaming venue </w:t>
      </w:r>
      <w:r w:rsidR="00CE10E5">
        <w:t>(such as</w:t>
      </w:r>
      <w:r>
        <w:t xml:space="preserve"> </w:t>
      </w:r>
      <w:r w:rsidR="00A27A3D">
        <w:t xml:space="preserve">outside the </w:t>
      </w:r>
      <w:r>
        <w:t xml:space="preserve">core of activity centres) </w:t>
      </w:r>
      <w:r w:rsidRPr="00504B02">
        <w:t>and does not necessarily give universal support for the location of gaming venues in all activity centres.</w:t>
      </w:r>
      <w:r>
        <w:t xml:space="preserve"> This is due to the following factors:</w:t>
      </w:r>
    </w:p>
    <w:p w:rsidR="003D1F93" w:rsidRDefault="003D1F93" w:rsidP="007D1909">
      <w:pPr>
        <w:pStyle w:val="ListParagraph"/>
        <w:numPr>
          <w:ilvl w:val="0"/>
          <w:numId w:val="34"/>
        </w:numPr>
        <w:spacing w:after="120"/>
        <w:ind w:left="1080"/>
        <w:contextualSpacing w:val="0"/>
      </w:pPr>
      <w:r>
        <w:t>It is not possible to predict the extent to which non-gaming entertainment uses will be available in growth areas which are not yet established. This is due to the fact that the staging of development and provision of facilities will, to some extent, be influenced by market forces as well as the provisions of a precinct structure plan. Some precinct structure plans clearly identify suitable locations for taverns, and include a vision to maximise access to a range of entertainment, leisure and social activities. However, this should not be interpreted as de facto approval of a gaming premises, as other factors such as location and mix of land uses in the surrounding area may preclude that particular tavern from being an appropriate venue for a gaming premise.</w:t>
      </w:r>
    </w:p>
    <w:p w:rsidR="003D1F93" w:rsidRDefault="003D1F93" w:rsidP="007D1909">
      <w:pPr>
        <w:pStyle w:val="ListParagraph"/>
        <w:numPr>
          <w:ilvl w:val="0"/>
          <w:numId w:val="34"/>
        </w:numPr>
        <w:spacing w:after="120"/>
        <w:ind w:left="1080"/>
        <w:contextualSpacing w:val="0"/>
      </w:pPr>
      <w:r>
        <w:t>The availability of alternative social, leisure and recreational activities within an activity centre can only be considered to be a protective factor if they are open at the same time as the gaming lounge. For this reason, the operating hours of these facilities are often taken into account by the Tribunal when determining the extent to which they do in fact act as a protective factor.</w:t>
      </w:r>
      <w:r>
        <w:rPr>
          <w:rStyle w:val="FootnoteReference"/>
        </w:rPr>
        <w:footnoteReference w:id="104"/>
      </w:r>
      <w:r>
        <w:t xml:space="preserve"> </w:t>
      </w:r>
    </w:p>
    <w:p w:rsidR="003D1F93" w:rsidRDefault="003D1F93" w:rsidP="003D1F93">
      <w:pPr>
        <w:pStyle w:val="Heading4"/>
      </w:pPr>
      <w:r>
        <w:t>Travelling distance</w:t>
      </w:r>
    </w:p>
    <w:p w:rsidR="003D1F93" w:rsidRDefault="003D1F93" w:rsidP="003D1F93">
      <w:r>
        <w:rPr>
          <w:rFonts w:cs="Arial"/>
        </w:rPr>
        <w:t>O</w:t>
      </w:r>
      <w:r w:rsidRPr="00E637AC">
        <w:rPr>
          <w:rFonts w:cs="Arial"/>
        </w:rPr>
        <w:t>verall trends indicate that most people do not travel very far to access venues</w:t>
      </w:r>
      <w:r>
        <w:rPr>
          <w:rFonts w:cs="Arial"/>
        </w:rPr>
        <w:t xml:space="preserve"> with most patrons living</w:t>
      </w:r>
      <w:r>
        <w:t xml:space="preserve"> within the general or immediate vicinity of the venue.</w:t>
      </w:r>
      <w:r w:rsidRPr="003B0C0B">
        <w:rPr>
          <w:rStyle w:val="FootnoteReference"/>
        </w:rPr>
        <w:t xml:space="preserve"> </w:t>
      </w:r>
      <w:r>
        <w:rPr>
          <w:rStyle w:val="FootnoteReference"/>
        </w:rPr>
        <w:footnoteReference w:id="105"/>
      </w:r>
      <w:r>
        <w:t xml:space="preserve"> Previous research has found that found that:</w:t>
      </w:r>
      <w:r w:rsidRPr="00B207E0">
        <w:rPr>
          <w:rStyle w:val="FootnoteReference"/>
          <w:rFonts w:cs="Arial"/>
        </w:rPr>
        <w:t xml:space="preserve"> </w:t>
      </w:r>
      <w:r w:rsidRPr="00E637AC">
        <w:rPr>
          <w:rStyle w:val="FootnoteReference"/>
          <w:rFonts w:cs="Arial"/>
        </w:rPr>
        <w:footnoteReference w:id="106"/>
      </w:r>
    </w:p>
    <w:p w:rsidR="003D1F93" w:rsidRDefault="003D1F93" w:rsidP="007D1909">
      <w:pPr>
        <w:pStyle w:val="ListParagraph"/>
        <w:numPr>
          <w:ilvl w:val="0"/>
          <w:numId w:val="35"/>
        </w:numPr>
        <w:spacing w:after="120"/>
        <w:contextualSpacing w:val="0"/>
      </w:pPr>
      <w:r>
        <w:t>A significant proportion of people (82.7%) of people travelled from ho</w:t>
      </w:r>
      <w:r w:rsidR="00397893">
        <w:t>me to the most recent EGM venue</w:t>
      </w:r>
    </w:p>
    <w:p w:rsidR="003D1F93" w:rsidRDefault="003D1F93" w:rsidP="007D1909">
      <w:pPr>
        <w:pStyle w:val="ListParagraph"/>
        <w:numPr>
          <w:ilvl w:val="0"/>
          <w:numId w:val="35"/>
        </w:numPr>
        <w:spacing w:after="120"/>
        <w:contextualSpacing w:val="0"/>
      </w:pPr>
      <w:r w:rsidRPr="00D929FF">
        <w:t>57.3% of EGM gamblers travell</w:t>
      </w:r>
      <w:r>
        <w:t>ed</w:t>
      </w:r>
      <w:r w:rsidRPr="00D929FF">
        <w:t xml:space="preserve"> less than 5 km to the venue that they had most recently visited, with most of these people (32.3%) travelling less than 2.5km</w:t>
      </w:r>
    </w:p>
    <w:p w:rsidR="003D1F93" w:rsidRDefault="003D1F93" w:rsidP="007D1909">
      <w:pPr>
        <w:pStyle w:val="ListParagraph"/>
        <w:numPr>
          <w:ilvl w:val="0"/>
          <w:numId w:val="35"/>
        </w:numPr>
        <w:spacing w:after="120"/>
        <w:contextualSpacing w:val="0"/>
      </w:pPr>
      <w:r w:rsidRPr="00D929FF">
        <w:t xml:space="preserve">40.7% </w:t>
      </w:r>
      <w:r>
        <w:t xml:space="preserve">of EGM gamblers </w:t>
      </w:r>
      <w:r w:rsidRPr="00D929FF">
        <w:t>travel more than 5km, of which 10.1% travelled more than 20km</w:t>
      </w:r>
    </w:p>
    <w:p w:rsidR="003D1F93" w:rsidRDefault="003D1F93" w:rsidP="007D1909">
      <w:pPr>
        <w:pStyle w:val="ListParagraph"/>
        <w:numPr>
          <w:ilvl w:val="0"/>
          <w:numId w:val="35"/>
        </w:numPr>
        <w:spacing w:after="120"/>
        <w:contextualSpacing w:val="0"/>
      </w:pPr>
      <w:r>
        <w:t>Similar proportions of people living in metropolitan (59%) and non-metropolitan regions (57.1%) trave</w:t>
      </w:r>
      <w:r w:rsidR="00397893">
        <w:t>lled less than 5km to a gaming</w:t>
      </w:r>
      <w:r w:rsidR="006536B7">
        <w:t xml:space="preserve"> venue</w:t>
      </w:r>
    </w:p>
    <w:p w:rsidR="003D1F93" w:rsidRPr="00D929FF" w:rsidRDefault="003D1F93" w:rsidP="007D1909">
      <w:pPr>
        <w:pStyle w:val="ListParagraph"/>
        <w:numPr>
          <w:ilvl w:val="0"/>
          <w:numId w:val="35"/>
        </w:numPr>
        <w:spacing w:after="120"/>
        <w:contextualSpacing w:val="0"/>
      </w:pPr>
      <w:r>
        <w:t>People living in non-metropolitan regions were significantly more likely to travel more than 20km to a gaming venue (21%) than those living in metropolitan regions (6.5%)</w:t>
      </w:r>
      <w:r w:rsidRPr="00D929FF">
        <w:t>.</w:t>
      </w:r>
    </w:p>
    <w:p w:rsidR="003D1F93" w:rsidRPr="00E637AC" w:rsidRDefault="003D1F93" w:rsidP="003D1F93">
      <w:pPr>
        <w:pStyle w:val="Heading4"/>
      </w:pPr>
      <w:r w:rsidRPr="005C72D0">
        <w:t xml:space="preserve">Density </w:t>
      </w:r>
    </w:p>
    <w:p w:rsidR="003D1F93" w:rsidRDefault="003D1F93" w:rsidP="003D1F93">
      <w:r w:rsidRPr="00E637AC">
        <w:t xml:space="preserve">EGM density </w:t>
      </w:r>
      <w:r w:rsidR="00CE10E5">
        <w:t>(</w:t>
      </w:r>
      <w:r w:rsidRPr="00E637AC">
        <w:t>the number of EGM</w:t>
      </w:r>
      <w:r>
        <w:t xml:space="preserve"> entitlements</w:t>
      </w:r>
      <w:r w:rsidRPr="00E637AC">
        <w:t xml:space="preserve"> per 1,000 adults</w:t>
      </w:r>
      <w:r w:rsidR="00CE10E5">
        <w:t>)</w:t>
      </w:r>
      <w:r>
        <w:t>,</w:t>
      </w:r>
      <w:r w:rsidRPr="00E637AC">
        <w:t xml:space="preserve"> is used as a measure of the relative accessibility of EGMs.</w:t>
      </w:r>
      <w:r w:rsidR="00CE10E5">
        <w:t xml:space="preserve"> This figure</w:t>
      </w:r>
      <w:r>
        <w:t xml:space="preserve"> is positively associated with higher per capita gaming expenditure, socio-economic disadvantage and gambling-related harm.</w:t>
      </w:r>
      <w:r>
        <w:rPr>
          <w:rStyle w:val="FootnoteReference"/>
        </w:rPr>
        <w:footnoteReference w:id="107"/>
      </w:r>
      <w:r>
        <w:t xml:space="preserve"> As a result d</w:t>
      </w:r>
      <w:r w:rsidRPr="00E637AC">
        <w:t xml:space="preserve">ensity of </w:t>
      </w:r>
      <w:r>
        <w:t>EGM entitlements</w:t>
      </w:r>
      <w:r w:rsidRPr="00E637AC">
        <w:t xml:space="preserve"> is one of the three factors used to assess a potential impact of an increase in EGMs on </w:t>
      </w:r>
      <w:r>
        <w:t>gambling-related harm</w:t>
      </w:r>
      <w:r w:rsidRPr="00E637AC">
        <w:t>.</w:t>
      </w:r>
    </w:p>
    <w:p w:rsidR="003D1F93" w:rsidRPr="00E637AC" w:rsidRDefault="00B630F9" w:rsidP="003D1F93">
      <w:bookmarkStart w:id="120" w:name="_Hlk482961634"/>
      <w:r>
        <w:t>T</w:t>
      </w:r>
      <w:r w:rsidR="003D1F93">
        <w:t>he</w:t>
      </w:r>
      <w:r w:rsidR="003D1F93" w:rsidRPr="00794667">
        <w:t xml:space="preserve"> </w:t>
      </w:r>
      <w:r w:rsidR="003D1F93" w:rsidRPr="00E637AC">
        <w:t>Victorian Government has imposed a municipal cap of 10 EGM</w:t>
      </w:r>
      <w:r w:rsidR="003D1F93">
        <w:t xml:space="preserve"> entitlements</w:t>
      </w:r>
      <w:r w:rsidR="003D1F93" w:rsidRPr="00E637AC">
        <w:t xml:space="preserve"> per 1,000 adults, and a regional cap for those local governments that are considered to be at risk of </w:t>
      </w:r>
      <w:r w:rsidR="003D1F93">
        <w:t>gambling-related harm,</w:t>
      </w:r>
      <w:r w:rsidR="003D1F93" w:rsidRPr="00E637AC">
        <w:t xml:space="preserve"> due to high densities of EGMs, high expenditure and concentrations of socio-economic disadvantage.</w:t>
      </w:r>
    </w:p>
    <w:bookmarkEnd w:id="120"/>
    <w:p w:rsidR="003D1F93" w:rsidRPr="00E637AC" w:rsidRDefault="003D1F93" w:rsidP="003D1F93">
      <w:r>
        <w:t xml:space="preserve">Research into the </w:t>
      </w:r>
      <w:r w:rsidRPr="00E637AC">
        <w:t>effectiveness of the regional caps</w:t>
      </w:r>
      <w:r w:rsidRPr="00E637AC">
        <w:rPr>
          <w:rStyle w:val="FootnoteReference"/>
        </w:rPr>
        <w:footnoteReference w:id="108"/>
      </w:r>
      <w:r>
        <w:t xml:space="preserve"> found that</w:t>
      </w:r>
      <w:r w:rsidRPr="00E637AC">
        <w:t xml:space="preserve"> in only a few cases there was evidence that the regional caps reduced the level of gaming expenditure at specific venues in the capped region and there was no evidence that the caps affected gaming expenditure in the adjoining municipalities. The review did find, however, that the ban on smoking significantly reduced expenditures, particularly in the metropolitan areas</w:t>
      </w:r>
      <w:r>
        <w:t>,</w:t>
      </w:r>
      <w:r w:rsidRPr="00E637AC">
        <w:t xml:space="preserve"> but not necessarily in the capped regions. </w:t>
      </w:r>
    </w:p>
    <w:p w:rsidR="003D1F93" w:rsidRPr="00E637AC" w:rsidRDefault="003D1F93" w:rsidP="003D1F93">
      <w:r w:rsidRPr="00E637AC">
        <w:t xml:space="preserve">This suggests that, although a reduction in the density of EGMs may have had an impact on overall expenditure and expenditure per adult, there are likely to be factors </w:t>
      </w:r>
      <w:r>
        <w:t>other than EGM density that contribute to gambling-related harm.</w:t>
      </w:r>
      <w:r w:rsidRPr="00E637AC">
        <w:t xml:space="preserve"> </w:t>
      </w:r>
      <w:r>
        <w:t>This view is likely to explain why the weight given by the Tribunal and Commission to density of EGMs per 1,000 adults and number of venues per adult in assessing potential impacts is inconsistent. In some instances p</w:t>
      </w:r>
      <w:r w:rsidRPr="000F0937">
        <w:t>lanning permits and gaming licences</w:t>
      </w:r>
      <w:r>
        <w:t xml:space="preserve"> have been approved</w:t>
      </w:r>
      <w:r w:rsidRPr="000F0937">
        <w:t xml:space="preserve"> in communities displaying </w:t>
      </w:r>
      <w:r>
        <w:t xml:space="preserve">significant levels of socio-economic </w:t>
      </w:r>
      <w:r w:rsidRPr="000F0937">
        <w:t>disadvantage on the basis that they already are already exposed to gaming venues and therefore have ready access to EGMs</w:t>
      </w:r>
      <w:r>
        <w:t>.</w:t>
      </w:r>
      <w:r w:rsidRPr="000F0937">
        <w:rPr>
          <w:rStyle w:val="FootnoteReference"/>
        </w:rPr>
        <w:footnoteReference w:id="109"/>
      </w:r>
      <w:r>
        <w:t xml:space="preserve"> </w:t>
      </w:r>
      <w:r w:rsidRPr="000F0937">
        <w:t>However, in other instances the Tribunal has determined that increasing accessibility within communities displaying high levels of disadvantage would lead to a poor planning decision</w:t>
      </w:r>
      <w:r>
        <w:t xml:space="preserve"> due to its potential to exacerbate the risks and impacts of gambling-related harm</w:t>
      </w:r>
      <w:r w:rsidRPr="000F0937">
        <w:t>.</w:t>
      </w:r>
      <w:r w:rsidRPr="0075019A">
        <w:rPr>
          <w:rStyle w:val="FootnoteReference"/>
        </w:rPr>
        <w:t xml:space="preserve"> </w:t>
      </w:r>
      <w:r w:rsidRPr="000F0937">
        <w:rPr>
          <w:rStyle w:val="FootnoteReference"/>
        </w:rPr>
        <w:footnoteReference w:id="110"/>
      </w:r>
    </w:p>
    <w:p w:rsidR="003D1F93" w:rsidRDefault="003D1F93" w:rsidP="003D1F93">
      <w:pPr>
        <w:pStyle w:val="Heading4"/>
      </w:pPr>
      <w:r>
        <w:t>Spatial distribution and clustering</w:t>
      </w:r>
    </w:p>
    <w:p w:rsidR="003D1F93" w:rsidRPr="00E637AC" w:rsidRDefault="003D1F93" w:rsidP="003D1F93">
      <w:r w:rsidRPr="005130D3">
        <w:t xml:space="preserve">The location of existing and future </w:t>
      </w:r>
      <w:r>
        <w:t xml:space="preserve">gaming </w:t>
      </w:r>
      <w:r w:rsidRPr="005130D3">
        <w:t xml:space="preserve">venues in relation to each other is a further aspect of accessibility and availability. </w:t>
      </w:r>
      <w:r>
        <w:t>Research has found that moderate risk and problem gamblers are more likely to visit multiple (typically three or more) venues than non-problem gamblers and low risk gamblers</w:t>
      </w:r>
      <w:r>
        <w:rPr>
          <w:rStyle w:val="FootnoteReference"/>
        </w:rPr>
        <w:footnoteReference w:id="111"/>
      </w:r>
      <w:r>
        <w:t>. It is therefore possible that the clustering of gaming machines within easy walking distance from one another or residential areas may facilitate the migration of patrons between venues, contributing to gambling-related harm.</w:t>
      </w:r>
    </w:p>
    <w:p w:rsidR="003D1F93" w:rsidRDefault="003D1F93" w:rsidP="003D1F93">
      <w:r>
        <w:t>As a result, the proximity of venues to one another, often referred to as ‘clustering’, has therefore been noted by the Tribunal</w:t>
      </w:r>
      <w:r>
        <w:rPr>
          <w:rStyle w:val="FootnoteReference"/>
        </w:rPr>
        <w:footnoteReference w:id="112"/>
      </w:r>
      <w:r>
        <w:t xml:space="preserve"> and the Panel</w:t>
      </w:r>
      <w:r>
        <w:rPr>
          <w:rStyle w:val="FootnoteReference"/>
        </w:rPr>
        <w:footnoteReference w:id="113"/>
      </w:r>
      <w:r>
        <w:t xml:space="preserve"> as a planning consideration as it may encourage movement of problem gamblers between venues which may in turn result in convenience gambling. Furthermore, the Panel identified the potential for a cluster of venues to alter the character and function of an area, both of which are planning considerations relating to the appropriateness of the proposal to the surrounding land uses.</w:t>
      </w:r>
      <w:r w:rsidRPr="005125C2">
        <w:rPr>
          <w:rStyle w:val="FootnoteReference"/>
        </w:rPr>
        <w:t xml:space="preserve"> </w:t>
      </w:r>
      <w:r>
        <w:rPr>
          <w:rStyle w:val="FootnoteReference"/>
        </w:rPr>
        <w:footnoteReference w:id="114"/>
      </w:r>
    </w:p>
    <w:p w:rsidR="003D1F93" w:rsidRDefault="003D1F93" w:rsidP="003D1F93">
      <w:pPr>
        <w:pStyle w:val="Heading4"/>
      </w:pPr>
      <w:r>
        <w:t>Exposure</w:t>
      </w:r>
    </w:p>
    <w:p w:rsidR="003D1F93" w:rsidRPr="00773127" w:rsidRDefault="003D1F93" w:rsidP="003D1F93">
      <w:r>
        <w:t xml:space="preserve">Gaming venues that are highly visible may increase exposure to opportunities to gamble and encourage spontaneous decisions to gamble. Visibility is determined by a number of factors including location and signage. Gaming venues that are located at gateways to town centres, along major arterials, or in areas where there is a high volume of pedestrian movement are highly visible to passersby. The </w:t>
      </w:r>
      <w:r>
        <w:rPr>
          <w:i/>
        </w:rPr>
        <w:t xml:space="preserve">Gambling Regulation Act 2003 </w:t>
      </w:r>
      <w:r>
        <w:t>permits venue operators to display a maximum of one gaming machine related sign on their venues which may draw attention to the availability of gaming machines for gaming. An additional sign may be displayed if the venue has more than one street frontage. In most instances, a planning permit is not required to replace existing signage.</w:t>
      </w:r>
    </w:p>
    <w:p w:rsidR="003D1F93" w:rsidRPr="00E637AC" w:rsidRDefault="003D1F93" w:rsidP="003D1F93">
      <w:r w:rsidRPr="00E637AC">
        <w:t>Advertising of EGM venues increases the community’s awareness of the availability of opportunities to gamble and has been recognised as potentially encouraging harmful gambling behaviour</w:t>
      </w:r>
      <w:r w:rsidRPr="00E637AC">
        <w:rPr>
          <w:rStyle w:val="FootnoteReference"/>
        </w:rPr>
        <w:footnoteReference w:id="115"/>
      </w:r>
      <w:r w:rsidRPr="00E637AC">
        <w:t>. As a result</w:t>
      </w:r>
      <w:r>
        <w:t>,</w:t>
      </w:r>
      <w:r w:rsidRPr="00E637AC">
        <w:t xml:space="preserve"> the advertising and marketing of EGMs and venues is strictly controlled by the State government</w:t>
      </w:r>
      <w:r>
        <w:t xml:space="preserve"> (refer to Section </w:t>
      </w:r>
      <w:r w:rsidR="00D9712C">
        <w:t>5.6</w:t>
      </w:r>
      <w:r>
        <w:t>)</w:t>
      </w:r>
      <w:r w:rsidRPr="00E637AC">
        <w:t xml:space="preserve">. Although the </w:t>
      </w:r>
      <w:r w:rsidRPr="00635AE4">
        <w:rPr>
          <w:i/>
        </w:rPr>
        <w:t>Gambling Regulation Act 2003</w:t>
      </w:r>
      <w:r w:rsidRPr="00E637AC">
        <w:t xml:space="preserve"> prohibits the publishing of </w:t>
      </w:r>
      <w:r>
        <w:t>EGM</w:t>
      </w:r>
      <w:r w:rsidRPr="00E637AC">
        <w:t xml:space="preserve"> advertising outside the venue, venue operators are permitted to advertise directly </w:t>
      </w:r>
      <w:r>
        <w:t xml:space="preserve">to </w:t>
      </w:r>
      <w:r w:rsidRPr="00E637AC">
        <w:t>participants in a loyalty scheme or to people who ask to receive gaming machine advertising.</w:t>
      </w:r>
    </w:p>
    <w:p w:rsidR="003D1F93" w:rsidRDefault="003D1F93" w:rsidP="003D1F93">
      <w:r>
        <w:t xml:space="preserve">In recent years there has been an increase in sports betting across mass media channels, with gambling agencies being permitted to advertise before, after and during scheduled breaks in all live sport and sporting programs. This is as a result of a High Court ruling on sports betting advertising in 2008 that reduced the capacity of state legislation to regulate advertising at the state level, technological changes and a growth in the use of social media and the infiltration of international operators into the local gambling market. </w:t>
      </w:r>
      <w:r w:rsidRPr="00721EA2">
        <w:rPr>
          <w:rFonts w:cs="Arial"/>
        </w:rPr>
        <w:t xml:space="preserve">Exposure to gambling </w:t>
      </w:r>
      <w:r>
        <w:rPr>
          <w:rFonts w:cs="Arial"/>
        </w:rPr>
        <w:t xml:space="preserve">among young people </w:t>
      </w:r>
      <w:r w:rsidRPr="00721EA2">
        <w:rPr>
          <w:rFonts w:cs="Arial"/>
        </w:rPr>
        <w:t>via advertising and promotions</w:t>
      </w:r>
      <w:r>
        <w:rPr>
          <w:rFonts w:cs="Arial"/>
        </w:rPr>
        <w:t xml:space="preserve"> across all media, through sponsorships and in public places</w:t>
      </w:r>
      <w:r w:rsidRPr="00721EA2">
        <w:rPr>
          <w:rFonts w:cs="Arial"/>
        </w:rPr>
        <w:t xml:space="preserve"> </w:t>
      </w:r>
      <w:r>
        <w:rPr>
          <w:rFonts w:cs="Arial"/>
        </w:rPr>
        <w:t xml:space="preserve">makes gambling more socially acceptable, increasing the risks of gambling-related harm, particularly among young people. </w:t>
      </w:r>
      <w:r>
        <w:rPr>
          <w:rStyle w:val="FootnoteReference"/>
          <w:rFonts w:cs="Arial"/>
        </w:rPr>
        <w:footnoteReference w:id="116"/>
      </w:r>
      <w:r>
        <w:rPr>
          <w:rFonts w:cs="Arial"/>
        </w:rPr>
        <w:t>,</w:t>
      </w:r>
      <w:r>
        <w:rPr>
          <w:rStyle w:val="FootnoteReference"/>
        </w:rPr>
        <w:footnoteReference w:id="117"/>
      </w:r>
    </w:p>
    <w:p w:rsidR="003D1F93" w:rsidRDefault="003D1F93" w:rsidP="003D1F93">
      <w:pPr>
        <w:pStyle w:val="Heading3"/>
      </w:pPr>
      <w:r>
        <w:t>Gambling environment</w:t>
      </w:r>
    </w:p>
    <w:p w:rsidR="003D1F93" w:rsidRDefault="003D1F93" w:rsidP="003D1F93">
      <w:pPr>
        <w:pStyle w:val="Heading4"/>
      </w:pPr>
      <w:r>
        <w:t>Venue design</w:t>
      </w:r>
    </w:p>
    <w:p w:rsidR="003D1F93" w:rsidRDefault="003D1F93" w:rsidP="003D1F93">
      <w:r>
        <w:t>The design and layout of a gaming venue and gaming lounge have been recognised as a determinant of gambling-related harm. As a result, there are a number of regulations</w:t>
      </w:r>
      <w:r>
        <w:rPr>
          <w:rStyle w:val="FootnoteReference"/>
        </w:rPr>
        <w:footnoteReference w:id="118"/>
      </w:r>
      <w:r>
        <w:t xml:space="preserve"> relating to the location of the gaming lounge and children’s lay areas, lighting, the layout of the gaming machines within the gaming lounge, location of toilets and signage and access to natural light. The following principles apply:</w:t>
      </w:r>
    </w:p>
    <w:p w:rsidR="003D1F93" w:rsidRDefault="003D1F93" w:rsidP="007D1909">
      <w:pPr>
        <w:pStyle w:val="ListParagraph"/>
        <w:numPr>
          <w:ilvl w:val="0"/>
          <w:numId w:val="30"/>
        </w:numPr>
        <w:spacing w:after="120"/>
        <w:ind w:left="714" w:hanging="357"/>
        <w:contextualSpacing w:val="0"/>
      </w:pPr>
      <w:r>
        <w:t>As far as possible, the gaming machine area must be physically and visually discreet from the rest of the venue.</w:t>
      </w:r>
    </w:p>
    <w:p w:rsidR="003D1F93" w:rsidRDefault="003D1F93" w:rsidP="007D1909">
      <w:pPr>
        <w:pStyle w:val="ListParagraph"/>
        <w:numPr>
          <w:ilvl w:val="0"/>
          <w:numId w:val="30"/>
        </w:numPr>
        <w:spacing w:after="120"/>
        <w:ind w:left="714" w:hanging="357"/>
        <w:contextualSpacing w:val="0"/>
      </w:pPr>
      <w:r>
        <w:t>Visibility of the gaming lounge from children’s play areas must be minimised.</w:t>
      </w:r>
    </w:p>
    <w:p w:rsidR="003D1F93" w:rsidRDefault="003D1F93" w:rsidP="007D1909">
      <w:pPr>
        <w:pStyle w:val="ListParagraph"/>
        <w:numPr>
          <w:ilvl w:val="0"/>
          <w:numId w:val="30"/>
        </w:numPr>
        <w:spacing w:after="120"/>
        <w:ind w:left="714" w:hanging="357"/>
        <w:contextualSpacing w:val="0"/>
      </w:pPr>
      <w:r>
        <w:t>Gaming lounges must maximise access to natural light and display clocks.</w:t>
      </w:r>
    </w:p>
    <w:p w:rsidR="003D1F93" w:rsidRDefault="003D1F93" w:rsidP="007D1909">
      <w:pPr>
        <w:pStyle w:val="ListParagraph"/>
        <w:numPr>
          <w:ilvl w:val="0"/>
          <w:numId w:val="30"/>
        </w:numPr>
        <w:spacing w:after="120"/>
        <w:ind w:left="714" w:hanging="357"/>
        <w:contextualSpacing w:val="0"/>
      </w:pPr>
      <w:r>
        <w:t>The gaming venue must display relevant notices, signs and rules, including information relating to services for people experiencing gambling-related harm.</w:t>
      </w:r>
    </w:p>
    <w:p w:rsidR="003D1F93" w:rsidRDefault="003D1F93" w:rsidP="007D1909">
      <w:pPr>
        <w:pStyle w:val="ListParagraph"/>
        <w:numPr>
          <w:ilvl w:val="0"/>
          <w:numId w:val="30"/>
        </w:numPr>
        <w:spacing w:after="120"/>
        <w:ind w:left="714" w:hanging="357"/>
        <w:contextualSpacing w:val="0"/>
      </w:pPr>
      <w:r>
        <w:t>Surveillance of the gaming machines and gaming lounge must be possible.</w:t>
      </w:r>
    </w:p>
    <w:p w:rsidR="003D1F93" w:rsidRDefault="003D1F93" w:rsidP="007D1909">
      <w:pPr>
        <w:pStyle w:val="ListParagraph"/>
        <w:numPr>
          <w:ilvl w:val="0"/>
          <w:numId w:val="30"/>
        </w:numPr>
        <w:spacing w:after="120"/>
        <w:ind w:left="714" w:hanging="357"/>
        <w:contextualSpacing w:val="0"/>
      </w:pPr>
      <w:r>
        <w:t>ATMs are prohibited in gaming venues.</w:t>
      </w:r>
    </w:p>
    <w:p w:rsidR="003D1F93" w:rsidRPr="0087134A" w:rsidRDefault="003D1F93" w:rsidP="007D1909">
      <w:pPr>
        <w:pStyle w:val="ListParagraph"/>
        <w:numPr>
          <w:ilvl w:val="0"/>
          <w:numId w:val="30"/>
        </w:numPr>
        <w:spacing w:after="120"/>
        <w:ind w:left="714" w:hanging="357"/>
        <w:contextualSpacing w:val="0"/>
      </w:pPr>
      <w:r>
        <w:t>Advertising of gaming machines outside the gaming lounge is prohibited.</w:t>
      </w:r>
    </w:p>
    <w:p w:rsidR="003D1F93" w:rsidRDefault="003D1F93" w:rsidP="003D1F93">
      <w:pPr>
        <w:pStyle w:val="Heading4"/>
      </w:pPr>
      <w:r>
        <w:t>Venue type</w:t>
      </w:r>
    </w:p>
    <w:p w:rsidR="003D1F93" w:rsidRDefault="003D1F93" w:rsidP="003D1F93">
      <w:bookmarkStart w:id="121" w:name="_Hlk486347807"/>
      <w:r>
        <w:t>Clubs and hotels in Victoria offer multiple opportunities to gamble in a range of activities such as</w:t>
      </w:r>
      <w:r w:rsidRPr="00A40EB1">
        <w:t xml:space="preserve"> </w:t>
      </w:r>
      <w:r>
        <w:t xml:space="preserve">EGMs, sports betting, keno and bingo. </w:t>
      </w:r>
      <w:bookmarkEnd w:id="121"/>
      <w:r>
        <w:t>The following factors associated with this increase the community’s exposure to gambling.</w:t>
      </w:r>
    </w:p>
    <w:p w:rsidR="003D1F93" w:rsidRPr="00012065" w:rsidRDefault="003D1F93" w:rsidP="007D1909">
      <w:pPr>
        <w:pStyle w:val="ListParagraph"/>
        <w:numPr>
          <w:ilvl w:val="0"/>
          <w:numId w:val="28"/>
        </w:numPr>
        <w:spacing w:after="120"/>
        <w:contextualSpacing w:val="0"/>
      </w:pPr>
      <w:r w:rsidRPr="00012065">
        <w:t>Many of Victoria’s clubs and hotels predate the introduction of EGMs, with hotels often being located on the corners of major intersections, within walking distances of shopping strips and shopping centres and within close proximity to public transport.</w:t>
      </w:r>
    </w:p>
    <w:p w:rsidR="003D1F93" w:rsidRPr="00012065" w:rsidRDefault="003D1F93" w:rsidP="007D1909">
      <w:pPr>
        <w:pStyle w:val="ListParagraph"/>
        <w:numPr>
          <w:ilvl w:val="0"/>
          <w:numId w:val="28"/>
        </w:numPr>
        <w:spacing w:after="120"/>
        <w:contextualSpacing w:val="0"/>
        <w:rPr>
          <w:i/>
          <w:szCs w:val="20"/>
        </w:rPr>
      </w:pPr>
      <w:r w:rsidRPr="00012065">
        <w:t xml:space="preserve">In addition to providing a range of different activities and facilities, gaming venues offer attractions such as friendly staff, food and drinks at competitive prices and are often destinations selected by organisations offering social and leisure outings for groups, including older people and people belonging to a particular cultural or ethnic group such as the Veneto Club in Bulleen. Hotels often include drive-through bottle shops and provide other forms of gambling including Keno and TAB facilities or sports bars. They also provide bistros, children’s play areas and function rooms, which may be used for private functions or to offer live music and other forms of entertainment. The use of facilities and activities, including EGMs, is open to the general public as hotels do not typically involve memberships. Clubs often provide a wide range of social, leisure and entertainment activities, such as sports bingo and live entertainment, and include facilities such as, bars, shops, function rooms and sports facilities. </w:t>
      </w:r>
    </w:p>
    <w:p w:rsidR="003D1F93" w:rsidRPr="00012065" w:rsidRDefault="003D1F93" w:rsidP="007D1909">
      <w:pPr>
        <w:pStyle w:val="ListParagraph"/>
        <w:numPr>
          <w:ilvl w:val="0"/>
          <w:numId w:val="28"/>
        </w:numPr>
        <w:spacing w:after="120"/>
        <w:contextualSpacing w:val="0"/>
      </w:pPr>
      <w:r w:rsidRPr="00012065">
        <w:t>Gaming venues also offer general inducements such as free food, alcohol, drinks, transport, tickets to shows and product give-aways. Some inducements are specifically linked to gambling, such as gifts awarded when gamblers reach a certain number of points on their loyalty cards or jackpot nights, and coupons that can be converted into credits on gaming machines</w:t>
      </w:r>
      <w:r w:rsidRPr="00012065">
        <w:rPr>
          <w:rStyle w:val="FootnoteReference"/>
        </w:rPr>
        <w:footnoteReference w:id="119"/>
      </w:r>
      <w:r w:rsidRPr="00012065">
        <w:t xml:space="preserve">. The Productivity Commission found that some inducements such as free alcohol and participation in loyalty programs, are likely to lead to </w:t>
      </w:r>
      <w:r>
        <w:t>gambling-related harm</w:t>
      </w:r>
      <w:r w:rsidRPr="00012065">
        <w:t>, or exacerbate existing problems and should therefore be prohibited</w:t>
      </w:r>
      <w:r w:rsidRPr="00012065">
        <w:rPr>
          <w:rStyle w:val="FootnoteReference"/>
        </w:rPr>
        <w:footnoteReference w:id="120"/>
      </w:r>
      <w:r w:rsidRPr="00012065">
        <w:t>.</w:t>
      </w:r>
    </w:p>
    <w:p w:rsidR="003D1F93" w:rsidRDefault="003D1F93" w:rsidP="007D1909">
      <w:pPr>
        <w:pStyle w:val="ListParagraph"/>
        <w:numPr>
          <w:ilvl w:val="0"/>
          <w:numId w:val="28"/>
        </w:numPr>
        <w:spacing w:after="120"/>
        <w:contextualSpacing w:val="0"/>
      </w:pPr>
      <w:r w:rsidRPr="00E637AC">
        <w:t>Many gaming venues have high quality interiors which, together with the visual and auditory effects, create a comfortable, exciting environment.</w:t>
      </w:r>
    </w:p>
    <w:p w:rsidR="003D1F93" w:rsidRDefault="003D1F93" w:rsidP="007D1909">
      <w:pPr>
        <w:pStyle w:val="ListParagraph"/>
        <w:numPr>
          <w:ilvl w:val="0"/>
          <w:numId w:val="28"/>
        </w:numPr>
      </w:pPr>
      <w:r>
        <w:rPr>
          <w:rFonts w:eastAsiaTheme="majorEastAsia"/>
        </w:rPr>
        <w:t>Marketing measure used by clubs to encourage families and parents to bring their children into the venues may increase the likelihood that children will continue to visit these environments as adults, and engage in gambling later on in life.</w:t>
      </w:r>
      <w:r w:rsidRPr="00CB51E6">
        <w:rPr>
          <w:rStyle w:val="FootnoteReference"/>
          <w:rFonts w:eastAsiaTheme="majorEastAsia"/>
        </w:rPr>
        <w:t xml:space="preserve"> </w:t>
      </w:r>
      <w:r>
        <w:rPr>
          <w:rStyle w:val="FootnoteReference"/>
          <w:rFonts w:eastAsiaTheme="majorEastAsia"/>
        </w:rPr>
        <w:footnoteReference w:id="121"/>
      </w:r>
    </w:p>
    <w:p w:rsidR="003D1F93" w:rsidRDefault="003D1F93" w:rsidP="003D1F93">
      <w:r>
        <w:t>In some instances, the Tribunal and Commission have regarded hotel venues as more risky than club venues. This is due to a number of factors including:</w:t>
      </w:r>
    </w:p>
    <w:p w:rsidR="003D1F93" w:rsidRDefault="003D1F93" w:rsidP="007D1909">
      <w:pPr>
        <w:pStyle w:val="ListParagraph"/>
        <w:numPr>
          <w:ilvl w:val="0"/>
          <w:numId w:val="36"/>
        </w:numPr>
        <w:spacing w:after="120"/>
        <w:ind w:left="714" w:hanging="357"/>
        <w:contextualSpacing w:val="0"/>
      </w:pPr>
      <w:r>
        <w:t>C</w:t>
      </w:r>
      <w:r w:rsidRPr="00E637AC">
        <w:t>lub activities, including use of EGMs</w:t>
      </w:r>
      <w:r>
        <w:t>,</w:t>
      </w:r>
      <w:r w:rsidRPr="00E637AC">
        <w:t xml:space="preserve"> is typically restricted to members of the club</w:t>
      </w:r>
      <w:r>
        <w:t xml:space="preserve"> rather than the broader public, hence reducing overal</w:t>
      </w:r>
      <w:r w:rsidR="00397893">
        <w:t>l exposure within the community</w:t>
      </w:r>
    </w:p>
    <w:p w:rsidR="003D1F93" w:rsidRDefault="003D1F93" w:rsidP="007D1909">
      <w:pPr>
        <w:pStyle w:val="ListParagraph"/>
        <w:numPr>
          <w:ilvl w:val="0"/>
          <w:numId w:val="36"/>
        </w:numPr>
        <w:spacing w:after="120"/>
        <w:ind w:left="714" w:hanging="357"/>
        <w:contextualSpacing w:val="0"/>
      </w:pPr>
      <w:r>
        <w:t>Clubs also tend to offer a broader range of non-gambling social, leisure, sport and entertainment activities which provides diversionary activities other than gambling</w:t>
      </w:r>
      <w:r>
        <w:rPr>
          <w:rStyle w:val="FootnoteReference"/>
        </w:rPr>
        <w:footnoteReference w:id="122"/>
      </w:r>
      <w:r>
        <w:t xml:space="preserve"> and enables patrons to develop </w:t>
      </w:r>
      <w:r w:rsidRPr="00E637AC">
        <w:t>patrons to develop long term relationships with staff and other patrons</w:t>
      </w:r>
      <w:r w:rsidRPr="00E637AC">
        <w:rPr>
          <w:rStyle w:val="FootnoteReference"/>
        </w:rPr>
        <w:footnoteReference w:id="123"/>
      </w:r>
    </w:p>
    <w:p w:rsidR="003D1F93" w:rsidRDefault="003D1F93" w:rsidP="007D1909">
      <w:pPr>
        <w:pStyle w:val="ListParagraph"/>
        <w:numPr>
          <w:ilvl w:val="0"/>
          <w:numId w:val="36"/>
        </w:numPr>
        <w:spacing w:after="120"/>
        <w:ind w:left="714" w:hanging="357"/>
        <w:contextualSpacing w:val="0"/>
      </w:pPr>
      <w:r w:rsidRPr="003D2615">
        <w:rPr>
          <w:rFonts w:asciiTheme="minorHAnsi" w:hAnsiTheme="minorHAnsi"/>
        </w:rPr>
        <w:t>RSL Clubs are deemed to deliver greater social benefits through their support</w:t>
      </w:r>
      <w:r w:rsidR="00397893">
        <w:rPr>
          <w:rFonts w:asciiTheme="minorHAnsi" w:hAnsiTheme="minorHAnsi"/>
        </w:rPr>
        <w:t xml:space="preserve"> of veterans and their families</w:t>
      </w:r>
    </w:p>
    <w:p w:rsidR="003D1F93" w:rsidRDefault="003D1F93" w:rsidP="007D1909">
      <w:pPr>
        <w:pStyle w:val="ListParagraph"/>
        <w:numPr>
          <w:ilvl w:val="0"/>
          <w:numId w:val="36"/>
        </w:numPr>
        <w:spacing w:after="120"/>
        <w:ind w:left="714" w:hanging="357"/>
        <w:contextualSpacing w:val="0"/>
      </w:pPr>
      <w:r>
        <w:t>In some instances, club venues provide a smaller number of EGMs, with size of venue being recognised as a risk factor</w:t>
      </w:r>
      <w:r>
        <w:rPr>
          <w:rStyle w:val="FootnoteReference"/>
        </w:rPr>
        <w:footnoteReference w:id="124"/>
      </w:r>
      <w:r>
        <w:t>. This is demonstrated in the City of Maroondah with the three largest venues, namely the Dorset Gardens, Manhattan Hotel and Croydon Hotel also having the highest expenditure per EGM.</w:t>
      </w:r>
    </w:p>
    <w:p w:rsidR="003D1F93" w:rsidRDefault="003D1F93" w:rsidP="003D1F93">
      <w:r>
        <w:t>However, club venues may not necessarily pose lower risks to gambling-related harm for the following reasons:</w:t>
      </w:r>
    </w:p>
    <w:p w:rsidR="003D1F93" w:rsidRDefault="003D1F93" w:rsidP="007D1909">
      <w:pPr>
        <w:pStyle w:val="ListParagraph"/>
        <w:numPr>
          <w:ilvl w:val="0"/>
          <w:numId w:val="37"/>
        </w:numPr>
        <w:spacing w:after="120"/>
        <w:contextualSpacing w:val="0"/>
      </w:pPr>
      <w:r>
        <w:t>Clubs may be seen to be more ‘socially acceptable’ than hotels, particularly for women</w:t>
      </w:r>
    </w:p>
    <w:p w:rsidR="003D1F93" w:rsidRPr="00012065" w:rsidRDefault="003D1F93" w:rsidP="007D1909">
      <w:pPr>
        <w:pStyle w:val="ListParagraph"/>
        <w:numPr>
          <w:ilvl w:val="0"/>
          <w:numId w:val="37"/>
        </w:numPr>
        <w:spacing w:after="120"/>
        <w:contextualSpacing w:val="0"/>
      </w:pPr>
      <w:r w:rsidRPr="00012065">
        <w:t>Clubs are often integrated into residential suburbs and sporting venues</w:t>
      </w:r>
      <w:r>
        <w:t>, thereby increasing exposure</w:t>
      </w:r>
    </w:p>
    <w:p w:rsidR="003D1F93" w:rsidRDefault="003D1F93" w:rsidP="007D1909">
      <w:pPr>
        <w:pStyle w:val="ListParagraph"/>
        <w:numPr>
          <w:ilvl w:val="0"/>
          <w:numId w:val="37"/>
        </w:numPr>
        <w:spacing w:after="120"/>
        <w:contextualSpacing w:val="0"/>
      </w:pPr>
      <w:r>
        <w:t>Some of the perceived social benefits associated with clubs are offset by the following factors</w:t>
      </w:r>
      <w:r>
        <w:rPr>
          <w:rStyle w:val="FootnoteReference"/>
        </w:rPr>
        <w:footnoteReference w:id="125"/>
      </w:r>
    </w:p>
    <w:p w:rsidR="003D1F93" w:rsidRPr="003D2615" w:rsidRDefault="003D1F93" w:rsidP="007D1909">
      <w:pPr>
        <w:pStyle w:val="ListParagraph"/>
        <w:numPr>
          <w:ilvl w:val="1"/>
          <w:numId w:val="37"/>
        </w:numPr>
        <w:spacing w:after="120"/>
        <w:contextualSpacing w:val="0"/>
      </w:pPr>
      <w:r w:rsidRPr="003D2615">
        <w:t>many of the benefits are to memb</w:t>
      </w:r>
      <w:r w:rsidR="00397893">
        <w:t>ers, not to the public at large</w:t>
      </w:r>
    </w:p>
    <w:p w:rsidR="003D1F93" w:rsidRDefault="003D1F93" w:rsidP="007D1909">
      <w:pPr>
        <w:pStyle w:val="ListParagraph"/>
        <w:numPr>
          <w:ilvl w:val="1"/>
          <w:numId w:val="37"/>
        </w:numPr>
        <w:spacing w:after="120"/>
        <w:contextualSpacing w:val="0"/>
      </w:pPr>
      <w:r w:rsidRPr="003D2615">
        <w:t>the claimed benefits of gambling revenue on sporting activities and volunteering do not appear strong, and the presence of gambling may adve</w:t>
      </w:r>
      <w:r w:rsidR="00397893">
        <w:t>rsely affect volunteering rates</w:t>
      </w:r>
    </w:p>
    <w:p w:rsidR="003D1F93" w:rsidRPr="00CB51E6" w:rsidRDefault="003D1F93" w:rsidP="007D1909">
      <w:pPr>
        <w:pStyle w:val="ListParagraph"/>
        <w:numPr>
          <w:ilvl w:val="1"/>
          <w:numId w:val="37"/>
        </w:numPr>
        <w:spacing w:after="120"/>
        <w:contextualSpacing w:val="0"/>
        <w:rPr>
          <w:rFonts w:eastAsiaTheme="majorEastAsia" w:cstheme="majorBidi"/>
          <w:b/>
          <w:bCs/>
          <w:color w:val="365F91" w:themeColor="accent1" w:themeShade="BF"/>
          <w:sz w:val="28"/>
          <w:szCs w:val="28"/>
        </w:rPr>
      </w:pPr>
      <w:r>
        <w:t xml:space="preserve">the gross value of social contributions by clubs is likely to be significantly less than the support governments provide to clubs through tax and other concessions. </w:t>
      </w:r>
    </w:p>
    <w:p w:rsidR="003D1F93" w:rsidRDefault="003D1F93" w:rsidP="003D1F93">
      <w:pPr>
        <w:pStyle w:val="Heading4"/>
      </w:pPr>
      <w:r>
        <w:t>Venue size</w:t>
      </w:r>
    </w:p>
    <w:p w:rsidR="00A27A3D" w:rsidRDefault="003D1F93" w:rsidP="003D1F93">
      <w:r>
        <w:t xml:space="preserve">The maximum number of EGMs permitted in Victorian gaming venues is 105. Research has found that </w:t>
      </w:r>
      <w:r w:rsidR="00CE10E5">
        <w:t>the size of the gaming venue (</w:t>
      </w:r>
      <w:r>
        <w:t>the number of EGMs</w:t>
      </w:r>
      <w:r w:rsidR="00CE10E5">
        <w:t>)</w:t>
      </w:r>
      <w:r>
        <w:t>, is a predictor of harm, with bigger venues such as large clubs and hotels being more dangerous than smaller venues</w:t>
      </w:r>
      <w:r>
        <w:rPr>
          <w:rStyle w:val="FootnoteReference"/>
        </w:rPr>
        <w:footnoteReference w:id="126"/>
      </w:r>
      <w:r>
        <w:t xml:space="preserve">. </w:t>
      </w:r>
    </w:p>
    <w:p w:rsidR="00A27A3D" w:rsidRPr="00860F68" w:rsidRDefault="00A27A3D" w:rsidP="00A27A3D">
      <w:pPr>
        <w:rPr>
          <w:rFonts w:asciiTheme="minorHAnsi" w:hAnsiTheme="minorHAnsi" w:cstheme="minorHAnsi"/>
        </w:rPr>
      </w:pPr>
      <w:r w:rsidRPr="00860F68">
        <w:rPr>
          <w:rFonts w:asciiTheme="minorHAnsi" w:hAnsiTheme="minorHAnsi" w:cstheme="minorHAnsi"/>
        </w:rPr>
        <w:t>There is evidence to suggest that larger venues are riskier for the following reasons:</w:t>
      </w:r>
      <w:r w:rsidRPr="00860F68">
        <w:rPr>
          <w:rStyle w:val="FootnoteReference"/>
          <w:rFonts w:asciiTheme="minorHAnsi" w:hAnsiTheme="minorHAnsi" w:cstheme="minorHAnsi"/>
        </w:rPr>
        <w:t xml:space="preserve"> </w:t>
      </w:r>
    </w:p>
    <w:p w:rsidR="00A27A3D" w:rsidRPr="00860F68" w:rsidRDefault="00A27A3D" w:rsidP="007D1909">
      <w:pPr>
        <w:pStyle w:val="ListParagraph"/>
        <w:numPr>
          <w:ilvl w:val="1"/>
          <w:numId w:val="27"/>
        </w:numPr>
        <w:spacing w:before="120" w:after="120"/>
        <w:contextualSpacing w:val="0"/>
        <w:rPr>
          <w:rFonts w:asciiTheme="minorHAnsi" w:hAnsiTheme="minorHAnsi" w:cstheme="minorHAnsi"/>
        </w:rPr>
      </w:pPr>
      <w:r w:rsidRPr="00860F68">
        <w:rPr>
          <w:rFonts w:asciiTheme="minorHAnsi" w:hAnsiTheme="minorHAnsi" w:cstheme="minorHAnsi"/>
        </w:rPr>
        <w:t>Problem gamblers tend to prefer ‘glitzy’ venues with a large choice of gaming machines</w:t>
      </w:r>
      <w:r>
        <w:rPr>
          <w:rStyle w:val="FootnoteReference"/>
        </w:rPr>
        <w:footnoteReference w:id="127"/>
      </w:r>
      <w:r>
        <w:rPr>
          <w:rFonts w:asciiTheme="minorHAnsi" w:hAnsiTheme="minorHAnsi" w:cstheme="minorHAnsi"/>
        </w:rPr>
        <w:t xml:space="preserve">, </w:t>
      </w:r>
      <w:r w:rsidRPr="00860F68">
        <w:rPr>
          <w:rStyle w:val="FootnoteReference"/>
          <w:rFonts w:asciiTheme="minorHAnsi" w:hAnsiTheme="minorHAnsi" w:cstheme="minorHAnsi"/>
        </w:rPr>
        <w:footnoteReference w:id="128"/>
      </w:r>
      <w:r w:rsidRPr="00860F68">
        <w:rPr>
          <w:rFonts w:asciiTheme="minorHAnsi" w:hAnsiTheme="minorHAnsi" w:cstheme="minorHAnsi"/>
        </w:rPr>
        <w:t>.</w:t>
      </w:r>
    </w:p>
    <w:p w:rsidR="00A27A3D" w:rsidRPr="00860F68" w:rsidRDefault="00A27A3D" w:rsidP="007D1909">
      <w:pPr>
        <w:pStyle w:val="ListParagraph"/>
        <w:numPr>
          <w:ilvl w:val="1"/>
          <w:numId w:val="27"/>
        </w:numPr>
        <w:spacing w:before="120" w:after="120"/>
        <w:contextualSpacing w:val="0"/>
        <w:rPr>
          <w:rFonts w:asciiTheme="minorHAnsi" w:hAnsiTheme="minorHAnsi" w:cstheme="minorHAnsi"/>
        </w:rPr>
      </w:pPr>
      <w:r w:rsidRPr="00860F68">
        <w:rPr>
          <w:rFonts w:asciiTheme="minorHAnsi" w:hAnsiTheme="minorHAnsi" w:cstheme="minorHAnsi"/>
        </w:rPr>
        <w:t>Stigma and shame are key impacts of problem gambling. Larger venues make it easier for problem gamblers to maintain anonymity</w:t>
      </w:r>
      <w:r w:rsidRPr="00860F68">
        <w:rPr>
          <w:rStyle w:val="FootnoteReference"/>
          <w:rFonts w:asciiTheme="minorHAnsi" w:hAnsiTheme="minorHAnsi" w:cstheme="minorHAnsi"/>
        </w:rPr>
        <w:footnoteReference w:id="129"/>
      </w:r>
      <w:r w:rsidRPr="00860F68">
        <w:rPr>
          <w:rFonts w:asciiTheme="minorHAnsi" w:hAnsiTheme="minorHAnsi" w:cstheme="minorHAnsi"/>
        </w:rPr>
        <w:t>.</w:t>
      </w:r>
    </w:p>
    <w:p w:rsidR="00A27A3D" w:rsidRPr="00CC261F" w:rsidRDefault="00A27A3D" w:rsidP="007D1909">
      <w:pPr>
        <w:pStyle w:val="ListParagraph"/>
        <w:numPr>
          <w:ilvl w:val="1"/>
          <w:numId w:val="27"/>
        </w:numPr>
        <w:spacing w:before="120" w:after="120"/>
        <w:contextualSpacing w:val="0"/>
        <w:rPr>
          <w:rFonts w:asciiTheme="minorHAnsi" w:hAnsiTheme="minorHAnsi" w:cstheme="minorHAnsi"/>
        </w:rPr>
      </w:pPr>
      <w:r w:rsidRPr="00860F68">
        <w:rPr>
          <w:rFonts w:asciiTheme="minorHAnsi" w:hAnsiTheme="minorHAnsi" w:cstheme="minorHAnsi"/>
        </w:rPr>
        <w:t>Larger venues reduce waiting times on EGMs as they provide greater opportunities to use the machines. Breaks in play associated with waiting times are a recognised harm minimisation measure</w:t>
      </w:r>
      <w:r w:rsidRPr="00860F68">
        <w:rPr>
          <w:rStyle w:val="FootnoteReference"/>
          <w:rFonts w:asciiTheme="minorHAnsi" w:hAnsiTheme="minorHAnsi" w:cstheme="minorHAnsi"/>
        </w:rPr>
        <w:footnoteReference w:id="130"/>
      </w:r>
      <w:r w:rsidRPr="00860F68">
        <w:rPr>
          <w:rFonts w:asciiTheme="minorHAnsi" w:hAnsiTheme="minorHAnsi" w:cstheme="minorHAnsi"/>
        </w:rPr>
        <w:t>,</w:t>
      </w:r>
      <w:r w:rsidRPr="00860F68">
        <w:rPr>
          <w:rStyle w:val="FootnoteReference"/>
          <w:rFonts w:asciiTheme="minorHAnsi" w:hAnsiTheme="minorHAnsi" w:cstheme="minorHAnsi"/>
        </w:rPr>
        <w:footnoteReference w:id="131"/>
      </w:r>
      <w:r w:rsidRPr="00860F68">
        <w:rPr>
          <w:rFonts w:asciiTheme="minorHAnsi" w:hAnsiTheme="minorHAnsi" w:cstheme="minorHAnsi"/>
        </w:rPr>
        <w:t xml:space="preserve"> as they</w:t>
      </w:r>
      <w:r w:rsidRPr="00CC261F">
        <w:rPr>
          <w:rFonts w:asciiTheme="minorHAnsi" w:hAnsiTheme="minorHAnsi" w:cstheme="minorHAnsi"/>
        </w:rPr>
        <w:t xml:space="preserve"> provide problem gamblers with an opportunity to reconsider their decision to continue to use the EGMs.</w:t>
      </w:r>
    </w:p>
    <w:p w:rsidR="00A27A3D" w:rsidRPr="00860F68" w:rsidRDefault="00A27A3D" w:rsidP="007D1909">
      <w:pPr>
        <w:pStyle w:val="ListParagraph"/>
        <w:numPr>
          <w:ilvl w:val="1"/>
          <w:numId w:val="27"/>
        </w:numPr>
        <w:spacing w:before="120" w:after="120"/>
        <w:contextualSpacing w:val="0"/>
        <w:rPr>
          <w:rFonts w:asciiTheme="minorHAnsi" w:hAnsiTheme="minorHAnsi" w:cstheme="minorHAnsi"/>
        </w:rPr>
      </w:pPr>
      <w:r w:rsidRPr="00CC261F">
        <w:rPr>
          <w:rFonts w:asciiTheme="minorHAnsi" w:hAnsiTheme="minorHAnsi" w:cstheme="minorHAnsi"/>
        </w:rPr>
        <w:t xml:space="preserve">Larger venues with more players may be riskier in encouraging gambling persistence and </w:t>
      </w:r>
      <w:r w:rsidRPr="00860F68">
        <w:rPr>
          <w:rFonts w:asciiTheme="minorHAnsi" w:hAnsiTheme="minorHAnsi" w:cstheme="minorHAnsi"/>
        </w:rPr>
        <w:t>contributing to greater long term monetary loss</w:t>
      </w:r>
      <w:r w:rsidRPr="00860F68">
        <w:rPr>
          <w:rStyle w:val="FootnoteReference"/>
          <w:rFonts w:asciiTheme="minorHAnsi" w:hAnsiTheme="minorHAnsi" w:cstheme="minorHAnsi"/>
        </w:rPr>
        <w:footnoteReference w:id="132"/>
      </w:r>
      <w:r w:rsidRPr="00860F68">
        <w:rPr>
          <w:rFonts w:asciiTheme="minorHAnsi" w:hAnsiTheme="minorHAnsi" w:cstheme="minorHAnsi"/>
        </w:rPr>
        <w:t xml:space="preserve"> whilst smaller gaming venues facilitate greater control of gamblers on the amount they spend.</w:t>
      </w:r>
    </w:p>
    <w:p w:rsidR="00A27A3D" w:rsidRPr="00860F68" w:rsidRDefault="00A27A3D" w:rsidP="00A27A3D">
      <w:r w:rsidRPr="00860F68">
        <w:t xml:space="preserve">Prior to the inclusion of Clause 52.28 into the Victoria Planning Provisions in 2006, gaming rooms were an ‘as of right use’ in licensed hotels and clubs if they occupied 25% or less of the total leasable area premises. As a result, the Tribunal has used this proportion, in addition to the number of EGMs, to determine the size of the venue and therefore </w:t>
      </w:r>
      <w:r>
        <w:t>if</w:t>
      </w:r>
      <w:r w:rsidRPr="00860F68">
        <w:t xml:space="preserve"> it is suitable for gaming</w:t>
      </w:r>
      <w:r w:rsidRPr="00860F68">
        <w:rPr>
          <w:rStyle w:val="FootnoteReference"/>
        </w:rPr>
        <w:footnoteReference w:id="133"/>
      </w:r>
      <w:r w:rsidRPr="00860F68">
        <w:t>. This benchmark is also used to assess the proportion of gaming and non-gaming activities in the venue and therefore whether the venue has the capacity to provide a full range of services and facilities to patrons.</w:t>
      </w:r>
    </w:p>
    <w:p w:rsidR="003D1F93" w:rsidRDefault="003D1F93" w:rsidP="003D1F93">
      <w:pPr>
        <w:pStyle w:val="Heading4"/>
      </w:pPr>
      <w:r>
        <w:t>Net machine revenue</w:t>
      </w:r>
    </w:p>
    <w:p w:rsidR="003D1F93" w:rsidRPr="00C351AE" w:rsidRDefault="003D1F93" w:rsidP="003D1F93">
      <w:r>
        <w:t>Expenditure at a venue may be measured by overall expenditure, or expenditure per attached EGM entitlement, otherwise known as net machine revenue (NMR). Research has found that total expenditure is an indicator of gambling related harm at the venue level</w:t>
      </w:r>
      <w:r>
        <w:rPr>
          <w:rStyle w:val="FootnoteReference"/>
        </w:rPr>
        <w:footnoteReference w:id="134"/>
      </w:r>
      <w:r>
        <w:t>.</w:t>
      </w:r>
    </w:p>
    <w:p w:rsidR="003D1F93" w:rsidRDefault="003D1F93" w:rsidP="003D1F93">
      <w:pPr>
        <w:pStyle w:val="Heading4"/>
      </w:pPr>
      <w:r>
        <w:t>Operating hours</w:t>
      </w:r>
    </w:p>
    <w:p w:rsidR="003D1F93" w:rsidRPr="00B159A2" w:rsidRDefault="003D1F93" w:rsidP="003D1F93">
      <w:r w:rsidRPr="00B159A2">
        <w:t xml:space="preserve">The Productivity Commission (2010) identified opening hours as a risk factor and has therefore recommended shutdown periods of at least six hours commencing earlier than they are currently </w:t>
      </w:r>
      <w:r w:rsidR="00CE10E5">
        <w:t>(</w:t>
      </w:r>
      <w:r w:rsidRPr="00B159A2">
        <w:t>no later than 2am</w:t>
      </w:r>
      <w:r w:rsidR="00CE10E5">
        <w:t>)</w:t>
      </w:r>
      <w:r w:rsidRPr="00B159A2">
        <w:t>.</w:t>
      </w:r>
      <w:r w:rsidRPr="00B159A2">
        <w:rPr>
          <w:rStyle w:val="FootnoteReference"/>
        </w:rPr>
        <w:footnoteReference w:id="135"/>
      </w:r>
      <w:r>
        <w:t xml:space="preserve"> This is based on evidence indicating that longer operating hours are a determinant of gambling-related harm. In particular, research has found the following:</w:t>
      </w:r>
    </w:p>
    <w:p w:rsidR="003D1F93" w:rsidRPr="00B159A2" w:rsidRDefault="003D1F93" w:rsidP="007D1909">
      <w:pPr>
        <w:pStyle w:val="ListParagraph"/>
        <w:numPr>
          <w:ilvl w:val="1"/>
          <w:numId w:val="27"/>
        </w:numPr>
        <w:spacing w:after="120"/>
        <w:contextualSpacing w:val="0"/>
      </w:pPr>
      <w:r>
        <w:t>Whilst</w:t>
      </w:r>
      <w:r w:rsidRPr="00B159A2">
        <w:t xml:space="preserve"> 5% of low risk gamblers are likely to be using the EGMs between midnight and 4am, 8% and 9% of moderate risk gamblers and problem gamblers were likely to be using the EGMs at this time</w:t>
      </w:r>
      <w:r w:rsidRPr="00B159A2">
        <w:rPr>
          <w:rStyle w:val="FootnoteReference"/>
        </w:rPr>
        <w:footnoteReference w:id="136"/>
      </w:r>
      <w:r w:rsidRPr="00B159A2">
        <w:t>.</w:t>
      </w:r>
    </w:p>
    <w:p w:rsidR="003D1F93" w:rsidRPr="00B159A2" w:rsidRDefault="003D1F93" w:rsidP="007D1909">
      <w:pPr>
        <w:pStyle w:val="ListParagraph"/>
        <w:numPr>
          <w:ilvl w:val="1"/>
          <w:numId w:val="27"/>
        </w:numPr>
        <w:spacing w:after="120"/>
        <w:contextualSpacing w:val="0"/>
      </w:pPr>
      <w:r w:rsidRPr="00B159A2">
        <w:t>Shutdown periods of six hours are effective in providing a break in play for those problem gamblers playing at that time and encouraging them to go home</w:t>
      </w:r>
      <w:r w:rsidRPr="00B159A2">
        <w:rPr>
          <w:rStyle w:val="FootnoteReference"/>
        </w:rPr>
        <w:footnoteReference w:id="137"/>
      </w:r>
      <w:r w:rsidRPr="00B159A2">
        <w:rPr>
          <w:vertAlign w:val="superscript"/>
        </w:rPr>
        <w:t>,</w:t>
      </w:r>
      <w:r w:rsidRPr="00B159A2">
        <w:rPr>
          <w:rStyle w:val="FootnoteReference"/>
        </w:rPr>
        <w:footnoteReference w:id="138"/>
      </w:r>
      <w:r w:rsidRPr="00B159A2">
        <w:t xml:space="preserve">. </w:t>
      </w:r>
    </w:p>
    <w:p w:rsidR="003D1F93" w:rsidRPr="00B159A2" w:rsidRDefault="003D1F93" w:rsidP="007D1909">
      <w:pPr>
        <w:pStyle w:val="ListParagraph"/>
        <w:numPr>
          <w:ilvl w:val="1"/>
          <w:numId w:val="27"/>
        </w:numPr>
        <w:spacing w:after="120"/>
        <w:contextualSpacing w:val="0"/>
      </w:pPr>
      <w:r>
        <w:t>S</w:t>
      </w:r>
      <w:r w:rsidRPr="00B159A2">
        <w:t>horter opening hours for gambling venues were perceived by some gamblers as an effective way of reducing gambling EGM expenditure and therefore the financial problems experienced by some gamblers</w:t>
      </w:r>
      <w:r w:rsidRPr="00B159A2">
        <w:rPr>
          <w:rStyle w:val="FootnoteReference"/>
        </w:rPr>
        <w:footnoteReference w:id="139"/>
      </w:r>
      <w:r w:rsidRPr="00B159A2">
        <w:t>.</w:t>
      </w:r>
    </w:p>
    <w:p w:rsidR="003D1F93" w:rsidRDefault="003D1F93" w:rsidP="007D1909">
      <w:pPr>
        <w:pStyle w:val="ListParagraph"/>
        <w:numPr>
          <w:ilvl w:val="1"/>
          <w:numId w:val="27"/>
        </w:numPr>
        <w:spacing w:after="120"/>
        <w:contextualSpacing w:val="0"/>
      </w:pPr>
      <w:r>
        <w:t>In 2001 the NSW Government announced a phased gaming reform package which included the need to restrict access by shutting EGMs down for six hours between 4am and 10am. Research was undertaken to evaluate the effectiveness of the six-hour shutdown period in minimising the harm caused by gambling-related harm</w:t>
      </w:r>
      <w:r>
        <w:rPr>
          <w:rStyle w:val="FootnoteReference"/>
        </w:rPr>
        <w:footnoteReference w:id="140"/>
      </w:r>
      <w:r>
        <w:t>. This research found the following:</w:t>
      </w:r>
    </w:p>
    <w:p w:rsidR="003D1F93" w:rsidRDefault="003D1F93" w:rsidP="007D1909">
      <w:pPr>
        <w:pStyle w:val="ListParagraph"/>
        <w:numPr>
          <w:ilvl w:val="2"/>
          <w:numId w:val="38"/>
        </w:numPr>
        <w:spacing w:after="120"/>
        <w:contextualSpacing w:val="0"/>
      </w:pPr>
      <w:r>
        <w:t>Those</w:t>
      </w:r>
      <w:r w:rsidRPr="00B159A2">
        <w:t xml:space="preserve"> gamblers using EGMs </w:t>
      </w:r>
      <w:r>
        <w:t>prior to the implementation of the six-hour shutdown period</w:t>
      </w:r>
      <w:r w:rsidRPr="00B159A2">
        <w:t xml:space="preserve"> may be more likely to be at risk of developing a gambling problem or already a problem gambler</w:t>
      </w:r>
      <w:r w:rsidRPr="00B159A2">
        <w:rPr>
          <w:rStyle w:val="FootnoteReference"/>
        </w:rPr>
        <w:footnoteReference w:id="141"/>
      </w:r>
    </w:p>
    <w:p w:rsidR="003D1F93" w:rsidRDefault="003D1F93" w:rsidP="007D1909">
      <w:pPr>
        <w:pStyle w:val="ListParagraph"/>
        <w:numPr>
          <w:ilvl w:val="2"/>
          <w:numId w:val="38"/>
        </w:numPr>
        <w:spacing w:after="120"/>
        <w:contextualSpacing w:val="0"/>
      </w:pPr>
      <w:r w:rsidRPr="00D679F7">
        <w:t>68% of problem gamblers and 71% of moderate risk gamblers had intended to go home if they were still playing when the EGM</w:t>
      </w:r>
      <w:r>
        <w:t xml:space="preserve"> venue was closed</w:t>
      </w:r>
      <w:r>
        <w:rPr>
          <w:rStyle w:val="FootnoteReference"/>
        </w:rPr>
        <w:footnoteReference w:id="142"/>
      </w:r>
    </w:p>
    <w:p w:rsidR="003D1F93" w:rsidRDefault="003D1F93" w:rsidP="007D1909">
      <w:pPr>
        <w:pStyle w:val="ListParagraph"/>
        <w:numPr>
          <w:ilvl w:val="2"/>
          <w:numId w:val="38"/>
        </w:numPr>
        <w:spacing w:after="120"/>
        <w:contextualSpacing w:val="0"/>
      </w:pPr>
      <w:r>
        <w:t>Hotel venue operators were more likely than club operators to say that the customers most affected by the six-hour shutdown were problem gamblers as opposed to recreational gamblers (30% compared to 16%)</w:t>
      </w:r>
      <w:r>
        <w:rPr>
          <w:rStyle w:val="FootnoteReference"/>
        </w:rPr>
        <w:footnoteReference w:id="143"/>
      </w:r>
    </w:p>
    <w:p w:rsidR="003D1F93" w:rsidRDefault="003D1F93" w:rsidP="007D1909">
      <w:pPr>
        <w:pStyle w:val="ListParagraph"/>
        <w:numPr>
          <w:ilvl w:val="2"/>
          <w:numId w:val="38"/>
        </w:numPr>
        <w:spacing w:after="120"/>
        <w:contextualSpacing w:val="0"/>
      </w:pPr>
      <w:r>
        <w:t>T</w:t>
      </w:r>
      <w:r w:rsidRPr="00D679F7">
        <w:t xml:space="preserve">he shutdowns do not necessarily encourage gamblers to visit a different venue with only 12% and 7% of problem and moderate risk gamblers indicating that they would go onto a different gaming venue following the </w:t>
      </w:r>
      <w:r>
        <w:t>closure of the venue</w:t>
      </w:r>
      <w:r w:rsidRPr="00D679F7">
        <w:rPr>
          <w:rStyle w:val="FootnoteReference"/>
        </w:rPr>
        <w:footnoteReference w:id="144"/>
      </w:r>
    </w:p>
    <w:p w:rsidR="003D1F93" w:rsidRPr="00D679F7" w:rsidRDefault="003D1F93" w:rsidP="007D1909">
      <w:pPr>
        <w:pStyle w:val="ListParagraph"/>
        <w:numPr>
          <w:ilvl w:val="2"/>
          <w:numId w:val="38"/>
        </w:numPr>
        <w:spacing w:after="120"/>
        <w:contextualSpacing w:val="0"/>
      </w:pPr>
      <w:r>
        <w:t>Overall, more than two thirds (68%) of all gamblers across the risk segments supported the six-hour shutdown period. In particular, 78% of problem gamblers, 65% of moderate risk gamblers and 70% of low risk gamblers either strongly supported or supported the shutdown compared with 56% of low risk gamblers</w:t>
      </w:r>
      <w:r>
        <w:rPr>
          <w:rStyle w:val="FootnoteReference"/>
        </w:rPr>
        <w:footnoteReference w:id="145"/>
      </w:r>
      <w:r>
        <w:t>.</w:t>
      </w:r>
    </w:p>
    <w:p w:rsidR="003D1F93" w:rsidRDefault="003D1F93" w:rsidP="003D1F93">
      <w:pPr>
        <w:pStyle w:val="Heading4"/>
        <w:spacing w:before="0"/>
      </w:pPr>
      <w:r>
        <w:t>Responsible service of gambling</w:t>
      </w:r>
    </w:p>
    <w:p w:rsidR="003D1F93" w:rsidRDefault="003D1F93" w:rsidP="003D1F93">
      <w:pPr>
        <w:spacing w:before="120"/>
      </w:pPr>
      <w:r>
        <w:t>Responsible service of gambling refers to harm minimisation practices used in gambling venues and businesses. It involves establishing an environment within which consumers are able to make informed decisions about their participation in gambling in order to reduce their risks of gambling-related harm.</w:t>
      </w:r>
      <w:r w:rsidRPr="00651C81">
        <w:rPr>
          <w:rStyle w:val="FootnoteReference"/>
        </w:rPr>
        <w:t xml:space="preserve"> </w:t>
      </w:r>
      <w:r>
        <w:rPr>
          <w:rStyle w:val="FootnoteReference"/>
        </w:rPr>
        <w:footnoteReference w:id="146"/>
      </w:r>
    </w:p>
    <w:p w:rsidR="003D1F93" w:rsidRDefault="003D1F93" w:rsidP="003D1F93">
      <w:pPr>
        <w:spacing w:before="120"/>
      </w:pPr>
      <w:r>
        <w:t xml:space="preserve">There is some evidence to suggest that responsible gambling measures have, collectively, reduced the harms associated with gambling. The Productivity Commission </w:t>
      </w:r>
      <w:r>
        <w:rPr>
          <w:rStyle w:val="FootnoteReference"/>
        </w:rPr>
        <w:footnoteReference w:id="147"/>
      </w:r>
      <w:r>
        <w:t xml:space="preserve"> found that “even policy measures with modest efficacy in reducing harm will often be worthwhile”. However, there is limited evidence available to confirm the effectiveness of most individual responsible gambling measures which are implemented in the venue</w:t>
      </w:r>
      <w:r>
        <w:rPr>
          <w:rStyle w:val="FootnoteReference"/>
        </w:rPr>
        <w:footnoteReference w:id="148"/>
      </w:r>
      <w:r>
        <w:t>. Furthermore, this evidence has found that policy measures implemented outside the control of venues (such as ATM removal, reduction in bet limits, EGM features and the prohibition of smoking) appear to be associated with more significant effects</w:t>
      </w:r>
      <w:r>
        <w:rPr>
          <w:rStyle w:val="FootnoteReference"/>
        </w:rPr>
        <w:footnoteReference w:id="149"/>
      </w:r>
      <w:r>
        <w:t>. The research has found, therefore, that “in addition to lack of credible research data on the effectiveness of specific interventions, there is virtually no evidence to confirm their effectiveness”</w:t>
      </w:r>
      <w:r>
        <w:rPr>
          <w:rStyle w:val="FootnoteReference"/>
        </w:rPr>
        <w:footnoteReference w:id="150"/>
      </w:r>
      <w:r>
        <w:t>. Other research has found that there is “no evidence exists that responsible gambling measures implemented in clubs [which are by nature less risky than hotels] are effective in minimising harm and protecting consumers in gambling”</w:t>
      </w:r>
      <w:r>
        <w:rPr>
          <w:rStyle w:val="FootnoteReference"/>
        </w:rPr>
        <w:footnoteReference w:id="151"/>
      </w:r>
    </w:p>
    <w:p w:rsidR="003D1F93" w:rsidRDefault="003D1F93" w:rsidP="003D1F93">
      <w:pPr>
        <w:spacing w:before="120"/>
      </w:pPr>
      <w:r>
        <w:t xml:space="preserve">The limited potential for such responsible service of gambling measures to prevent and minimise harms associated with gambling-related harm has been acknowledged by the Tribunal. It was determined that an </w:t>
      </w:r>
      <w:r w:rsidRPr="00BA7E4C">
        <w:t xml:space="preserve">applicant’s commitment to responsible service of gambling and implementation of other harm minimisation measures is ‘in itself not a panacea for dealing with </w:t>
      </w:r>
      <w:r>
        <w:t>gambling-related harm</w:t>
      </w:r>
      <w:r w:rsidRPr="00BA7E4C">
        <w:t>’</w:t>
      </w:r>
      <w:r w:rsidRPr="00BA7E4C">
        <w:rPr>
          <w:rStyle w:val="FootnoteReference"/>
        </w:rPr>
        <w:footnoteReference w:id="152"/>
      </w:r>
      <w:r w:rsidRPr="00BA7E4C">
        <w:t xml:space="preserve"> and that they are not a ‘silver bullet to the ills of problem gaming’</w:t>
      </w:r>
      <w:r w:rsidRPr="00BA7E4C">
        <w:rPr>
          <w:rStyle w:val="FootnoteReference"/>
        </w:rPr>
        <w:footnoteReference w:id="153"/>
      </w:r>
      <w:r w:rsidRPr="00BA7E4C">
        <w:t>. This is borne out by the fact that, despite the implementation of these measures over a number of years, ‘the issue of problem gaming remains a very live and serious one, despite greater awareness and effort in the gaming industry regarding responsible gaming in recent years</w:t>
      </w:r>
      <w:r w:rsidRPr="00BA7E4C">
        <w:rPr>
          <w:rStyle w:val="FootnoteReference"/>
        </w:rPr>
        <w:footnoteReference w:id="154"/>
      </w:r>
      <w:r w:rsidRPr="00BA7E4C">
        <w:t xml:space="preserve">. The Tribunal has also concluded that </w:t>
      </w:r>
      <w:r>
        <w:t>gambling-related harm</w:t>
      </w:r>
      <w:r w:rsidRPr="00BA7E4C">
        <w:t xml:space="preserve"> can only be eliminated if there are no opportunities to gamble</w:t>
      </w:r>
      <w:r w:rsidRPr="00BA7E4C">
        <w:rPr>
          <w:rStyle w:val="FootnoteReference"/>
        </w:rPr>
        <w:footnoteReference w:id="155"/>
      </w:r>
      <w:r w:rsidRPr="00BA7E4C">
        <w:t>.</w:t>
      </w:r>
    </w:p>
    <w:p w:rsidR="003D1F93" w:rsidRPr="00B159A2" w:rsidRDefault="003D1F93" w:rsidP="003D1F93">
      <w:r w:rsidRPr="00B159A2">
        <w:t>The following factors further limit the efficacy of some harm minimisation measures:</w:t>
      </w:r>
    </w:p>
    <w:p w:rsidR="003D1F93" w:rsidRPr="00D90482" w:rsidRDefault="003D1F93" w:rsidP="007D1909">
      <w:pPr>
        <w:pStyle w:val="ListParagraph"/>
        <w:numPr>
          <w:ilvl w:val="0"/>
          <w:numId w:val="29"/>
        </w:numPr>
        <w:spacing w:after="120"/>
        <w:contextualSpacing w:val="0"/>
      </w:pPr>
      <w:r w:rsidRPr="00D90482">
        <w:t>There is a low take up rate for self-exclusion practices amongst problem gamblers</w:t>
      </w:r>
      <w:r>
        <w:t xml:space="preserve"> </w:t>
      </w:r>
      <w:r w:rsidRPr="00D90482">
        <w:t>and the evidence indicates that most self-excluders breach their agreement</w:t>
      </w:r>
      <w:r w:rsidRPr="00D90482">
        <w:rPr>
          <w:rStyle w:val="FootnoteReference"/>
        </w:rPr>
        <w:footnoteReference w:id="156"/>
      </w:r>
    </w:p>
    <w:p w:rsidR="003D1F93" w:rsidRPr="00D90482" w:rsidRDefault="003D1F93" w:rsidP="007D1909">
      <w:pPr>
        <w:pStyle w:val="ListParagraph"/>
        <w:numPr>
          <w:ilvl w:val="0"/>
          <w:numId w:val="29"/>
        </w:numPr>
        <w:spacing w:after="120"/>
        <w:contextualSpacing w:val="0"/>
      </w:pPr>
      <w:r w:rsidRPr="00D90482">
        <w:t>Venue staff may differ in their understanding of reasonable attempts to implement the self-exclusion condition</w:t>
      </w:r>
      <w:r w:rsidR="00270386">
        <w:t>s</w:t>
      </w:r>
    </w:p>
    <w:p w:rsidR="003D1F93" w:rsidRPr="00D90482" w:rsidRDefault="003D1F93" w:rsidP="007D1909">
      <w:pPr>
        <w:pStyle w:val="ListParagraph"/>
        <w:numPr>
          <w:ilvl w:val="0"/>
          <w:numId w:val="29"/>
        </w:numPr>
        <w:spacing w:after="120"/>
        <w:contextualSpacing w:val="0"/>
      </w:pPr>
      <w:r w:rsidRPr="00D90482">
        <w:t>The effectiveness of the self-exclusion practices is limited</w:t>
      </w:r>
      <w:r w:rsidRPr="00D90482">
        <w:rPr>
          <w:rStyle w:val="FootnoteReference"/>
        </w:rPr>
        <w:footnoteReference w:id="157"/>
      </w:r>
      <w:r w:rsidRPr="00D90482">
        <w:t xml:space="preserve"> as it relies on facial recognition by venue staff rather than technology</w:t>
      </w:r>
      <w:r w:rsidRPr="00D90482">
        <w:rPr>
          <w:rStyle w:val="FootnoteReference"/>
        </w:rPr>
        <w:footnoteReference w:id="158"/>
      </w:r>
    </w:p>
    <w:p w:rsidR="003D1F93" w:rsidRDefault="003D1F93" w:rsidP="007D1909">
      <w:pPr>
        <w:pStyle w:val="ListParagraph"/>
        <w:numPr>
          <w:ilvl w:val="0"/>
          <w:numId w:val="29"/>
        </w:numPr>
        <w:spacing w:after="120"/>
        <w:contextualSpacing w:val="0"/>
      </w:pPr>
      <w:r>
        <w:t>The capacity for venue staff to accurately identify people vulnerable to gambling-related harm is limited due to the potential for some problem gamblers to modify their behaviour and the signs are less obvious than other behaviours displayed by people who are intoxicated. Furthermore, some venue staff may be reluctant to intervene</w:t>
      </w:r>
      <w:r>
        <w:rPr>
          <w:rStyle w:val="FootnoteReference"/>
        </w:rPr>
        <w:footnoteReference w:id="159"/>
      </w:r>
      <w:r>
        <w:t xml:space="preserve"> for fear of being perceived as confrontational or offensive</w:t>
      </w:r>
      <w:r>
        <w:rPr>
          <w:rStyle w:val="FootnoteReference"/>
        </w:rPr>
        <w:footnoteReference w:id="160"/>
      </w:r>
      <w:r w:rsidR="00270386">
        <w:t xml:space="preserve">. </w:t>
      </w:r>
      <w:r>
        <w:t>Furthermore, it is not mandatory for staff to enforce the self-exclusion practices</w:t>
      </w:r>
      <w:r>
        <w:rPr>
          <w:rStyle w:val="FootnoteReference"/>
        </w:rPr>
        <w:footnoteReference w:id="161"/>
      </w:r>
    </w:p>
    <w:p w:rsidR="003D1F93" w:rsidRDefault="003D1F93" w:rsidP="007D1909">
      <w:pPr>
        <w:pStyle w:val="ListParagraph"/>
        <w:numPr>
          <w:ilvl w:val="0"/>
          <w:numId w:val="29"/>
        </w:numPr>
        <w:spacing w:after="120"/>
        <w:contextualSpacing w:val="0"/>
      </w:pPr>
      <w:r>
        <w:t>There are mixed incentives for gambling venues to introduce and ensure the effectiveness of voluntary harm minimisation measures as they have the potential to compromise their revenues</w:t>
      </w:r>
      <w:r>
        <w:rPr>
          <w:rStyle w:val="FootnoteReference"/>
        </w:rPr>
        <w:footnoteReference w:id="162"/>
      </w:r>
    </w:p>
    <w:p w:rsidR="003D1F93" w:rsidRDefault="003D1F93" w:rsidP="007D1909">
      <w:pPr>
        <w:pStyle w:val="ListParagraph"/>
        <w:numPr>
          <w:ilvl w:val="0"/>
          <w:numId w:val="29"/>
        </w:numPr>
        <w:spacing w:after="120"/>
        <w:contextualSpacing w:val="0"/>
      </w:pPr>
      <w:r>
        <w:t>There are greater incentives for clubs to enforce harm minimisation measures [compared with hotels] as gambling-related harm prejudice their members and therefore their profitability. It is also simpler for clubs to enforce harm minimisation measures as their patrons are limited to members and therefore their pat</w:t>
      </w:r>
      <w:r w:rsidR="00270386">
        <w:t>ron profile is more streamlined</w:t>
      </w:r>
    </w:p>
    <w:p w:rsidR="003D1F93" w:rsidRDefault="003D1F93" w:rsidP="007D1909">
      <w:pPr>
        <w:pStyle w:val="ListParagraph"/>
        <w:numPr>
          <w:ilvl w:val="0"/>
          <w:numId w:val="29"/>
        </w:numPr>
        <w:spacing w:after="120"/>
        <w:contextualSpacing w:val="0"/>
      </w:pPr>
      <w:r>
        <w:t>Gamblers do not rate staff training as highly in a broader suite of harm minimisation measures</w:t>
      </w:r>
      <w:r>
        <w:rPr>
          <w:rStyle w:val="FootnoteReference"/>
        </w:rPr>
        <w:footnoteReference w:id="163"/>
      </w:r>
    </w:p>
    <w:p w:rsidR="003D1F93" w:rsidRDefault="003D1F93" w:rsidP="007D1909">
      <w:pPr>
        <w:pStyle w:val="ListParagraph"/>
        <w:numPr>
          <w:ilvl w:val="0"/>
          <w:numId w:val="29"/>
        </w:numPr>
        <w:spacing w:after="120"/>
        <w:contextualSpacing w:val="0"/>
      </w:pPr>
      <w:r>
        <w:t xml:space="preserve">In some instances, the </w:t>
      </w:r>
      <w:r w:rsidRPr="00B159A2">
        <w:t>responsible service of gambling code of conduct does not prohibit staff f</w:t>
      </w:r>
      <w:r w:rsidR="00270386">
        <w:t>rom using the EGMs at the venue</w:t>
      </w:r>
    </w:p>
    <w:p w:rsidR="003D1F93" w:rsidRDefault="003D1F93" w:rsidP="007D1909">
      <w:pPr>
        <w:pStyle w:val="ListParagraph"/>
        <w:numPr>
          <w:ilvl w:val="0"/>
          <w:numId w:val="29"/>
        </w:numPr>
        <w:spacing w:after="120"/>
        <w:contextualSpacing w:val="0"/>
      </w:pPr>
      <w:r>
        <w:t xml:space="preserve">Some venues offer incentives such as the Diamonds Rewards program. The rules of this program </w:t>
      </w:r>
      <w:r w:rsidRPr="00B159A2">
        <w:t>indicate</w:t>
      </w:r>
      <w:r>
        <w:t xml:space="preserve"> that</w:t>
      </w:r>
      <w:r w:rsidRPr="00B159A2">
        <w:t xml:space="preserve"> self-exclusion voids any benefits associated with the rewards program. Membership of the Diamonds Reward Program may therefore discourage a person from self-excluding at </w:t>
      </w:r>
      <w:r>
        <w:t>venues associated with this rewards program</w:t>
      </w:r>
      <w:r w:rsidRPr="00B159A2">
        <w:t>.</w:t>
      </w:r>
    </w:p>
    <w:p w:rsidR="00273D41" w:rsidRDefault="00273D41">
      <w:pPr>
        <w:spacing w:line="276" w:lineRule="auto"/>
        <w:ind w:left="720"/>
        <w:rPr>
          <w:rFonts w:eastAsiaTheme="majorEastAsia" w:cstheme="majorBidi"/>
          <w:b/>
          <w:bCs/>
          <w:sz w:val="24"/>
        </w:rPr>
      </w:pPr>
      <w:r>
        <w:br w:type="page"/>
      </w:r>
    </w:p>
    <w:p w:rsidR="00F61411" w:rsidRDefault="00F61411" w:rsidP="00F61411">
      <w:pPr>
        <w:pStyle w:val="Heading3"/>
      </w:pPr>
      <w:r w:rsidRPr="00764A62">
        <w:t>Socio-economic</w:t>
      </w:r>
      <w:r>
        <w:t xml:space="preserve"> and health status</w:t>
      </w:r>
    </w:p>
    <w:p w:rsidR="00F61411" w:rsidRDefault="00F61411" w:rsidP="0071477F">
      <w:pPr>
        <w:spacing w:before="120" w:line="276" w:lineRule="auto"/>
      </w:pPr>
      <w:r w:rsidRPr="00764A62">
        <w:t xml:space="preserve">A number of socio-economic and health status determinants of </w:t>
      </w:r>
      <w:r>
        <w:t>gambling-related harm</w:t>
      </w:r>
      <w:r w:rsidRPr="00764A62">
        <w:t xml:space="preserve"> have been </w:t>
      </w:r>
      <w:r w:rsidRPr="00A612D7">
        <w:t>identified through various studies in Australia and Victoria</w:t>
      </w:r>
      <w:r>
        <w:t xml:space="preserve"> (refer to Table </w:t>
      </w:r>
      <w:r w:rsidR="00270386">
        <w:t>9</w:t>
      </w:r>
      <w:r>
        <w:t>)</w:t>
      </w:r>
      <w:r w:rsidRPr="00A612D7">
        <w:t xml:space="preserve">. </w:t>
      </w:r>
      <w:bookmarkStart w:id="125" w:name="_Hlk489974573"/>
    </w:p>
    <w:p w:rsidR="0071477F" w:rsidRDefault="0071477F" w:rsidP="0071477F">
      <w:pPr>
        <w:pStyle w:val="Caption"/>
      </w:pPr>
      <w:bookmarkStart w:id="126" w:name="_Toc494206927"/>
      <w:bookmarkStart w:id="127" w:name="_Toc494287826"/>
      <w:r w:rsidRPr="0071477F">
        <w:t xml:space="preserve">Table </w:t>
      </w:r>
      <w:r w:rsidR="00802F28">
        <w:fldChar w:fldCharType="begin"/>
      </w:r>
      <w:r w:rsidR="00802F28">
        <w:instrText xml:space="preserve"> SEQ Table \* ARABIC </w:instrText>
      </w:r>
      <w:r w:rsidR="00802F28">
        <w:fldChar w:fldCharType="separate"/>
      </w:r>
      <w:r w:rsidRPr="0071477F">
        <w:rPr>
          <w:noProof/>
        </w:rPr>
        <w:t>9</w:t>
      </w:r>
      <w:r w:rsidR="00802F28">
        <w:rPr>
          <w:noProof/>
        </w:rPr>
        <w:fldChar w:fldCharType="end"/>
      </w:r>
      <w:r w:rsidRPr="0071477F">
        <w:t xml:space="preserve"> – Socio-economic and health determinants of gambling-related harms</w:t>
      </w:r>
      <w:bookmarkEnd w:id="126"/>
      <w:bookmarkEnd w:id="127"/>
    </w:p>
    <w:tbl>
      <w:tblPr>
        <w:tblStyle w:val="TableGrid"/>
        <w:tblW w:w="10146" w:type="dxa"/>
        <w:tblInd w:w="-540" w:type="dxa"/>
        <w:tblLook w:val="04A0" w:firstRow="1" w:lastRow="0" w:firstColumn="1" w:lastColumn="0" w:noHBand="0" w:noVBand="1"/>
      </w:tblPr>
      <w:tblGrid>
        <w:gridCol w:w="1416"/>
        <w:gridCol w:w="8730"/>
      </w:tblGrid>
      <w:tr w:rsidR="00F61411" w:rsidTr="00332BF5">
        <w:tc>
          <w:tcPr>
            <w:tcW w:w="1416" w:type="dxa"/>
          </w:tcPr>
          <w:p w:rsidR="00F61411" w:rsidRPr="003F04AF" w:rsidRDefault="00F61411" w:rsidP="00CE444F">
            <w:pPr>
              <w:spacing w:line="276" w:lineRule="auto"/>
              <w:rPr>
                <w:b/>
              </w:rPr>
            </w:pPr>
            <w:bookmarkStart w:id="128" w:name="_Hlk489550898"/>
            <w:r w:rsidRPr="003F04AF">
              <w:rPr>
                <w:b/>
              </w:rPr>
              <w:t>Socio-economic</w:t>
            </w:r>
          </w:p>
        </w:tc>
        <w:tc>
          <w:tcPr>
            <w:tcW w:w="8730" w:type="dxa"/>
          </w:tcPr>
          <w:p w:rsidR="00F61411" w:rsidRPr="00A612D7" w:rsidRDefault="00F61411" w:rsidP="007D1909">
            <w:pPr>
              <w:pStyle w:val="ListParagraph"/>
              <w:numPr>
                <w:ilvl w:val="0"/>
                <w:numId w:val="39"/>
              </w:numPr>
              <w:spacing w:after="120"/>
              <w:ind w:left="360"/>
              <w:contextualSpacing w:val="0"/>
              <w:rPr>
                <w:rFonts w:asciiTheme="minorHAnsi" w:hAnsiTheme="minorHAnsi" w:cstheme="minorHAnsi"/>
              </w:rPr>
            </w:pPr>
            <w:r w:rsidRPr="00A612D7">
              <w:rPr>
                <w:rFonts w:asciiTheme="minorHAnsi" w:hAnsiTheme="minorHAnsi" w:cstheme="minorHAnsi"/>
              </w:rPr>
              <w:t>low educational attainment</w:t>
            </w:r>
            <w:r w:rsidRPr="00A612D7">
              <w:rPr>
                <w:vertAlign w:val="superscript"/>
              </w:rPr>
              <w:footnoteReference w:id="164"/>
            </w:r>
            <w:r>
              <w:rPr>
                <w:rFonts w:asciiTheme="minorHAnsi" w:hAnsiTheme="minorHAnsi" w:cstheme="minorHAnsi"/>
              </w:rPr>
              <w:t xml:space="preserve"> </w:t>
            </w:r>
            <w:r>
              <w:rPr>
                <w:rStyle w:val="FootnoteReference"/>
                <w:rFonts w:asciiTheme="minorHAnsi" w:hAnsiTheme="minorHAnsi" w:cstheme="minorHAnsi"/>
              </w:rPr>
              <w:footnoteReference w:id="165"/>
            </w:r>
            <w:r>
              <w:rPr>
                <w:rFonts w:asciiTheme="minorHAnsi" w:hAnsiTheme="minorHAnsi" w:cstheme="minorHAnsi"/>
              </w:rPr>
              <w:t xml:space="preserve"> </w:t>
            </w:r>
          </w:p>
          <w:p w:rsidR="00F61411" w:rsidRPr="00A612D7" w:rsidRDefault="00F61411" w:rsidP="007D1909">
            <w:pPr>
              <w:pStyle w:val="ListParagraph"/>
              <w:numPr>
                <w:ilvl w:val="0"/>
                <w:numId w:val="39"/>
              </w:numPr>
              <w:spacing w:after="120"/>
              <w:ind w:left="360"/>
              <w:contextualSpacing w:val="0"/>
            </w:pPr>
            <w:r w:rsidRPr="00A612D7">
              <w:t>personal income in the medium highest and</w:t>
            </w:r>
            <w:r w:rsidR="00397893">
              <w:t xml:space="preserve"> medium lowest income quartiles</w:t>
            </w:r>
            <w:r w:rsidRPr="00A612D7">
              <w:rPr>
                <w:rStyle w:val="FootnoteReference"/>
              </w:rPr>
              <w:footnoteReference w:id="166"/>
            </w:r>
          </w:p>
          <w:p w:rsidR="00F61411" w:rsidRPr="00A612D7" w:rsidRDefault="00F61411" w:rsidP="007D1909">
            <w:pPr>
              <w:pStyle w:val="ListParagraph"/>
              <w:numPr>
                <w:ilvl w:val="0"/>
                <w:numId w:val="39"/>
              </w:numPr>
              <w:spacing w:after="120"/>
              <w:ind w:left="360"/>
              <w:contextualSpacing w:val="0"/>
            </w:pPr>
            <w:r w:rsidRPr="00A612D7">
              <w:t xml:space="preserve">living in households with an income in the medium highest income quartile </w:t>
            </w:r>
            <w:r w:rsidRPr="00A612D7">
              <w:rPr>
                <w:rStyle w:val="FootnoteReference"/>
              </w:rPr>
              <w:footnoteReference w:id="167"/>
            </w:r>
          </w:p>
          <w:p w:rsidR="00F61411" w:rsidRPr="00A612D7" w:rsidRDefault="00F61411" w:rsidP="007D1909">
            <w:pPr>
              <w:pStyle w:val="ListParagraph"/>
              <w:numPr>
                <w:ilvl w:val="0"/>
                <w:numId w:val="39"/>
              </w:numPr>
              <w:spacing w:after="120"/>
              <w:ind w:left="360"/>
              <w:contextualSpacing w:val="0"/>
              <w:rPr>
                <w:rFonts w:asciiTheme="minorHAnsi" w:hAnsiTheme="minorHAnsi" w:cstheme="minorHAnsi"/>
              </w:rPr>
            </w:pPr>
            <w:r>
              <w:rPr>
                <w:rFonts w:asciiTheme="minorHAnsi" w:hAnsiTheme="minorHAnsi" w:cstheme="minorHAnsi"/>
              </w:rPr>
              <w:t>p</w:t>
            </w:r>
            <w:r w:rsidRPr="00A612D7">
              <w:rPr>
                <w:rFonts w:asciiTheme="minorHAnsi" w:hAnsiTheme="minorHAnsi" w:cstheme="minorHAnsi"/>
              </w:rPr>
              <w:t>ersonal income in the medium high</w:t>
            </w:r>
            <w:r w:rsidR="00397893">
              <w:rPr>
                <w:rFonts w:asciiTheme="minorHAnsi" w:hAnsiTheme="minorHAnsi" w:cstheme="minorHAnsi"/>
              </w:rPr>
              <w:t>est and medium lowest quartiles</w:t>
            </w:r>
            <w:r w:rsidRPr="00A612D7">
              <w:rPr>
                <w:rStyle w:val="FootnoteReference"/>
              </w:rPr>
              <w:footnoteReference w:id="168"/>
            </w:r>
          </w:p>
          <w:p w:rsidR="00F61411" w:rsidRPr="008733E8" w:rsidRDefault="00F61411" w:rsidP="007D1909">
            <w:pPr>
              <w:pStyle w:val="ListParagraph"/>
              <w:numPr>
                <w:ilvl w:val="0"/>
                <w:numId w:val="39"/>
              </w:numPr>
              <w:spacing w:after="120"/>
              <w:ind w:left="360"/>
              <w:contextualSpacing w:val="0"/>
              <w:rPr>
                <w:rFonts w:asciiTheme="minorHAnsi" w:hAnsiTheme="minorHAnsi" w:cstheme="minorHAnsi"/>
              </w:rPr>
            </w:pPr>
            <w:r>
              <w:rPr>
                <w:rFonts w:asciiTheme="minorHAnsi" w:hAnsiTheme="minorHAnsi" w:cstheme="minorHAnsi"/>
              </w:rPr>
              <w:t>h</w:t>
            </w:r>
            <w:r w:rsidRPr="00A612D7">
              <w:rPr>
                <w:rFonts w:asciiTheme="minorHAnsi" w:hAnsiTheme="minorHAnsi" w:cstheme="minorHAnsi"/>
              </w:rPr>
              <w:t>ousehold income in the m</w:t>
            </w:r>
            <w:r w:rsidR="00397893">
              <w:rPr>
                <w:rFonts w:asciiTheme="minorHAnsi" w:hAnsiTheme="minorHAnsi" w:cstheme="minorHAnsi"/>
              </w:rPr>
              <w:t>edium highest quartile</w:t>
            </w:r>
            <w:r w:rsidRPr="00A612D7">
              <w:t xml:space="preserve"> </w:t>
            </w:r>
            <w:r w:rsidRPr="00A612D7">
              <w:rPr>
                <w:rStyle w:val="FootnoteReference"/>
              </w:rPr>
              <w:footnoteReference w:id="169"/>
            </w:r>
          </w:p>
          <w:p w:rsidR="00F61411" w:rsidRPr="00A612D7" w:rsidRDefault="00F61411" w:rsidP="007D1909">
            <w:pPr>
              <w:pStyle w:val="ListParagraph"/>
              <w:numPr>
                <w:ilvl w:val="0"/>
                <w:numId w:val="39"/>
              </w:numPr>
              <w:spacing w:after="120"/>
              <w:ind w:left="360"/>
              <w:contextualSpacing w:val="0"/>
              <w:rPr>
                <w:rFonts w:asciiTheme="minorHAnsi" w:hAnsiTheme="minorHAnsi" w:cstheme="minorHAnsi"/>
              </w:rPr>
            </w:pPr>
            <w:r>
              <w:rPr>
                <w:rFonts w:asciiTheme="minorHAnsi" w:hAnsiTheme="minorHAnsi" w:cstheme="minorHAnsi"/>
              </w:rPr>
              <w:t>r</w:t>
            </w:r>
            <w:r w:rsidRPr="00A612D7">
              <w:rPr>
                <w:rFonts w:asciiTheme="minorHAnsi" w:hAnsiTheme="minorHAnsi" w:cstheme="minorHAnsi"/>
              </w:rPr>
              <w:t>elative socio-economic disadvantage</w:t>
            </w:r>
            <w:r w:rsidRPr="00A612D7">
              <w:rPr>
                <w:rStyle w:val="FootnoteReference"/>
                <w:rFonts w:asciiTheme="minorHAnsi" w:hAnsiTheme="minorHAnsi" w:cstheme="minorHAnsi"/>
              </w:rPr>
              <w:footnoteReference w:id="170"/>
            </w:r>
          </w:p>
          <w:p w:rsidR="00F61411" w:rsidRPr="00A612D7" w:rsidRDefault="00F61411" w:rsidP="007D1909">
            <w:pPr>
              <w:pStyle w:val="ListParagraph"/>
              <w:numPr>
                <w:ilvl w:val="0"/>
                <w:numId w:val="39"/>
              </w:numPr>
              <w:spacing w:after="120"/>
              <w:ind w:left="360"/>
              <w:contextualSpacing w:val="0"/>
              <w:rPr>
                <w:rFonts w:asciiTheme="minorHAnsi" w:hAnsiTheme="minorHAnsi" w:cstheme="minorHAnsi"/>
              </w:rPr>
            </w:pPr>
            <w:r>
              <w:rPr>
                <w:rFonts w:asciiTheme="minorHAnsi" w:hAnsiTheme="minorHAnsi" w:cstheme="minorHAnsi"/>
              </w:rPr>
              <w:t>u</w:t>
            </w:r>
            <w:r w:rsidRPr="00A612D7">
              <w:rPr>
                <w:rFonts w:asciiTheme="minorHAnsi" w:hAnsiTheme="minorHAnsi" w:cstheme="minorHAnsi"/>
              </w:rPr>
              <w:t>nemployment</w:t>
            </w:r>
            <w:r w:rsidRPr="00A612D7">
              <w:rPr>
                <w:rStyle w:val="FootnoteReference"/>
                <w:rFonts w:asciiTheme="minorHAnsi" w:hAnsiTheme="minorHAnsi" w:cstheme="minorHAnsi"/>
              </w:rPr>
              <w:footnoteReference w:id="171"/>
            </w:r>
            <w:r>
              <w:rPr>
                <w:rFonts w:asciiTheme="minorHAnsi" w:hAnsiTheme="minorHAnsi" w:cstheme="minorHAnsi"/>
              </w:rPr>
              <w:t xml:space="preserve"> </w:t>
            </w:r>
            <w:r>
              <w:rPr>
                <w:rStyle w:val="FootnoteReference"/>
                <w:rFonts w:asciiTheme="minorHAnsi" w:hAnsiTheme="minorHAnsi" w:cstheme="minorHAnsi"/>
              </w:rPr>
              <w:footnoteReference w:id="172"/>
            </w:r>
          </w:p>
          <w:p w:rsidR="00F61411" w:rsidRDefault="00F61411" w:rsidP="007D1909">
            <w:pPr>
              <w:pStyle w:val="ListParagraph"/>
              <w:numPr>
                <w:ilvl w:val="0"/>
                <w:numId w:val="39"/>
              </w:numPr>
              <w:spacing w:after="120"/>
              <w:ind w:left="360"/>
              <w:contextualSpacing w:val="0"/>
              <w:rPr>
                <w:rFonts w:asciiTheme="minorHAnsi" w:hAnsiTheme="minorHAnsi" w:cstheme="minorHAnsi"/>
              </w:rPr>
            </w:pPr>
            <w:r>
              <w:rPr>
                <w:rFonts w:asciiTheme="minorHAnsi" w:hAnsiTheme="minorHAnsi" w:cstheme="minorHAnsi"/>
              </w:rPr>
              <w:t>r</w:t>
            </w:r>
            <w:r w:rsidRPr="00A612D7">
              <w:rPr>
                <w:rFonts w:asciiTheme="minorHAnsi" w:hAnsiTheme="minorHAnsi" w:cstheme="minorHAnsi"/>
              </w:rPr>
              <w:t>esidents of social housing</w:t>
            </w:r>
            <w:r w:rsidRPr="00A612D7">
              <w:rPr>
                <w:rStyle w:val="FootnoteReference"/>
                <w:rFonts w:asciiTheme="minorHAnsi" w:hAnsiTheme="minorHAnsi" w:cstheme="minorHAnsi"/>
              </w:rPr>
              <w:footnoteReference w:id="173"/>
            </w:r>
          </w:p>
          <w:p w:rsidR="00F61411" w:rsidRDefault="00F61411" w:rsidP="007D1909">
            <w:pPr>
              <w:pStyle w:val="ListParagraph"/>
              <w:numPr>
                <w:ilvl w:val="0"/>
                <w:numId w:val="39"/>
              </w:numPr>
              <w:spacing w:after="120"/>
              <w:ind w:left="360"/>
              <w:contextualSpacing w:val="0"/>
            </w:pPr>
            <w:r w:rsidRPr="009161B1">
              <w:rPr>
                <w:rFonts w:asciiTheme="minorHAnsi" w:hAnsiTheme="minorHAnsi" w:cstheme="minorHAnsi"/>
              </w:rPr>
              <w:t>employed as labourers, sales workers and machinery operators and drivers</w:t>
            </w:r>
            <w:r w:rsidR="00397893">
              <w:rPr>
                <w:rFonts w:asciiTheme="minorHAnsi" w:hAnsiTheme="minorHAnsi" w:cstheme="minorHAnsi"/>
              </w:rPr>
              <w:t>.</w:t>
            </w:r>
            <w:r w:rsidRPr="00A612D7">
              <w:rPr>
                <w:vertAlign w:val="superscript"/>
              </w:rPr>
              <w:footnoteReference w:id="174"/>
            </w:r>
          </w:p>
        </w:tc>
      </w:tr>
      <w:tr w:rsidR="00F61411" w:rsidTr="00332BF5">
        <w:tc>
          <w:tcPr>
            <w:tcW w:w="1416" w:type="dxa"/>
          </w:tcPr>
          <w:p w:rsidR="00F61411" w:rsidRPr="003F04AF" w:rsidRDefault="00F61411" w:rsidP="00CE444F">
            <w:pPr>
              <w:spacing w:line="276" w:lineRule="auto"/>
              <w:rPr>
                <w:b/>
              </w:rPr>
            </w:pPr>
            <w:r w:rsidRPr="003F04AF">
              <w:rPr>
                <w:b/>
              </w:rPr>
              <w:t>Socio-demographic</w:t>
            </w:r>
          </w:p>
        </w:tc>
        <w:tc>
          <w:tcPr>
            <w:tcW w:w="8730" w:type="dxa"/>
          </w:tcPr>
          <w:p w:rsidR="00404A0C" w:rsidRPr="00404A0C" w:rsidRDefault="00404A0C" w:rsidP="007D1909">
            <w:pPr>
              <w:pStyle w:val="ListParagraph"/>
              <w:numPr>
                <w:ilvl w:val="0"/>
                <w:numId w:val="65"/>
              </w:numPr>
              <w:spacing w:after="120"/>
              <w:contextualSpacing w:val="0"/>
            </w:pPr>
            <w:r>
              <w:t>aged 18-24 years</w:t>
            </w:r>
            <w:r w:rsidRPr="00F61411">
              <w:rPr>
                <w:vertAlign w:val="superscript"/>
              </w:rPr>
              <w:footnoteReference w:id="175"/>
            </w:r>
            <w:r w:rsidRPr="00F61411">
              <w:rPr>
                <w:vertAlign w:val="superscript"/>
              </w:rPr>
              <w:t xml:space="preserve"> </w:t>
            </w:r>
            <w:r w:rsidRPr="00F61411">
              <w:rPr>
                <w:rStyle w:val="FootnoteReference"/>
                <w:rFonts w:cstheme="minorHAnsi"/>
              </w:rPr>
              <w:footnoteReference w:id="176"/>
            </w:r>
          </w:p>
          <w:p w:rsidR="00F61411" w:rsidRPr="00040E35" w:rsidRDefault="00F61411" w:rsidP="007D1909">
            <w:pPr>
              <w:pStyle w:val="ListParagraph"/>
              <w:numPr>
                <w:ilvl w:val="0"/>
                <w:numId w:val="65"/>
              </w:numPr>
              <w:spacing w:after="120"/>
              <w:contextualSpacing w:val="0"/>
            </w:pPr>
            <w:r>
              <w:rPr>
                <w:rFonts w:asciiTheme="minorHAnsi" w:hAnsiTheme="minorHAnsi" w:cstheme="minorHAnsi"/>
              </w:rPr>
              <w:t>o</w:t>
            </w:r>
            <w:r w:rsidRPr="00A612D7">
              <w:rPr>
                <w:rFonts w:asciiTheme="minorHAnsi" w:hAnsiTheme="minorHAnsi" w:cstheme="minorHAnsi"/>
              </w:rPr>
              <w:t>lder people</w:t>
            </w:r>
            <w:r w:rsidRPr="00A612D7">
              <w:rPr>
                <w:rStyle w:val="FootnoteReference"/>
                <w:rFonts w:asciiTheme="minorHAnsi" w:hAnsiTheme="minorHAnsi" w:cstheme="minorHAnsi"/>
              </w:rPr>
              <w:footnoteReference w:id="177"/>
            </w:r>
            <w:r>
              <w:rPr>
                <w:rFonts w:asciiTheme="minorHAnsi" w:hAnsiTheme="minorHAnsi" w:cstheme="minorHAnsi"/>
              </w:rPr>
              <w:t xml:space="preserve">  aged</w:t>
            </w:r>
            <w:r>
              <w:t xml:space="preserve"> </w:t>
            </w:r>
            <w:r w:rsidRPr="00040E35">
              <w:rPr>
                <w:rFonts w:asciiTheme="minorHAnsi" w:hAnsiTheme="minorHAnsi" w:cstheme="minorHAnsi"/>
              </w:rPr>
              <w:t>55-64</w:t>
            </w:r>
            <w:r>
              <w:rPr>
                <w:rFonts w:asciiTheme="minorHAnsi" w:hAnsiTheme="minorHAnsi" w:cstheme="minorHAnsi"/>
              </w:rPr>
              <w:t xml:space="preserve"> years </w:t>
            </w:r>
            <w:r>
              <w:rPr>
                <w:rStyle w:val="FootnoteReference"/>
                <w:rFonts w:asciiTheme="minorHAnsi" w:hAnsiTheme="minorHAnsi" w:cstheme="minorHAnsi"/>
              </w:rPr>
              <w:footnoteReference w:id="178"/>
            </w:r>
            <w:r>
              <w:rPr>
                <w:rFonts w:asciiTheme="minorHAnsi" w:hAnsiTheme="minorHAnsi" w:cstheme="minorHAnsi"/>
              </w:rPr>
              <w:t xml:space="preserve"> </w:t>
            </w:r>
            <w:r w:rsidRPr="00A612D7">
              <w:rPr>
                <w:rFonts w:asciiTheme="minorHAnsi" w:hAnsiTheme="minorHAnsi" w:cstheme="minorHAnsi"/>
              </w:rPr>
              <w:t>particularly those experiencing social isolation</w:t>
            </w:r>
            <w:r w:rsidRPr="00A612D7">
              <w:rPr>
                <w:rStyle w:val="FootnoteReference"/>
                <w:rFonts w:asciiTheme="minorHAnsi" w:hAnsiTheme="minorHAnsi" w:cstheme="minorHAnsi"/>
              </w:rPr>
              <w:footnoteReference w:id="179"/>
            </w:r>
            <w:r w:rsidRPr="00A612D7">
              <w:rPr>
                <w:rFonts w:asciiTheme="minorHAnsi" w:hAnsiTheme="minorHAnsi" w:cstheme="minorHAnsi"/>
                <w:vertAlign w:val="superscript"/>
              </w:rPr>
              <w:t>,</w:t>
            </w:r>
            <w:r w:rsidRPr="00A612D7">
              <w:rPr>
                <w:rStyle w:val="FootnoteReference"/>
                <w:rFonts w:asciiTheme="minorHAnsi" w:hAnsiTheme="minorHAnsi" w:cstheme="minorHAnsi"/>
              </w:rPr>
              <w:footnoteReference w:id="180"/>
            </w:r>
            <w:r w:rsidRPr="00A612D7">
              <w:rPr>
                <w:rFonts w:asciiTheme="minorHAnsi" w:hAnsiTheme="minorHAnsi" w:cstheme="minorHAnsi"/>
                <w:vertAlign w:val="superscript"/>
              </w:rPr>
              <w:t xml:space="preserve"> </w:t>
            </w:r>
          </w:p>
          <w:p w:rsidR="00F61411" w:rsidRDefault="00F61411" w:rsidP="007D1909">
            <w:pPr>
              <w:pStyle w:val="ListParagraph"/>
              <w:numPr>
                <w:ilvl w:val="0"/>
                <w:numId w:val="65"/>
              </w:numPr>
              <w:spacing w:after="120"/>
              <w:contextualSpacing w:val="0"/>
            </w:pPr>
            <w:r>
              <w:t>not speaking English at home</w:t>
            </w:r>
            <w:r>
              <w:rPr>
                <w:rStyle w:val="FootnoteReference"/>
              </w:rPr>
              <w:footnoteReference w:id="181"/>
            </w:r>
            <w:r w:rsidR="00397893">
              <w:t xml:space="preserve"> or non-Caucasians</w:t>
            </w:r>
            <w:r>
              <w:t xml:space="preserve"> </w:t>
            </w:r>
            <w:r>
              <w:rPr>
                <w:rStyle w:val="FootnoteReference"/>
              </w:rPr>
              <w:footnoteReference w:id="182"/>
            </w:r>
          </w:p>
          <w:p w:rsidR="00F61411" w:rsidRPr="004B5550" w:rsidRDefault="00F61411" w:rsidP="007D1909">
            <w:pPr>
              <w:pStyle w:val="ListParagraph"/>
              <w:numPr>
                <w:ilvl w:val="0"/>
                <w:numId w:val="65"/>
              </w:numPr>
              <w:spacing w:after="120"/>
              <w:contextualSpacing w:val="0"/>
            </w:pPr>
            <w:r w:rsidRPr="00A612D7">
              <w:t>Aborig</w:t>
            </w:r>
            <w:r w:rsidR="00397893">
              <w:t>inal and Torres Strait Islander</w:t>
            </w:r>
            <w:r w:rsidRPr="004A556D">
              <w:rPr>
                <w:rStyle w:val="FootnoteReference"/>
                <w:rFonts w:cstheme="minorHAnsi"/>
              </w:rPr>
              <w:t xml:space="preserve"> </w:t>
            </w:r>
            <w:r>
              <w:rPr>
                <w:rStyle w:val="FootnoteReference"/>
                <w:rFonts w:cstheme="minorHAnsi"/>
              </w:rPr>
              <w:footnoteReference w:id="183"/>
            </w:r>
            <w:r>
              <w:rPr>
                <w:rFonts w:cstheme="minorHAnsi"/>
              </w:rPr>
              <w:t xml:space="preserve"> (4.1% higher than non-Indigenous Australians)</w:t>
            </w:r>
            <w:r>
              <w:rPr>
                <w:rStyle w:val="FootnoteReference"/>
                <w:rFonts w:cstheme="minorHAnsi"/>
              </w:rPr>
              <w:footnoteReference w:id="184"/>
            </w:r>
          </w:p>
          <w:p w:rsidR="00F61411" w:rsidRPr="00A612D7" w:rsidRDefault="00F61411" w:rsidP="007D1909">
            <w:pPr>
              <w:pStyle w:val="ListParagraph"/>
              <w:numPr>
                <w:ilvl w:val="0"/>
                <w:numId w:val="65"/>
              </w:numPr>
              <w:spacing w:after="120"/>
              <w:contextualSpacing w:val="0"/>
            </w:pPr>
            <w:r>
              <w:t>m</w:t>
            </w:r>
            <w:r w:rsidRPr="000D06EA">
              <w:t>igrants and people from CALD communities, particularly Asian groups including Vietnamese, Chinese and Korean</w:t>
            </w:r>
            <w:r w:rsidRPr="00262D87">
              <w:rPr>
                <w:rStyle w:val="FootnoteReference"/>
              </w:rPr>
              <w:t xml:space="preserve"> </w:t>
            </w:r>
            <w:r w:rsidRPr="000D06EA">
              <w:rPr>
                <w:rStyle w:val="FootnoteReference"/>
              </w:rPr>
              <w:footnoteReference w:id="185"/>
            </w:r>
          </w:p>
          <w:p w:rsidR="00F61411" w:rsidRDefault="00F61411" w:rsidP="007D1909">
            <w:pPr>
              <w:pStyle w:val="ListParagraph"/>
              <w:numPr>
                <w:ilvl w:val="0"/>
                <w:numId w:val="65"/>
              </w:numPr>
              <w:spacing w:after="120"/>
              <w:contextualSpacing w:val="0"/>
            </w:pPr>
            <w:r w:rsidRPr="00A612D7">
              <w:t>living in group households</w:t>
            </w:r>
            <w:r w:rsidRPr="009161B1">
              <w:rPr>
                <w:rStyle w:val="FootnoteReference"/>
              </w:rPr>
              <w:t xml:space="preserve"> </w:t>
            </w:r>
            <w:r w:rsidRPr="00A612D7">
              <w:rPr>
                <w:rStyle w:val="FootnoteReference"/>
              </w:rPr>
              <w:footnoteReference w:id="186"/>
            </w:r>
          </w:p>
          <w:p w:rsidR="00F61411" w:rsidRDefault="00F61411" w:rsidP="007D1909">
            <w:pPr>
              <w:pStyle w:val="ListParagraph"/>
              <w:numPr>
                <w:ilvl w:val="0"/>
                <w:numId w:val="65"/>
              </w:numPr>
              <w:spacing w:after="120"/>
              <w:contextualSpacing w:val="0"/>
            </w:pPr>
            <w:r w:rsidRPr="00040E35">
              <w:rPr>
                <w:rFonts w:asciiTheme="minorHAnsi" w:hAnsiTheme="minorHAnsi" w:cstheme="minorHAnsi"/>
              </w:rPr>
              <w:t>experiencing low social capital</w:t>
            </w:r>
            <w:r w:rsidRPr="00A612D7">
              <w:rPr>
                <w:rStyle w:val="FootnoteReference"/>
                <w:rFonts w:asciiTheme="minorHAnsi" w:hAnsiTheme="minorHAnsi" w:cstheme="minorHAnsi"/>
              </w:rPr>
              <w:footnoteReference w:id="187"/>
            </w:r>
            <w:r w:rsidRPr="00040E35">
              <w:rPr>
                <w:rFonts w:asciiTheme="minorHAnsi" w:hAnsiTheme="minorHAnsi" w:cstheme="minorHAnsi"/>
              </w:rPr>
              <w:t xml:space="preserve"> evidenced by volunteering rate.</w:t>
            </w:r>
          </w:p>
        </w:tc>
      </w:tr>
      <w:tr w:rsidR="00F61411" w:rsidTr="00332BF5">
        <w:tc>
          <w:tcPr>
            <w:tcW w:w="1416" w:type="dxa"/>
          </w:tcPr>
          <w:p w:rsidR="00F61411" w:rsidRPr="003F04AF" w:rsidRDefault="00F61411" w:rsidP="00CE444F">
            <w:pPr>
              <w:spacing w:line="276" w:lineRule="auto"/>
              <w:rPr>
                <w:b/>
              </w:rPr>
            </w:pPr>
            <w:r w:rsidRPr="003F04AF">
              <w:rPr>
                <w:b/>
              </w:rPr>
              <w:t>Health and wellbeing status</w:t>
            </w:r>
          </w:p>
        </w:tc>
        <w:tc>
          <w:tcPr>
            <w:tcW w:w="8730" w:type="dxa"/>
          </w:tcPr>
          <w:p w:rsidR="00F61411" w:rsidRDefault="00F61411" w:rsidP="007D1909">
            <w:pPr>
              <w:pStyle w:val="ListParagraph"/>
              <w:numPr>
                <w:ilvl w:val="0"/>
                <w:numId w:val="66"/>
              </w:numPr>
              <w:spacing w:after="120"/>
              <w:contextualSpacing w:val="0"/>
              <w:rPr>
                <w:rFonts w:asciiTheme="minorHAnsi" w:hAnsiTheme="minorHAnsi" w:cstheme="minorHAnsi"/>
              </w:rPr>
            </w:pPr>
            <w:r w:rsidRPr="00A612D7">
              <w:rPr>
                <w:rFonts w:asciiTheme="minorHAnsi" w:hAnsiTheme="minorHAnsi" w:cstheme="minorHAnsi"/>
              </w:rPr>
              <w:t>experiencing psychological distress or compromised mental health and wellbeing</w:t>
            </w:r>
            <w:r w:rsidRPr="00A612D7">
              <w:rPr>
                <w:vertAlign w:val="superscript"/>
              </w:rPr>
              <w:footnoteReference w:id="188"/>
            </w:r>
            <w:r w:rsidR="00397893">
              <w:rPr>
                <w:rFonts w:asciiTheme="minorHAnsi" w:hAnsiTheme="minorHAnsi" w:cstheme="minorHAnsi"/>
              </w:rPr>
              <w:t>,</w:t>
            </w:r>
            <w:r w:rsidRPr="00764A62">
              <w:rPr>
                <w:rStyle w:val="FootnoteReference"/>
              </w:rPr>
              <w:footnoteReference w:id="189"/>
            </w:r>
          </w:p>
          <w:p w:rsidR="00F61411" w:rsidRPr="00A612D7" w:rsidRDefault="00F61411" w:rsidP="007D1909">
            <w:pPr>
              <w:pStyle w:val="ListParagraph"/>
              <w:numPr>
                <w:ilvl w:val="0"/>
                <w:numId w:val="66"/>
              </w:numPr>
              <w:spacing w:after="120"/>
              <w:contextualSpacing w:val="0"/>
              <w:rPr>
                <w:rFonts w:asciiTheme="minorHAnsi" w:hAnsiTheme="minorHAnsi" w:cstheme="minorHAnsi"/>
              </w:rPr>
            </w:pPr>
            <w:r>
              <w:rPr>
                <w:rFonts w:asciiTheme="minorHAnsi" w:hAnsiTheme="minorHAnsi" w:cstheme="minorHAnsi"/>
              </w:rPr>
              <w:t>smoke</w:t>
            </w:r>
            <w:r w:rsidRPr="00F61411">
              <w:rPr>
                <w:rStyle w:val="FootnoteReference"/>
                <w:rFonts w:eastAsiaTheme="minorHAnsi"/>
                <w:szCs w:val="22"/>
              </w:rPr>
              <w:footnoteReference w:id="190"/>
            </w:r>
            <w:r w:rsidRPr="00F61411">
              <w:rPr>
                <w:szCs w:val="22"/>
                <w:vertAlign w:val="superscript"/>
              </w:rPr>
              <w:t>,</w:t>
            </w:r>
            <w:r w:rsidRPr="00F61411">
              <w:rPr>
                <w:rStyle w:val="FootnoteReference"/>
                <w:szCs w:val="22"/>
              </w:rPr>
              <w:footnoteReference w:id="191"/>
            </w:r>
            <w:r w:rsidR="00397893">
              <w:rPr>
                <w:szCs w:val="22"/>
                <w:vertAlign w:val="superscript"/>
              </w:rPr>
              <w:t>,</w:t>
            </w:r>
            <w:r w:rsidRPr="00F61411">
              <w:rPr>
                <w:szCs w:val="22"/>
                <w:vertAlign w:val="superscript"/>
              </w:rPr>
              <w:t xml:space="preserve"> </w:t>
            </w:r>
            <w:r w:rsidRPr="00F61411">
              <w:rPr>
                <w:rStyle w:val="FootnoteReference"/>
                <w:szCs w:val="22"/>
              </w:rPr>
              <w:footnoteReference w:id="192"/>
            </w:r>
          </w:p>
          <w:p w:rsidR="00F61411" w:rsidRDefault="00F61411" w:rsidP="007D1909">
            <w:pPr>
              <w:pStyle w:val="ListParagraph"/>
              <w:numPr>
                <w:ilvl w:val="0"/>
                <w:numId w:val="66"/>
              </w:numPr>
              <w:spacing w:after="120"/>
              <w:contextualSpacing w:val="0"/>
            </w:pPr>
            <w:r w:rsidRPr="00764A62">
              <w:t xml:space="preserve">consume alcohol </w:t>
            </w:r>
            <w:r>
              <w:t xml:space="preserve">and become intoxicated </w:t>
            </w:r>
            <w:r w:rsidRPr="00764A62">
              <w:t>while gambling</w:t>
            </w:r>
            <w:r w:rsidRPr="00764A62">
              <w:rPr>
                <w:rStyle w:val="FootnoteReference"/>
              </w:rPr>
              <w:t xml:space="preserve"> </w:t>
            </w:r>
            <w:r w:rsidRPr="00F61411">
              <w:rPr>
                <w:rStyle w:val="FootnoteReference"/>
              </w:rPr>
              <w:footnoteReference w:id="193"/>
            </w:r>
            <w:r w:rsidRPr="00F61411">
              <w:rPr>
                <w:vertAlign w:val="superscript"/>
              </w:rPr>
              <w:t xml:space="preserve"> </w:t>
            </w:r>
            <w:r w:rsidR="00397893">
              <w:rPr>
                <w:vertAlign w:val="superscript"/>
              </w:rPr>
              <w:t>,</w:t>
            </w:r>
            <w:r w:rsidRPr="00F61411">
              <w:rPr>
                <w:rStyle w:val="FootnoteReference"/>
              </w:rPr>
              <w:footnoteReference w:id="194"/>
            </w:r>
            <w:r w:rsidRPr="00F61411">
              <w:rPr>
                <w:vertAlign w:val="superscript"/>
              </w:rPr>
              <w:t xml:space="preserve"> </w:t>
            </w:r>
            <w:r w:rsidR="00397893">
              <w:rPr>
                <w:vertAlign w:val="superscript"/>
              </w:rPr>
              <w:t>,</w:t>
            </w:r>
            <w:r w:rsidRPr="00F61411">
              <w:rPr>
                <w:vertAlign w:val="superscript"/>
              </w:rPr>
              <w:t xml:space="preserve"> </w:t>
            </w:r>
            <w:r w:rsidRPr="00F61411">
              <w:rPr>
                <w:rStyle w:val="FootnoteReference"/>
              </w:rPr>
              <w:footnoteReference w:id="195"/>
            </w:r>
            <w:r>
              <w:t xml:space="preserve"> </w:t>
            </w:r>
          </w:p>
          <w:p w:rsidR="00F61411" w:rsidRDefault="00F61411" w:rsidP="007D1909">
            <w:pPr>
              <w:pStyle w:val="ListParagraph"/>
              <w:numPr>
                <w:ilvl w:val="0"/>
                <w:numId w:val="66"/>
              </w:numPr>
              <w:spacing w:after="120"/>
              <w:contextualSpacing w:val="0"/>
            </w:pPr>
            <w:r>
              <w:t>people seeking treatment for substance abuse disorders</w:t>
            </w:r>
            <w:r>
              <w:rPr>
                <w:rStyle w:val="FootnoteReference"/>
              </w:rPr>
              <w:footnoteReference w:id="196"/>
            </w:r>
            <w:r>
              <w:t>.</w:t>
            </w:r>
          </w:p>
        </w:tc>
      </w:tr>
      <w:tr w:rsidR="00F61411" w:rsidTr="00332BF5">
        <w:tc>
          <w:tcPr>
            <w:tcW w:w="1416" w:type="dxa"/>
          </w:tcPr>
          <w:p w:rsidR="00F61411" w:rsidRPr="003F04AF" w:rsidRDefault="00F61411" w:rsidP="00CE444F">
            <w:pPr>
              <w:spacing w:line="276" w:lineRule="auto"/>
              <w:rPr>
                <w:b/>
              </w:rPr>
            </w:pPr>
            <w:r w:rsidRPr="003F04AF">
              <w:rPr>
                <w:b/>
              </w:rPr>
              <w:t>Life experiences</w:t>
            </w:r>
          </w:p>
        </w:tc>
        <w:tc>
          <w:tcPr>
            <w:tcW w:w="8730" w:type="dxa"/>
          </w:tcPr>
          <w:p w:rsidR="00F61411" w:rsidRPr="00E637AC" w:rsidRDefault="00F61411" w:rsidP="007D1909">
            <w:pPr>
              <w:pStyle w:val="ListParagraph"/>
              <w:numPr>
                <w:ilvl w:val="0"/>
                <w:numId w:val="64"/>
              </w:numPr>
              <w:spacing w:after="120"/>
              <w:contextualSpacing w:val="0"/>
            </w:pPr>
            <w:r w:rsidRPr="00E637AC">
              <w:t>Taking on a mortgage, loan or making a repayment</w:t>
            </w:r>
            <w:r w:rsidRPr="00E637AC">
              <w:rPr>
                <w:rStyle w:val="FootnoteReference"/>
              </w:rPr>
              <w:footnoteReference w:id="197"/>
            </w:r>
          </w:p>
          <w:p w:rsidR="00F61411" w:rsidRDefault="00F61411" w:rsidP="007D1909">
            <w:pPr>
              <w:pStyle w:val="ListParagraph"/>
              <w:numPr>
                <w:ilvl w:val="0"/>
                <w:numId w:val="64"/>
              </w:numPr>
              <w:spacing w:after="120"/>
              <w:contextualSpacing w:val="0"/>
            </w:pPr>
            <w:r>
              <w:t>people with higher number of negative life experiences affecting</w:t>
            </w:r>
            <w:r w:rsidR="00397893">
              <w:t xml:space="preserve"> themselves and their families for example </w:t>
            </w:r>
            <w:r>
              <w:t xml:space="preserve">divorce, legal difficulties and financial issues </w:t>
            </w:r>
            <w:r>
              <w:rPr>
                <w:rStyle w:val="FootnoteReference"/>
                <w:rFonts w:ascii="Arial" w:eastAsiaTheme="minorHAnsi" w:hAnsi="Arial"/>
                <w:sz w:val="19"/>
                <w:szCs w:val="19"/>
              </w:rPr>
              <w:footnoteReference w:id="198"/>
            </w:r>
          </w:p>
          <w:p w:rsidR="00F61411" w:rsidRDefault="00F61411" w:rsidP="007D1909">
            <w:pPr>
              <w:pStyle w:val="ListParagraph"/>
              <w:numPr>
                <w:ilvl w:val="0"/>
                <w:numId w:val="64"/>
              </w:numPr>
              <w:spacing w:after="120"/>
              <w:contextualSpacing w:val="0"/>
            </w:pPr>
            <w:r>
              <w:t>people experiencing trauma, social isolation, boredom</w:t>
            </w:r>
            <w:r w:rsidRPr="00E637AC">
              <w:rPr>
                <w:rStyle w:val="FootnoteReference"/>
              </w:rPr>
              <w:footnoteReference w:id="199"/>
            </w:r>
            <w:r>
              <w:t xml:space="preserve"> and loneliness</w:t>
            </w:r>
            <w:r>
              <w:rPr>
                <w:rStyle w:val="FootnoteReference"/>
              </w:rPr>
              <w:footnoteReference w:id="200"/>
            </w:r>
            <w:r>
              <w:t>, particularly among older people</w:t>
            </w:r>
            <w:r>
              <w:rPr>
                <w:rStyle w:val="FootnoteReference"/>
              </w:rPr>
              <w:footnoteReference w:id="201"/>
            </w:r>
            <w:r>
              <w:t xml:space="preserve"> and women</w:t>
            </w:r>
            <w:r>
              <w:rPr>
                <w:rStyle w:val="FootnoteReference"/>
              </w:rPr>
              <w:footnoteReference w:id="202"/>
            </w:r>
          </w:p>
          <w:p w:rsidR="00F61411" w:rsidRDefault="00F61411" w:rsidP="007D1909">
            <w:pPr>
              <w:pStyle w:val="ListParagraph"/>
              <w:numPr>
                <w:ilvl w:val="0"/>
                <w:numId w:val="64"/>
              </w:numPr>
              <w:spacing w:after="120"/>
              <w:contextualSpacing w:val="0"/>
            </w:pPr>
            <w:r>
              <w:t>people experiencing changes in their personal circumstances such as death of someone close to them, divorce, legal issues, relationship issues, and legal issues</w:t>
            </w:r>
            <w:r w:rsidRPr="00E637AC">
              <w:rPr>
                <w:rStyle w:val="FootnoteReference"/>
              </w:rPr>
              <w:footnoteReference w:id="203"/>
            </w:r>
          </w:p>
          <w:p w:rsidR="00F61411" w:rsidRDefault="00F61411" w:rsidP="007D1909">
            <w:pPr>
              <w:pStyle w:val="ListParagraph"/>
              <w:numPr>
                <w:ilvl w:val="0"/>
                <w:numId w:val="64"/>
              </w:numPr>
              <w:spacing w:after="120"/>
              <w:contextualSpacing w:val="0"/>
            </w:pPr>
            <w:r>
              <w:t>people gambling for reasons other than social reasons, to win money or general entertainment</w:t>
            </w:r>
            <w:r w:rsidRPr="005B2F0D">
              <w:rPr>
                <w:rStyle w:val="FootnoteReference"/>
              </w:rPr>
              <w:t xml:space="preserve"> </w:t>
            </w:r>
            <w:r>
              <w:rPr>
                <w:rStyle w:val="FootnoteReference"/>
              </w:rPr>
              <w:footnoteReference w:id="204"/>
            </w:r>
            <w:r>
              <w:t xml:space="preserve"> </w:t>
            </w:r>
          </w:p>
          <w:p w:rsidR="00F61411" w:rsidRPr="00F61411" w:rsidRDefault="00F61411" w:rsidP="007D1909">
            <w:pPr>
              <w:pStyle w:val="ListParagraph"/>
              <w:numPr>
                <w:ilvl w:val="0"/>
                <w:numId w:val="64"/>
              </w:numPr>
              <w:spacing w:after="120"/>
              <w:contextualSpacing w:val="0"/>
              <w:rPr>
                <w:rFonts w:asciiTheme="minorHAnsi" w:hAnsiTheme="minorHAnsi" w:cstheme="minorHAnsi"/>
              </w:rPr>
            </w:pPr>
            <w:r>
              <w:t>people seeking treatment for substance abuse disorders such as and nicotine dependency, alcohol abuse, alcohol dependence and cannabis use disorder</w:t>
            </w:r>
            <w:r>
              <w:rPr>
                <w:rStyle w:val="FootnoteReference"/>
              </w:rPr>
              <w:footnoteReference w:id="205"/>
            </w:r>
            <w:r>
              <w:t xml:space="preserve"> </w:t>
            </w:r>
          </w:p>
          <w:p w:rsidR="00F61411" w:rsidRPr="00A612D7" w:rsidRDefault="00F61411" w:rsidP="007D1909">
            <w:pPr>
              <w:pStyle w:val="ListParagraph"/>
              <w:numPr>
                <w:ilvl w:val="0"/>
                <w:numId w:val="64"/>
              </w:numPr>
              <w:spacing w:after="120"/>
              <w:contextualSpacing w:val="0"/>
              <w:rPr>
                <w:rFonts w:asciiTheme="minorHAnsi" w:hAnsiTheme="minorHAnsi" w:cstheme="minorHAnsi"/>
              </w:rPr>
            </w:pPr>
            <w:r>
              <w:t>people who consume alcohol while gambling (low and moderate risk gamblers)</w:t>
            </w:r>
            <w:r w:rsidRPr="00AC4735">
              <w:rPr>
                <w:rStyle w:val="FootnoteReference"/>
              </w:rPr>
              <w:t xml:space="preserve"> </w:t>
            </w:r>
            <w:r>
              <w:rPr>
                <w:rStyle w:val="FootnoteReference"/>
              </w:rPr>
              <w:footnoteReference w:id="206"/>
            </w:r>
          </w:p>
        </w:tc>
      </w:tr>
    </w:tbl>
    <w:p w:rsidR="00047877" w:rsidRPr="0099464A" w:rsidRDefault="00047877" w:rsidP="00047877">
      <w:pPr>
        <w:pStyle w:val="Heading3"/>
        <w:spacing w:before="40" w:after="0" w:line="259" w:lineRule="auto"/>
        <w:rPr>
          <w:rFonts w:asciiTheme="minorHAnsi" w:hAnsiTheme="minorHAnsi" w:cstheme="minorHAnsi"/>
        </w:rPr>
      </w:pPr>
      <w:bookmarkStart w:id="129" w:name="_Hlk489974511"/>
      <w:bookmarkEnd w:id="125"/>
      <w:bookmarkEnd w:id="128"/>
      <w:r w:rsidRPr="0099464A">
        <w:rPr>
          <w:rFonts w:asciiTheme="minorHAnsi" w:hAnsiTheme="minorHAnsi" w:cstheme="minorHAnsi"/>
        </w:rPr>
        <w:t>Vulnerability in the City of Melbourne</w:t>
      </w:r>
    </w:p>
    <w:p w:rsidR="00047877" w:rsidRPr="0099464A" w:rsidRDefault="00047877" w:rsidP="00047877">
      <w:pPr>
        <w:pStyle w:val="Heading4"/>
        <w:rPr>
          <w:rFonts w:asciiTheme="minorHAnsi" w:hAnsiTheme="minorHAnsi" w:cstheme="minorHAnsi"/>
        </w:rPr>
      </w:pPr>
      <w:r w:rsidRPr="0099464A">
        <w:rPr>
          <w:rFonts w:asciiTheme="minorHAnsi" w:hAnsiTheme="minorHAnsi" w:cstheme="minorHAnsi"/>
        </w:rPr>
        <w:t>Socio-economic factors</w:t>
      </w:r>
    </w:p>
    <w:p w:rsidR="00047877" w:rsidRPr="0099464A" w:rsidRDefault="00047877" w:rsidP="00047877">
      <w:pPr>
        <w:rPr>
          <w:rFonts w:cstheme="minorHAnsi"/>
        </w:rPr>
      </w:pPr>
      <w:r w:rsidRPr="0099464A">
        <w:rPr>
          <w:rFonts w:cstheme="minorHAnsi"/>
        </w:rPr>
        <w:t xml:space="preserve">Appendix </w:t>
      </w:r>
      <w:r w:rsidR="00FF3CA9">
        <w:rPr>
          <w:rFonts w:cstheme="minorHAnsi"/>
        </w:rPr>
        <w:t>3</w:t>
      </w:r>
      <w:r w:rsidRPr="0099464A">
        <w:rPr>
          <w:rFonts w:cstheme="minorHAnsi"/>
        </w:rPr>
        <w:t xml:space="preserve"> provides a detailed analysis of the socio-economic factors that increase the risk of gambling-related harms for the local areas within the City of Melbourne.</w:t>
      </w:r>
    </w:p>
    <w:p w:rsidR="00047877" w:rsidRPr="0099464A" w:rsidRDefault="00047877" w:rsidP="00047877">
      <w:pPr>
        <w:rPr>
          <w:rFonts w:cstheme="minorHAnsi"/>
        </w:rPr>
      </w:pPr>
      <w:r w:rsidRPr="0099464A">
        <w:rPr>
          <w:rFonts w:cstheme="minorHAnsi"/>
        </w:rPr>
        <w:t xml:space="preserve">At a municipal level, the City of Melbourne/Greater Melbourne area would not be considered at an elevated risk of gambling-related harms due to the overall level of socio-economic disadvantage and other features relating to occupation, and volunteerism. </w:t>
      </w:r>
    </w:p>
    <w:p w:rsidR="00047877" w:rsidRPr="0099464A" w:rsidRDefault="00047877" w:rsidP="00047877">
      <w:pPr>
        <w:rPr>
          <w:rFonts w:cstheme="minorHAnsi"/>
        </w:rPr>
      </w:pPr>
      <w:r w:rsidRPr="0099464A">
        <w:rPr>
          <w:rFonts w:cstheme="minorHAnsi"/>
        </w:rPr>
        <w:t>However, there are certain features of the population of the City of Melbourne that increase the risks of gambling-related harms. These include households with rental stress, median annual household income, proportion of lone and group households, students and proportion of young people aged 15-24, and proportion of people with Chinese ancestry.</w:t>
      </w:r>
    </w:p>
    <w:p w:rsidR="00047877" w:rsidRPr="0099464A" w:rsidRDefault="00047877" w:rsidP="00047877">
      <w:pPr>
        <w:rPr>
          <w:rFonts w:cstheme="minorHAnsi"/>
        </w:rPr>
      </w:pPr>
      <w:r w:rsidRPr="0099464A">
        <w:rPr>
          <w:rFonts w:cstheme="minorHAnsi"/>
        </w:rPr>
        <w:t xml:space="preserve">The central, southern and northern areas including Melbourne, Southbank, Carlton, North Melbourne and Parkville display the most indicators of gambling related harms. These areas contain ten of the 11 </w:t>
      </w:r>
      <w:r w:rsidR="007609EE">
        <w:rPr>
          <w:rFonts w:cstheme="minorHAnsi"/>
          <w:color w:val="222222"/>
          <w:shd w:val="clear" w:color="auto" w:fill="FFFFFF"/>
        </w:rPr>
        <w:t>EGM</w:t>
      </w:r>
      <w:r w:rsidRPr="0099464A">
        <w:rPr>
          <w:rFonts w:cstheme="minorHAnsi"/>
        </w:rPr>
        <w:t xml:space="preserve"> venues and Crown Casino.</w:t>
      </w:r>
    </w:p>
    <w:p w:rsidR="00047877" w:rsidRPr="0099464A" w:rsidRDefault="00047877" w:rsidP="00047877">
      <w:pPr>
        <w:rPr>
          <w:rFonts w:cstheme="minorHAnsi"/>
        </w:rPr>
      </w:pPr>
      <w:r w:rsidRPr="0099464A">
        <w:rPr>
          <w:rFonts w:cstheme="minorHAnsi"/>
        </w:rPr>
        <w:t xml:space="preserve">The western local areas including Docklands and Port Melbourne display the least indicators of gambling-related harms. There are no </w:t>
      </w:r>
      <w:r w:rsidR="007609EE">
        <w:rPr>
          <w:rFonts w:cstheme="minorHAnsi"/>
          <w:color w:val="222222"/>
          <w:shd w:val="clear" w:color="auto" w:fill="FFFFFF"/>
        </w:rPr>
        <w:t>EGM</w:t>
      </w:r>
      <w:r w:rsidRPr="0099464A">
        <w:rPr>
          <w:rFonts w:cstheme="minorHAnsi"/>
        </w:rPr>
        <w:t xml:space="preserve"> gambling venues in these local areas. </w:t>
      </w:r>
    </w:p>
    <w:p w:rsidR="00047877" w:rsidRPr="0099464A" w:rsidRDefault="00047877" w:rsidP="00047877">
      <w:pPr>
        <w:rPr>
          <w:rFonts w:cstheme="minorHAnsi"/>
        </w:rPr>
      </w:pPr>
      <w:r w:rsidRPr="0099464A">
        <w:rPr>
          <w:rFonts w:cstheme="minorHAnsi"/>
        </w:rPr>
        <w:t>With the exception of Port Melbourne, all other local areas have a significantly higher proportion of students compared with the municipality. In addition</w:t>
      </w:r>
      <w:r w:rsidR="00456EC4" w:rsidRPr="0099464A">
        <w:rPr>
          <w:rFonts w:cstheme="minorHAnsi"/>
        </w:rPr>
        <w:t xml:space="preserve">, </w:t>
      </w:r>
      <w:r w:rsidR="00456EC4">
        <w:rPr>
          <w:rFonts w:cstheme="minorHAnsi"/>
        </w:rPr>
        <w:t>Melbourne</w:t>
      </w:r>
      <w:r w:rsidR="00270386">
        <w:rPr>
          <w:rFonts w:cstheme="minorHAnsi"/>
        </w:rPr>
        <w:t>,</w:t>
      </w:r>
      <w:r w:rsidRPr="0099464A">
        <w:rPr>
          <w:rFonts w:cstheme="minorHAnsi"/>
        </w:rPr>
        <w:t xml:space="preserve"> Carlton, North Melbourne, West Melbourne and Parkville have relatively high proportions of young people aged 15-24.  </w:t>
      </w:r>
    </w:p>
    <w:p w:rsidR="00047877" w:rsidRDefault="00047877" w:rsidP="00047877">
      <w:pPr>
        <w:pStyle w:val="Heading4"/>
        <w:rPr>
          <w:rFonts w:asciiTheme="minorHAnsi" w:hAnsiTheme="minorHAnsi" w:cstheme="minorHAnsi"/>
        </w:rPr>
      </w:pPr>
      <w:r w:rsidRPr="0099464A">
        <w:rPr>
          <w:rFonts w:asciiTheme="minorHAnsi" w:hAnsiTheme="minorHAnsi" w:cstheme="minorHAnsi"/>
        </w:rPr>
        <w:t>Gambling sensitive uses</w:t>
      </w:r>
    </w:p>
    <w:p w:rsidR="00700151" w:rsidRDefault="00700151" w:rsidP="00700151">
      <w:pPr>
        <w:rPr>
          <w:rFonts w:cstheme="minorHAnsi"/>
        </w:rPr>
      </w:pPr>
      <w:r>
        <w:rPr>
          <w:rFonts w:cstheme="minorHAnsi"/>
        </w:rPr>
        <w:t>The</w:t>
      </w:r>
      <w:r w:rsidR="00456EC4">
        <w:rPr>
          <w:rFonts w:cstheme="minorHAnsi"/>
        </w:rPr>
        <w:t xml:space="preserve"> City of Melbourne</w:t>
      </w:r>
      <w:r>
        <w:rPr>
          <w:rFonts w:cstheme="minorHAnsi"/>
        </w:rPr>
        <w:t xml:space="preserve"> contains concentrations of student accommodation and social housing.</w:t>
      </w:r>
    </w:p>
    <w:p w:rsidR="00047877" w:rsidRDefault="003D1F93" w:rsidP="00FC5226">
      <w:pPr>
        <w:pStyle w:val="Heading2"/>
      </w:pPr>
      <w:bookmarkStart w:id="130" w:name="_Toc494287777"/>
      <w:bookmarkEnd w:id="129"/>
      <w:r>
        <w:t>Impacts of gambling</w:t>
      </w:r>
      <w:bookmarkEnd w:id="130"/>
    </w:p>
    <w:p w:rsidR="00511AC3" w:rsidRPr="00511AC3" w:rsidRDefault="00511AC3" w:rsidP="00511AC3">
      <w:r>
        <w:t>The impacts of gambling discussed below have been identified from the literature review and the discussions with the venue operators and agencies.</w:t>
      </w:r>
    </w:p>
    <w:p w:rsidR="003D1F93" w:rsidRDefault="003D1F93" w:rsidP="004424D8">
      <w:pPr>
        <w:pStyle w:val="Heading3"/>
      </w:pPr>
      <w:bookmarkStart w:id="131" w:name="_Toc479173138"/>
      <w:r>
        <w:t>Benefits</w:t>
      </w:r>
      <w:bookmarkEnd w:id="131"/>
    </w:p>
    <w:p w:rsidR="003D1F93" w:rsidRPr="00E637AC" w:rsidRDefault="003D1F93" w:rsidP="003D1F93">
      <w:pPr>
        <w:pStyle w:val="Heading4"/>
        <w:spacing w:before="0"/>
      </w:pPr>
      <w:r w:rsidRPr="00E637AC">
        <w:t>Provision of social, leisure and recreational activities and facilities</w:t>
      </w:r>
    </w:p>
    <w:p w:rsidR="003D1F93" w:rsidRPr="00E637AC" w:rsidRDefault="003D1F93" w:rsidP="003D1F93">
      <w:r w:rsidRPr="00E637AC">
        <w:t>Gambling provides a legal form of entertainment and leisure for many Australians and tourists</w:t>
      </w:r>
      <w:r>
        <w:t>. For the most part, people gamble with enjoyment and without harm, particularly if they are participating in the</w:t>
      </w:r>
      <w:r w:rsidRPr="00E637AC">
        <w:t xml:space="preserve"> most popular forms of gambling</w:t>
      </w:r>
      <w:r>
        <w:t>,</w:t>
      </w:r>
      <w:r w:rsidRPr="00E637AC">
        <w:t xml:space="preserve"> such as lotteries and bingo</w:t>
      </w:r>
      <w:r w:rsidRPr="00E637AC">
        <w:rPr>
          <w:rStyle w:val="FootnoteReference"/>
        </w:rPr>
        <w:footnoteReference w:id="207"/>
      </w:r>
      <w:r w:rsidRPr="00E637AC">
        <w:t xml:space="preserve">. For many people, gambling becomes a hobby and a part of their lifestyle </w:t>
      </w:r>
      <w:r>
        <w:t>enjoyed</w:t>
      </w:r>
      <w:r w:rsidRPr="00E637AC">
        <w:t xml:space="preserve"> with their friends.</w:t>
      </w:r>
      <w:r>
        <w:t xml:space="preserve"> </w:t>
      </w:r>
      <w:r w:rsidRPr="00E637AC">
        <w:t>Research has shown that the major reasons why people gamble were to win money (52.94%), general entertainment (31.76%) and social reasons (3.30%)</w:t>
      </w:r>
      <w:r w:rsidRPr="00E637AC">
        <w:rPr>
          <w:rStyle w:val="FootnoteReference"/>
        </w:rPr>
        <w:footnoteReference w:id="208"/>
      </w:r>
      <w:r w:rsidRPr="00E637AC">
        <w:t>.</w:t>
      </w:r>
    </w:p>
    <w:p w:rsidR="003D1F93" w:rsidRDefault="003D1F93" w:rsidP="003D1F93">
      <w:r w:rsidRPr="00E637AC">
        <w:t>EGM venues are seen by many as friendly, secure and accessible</w:t>
      </w:r>
      <w:r w:rsidRPr="00E637AC">
        <w:rPr>
          <w:rStyle w:val="FootnoteReference"/>
        </w:rPr>
        <w:footnoteReference w:id="209"/>
      </w:r>
      <w:r>
        <w:t xml:space="preserve">. </w:t>
      </w:r>
      <w:r w:rsidRPr="00E637AC">
        <w:t xml:space="preserve"> The highly trained staff members provide a welcoming and friendly environment which is seen by some as an </w:t>
      </w:r>
      <w:r>
        <w:t xml:space="preserve">affordable, </w:t>
      </w:r>
      <w:r w:rsidRPr="00E637AC">
        <w:t xml:space="preserve">exciting, safe and secure place which is open for 20 out of 24 hours a day. Many </w:t>
      </w:r>
      <w:r>
        <w:t xml:space="preserve">gaming </w:t>
      </w:r>
      <w:r w:rsidRPr="00E637AC">
        <w:t>venues are easily accessible by public and community transport, and are destinations for organisers of social and leisure outings for older people and people from particular cultural groups. Some venues provide free refreshments and promotions as part of the entertainment experience</w:t>
      </w:r>
      <w:r>
        <w:t>.</w:t>
      </w:r>
    </w:p>
    <w:p w:rsidR="003D1F93" w:rsidRPr="00E637AC" w:rsidRDefault="003D1F93" w:rsidP="003D1F93">
      <w:pPr>
        <w:pStyle w:val="Heading4"/>
        <w:spacing w:before="0"/>
      </w:pPr>
      <w:r w:rsidRPr="00E637AC">
        <w:t>Revenue generation</w:t>
      </w:r>
    </w:p>
    <w:p w:rsidR="003D1F93" w:rsidRPr="00E637AC" w:rsidRDefault="003D1F93" w:rsidP="003D1F93">
      <w:r w:rsidRPr="00E637AC">
        <w:t>Taxes raised through expenditure on EGMs are a significant source of revenue to the State Government</w:t>
      </w:r>
      <w:r w:rsidRPr="00E637AC">
        <w:rPr>
          <w:rStyle w:val="FootnoteReference"/>
        </w:rPr>
        <w:footnoteReference w:id="210"/>
      </w:r>
      <w:r w:rsidRPr="00E637AC">
        <w:t>. EGM venues use the revenue earned from EGMs to fund core and extended activities and enhance the quality of facilities, some of which may be made available to the general community</w:t>
      </w:r>
      <w:r w:rsidRPr="00E637AC">
        <w:rPr>
          <w:rStyle w:val="FootnoteReference"/>
        </w:rPr>
        <w:footnoteReference w:id="211"/>
      </w:r>
      <w:r w:rsidRPr="00E637AC">
        <w:t xml:space="preserve">. In </w:t>
      </w:r>
      <w:r>
        <w:t>addition</w:t>
      </w:r>
      <w:r w:rsidRPr="00E637AC">
        <w:t>, many clubs provide sponsorship and support for sports sporting clubs and community groups</w:t>
      </w:r>
      <w:r w:rsidRPr="00E637AC">
        <w:rPr>
          <w:rStyle w:val="FootnoteReference"/>
        </w:rPr>
        <w:footnoteReference w:id="212"/>
      </w:r>
      <w:r w:rsidRPr="00E637AC">
        <w:t>.</w:t>
      </w:r>
      <w:r>
        <w:t xml:space="preserve"> It has also been determined that not all gaming revenue should be considered a loss that needs to be offset against the benefits because the gaming revenue not attributable to gambling-related harm should be considered an economic benefit</w:t>
      </w:r>
      <w:r>
        <w:rPr>
          <w:rStyle w:val="FootnoteReference"/>
        </w:rPr>
        <w:footnoteReference w:id="213"/>
      </w:r>
      <w:r>
        <w:t>.</w:t>
      </w:r>
    </w:p>
    <w:p w:rsidR="003D1F93" w:rsidRPr="00E637AC" w:rsidRDefault="003D1F93" w:rsidP="003D1F93">
      <w:r w:rsidRPr="00E637AC">
        <w:t xml:space="preserve">However, research has found that those directly benefitting from EGM activity are the Victorian Government, the hotels and clubs who operate the machines and those able to access the Community </w:t>
      </w:r>
      <w:r>
        <w:t>S</w:t>
      </w:r>
      <w:r w:rsidRPr="00E637AC">
        <w:t>upport Funds</w:t>
      </w:r>
      <w:r>
        <w:rPr>
          <w:rStyle w:val="FootnoteReference"/>
        </w:rPr>
        <w:footnoteReference w:id="214"/>
      </w:r>
      <w:r w:rsidRPr="00E637AC">
        <w:t>. It has also found that EGM inputs are paid for by other firms in the services sector, other industry sectors and non-EGM operators in the hotel and club sectors in the form of reduced spending</w:t>
      </w:r>
      <w:r w:rsidRPr="00E637AC">
        <w:rPr>
          <w:rStyle w:val="FootnoteReference"/>
          <w:rFonts w:eastAsiaTheme="majorEastAsia"/>
        </w:rPr>
        <w:footnoteReference w:id="215"/>
      </w:r>
      <w:r w:rsidRPr="00E637AC">
        <w:t>.</w:t>
      </w:r>
      <w:r w:rsidRPr="00E637AC">
        <w:rPr>
          <w:rStyle w:val="FootnoteReference"/>
          <w:rFonts w:eastAsiaTheme="majorEastAsia"/>
        </w:rPr>
        <w:t xml:space="preserve"> </w:t>
      </w:r>
      <w:r w:rsidRPr="00E637AC">
        <w:t>Further research</w:t>
      </w:r>
      <w:r w:rsidRPr="00E637AC">
        <w:rPr>
          <w:rStyle w:val="FootnoteReference"/>
          <w:rFonts w:eastAsiaTheme="majorEastAsia"/>
        </w:rPr>
        <w:footnoteReference w:id="216"/>
      </w:r>
      <w:r w:rsidRPr="00E637AC">
        <w:t xml:space="preserve"> has found that EGM gambling inputs into the economy as a whole are largely, but not wholly, cancelled out by the multiplied negative effects on other areas of consumption.</w:t>
      </w:r>
    </w:p>
    <w:p w:rsidR="003D1F93" w:rsidRPr="00E637AC" w:rsidRDefault="003D1F93" w:rsidP="003D1F93">
      <w:pPr>
        <w:pStyle w:val="Heading4"/>
        <w:spacing w:before="0"/>
      </w:pPr>
      <w:r w:rsidRPr="0052218D">
        <w:t>Community contributions</w:t>
      </w:r>
    </w:p>
    <w:p w:rsidR="003D1F93" w:rsidRDefault="003D1F93" w:rsidP="003D1F93">
      <w:r w:rsidRPr="00E637AC">
        <w:t>The Community Support Fund requires a club venue to provide the equivalent of 8.33% of gaming income to a fund for distribution for local community purposes, with details provided in a Community Benefits Statement.  In some instances, the venue operators also provide a</w:t>
      </w:r>
      <w:r>
        <w:t xml:space="preserve"> </w:t>
      </w:r>
      <w:r w:rsidRPr="00E637AC">
        <w:t>cash payment (e</w:t>
      </w:r>
      <w:r>
        <w:t>.</w:t>
      </w:r>
      <w:r w:rsidRPr="00E637AC">
        <w:t>g</w:t>
      </w:r>
      <w:r>
        <w:t>.</w:t>
      </w:r>
      <w:r w:rsidRPr="00E637AC">
        <w:t xml:space="preserve"> $50,000) for community use, and this is sometimes paid through the local Council for distribution. </w:t>
      </w:r>
    </w:p>
    <w:p w:rsidR="00525B9F" w:rsidRPr="00E637AC" w:rsidRDefault="00525B9F" w:rsidP="00525B9F">
      <w:r>
        <w:t>C</w:t>
      </w:r>
      <w:r w:rsidRPr="00E637AC">
        <w:t>lub memberships promote a sense of belonging, providing members with access to sporting activities, leisure and social activities</w:t>
      </w:r>
      <w:r w:rsidRPr="00E637AC">
        <w:rPr>
          <w:rStyle w:val="FootnoteReference"/>
        </w:rPr>
        <w:footnoteReference w:id="217"/>
      </w:r>
      <w:r w:rsidRPr="00E637AC">
        <w:t>.</w:t>
      </w:r>
      <w:r>
        <w:t xml:space="preserve"> </w:t>
      </w:r>
      <w:r w:rsidRPr="00E637AC">
        <w:t>Furthermore, the revenue generated from EGMs can provide assistance to community members in terms of financial resources and the provision of</w:t>
      </w:r>
      <w:r w:rsidR="00270386">
        <w:t xml:space="preserve"> assistance for older members for instance</w:t>
      </w:r>
      <w:r w:rsidRPr="00E637AC">
        <w:t xml:space="preserve"> through the RSL.</w:t>
      </w:r>
    </w:p>
    <w:p w:rsidR="00525B9F" w:rsidRPr="00E637AC" w:rsidRDefault="00525B9F" w:rsidP="00525B9F">
      <w:r w:rsidRPr="00E637AC">
        <w:t>In some instances</w:t>
      </w:r>
      <w:r>
        <w:t>,</w:t>
      </w:r>
      <w:r w:rsidRPr="00E637AC">
        <w:t xml:space="preserve"> clubs provide a supportive community hub that connects and links patrons to a range of people and activities and opportunities to volunteer through coaching, welfare visits, transport assistance to older members</w:t>
      </w:r>
      <w:r w:rsidRPr="00E637AC">
        <w:rPr>
          <w:rStyle w:val="FootnoteReference"/>
        </w:rPr>
        <w:footnoteReference w:id="218"/>
      </w:r>
      <w:r w:rsidRPr="00E637AC">
        <w:t>.  Many clubs rely heavily on their volunteers for the operation and management of the venue, creating a sense of ownership amongst members. In return clubs provide support for their volunteers and reimburse any costs associated with their role</w:t>
      </w:r>
      <w:r w:rsidR="00270386">
        <w:t>.</w:t>
      </w:r>
      <w:r w:rsidRPr="00E637AC">
        <w:rPr>
          <w:rStyle w:val="FootnoteReference"/>
        </w:rPr>
        <w:footnoteReference w:id="219"/>
      </w:r>
      <w:r w:rsidR="00270386">
        <w:t xml:space="preserve">  </w:t>
      </w:r>
      <w:r w:rsidRPr="00E637AC">
        <w:t>It has been found that volunteering activity can potentially reduce impacts from EGM spend per adult, per machine and as a proportion of income</w:t>
      </w:r>
      <w:r w:rsidR="00270386">
        <w:t>.</w:t>
      </w:r>
      <w:r w:rsidRPr="00E637AC">
        <w:rPr>
          <w:rStyle w:val="FootnoteReference"/>
        </w:rPr>
        <w:footnoteReference w:id="220"/>
      </w:r>
    </w:p>
    <w:p w:rsidR="003D1F93" w:rsidRPr="00E637AC" w:rsidRDefault="003D1F93" w:rsidP="003D1F93">
      <w:r>
        <w:t>However, the</w:t>
      </w:r>
      <w:r w:rsidRPr="00E637AC">
        <w:t xml:space="preserve"> true social benefit of these community contributions should be evaluated in terms of the following considerations:</w:t>
      </w:r>
    </w:p>
    <w:p w:rsidR="003D1F93" w:rsidRDefault="003D1F93" w:rsidP="007D1909">
      <w:pPr>
        <w:pStyle w:val="ListParagraph"/>
        <w:numPr>
          <w:ilvl w:val="1"/>
          <w:numId w:val="40"/>
        </w:numPr>
        <w:spacing w:after="120"/>
        <w:ind w:left="1080"/>
        <w:contextualSpacing w:val="0"/>
      </w:pPr>
      <w:r w:rsidRPr="00E637AC">
        <w:t>In effect, cash contributions represent only a very small share of total EGM revenues in a venue. Estimates show that, overall, less than 1% of net revenue on an EGM is directed to benefits to the wider community</w:t>
      </w:r>
      <w:r w:rsidRPr="00E63D1B">
        <w:rPr>
          <w:rStyle w:val="FootnoteReference"/>
        </w:rPr>
        <w:footnoteReference w:id="221"/>
      </w:r>
    </w:p>
    <w:p w:rsidR="003D1F93" w:rsidRPr="00E637AC" w:rsidRDefault="003D1F93" w:rsidP="007D1909">
      <w:pPr>
        <w:pStyle w:val="ListParagraph"/>
        <w:numPr>
          <w:ilvl w:val="1"/>
          <w:numId w:val="40"/>
        </w:numPr>
        <w:spacing w:after="120"/>
        <w:ind w:left="1080"/>
        <w:contextualSpacing w:val="0"/>
      </w:pPr>
      <w:r w:rsidRPr="00E63D1B">
        <w:t>In</w:t>
      </w:r>
      <w:r w:rsidRPr="00E637AC">
        <w:t xml:space="preserve"> </w:t>
      </w:r>
      <w:r>
        <w:t xml:space="preserve">some </w:t>
      </w:r>
      <w:r w:rsidRPr="00E637AC">
        <w:t xml:space="preserve">instances, not all the beneficiaries of the Community Benefit Fund are located </w:t>
      </w:r>
      <w:r>
        <w:t xml:space="preserve">in </w:t>
      </w:r>
      <w:r w:rsidRPr="00E637AC">
        <w:t>the municipality within wh</w:t>
      </w:r>
      <w:r w:rsidR="00270386">
        <w:t>ich the subject site is located</w:t>
      </w:r>
    </w:p>
    <w:p w:rsidR="003D1F93" w:rsidRPr="00E637AC" w:rsidRDefault="003D1F93" w:rsidP="007D1909">
      <w:pPr>
        <w:pStyle w:val="ListParagraph"/>
        <w:numPr>
          <w:ilvl w:val="0"/>
          <w:numId w:val="42"/>
        </w:numPr>
        <w:spacing w:after="120"/>
        <w:contextualSpacing w:val="0"/>
      </w:pPr>
      <w:r w:rsidRPr="00E637AC">
        <w:t>Many of the social and leisure opportunities are for the benefit of the club members and not the broader community</w:t>
      </w:r>
      <w:r w:rsidRPr="00E637AC">
        <w:rPr>
          <w:rStyle w:val="FootnoteReference"/>
        </w:rPr>
        <w:footnoteReference w:id="222"/>
      </w:r>
      <w:r w:rsidRPr="00E637AC">
        <w:t>, calling into question who is the ‘community’. This is relevant in relation to the net detriment test which relies on an assessment of social and economic impacts on the wellbeing of the community, and not portion of the community that will benefit from the expenditure and investme</w:t>
      </w:r>
      <w:r w:rsidR="00270386">
        <w:t>nt in facilities and activities</w:t>
      </w:r>
    </w:p>
    <w:p w:rsidR="003D1F93" w:rsidRPr="00E637AC" w:rsidRDefault="003D1F93" w:rsidP="007D1909">
      <w:pPr>
        <w:pStyle w:val="ListParagraph"/>
        <w:numPr>
          <w:ilvl w:val="0"/>
          <w:numId w:val="42"/>
        </w:numPr>
        <w:spacing w:after="120"/>
        <w:contextualSpacing w:val="0"/>
      </w:pPr>
      <w:r w:rsidRPr="00E637AC">
        <w:t xml:space="preserve">In </w:t>
      </w:r>
      <w:r>
        <w:t>some</w:t>
      </w:r>
      <w:r w:rsidRPr="00E637AC">
        <w:t xml:space="preserve"> cases, the ‘community contributions’ </w:t>
      </w:r>
      <w:r>
        <w:t>are in effect</w:t>
      </w:r>
      <w:r w:rsidRPr="00E637AC">
        <w:t xml:space="preserve"> subsidies to members of the gambling establishment involved (such as cheap meals for club members and improvements to staff amenities)</w:t>
      </w:r>
      <w:r>
        <w:t>,</w:t>
      </w:r>
      <w:r w:rsidRPr="00E637AC">
        <w:t xml:space="preserve"> rather than contributions to the wider community in which </w:t>
      </w:r>
      <w:r w:rsidR="00270386">
        <w:t>the establishments are located</w:t>
      </w:r>
    </w:p>
    <w:p w:rsidR="003D1F93" w:rsidRPr="00E637AC" w:rsidRDefault="003D1F93" w:rsidP="007D1909">
      <w:pPr>
        <w:pStyle w:val="ListParagraph"/>
        <w:numPr>
          <w:ilvl w:val="0"/>
          <w:numId w:val="42"/>
        </w:numPr>
        <w:spacing w:after="120"/>
        <w:contextualSpacing w:val="0"/>
      </w:pPr>
      <w:r w:rsidRPr="00E637AC">
        <w:t>Community benefits reported by clubs include expenses not usually enjoyed by the broader community e.g. financing costs, operating costs, retained earnings, wages of gaming room staff and the cost of most plant and equipment</w:t>
      </w:r>
      <w:r w:rsidRPr="00E637AC">
        <w:rPr>
          <w:rStyle w:val="FootnoteReference"/>
        </w:rPr>
        <w:footnoteReference w:id="223"/>
      </w:r>
    </w:p>
    <w:p w:rsidR="003D1F93" w:rsidRPr="00E637AC" w:rsidRDefault="003D1F93" w:rsidP="007D1909">
      <w:pPr>
        <w:pStyle w:val="ListParagraph"/>
        <w:numPr>
          <w:ilvl w:val="0"/>
          <w:numId w:val="42"/>
        </w:numPr>
        <w:spacing w:after="120"/>
        <w:contextualSpacing w:val="0"/>
      </w:pPr>
      <w:r w:rsidRPr="00E637AC">
        <w:t>Not-for-profit ‘mutual entities’ such as clubs are exempt from income tax. Member contributions and income from transactions with club members are not treated as taxable income. This reduces the</w:t>
      </w:r>
      <w:r>
        <w:t xml:space="preserve"> State’s</w:t>
      </w:r>
      <w:r w:rsidRPr="00E637AC">
        <w:t xml:space="preserve"> income stream derived from taxes and potential revenue which can be directed by the government to managing the harms associated with </w:t>
      </w:r>
      <w:r>
        <w:t>gambling-related harm</w:t>
      </w:r>
      <w:r w:rsidRPr="00E637AC">
        <w:rPr>
          <w:rStyle w:val="FootnoteReference"/>
        </w:rPr>
        <w:footnoteReference w:id="224"/>
      </w:r>
    </w:p>
    <w:p w:rsidR="003D1F93" w:rsidRPr="00E637AC" w:rsidRDefault="003D1F93" w:rsidP="007D1909">
      <w:pPr>
        <w:pStyle w:val="ListParagraph"/>
        <w:numPr>
          <w:ilvl w:val="0"/>
          <w:numId w:val="42"/>
        </w:numPr>
        <w:spacing w:after="120"/>
        <w:contextualSpacing w:val="0"/>
      </w:pPr>
      <w:r w:rsidRPr="00E637AC">
        <w:t xml:space="preserve">Large clubs with EGMs operate in a more commercial manner, similar to private businesses. However, their reduced tax liability and ability to use EGM revenue to subsidise activities increases their competitiveness at the expense of </w:t>
      </w:r>
      <w:r>
        <w:t xml:space="preserve">some </w:t>
      </w:r>
      <w:r w:rsidRPr="00E637AC">
        <w:t>private enterprises that do not enjoy these economic benefits</w:t>
      </w:r>
      <w:r w:rsidRPr="00E637AC">
        <w:rPr>
          <w:rStyle w:val="FootnoteReference"/>
        </w:rPr>
        <w:footnoteReference w:id="225"/>
      </w:r>
    </w:p>
    <w:p w:rsidR="003D1F93" w:rsidRPr="00E637AC" w:rsidRDefault="003D1F93" w:rsidP="007D1909">
      <w:pPr>
        <w:pStyle w:val="ListParagraph"/>
        <w:numPr>
          <w:ilvl w:val="0"/>
          <w:numId w:val="42"/>
        </w:numPr>
        <w:spacing w:after="120"/>
        <w:contextualSpacing w:val="0"/>
      </w:pPr>
      <w:r w:rsidRPr="00E637AC">
        <w:t>Revenue gen</w:t>
      </w:r>
      <w:r w:rsidR="00CE10E5">
        <w:t>erated by heavy users of EGMs such as</w:t>
      </w:r>
      <w:r w:rsidRPr="00E637AC">
        <w:t xml:space="preserve"> existing or potential problem gamblers</w:t>
      </w:r>
      <w:r>
        <w:t>,</w:t>
      </w:r>
      <w:r w:rsidRPr="00E637AC">
        <w:t xml:space="preserve"> is allocated to community contributions and not necessarily to preventing or minimising the impacts of </w:t>
      </w:r>
      <w:r>
        <w:t>gambling-related harm</w:t>
      </w:r>
      <w:r w:rsidRPr="00E637AC">
        <w:t xml:space="preserve"> on individuals and the broader community. This consideration is particularly relevant in the context of the findings of the VCEC Inquiry into the costs of problem gambling</w:t>
      </w:r>
      <w:r w:rsidRPr="00E637AC">
        <w:rPr>
          <w:rStyle w:val="FootnoteReference"/>
        </w:rPr>
        <w:footnoteReference w:id="226"/>
      </w:r>
      <w:r w:rsidRPr="00E637AC">
        <w:t xml:space="preserve"> that many of the costs of </w:t>
      </w:r>
      <w:r>
        <w:t>gambling-related harm</w:t>
      </w:r>
      <w:r w:rsidRPr="00E637AC">
        <w:t xml:space="preserve"> are indirect and result from additional demands on the health and </w:t>
      </w:r>
      <w:r w:rsidR="00CE10E5">
        <w:t xml:space="preserve">human services sectors from </w:t>
      </w:r>
      <w:r w:rsidRPr="00E637AC">
        <w:t>the broader community</w:t>
      </w:r>
    </w:p>
    <w:p w:rsidR="003D1F93" w:rsidRPr="00E637AC" w:rsidRDefault="003D1F93" w:rsidP="007D1909">
      <w:pPr>
        <w:pStyle w:val="ListParagraph"/>
        <w:numPr>
          <w:ilvl w:val="0"/>
          <w:numId w:val="42"/>
        </w:numPr>
        <w:spacing w:after="120"/>
        <w:contextualSpacing w:val="0"/>
      </w:pPr>
      <w:r>
        <w:t>The presence of EGMs in sporting clubs does not necessarily increase participation in sports by children</w:t>
      </w:r>
      <w:r w:rsidRPr="00E637AC">
        <w:rPr>
          <w:rStyle w:val="FootnoteReference"/>
        </w:rPr>
        <w:footnoteReference w:id="227"/>
      </w:r>
      <w:r w:rsidRPr="00E637AC">
        <w:t xml:space="preserve"> evidenced by the fact that the proportion of children aged 5-14 who participated in organised sport outside of school hours in 2009 was higher in Western Australia which has no community gaming</w:t>
      </w:r>
      <w:r>
        <w:t>,</w:t>
      </w:r>
      <w:r w:rsidRPr="00E637AC">
        <w:t xml:space="preserve"> than in New South Wales</w:t>
      </w:r>
      <w:r>
        <w:t>,</w:t>
      </w:r>
      <w:r w:rsidRPr="00E637AC">
        <w:t xml:space="preserve"> which has the highest EGM expenditure per capita</w:t>
      </w:r>
      <w:r>
        <w:t>,</w:t>
      </w:r>
      <w:r w:rsidR="00270386">
        <w:t xml:space="preserve"> and where clubs are eminent</w:t>
      </w:r>
    </w:p>
    <w:p w:rsidR="003D1F93" w:rsidRPr="00E637AC" w:rsidRDefault="003D1F93" w:rsidP="007D1909">
      <w:pPr>
        <w:pStyle w:val="ListParagraph"/>
        <w:numPr>
          <w:ilvl w:val="0"/>
          <w:numId w:val="42"/>
        </w:numPr>
        <w:spacing w:after="120"/>
        <w:contextualSpacing w:val="0"/>
      </w:pPr>
      <w:r w:rsidRPr="00E637AC">
        <w:t>The actual size of genuine community benefits are a fraction of those recorded, particularly for clubs</w:t>
      </w:r>
      <w:r w:rsidRPr="00E637AC">
        <w:rPr>
          <w:rStyle w:val="FootnoteReference"/>
        </w:rPr>
        <w:footnoteReference w:id="228"/>
      </w:r>
    </w:p>
    <w:p w:rsidR="003D1F93" w:rsidRPr="00E637AC" w:rsidRDefault="003D1F93" w:rsidP="007D1909">
      <w:pPr>
        <w:pStyle w:val="ListParagraph"/>
        <w:numPr>
          <w:ilvl w:val="1"/>
          <w:numId w:val="40"/>
        </w:numPr>
        <w:spacing w:after="120"/>
        <w:ind w:left="1080"/>
        <w:contextualSpacing w:val="0"/>
      </w:pPr>
      <w:r w:rsidRPr="00E637AC">
        <w:t xml:space="preserve">Clubs and organisations that are the recipients of the community </w:t>
      </w:r>
      <w:r>
        <w:t xml:space="preserve">benefit funds </w:t>
      </w:r>
      <w:r w:rsidRPr="00E637AC">
        <w:t xml:space="preserve">are not typically used by people who are vulnerable to </w:t>
      </w:r>
      <w:r>
        <w:t>gambling-related harm</w:t>
      </w:r>
      <w:r w:rsidRPr="00E637AC">
        <w:t xml:space="preserve">. This is because people who are vulnerable to </w:t>
      </w:r>
      <w:r>
        <w:t>gambling-related harm</w:t>
      </w:r>
      <w:r w:rsidRPr="00E637AC">
        <w:t xml:space="preserve"> tend to be socially isolated and favour facilities whe</w:t>
      </w:r>
      <w:r>
        <w:t>re</w:t>
      </w:r>
      <w:r w:rsidRPr="00E637AC">
        <w:t xml:space="preserve"> they </w:t>
      </w:r>
      <w:r w:rsidR="00CE10E5">
        <w:t xml:space="preserve">can ‘be alone amongst others’, for instance where they can </w:t>
      </w:r>
      <w:r w:rsidRPr="00E637AC">
        <w:t xml:space="preserve"> participate in a leisure and recreational activity that enables them to operate on their own whilst being amidst other people, particularly late at night when other facilities are closed and they are in need of a safe place in </w:t>
      </w:r>
      <w:r w:rsidR="00270386">
        <w:t>which to spend some time alone</w:t>
      </w:r>
    </w:p>
    <w:p w:rsidR="00525B9F" w:rsidRDefault="003D1F93" w:rsidP="007D1909">
      <w:pPr>
        <w:pStyle w:val="ListParagraph"/>
        <w:numPr>
          <w:ilvl w:val="1"/>
          <w:numId w:val="40"/>
        </w:numPr>
        <w:spacing w:after="120"/>
        <w:ind w:left="1080"/>
        <w:contextualSpacing w:val="0"/>
      </w:pPr>
      <w:r w:rsidRPr="00E637AC">
        <w:t>The Productivity Commission found that apart from the minimum statutory requirements, hotels make considerable community contributions, and hotels with EGMs were more likely to support community o</w:t>
      </w:r>
      <w:r w:rsidR="00270386">
        <w:t>rganisations than those without</w:t>
      </w:r>
    </w:p>
    <w:p w:rsidR="003D1F93" w:rsidRPr="00E637AC" w:rsidRDefault="00525B9F" w:rsidP="007D1909">
      <w:pPr>
        <w:pStyle w:val="ListParagraph"/>
        <w:numPr>
          <w:ilvl w:val="1"/>
          <w:numId w:val="40"/>
        </w:numPr>
        <w:spacing w:after="120"/>
        <w:ind w:left="1080"/>
        <w:contextualSpacing w:val="0"/>
      </w:pPr>
      <w:r w:rsidRPr="00E637AC">
        <w:t>EGMs may detract from volunteering to some extent in cases where players select to use EGMs rather than volunteer their time</w:t>
      </w:r>
      <w:r w:rsidR="00270386">
        <w:t>.</w:t>
      </w:r>
      <w:r w:rsidRPr="00E637AC">
        <w:rPr>
          <w:rStyle w:val="FootnoteReference"/>
        </w:rPr>
        <w:footnoteReference w:id="229"/>
      </w:r>
    </w:p>
    <w:p w:rsidR="003D1F93" w:rsidRPr="00E637AC" w:rsidRDefault="003D1F93" w:rsidP="003D1F93">
      <w:pPr>
        <w:pStyle w:val="Heading4"/>
        <w:spacing w:before="0"/>
      </w:pPr>
      <w:r w:rsidRPr="00E637AC">
        <w:t>Venue investment and employment</w:t>
      </w:r>
    </w:p>
    <w:p w:rsidR="003D1F93" w:rsidRDefault="003D1F93" w:rsidP="003D1F93">
      <w:pPr>
        <w:rPr>
          <w:i/>
        </w:rPr>
      </w:pPr>
      <w:r>
        <w:t xml:space="preserve">The stimulation of the economy and increased employment are some of the objectives of the </w:t>
      </w:r>
      <w:r>
        <w:rPr>
          <w:i/>
        </w:rPr>
        <w:t>Gambling Regulation Act 2003.</w:t>
      </w:r>
    </w:p>
    <w:p w:rsidR="003D1F93" w:rsidRDefault="003D1F93" w:rsidP="003D1F93">
      <w:r>
        <w:t xml:space="preserve">Applications for EGMs may involve the establishment of a new venue or the refurbishment and redevelopment of facilities in existing venues, both of which are associated with investment, and the creation of jobs. </w:t>
      </w:r>
      <w:r w:rsidRPr="00E637AC">
        <w:t>When the employment multiplier of approximately 2.6 (ABS input-output tables category ‘other construction’) is taken into account for construction work, a direct employment of ten jobs would generate a further 15 indirect (or flow-on) jobs in the wider economy. Employment multipliers are calculated by the ABS though the National Accounts data.</w:t>
      </w:r>
    </w:p>
    <w:p w:rsidR="003D1F93" w:rsidRDefault="003D1F93" w:rsidP="003D1F93">
      <w:r>
        <w:t>Gaming venues typically employs staff that are dedicated to the gaming component of the venue. In some instances, these jobs are taken up by the local community</w:t>
      </w:r>
      <w:r w:rsidRPr="00E637AC">
        <w:rPr>
          <w:rStyle w:val="FootnoteReference"/>
        </w:rPr>
        <w:footnoteReference w:id="230"/>
      </w:r>
      <w:r>
        <w:t xml:space="preserve"> but due to the relatively specific set of skills required, this cannot be guaranteed</w:t>
      </w:r>
      <w:r w:rsidRPr="00E637AC">
        <w:t>.</w:t>
      </w:r>
      <w:r>
        <w:t xml:space="preserve"> Furthermore </w:t>
      </w:r>
      <w:r w:rsidRPr="00B74FEA">
        <w:t xml:space="preserve">the Productivity Commission </w:t>
      </w:r>
      <w:r>
        <w:t>(2010) found</w:t>
      </w:r>
      <w:r w:rsidRPr="00B74FEA">
        <w:t xml:space="preserve"> that most people employed in the gambling industry are highly employable and would</w:t>
      </w:r>
      <w:r w:rsidRPr="00024B90">
        <w:t xml:space="preserve"> be in demand in other parts of the service sector were the gambling industry to contract </w:t>
      </w:r>
      <w:r>
        <w:t>and that</w:t>
      </w:r>
      <w:r w:rsidRPr="00024B90">
        <w:t xml:space="preserve"> gambling industries do not create </w:t>
      </w:r>
      <w:r w:rsidRPr="00024B90">
        <w:rPr>
          <w:i/>
        </w:rPr>
        <w:t xml:space="preserve">net </w:t>
      </w:r>
      <w:r w:rsidRPr="00024B90">
        <w:t>employment benefits as they divert employment from one part of the economy to anothe</w:t>
      </w:r>
      <w:r>
        <w:t>r.</w:t>
      </w:r>
    </w:p>
    <w:p w:rsidR="003D1F93" w:rsidRPr="00E637AC" w:rsidRDefault="003D1F93" w:rsidP="003D1F93">
      <w:r>
        <w:t xml:space="preserve">In addition, </w:t>
      </w:r>
      <w:r w:rsidRPr="00E637AC">
        <w:t>research</w:t>
      </w:r>
      <w:r w:rsidRPr="00E637AC">
        <w:rPr>
          <w:rStyle w:val="FootnoteReference"/>
          <w:rFonts w:eastAsiaTheme="majorEastAsia"/>
        </w:rPr>
        <w:footnoteReference w:id="231"/>
      </w:r>
      <w:r w:rsidRPr="00E637AC">
        <w:t xml:space="preserve"> has found that employees in gaming venues, including hotels, are at risk of </w:t>
      </w:r>
      <w:r>
        <w:t>gambling-related harm</w:t>
      </w:r>
      <w:r w:rsidRPr="00E637AC">
        <w:t>. The findings reflect the hypothesis that exposure to gambling activity may encourage individuals who may not have previously been exposed to gambling to engage in these activities. The research does, however, pose two counter</w:t>
      </w:r>
      <w:r>
        <w:t>-</w:t>
      </w:r>
      <w:r w:rsidRPr="00E637AC">
        <w:t>arguments, suggesting that employees of gaming venues may in fact not be at a greater risk:</w:t>
      </w:r>
    </w:p>
    <w:p w:rsidR="003D1F93" w:rsidRPr="00E637AC" w:rsidRDefault="003D1F93" w:rsidP="007D1909">
      <w:pPr>
        <w:pStyle w:val="ListParagraph"/>
        <w:numPr>
          <w:ilvl w:val="1"/>
          <w:numId w:val="40"/>
        </w:numPr>
        <w:spacing w:after="120"/>
        <w:ind w:left="1080"/>
        <w:contextualSpacing w:val="0"/>
      </w:pPr>
      <w:r w:rsidRPr="00E637AC">
        <w:t xml:space="preserve">Firstly, individuals with existing gambling problems, or those who are a greater risk of developing gambling problems may be more likely to seek work in gaming venues. However, the research suggests that this may be more likely where the type of gambling involves skills and knowledge such as card games and wagering on sporting events, rather than games of pure chance such as EGMs. This is borne out by the fact that the rate of </w:t>
      </w:r>
      <w:r>
        <w:t>gambling-related harm</w:t>
      </w:r>
      <w:r w:rsidRPr="00E637AC">
        <w:t xml:space="preserve"> amongst employees participating in EGMs is higher than it is for all other types of gambling, suggesting that </w:t>
      </w:r>
      <w:r>
        <w:t xml:space="preserve">this </w:t>
      </w:r>
      <w:r w:rsidRPr="00E637AC">
        <w:t>particular counter</w:t>
      </w:r>
      <w:r>
        <w:t>-</w:t>
      </w:r>
      <w:r w:rsidRPr="00E637AC">
        <w:t>argument is less relevant in the case of EGM gaming venues.</w:t>
      </w:r>
    </w:p>
    <w:p w:rsidR="003D1F93" w:rsidRPr="00E637AC" w:rsidRDefault="003D1F93" w:rsidP="007D1909">
      <w:pPr>
        <w:pStyle w:val="ListParagraph"/>
        <w:numPr>
          <w:ilvl w:val="1"/>
          <w:numId w:val="40"/>
        </w:numPr>
        <w:spacing w:after="120"/>
        <w:ind w:left="1080"/>
        <w:contextualSpacing w:val="0"/>
      </w:pPr>
      <w:r w:rsidRPr="00E637AC">
        <w:t>Secondly, there is the possibility that some employees may seek to work in a gaming venue to protect themselves</w:t>
      </w:r>
      <w:r>
        <w:t>,</w:t>
      </w:r>
      <w:r w:rsidRPr="00E637AC">
        <w:t xml:space="preserve"> as gaming is typically prohibited in their workplace, and therefore </w:t>
      </w:r>
      <w:r>
        <w:t xml:space="preserve">they would </w:t>
      </w:r>
      <w:r w:rsidRPr="00E637AC">
        <w:t>have fewer opportunities to gamble.</w:t>
      </w:r>
    </w:p>
    <w:p w:rsidR="003D1F93" w:rsidRPr="00E637AC" w:rsidRDefault="003D1F93" w:rsidP="003D1F93">
      <w:r w:rsidRPr="00E637AC">
        <w:t>The overall conclusions of this research are that:</w:t>
      </w:r>
    </w:p>
    <w:p w:rsidR="003D1F93" w:rsidRPr="00E637AC" w:rsidRDefault="003D1F93" w:rsidP="007D1909">
      <w:pPr>
        <w:pStyle w:val="ListParagraph"/>
        <w:numPr>
          <w:ilvl w:val="0"/>
          <w:numId w:val="41"/>
        </w:numPr>
        <w:spacing w:after="120"/>
        <w:contextualSpacing w:val="0"/>
      </w:pPr>
      <w:r w:rsidRPr="00E637AC">
        <w:t>Employees in gaming venues exceed the average for gambling participation, regular gambling and usual gambling duration.</w:t>
      </w:r>
    </w:p>
    <w:p w:rsidR="003D1F93" w:rsidRPr="00E637AC" w:rsidRDefault="003D1F93" w:rsidP="007D1909">
      <w:pPr>
        <w:pStyle w:val="ListParagraph"/>
        <w:numPr>
          <w:ilvl w:val="0"/>
          <w:numId w:val="41"/>
        </w:numPr>
        <w:spacing w:after="120"/>
        <w:contextualSpacing w:val="0"/>
      </w:pPr>
      <w:r>
        <w:t>Gambling-related harm</w:t>
      </w:r>
      <w:r w:rsidRPr="00E637AC">
        <w:t xml:space="preserve"> rates amongst staff of gaming venues, including hotels, were 9.6 times higher than they were across the general population.</w:t>
      </w:r>
    </w:p>
    <w:p w:rsidR="003D1F93" w:rsidRPr="00E637AC" w:rsidRDefault="003D1F93" w:rsidP="007D1909">
      <w:pPr>
        <w:pStyle w:val="ListParagraph"/>
        <w:numPr>
          <w:ilvl w:val="0"/>
          <w:numId w:val="41"/>
        </w:numPr>
        <w:spacing w:after="120"/>
        <w:contextualSpacing w:val="0"/>
      </w:pPr>
      <w:r w:rsidRPr="00E637AC">
        <w:t>A substantial proportion of problem and moderate risk gamblers reported increasing their gambling since commencing work.</w:t>
      </w:r>
    </w:p>
    <w:p w:rsidR="003D1F93" w:rsidRPr="00E637AC" w:rsidRDefault="003D1F93" w:rsidP="007D1909">
      <w:pPr>
        <w:pStyle w:val="ListParagraph"/>
        <w:numPr>
          <w:ilvl w:val="0"/>
          <w:numId w:val="41"/>
        </w:numPr>
        <w:spacing w:after="120"/>
        <w:contextualSpacing w:val="0"/>
      </w:pPr>
      <w:r w:rsidRPr="00E637AC">
        <w:t>In particular, compared with employees in other types of gambling venues, employees in EGM gaming venues were most likely to participate in gambling, gamble regularly (weekly), send more than 60 minutes gambling and spend more than $50.</w:t>
      </w:r>
    </w:p>
    <w:p w:rsidR="003D1F93" w:rsidRPr="00E637AC" w:rsidRDefault="003D1F93" w:rsidP="003D1F93">
      <w:pPr>
        <w:pStyle w:val="Heading4"/>
        <w:spacing w:before="0"/>
      </w:pPr>
      <w:r w:rsidRPr="00E637AC">
        <w:t>Tourism</w:t>
      </w:r>
    </w:p>
    <w:p w:rsidR="003D1F93" w:rsidRPr="00E637AC" w:rsidRDefault="003D1F93" w:rsidP="003D1F93">
      <w:r>
        <w:t xml:space="preserve">The promotion of tourism is one of the objectives of the </w:t>
      </w:r>
      <w:r>
        <w:rPr>
          <w:i/>
        </w:rPr>
        <w:t>Gambling Regulation Act 2003.</w:t>
      </w:r>
      <w:r w:rsidRPr="00E637AC">
        <w:t>Tourism and related cultural activities may assist in creating economic growth, if aligned with gambling activities.</w:t>
      </w:r>
      <w:r w:rsidRPr="00E637AC">
        <w:rPr>
          <w:rStyle w:val="FootnoteReference"/>
        </w:rPr>
        <w:footnoteReference w:id="232"/>
      </w:r>
      <w:r w:rsidRPr="00E637AC">
        <w:t xml:space="preserve"> However, there may also be a substitution effect between gambling and other forms of entertainment, including tourism.</w:t>
      </w:r>
      <w:r w:rsidRPr="00AF423D">
        <w:rPr>
          <w:rStyle w:val="FootnoteReference"/>
        </w:rPr>
        <w:t xml:space="preserve"> </w:t>
      </w:r>
      <w:r w:rsidRPr="00E637AC">
        <w:rPr>
          <w:rStyle w:val="FootnoteReference"/>
        </w:rPr>
        <w:footnoteReference w:id="233"/>
      </w:r>
    </w:p>
    <w:p w:rsidR="003D1F93" w:rsidRDefault="003D1F93" w:rsidP="003D1F93">
      <w:r>
        <w:t>Gaming venues located in tourist areas of Victoria are likely to attract tourists. This is indicated by the fact that, in some municipalities such as Mornington Peninsula Shire, Bass Coast Shire and Surf Coast Shire, expenditure is typically highest in January which coincides with the summer holiday period.</w:t>
      </w:r>
      <w:r w:rsidR="00BB341B">
        <w:t xml:space="preserve"> It is also relevant in the context of the City of Melbourne which is the key tourist destination of Victoria.</w:t>
      </w:r>
    </w:p>
    <w:p w:rsidR="003D1F93" w:rsidRPr="00E637AC" w:rsidRDefault="003D1F93" w:rsidP="003D1F93">
      <w:r w:rsidRPr="00E637AC">
        <w:t xml:space="preserve">High-profile casinos in Australia and elsewhere (especially iconic places, such as Monaco, Macau and Las Vegas) </w:t>
      </w:r>
      <w:r>
        <w:t>a</w:t>
      </w:r>
      <w:r w:rsidRPr="00E637AC">
        <w:t xml:space="preserve">ttract </w:t>
      </w:r>
      <w:r>
        <w:t>high volumes of</w:t>
      </w:r>
      <w:r w:rsidRPr="00E637AC">
        <w:t xml:space="preserve"> tourists</w:t>
      </w:r>
      <w:r>
        <w:t xml:space="preserve"> throughout the year</w:t>
      </w:r>
      <w:r w:rsidRPr="00E637AC" w:rsidDel="003D7A1D">
        <w:t xml:space="preserve"> </w:t>
      </w:r>
      <w:r w:rsidRPr="00E637AC">
        <w:t>and make significant contributions to the economy</w:t>
      </w:r>
      <w:r>
        <w:t xml:space="preserve">. However, </w:t>
      </w:r>
      <w:r w:rsidRPr="00E637AC">
        <w:t>gaming venues in suburban locations play a much more localised role</w:t>
      </w:r>
      <w:r>
        <w:t>, typically serving</w:t>
      </w:r>
      <w:r w:rsidRPr="00E637AC">
        <w:t xml:space="preserve"> a local catchment</w:t>
      </w:r>
      <w:r>
        <w:t xml:space="preserve"> of up to 5km. A</w:t>
      </w:r>
      <w:r w:rsidR="00BB341B">
        <w:t>s a</w:t>
      </w:r>
      <w:r>
        <w:t xml:space="preserve"> result, </w:t>
      </w:r>
      <w:r w:rsidRPr="00E637AC">
        <w:t xml:space="preserve">the overall contribution </w:t>
      </w:r>
      <w:r>
        <w:t xml:space="preserve">of gaming venues </w:t>
      </w:r>
      <w:r w:rsidRPr="00E637AC">
        <w:t>to tourism</w:t>
      </w:r>
      <w:r>
        <w:t xml:space="preserve"> in suburban locations</w:t>
      </w:r>
      <w:r w:rsidRPr="00E637AC">
        <w:t xml:space="preserve"> is generally small</w:t>
      </w:r>
      <w:r>
        <w:t xml:space="preserve"> and is</w:t>
      </w:r>
      <w:r w:rsidRPr="00E637AC">
        <w:t xml:space="preserve"> difficult to identify, especially where a range of other visitor attractions in addition to EGMs are minimal, if provided at all. For many venues, the ‘additional’ attractions are limited to food and beverage services.</w:t>
      </w:r>
    </w:p>
    <w:p w:rsidR="003D1F93" w:rsidRDefault="003D1F93" w:rsidP="004424D8">
      <w:pPr>
        <w:pStyle w:val="Heading3"/>
      </w:pPr>
      <w:bookmarkStart w:id="132" w:name="_Toc395868373"/>
      <w:bookmarkStart w:id="133" w:name="_Toc479173139"/>
      <w:r w:rsidRPr="00E637AC">
        <w:t>Harms</w:t>
      </w:r>
      <w:bookmarkEnd w:id="132"/>
      <w:bookmarkEnd w:id="133"/>
    </w:p>
    <w:p w:rsidR="003D1F93" w:rsidRPr="00E637AC" w:rsidRDefault="003D1F93" w:rsidP="00235454">
      <w:pPr>
        <w:pStyle w:val="Heading4"/>
      </w:pPr>
      <w:r w:rsidRPr="00E637AC">
        <w:t>Summary of social and economic harms</w:t>
      </w:r>
    </w:p>
    <w:p w:rsidR="003E279B" w:rsidRDefault="003D1F93" w:rsidP="003D1F93">
      <w:r w:rsidRPr="00E637AC">
        <w:t xml:space="preserve">The social and economic impacts of </w:t>
      </w:r>
      <w:r>
        <w:t>gambling-related harm</w:t>
      </w:r>
      <w:r w:rsidRPr="00E637AC">
        <w:t xml:space="preserve"> may be classified under </w:t>
      </w:r>
      <w:r w:rsidR="003E279B">
        <w:t>the following</w:t>
      </w:r>
      <w:r w:rsidRPr="00E637AC">
        <w:t xml:space="preserve"> primary categories</w:t>
      </w:r>
      <w:r w:rsidR="003E279B">
        <w:t>:</w:t>
      </w:r>
      <w:r w:rsidR="003E279B" w:rsidRPr="003E279B">
        <w:rPr>
          <w:rStyle w:val="FootnoteReference"/>
        </w:rPr>
        <w:t xml:space="preserve"> </w:t>
      </w:r>
      <w:r w:rsidR="003E279B">
        <w:rPr>
          <w:rStyle w:val="FootnoteReference"/>
        </w:rPr>
        <w:footnoteReference w:id="234"/>
      </w:r>
      <w:r w:rsidR="003E279B">
        <w:t xml:space="preserve"> </w:t>
      </w:r>
      <w:r w:rsidR="003E279B">
        <w:rPr>
          <w:rStyle w:val="FootnoteReference"/>
        </w:rPr>
        <w:footnoteReference w:id="235"/>
      </w:r>
    </w:p>
    <w:p w:rsidR="003E279B" w:rsidRPr="00136502" w:rsidRDefault="003E279B" w:rsidP="007D1909">
      <w:pPr>
        <w:pStyle w:val="ListParagraph"/>
        <w:numPr>
          <w:ilvl w:val="0"/>
          <w:numId w:val="63"/>
        </w:numPr>
        <w:spacing w:after="120"/>
        <w:ind w:left="1077" w:hanging="357"/>
        <w:contextualSpacing w:val="0"/>
        <w:rPr>
          <w:lang w:val="en" w:eastAsia="en-AU"/>
        </w:rPr>
      </w:pPr>
      <w:r w:rsidRPr="00136502">
        <w:rPr>
          <w:lang w:val="en" w:eastAsia="en-AU"/>
        </w:rPr>
        <w:t>financial harm</w:t>
      </w:r>
    </w:p>
    <w:p w:rsidR="003E279B" w:rsidRPr="00136502" w:rsidRDefault="003E279B" w:rsidP="007D1909">
      <w:pPr>
        <w:pStyle w:val="ListParagraph"/>
        <w:numPr>
          <w:ilvl w:val="0"/>
          <w:numId w:val="63"/>
        </w:numPr>
        <w:spacing w:after="120"/>
        <w:ind w:left="1077" w:hanging="357"/>
        <w:contextualSpacing w:val="0"/>
        <w:rPr>
          <w:lang w:val="en" w:eastAsia="en-AU"/>
        </w:rPr>
      </w:pPr>
      <w:r w:rsidRPr="00136502">
        <w:rPr>
          <w:lang w:val="en" w:eastAsia="en-AU"/>
        </w:rPr>
        <w:t>relationship disruption, conflict or breakdown</w:t>
      </w:r>
    </w:p>
    <w:p w:rsidR="003E279B" w:rsidRPr="00136502" w:rsidRDefault="003E279B" w:rsidP="007D1909">
      <w:pPr>
        <w:pStyle w:val="ListParagraph"/>
        <w:numPr>
          <w:ilvl w:val="0"/>
          <w:numId w:val="63"/>
        </w:numPr>
        <w:spacing w:after="120"/>
        <w:ind w:left="1077" w:hanging="357"/>
        <w:contextualSpacing w:val="0"/>
        <w:rPr>
          <w:lang w:val="en" w:eastAsia="en-AU"/>
        </w:rPr>
      </w:pPr>
      <w:r w:rsidRPr="00136502">
        <w:rPr>
          <w:lang w:val="en" w:eastAsia="en-AU"/>
        </w:rPr>
        <w:t>emotional or psychological distress</w:t>
      </w:r>
    </w:p>
    <w:p w:rsidR="003E279B" w:rsidRPr="00136502" w:rsidRDefault="0077010E" w:rsidP="007D1909">
      <w:pPr>
        <w:pStyle w:val="ListParagraph"/>
        <w:numPr>
          <w:ilvl w:val="0"/>
          <w:numId w:val="63"/>
        </w:numPr>
        <w:spacing w:after="120"/>
        <w:ind w:left="1077" w:hanging="357"/>
        <w:contextualSpacing w:val="0"/>
        <w:rPr>
          <w:lang w:val="en" w:eastAsia="en-AU"/>
        </w:rPr>
      </w:pPr>
      <w:r>
        <w:rPr>
          <w:lang w:val="en" w:eastAsia="en-AU"/>
        </w:rPr>
        <w:t xml:space="preserve">reduction in physical </w:t>
      </w:r>
      <w:r w:rsidR="007609EE">
        <w:rPr>
          <w:lang w:val="en" w:eastAsia="en-AU"/>
        </w:rPr>
        <w:t>and mental health and wellbeing</w:t>
      </w:r>
    </w:p>
    <w:p w:rsidR="003E279B" w:rsidRPr="00136502" w:rsidRDefault="003E279B" w:rsidP="007D1909">
      <w:pPr>
        <w:pStyle w:val="ListParagraph"/>
        <w:numPr>
          <w:ilvl w:val="0"/>
          <w:numId w:val="63"/>
        </w:numPr>
        <w:spacing w:after="120"/>
        <w:ind w:left="1077" w:hanging="357"/>
        <w:contextualSpacing w:val="0"/>
        <w:rPr>
          <w:lang w:val="en" w:eastAsia="en-AU"/>
        </w:rPr>
      </w:pPr>
      <w:r w:rsidRPr="00136502">
        <w:rPr>
          <w:lang w:val="en" w:eastAsia="en-AU"/>
        </w:rPr>
        <w:t>cultural harm</w:t>
      </w:r>
    </w:p>
    <w:p w:rsidR="003E279B" w:rsidRPr="00136502" w:rsidRDefault="003E279B" w:rsidP="007D1909">
      <w:pPr>
        <w:pStyle w:val="ListParagraph"/>
        <w:numPr>
          <w:ilvl w:val="0"/>
          <w:numId w:val="63"/>
        </w:numPr>
        <w:spacing w:after="120"/>
        <w:ind w:left="1077" w:hanging="357"/>
        <w:contextualSpacing w:val="0"/>
        <w:rPr>
          <w:lang w:val="en" w:eastAsia="en-AU"/>
        </w:rPr>
      </w:pPr>
      <w:r w:rsidRPr="00136502">
        <w:rPr>
          <w:lang w:val="en" w:eastAsia="en-AU"/>
        </w:rPr>
        <w:t>reduced performance at work or study</w:t>
      </w:r>
    </w:p>
    <w:p w:rsidR="003E279B" w:rsidRDefault="003E279B" w:rsidP="007D1909">
      <w:pPr>
        <w:pStyle w:val="ListParagraph"/>
        <w:numPr>
          <w:ilvl w:val="0"/>
          <w:numId w:val="63"/>
        </w:numPr>
        <w:spacing w:after="120"/>
        <w:ind w:left="1077" w:hanging="357"/>
        <w:contextualSpacing w:val="0"/>
        <w:rPr>
          <w:lang w:val="en" w:eastAsia="en-AU"/>
        </w:rPr>
      </w:pPr>
      <w:r w:rsidRPr="00136502">
        <w:rPr>
          <w:lang w:val="en" w:eastAsia="en-AU"/>
        </w:rPr>
        <w:t>criminal activity</w:t>
      </w:r>
    </w:p>
    <w:p w:rsidR="003E279B" w:rsidRPr="00136502" w:rsidRDefault="003E279B" w:rsidP="007D1909">
      <w:pPr>
        <w:pStyle w:val="ListParagraph"/>
        <w:numPr>
          <w:ilvl w:val="0"/>
          <w:numId w:val="63"/>
        </w:numPr>
        <w:spacing w:after="120"/>
        <w:ind w:left="1077" w:hanging="357"/>
        <w:contextualSpacing w:val="0"/>
        <w:rPr>
          <w:lang w:val="en" w:eastAsia="en-AU"/>
        </w:rPr>
      </w:pPr>
      <w:r>
        <w:rPr>
          <w:lang w:val="en" w:eastAsia="en-AU"/>
        </w:rPr>
        <w:t>community and service delivery</w:t>
      </w:r>
      <w:r w:rsidRPr="00136502">
        <w:rPr>
          <w:lang w:val="en" w:eastAsia="en-AU"/>
        </w:rPr>
        <w:t>.</w:t>
      </w:r>
    </w:p>
    <w:p w:rsidR="003D1F93" w:rsidRPr="00E637AC" w:rsidRDefault="003D1F93" w:rsidP="003D1F93">
      <w:r w:rsidRPr="00E637AC">
        <w:t xml:space="preserve">Although the harms may be categorised individually, the cumulative impact of the social and economic costs is likely to be more complex due to the close interrelationship between the different types of impacts and the fact that the impacts of </w:t>
      </w:r>
      <w:r>
        <w:t>gambling-related harm</w:t>
      </w:r>
      <w:r w:rsidRPr="00E637AC">
        <w:t xml:space="preserve"> on an individual have a significant impact on their personal and professional relationships, and on the broader community. By way of illustration, spending too much time in a gambling venue can lead to social impacts for the individual and family such as a loss of trust and relationship breakdown. This can trigger economic impacts such as the cost of divorce which can in turn exacerbate social impacts such as social isolation and low self-esteem, and health impacts on the individual and family such as such as stress and substance abuse. These social and health impacts can then lead to community impacts such as crime which in turn trigger </w:t>
      </w:r>
      <w:r>
        <w:t xml:space="preserve">community-wide </w:t>
      </w:r>
      <w:r w:rsidRPr="00E637AC">
        <w:t>economic impacts such as costs of treatment services and the costs of addressing crime.</w:t>
      </w:r>
    </w:p>
    <w:p w:rsidR="003D1F93" w:rsidRPr="00E637AC" w:rsidRDefault="003D1F93" w:rsidP="00235454">
      <w:pPr>
        <w:pStyle w:val="Heading4"/>
      </w:pPr>
      <w:r w:rsidRPr="00E637AC">
        <w:t>Social and health harms</w:t>
      </w:r>
    </w:p>
    <w:p w:rsidR="003D1F93" w:rsidRPr="00E637AC" w:rsidRDefault="003D1F93" w:rsidP="00235454">
      <w:pPr>
        <w:pStyle w:val="Heading5"/>
      </w:pPr>
      <w:r>
        <w:t>General</w:t>
      </w:r>
      <w:r w:rsidRPr="00E637AC">
        <w:t xml:space="preserve"> health and wellbeing</w:t>
      </w:r>
    </w:p>
    <w:p w:rsidR="003D1F93" w:rsidRDefault="003D1F93" w:rsidP="003D1F93">
      <w:pPr>
        <w:rPr>
          <w:szCs w:val="20"/>
        </w:rPr>
      </w:pPr>
      <w:r w:rsidRPr="00E637AC">
        <w:t xml:space="preserve">Health declines </w:t>
      </w:r>
      <w:r>
        <w:t>as a gambler moves along the continuum between non-risk gambler to problem gambler.</w:t>
      </w:r>
      <w:r w:rsidRPr="00E637AC">
        <w:t xml:space="preserve"> Problem gamblers have a significantly higher rate of lung conditions, obesity and other miscellaneous physical or mental conditions, and a slightly higher rate of diabetes</w:t>
      </w:r>
      <w:r w:rsidRPr="00E637AC">
        <w:rPr>
          <w:rStyle w:val="FootnoteReference"/>
        </w:rPr>
        <w:footnoteReference w:id="236"/>
      </w:r>
      <w:r w:rsidRPr="00E637AC">
        <w:t>. Problem gamblers are also more likely to report a significantly higher rate of depression and anxiety disorders than non-problem gamblers, and are significantly more likely to self-report depression as a disability</w:t>
      </w:r>
      <w:r w:rsidRPr="00E637AC">
        <w:rPr>
          <w:rStyle w:val="FootnoteReference"/>
        </w:rPr>
        <w:footnoteReference w:id="237"/>
      </w:r>
      <w:r w:rsidRPr="00E637AC">
        <w:t>. There is also a tendency for psychological distress to increase as gambling risk status increases with 27.06% of problem gamblers and 6.07% of moderate risk gamblers considering taking their own life</w:t>
      </w:r>
      <w:r w:rsidRPr="00E637AC">
        <w:rPr>
          <w:rStyle w:val="FootnoteReference"/>
        </w:rPr>
        <w:footnoteReference w:id="238"/>
      </w:r>
      <w:r w:rsidRPr="00E637AC">
        <w:t>.</w:t>
      </w:r>
      <w:r>
        <w:t xml:space="preserve"> It has been estimated that </w:t>
      </w:r>
      <w:r>
        <w:rPr>
          <w:rFonts w:cs="Arial"/>
          <w:szCs w:val="20"/>
          <w:lang w:eastAsia="en-AU"/>
        </w:rPr>
        <w:t>people with gambling problems</w:t>
      </w:r>
      <w:r w:rsidRPr="00021EB9">
        <w:rPr>
          <w:rFonts w:cs="Arial"/>
          <w:szCs w:val="20"/>
          <w:lang w:eastAsia="en-AU"/>
        </w:rPr>
        <w:t xml:space="preserve"> are four times more likely to suffer from alcohol abuse.</w:t>
      </w:r>
      <w:r>
        <w:rPr>
          <w:rStyle w:val="FootnoteReference"/>
          <w:rFonts w:cs="Arial"/>
          <w:szCs w:val="20"/>
          <w:lang w:eastAsia="en-AU"/>
        </w:rPr>
        <w:footnoteReference w:id="239"/>
      </w:r>
      <w:r w:rsidRPr="00A74F95">
        <w:rPr>
          <w:szCs w:val="20"/>
        </w:rPr>
        <w:t xml:space="preserve"> </w:t>
      </w:r>
    </w:p>
    <w:p w:rsidR="003D1F93" w:rsidRDefault="003D1F93" w:rsidP="003D1F93">
      <w:pPr>
        <w:shd w:val="clear" w:color="auto" w:fill="FFFFFF"/>
        <w:rPr>
          <w:rFonts w:cs="Arial"/>
          <w:color w:val="222222"/>
          <w:lang w:eastAsia="en-AU"/>
        </w:rPr>
      </w:pPr>
      <w:r>
        <w:rPr>
          <w:rFonts w:cs="Arial"/>
          <w:color w:val="222222"/>
          <w:lang w:eastAsia="en-AU"/>
        </w:rPr>
        <w:t>Studies have found that it is not only problem gamblers who experienced compromised health and wellbeing with low and moderate-risk gamblers accounting for the majority of aggregate years of health life lost in Victoria.</w:t>
      </w:r>
      <w:r w:rsidRPr="00282E83">
        <w:rPr>
          <w:rStyle w:val="FootnoteReference"/>
          <w:rFonts w:eastAsiaTheme="minorEastAsia" w:cs="Arial"/>
          <w:color w:val="222222"/>
        </w:rPr>
        <w:t xml:space="preserve"> </w:t>
      </w:r>
      <w:r w:rsidRPr="0006440C">
        <w:rPr>
          <w:rStyle w:val="FootnoteReference"/>
          <w:rFonts w:eastAsiaTheme="minorEastAsia" w:cs="Arial"/>
          <w:color w:val="222222"/>
        </w:rPr>
        <w:footnoteReference w:id="240"/>
      </w:r>
    </w:p>
    <w:p w:rsidR="003D1F93" w:rsidRPr="00E637AC" w:rsidRDefault="003D1F93" w:rsidP="00235454">
      <w:pPr>
        <w:pStyle w:val="Heading5"/>
      </w:pPr>
      <w:r w:rsidRPr="00E637AC">
        <w:t>Family and other relationships</w:t>
      </w:r>
    </w:p>
    <w:p w:rsidR="00220D9C" w:rsidRDefault="003D1F93" w:rsidP="00220D9C">
      <w:pPr>
        <w:rPr>
          <w:rFonts w:asciiTheme="minorHAnsi" w:hAnsiTheme="minorHAnsi" w:cstheme="minorHAnsi"/>
        </w:rPr>
      </w:pPr>
      <w:r w:rsidRPr="00E637AC">
        <w:t xml:space="preserve">It is widely acknowledged that the </w:t>
      </w:r>
      <w:r>
        <w:t xml:space="preserve">negative </w:t>
      </w:r>
      <w:r w:rsidRPr="00E637AC">
        <w:t xml:space="preserve">impacts of </w:t>
      </w:r>
      <w:r>
        <w:t>gambling-related harm</w:t>
      </w:r>
      <w:r w:rsidRPr="00E637AC">
        <w:t xml:space="preserve"> are experienced not only by the individual</w:t>
      </w:r>
      <w:r>
        <w:t xml:space="preserve">. </w:t>
      </w:r>
      <w:r w:rsidRPr="00E637AC">
        <w:t>Emotional stress resulting from financial hardship</w:t>
      </w:r>
      <w:r>
        <w:t xml:space="preserve"> and absences caused by gambling-related harm</w:t>
      </w:r>
      <w:r w:rsidRPr="00E637AC">
        <w:t xml:space="preserve"> puts strain on relationships with family and friends</w:t>
      </w:r>
      <w:r>
        <w:t>.</w:t>
      </w:r>
      <w:r w:rsidRPr="00021EB9">
        <w:rPr>
          <w:rFonts w:cs="Arial"/>
          <w:szCs w:val="20"/>
          <w:lang w:eastAsia="en-AU"/>
        </w:rPr>
        <w:t xml:space="preserve"> </w:t>
      </w:r>
      <w:r w:rsidRPr="00E637AC">
        <w:t xml:space="preserve">It has been estimated that </w:t>
      </w:r>
      <w:r>
        <w:t>p</w:t>
      </w:r>
      <w:r w:rsidRPr="00021EB9">
        <w:rPr>
          <w:rFonts w:cs="Arial"/>
          <w:szCs w:val="20"/>
          <w:lang w:eastAsia="en-AU"/>
        </w:rPr>
        <w:t>eople with gambling problems are six times more likely than non gamblers to get divorced</w:t>
      </w:r>
      <w:r>
        <w:rPr>
          <w:rStyle w:val="FootnoteReference"/>
          <w:rFonts w:cs="Arial"/>
          <w:szCs w:val="20"/>
          <w:lang w:eastAsia="en-AU"/>
        </w:rPr>
        <w:footnoteReference w:id="241"/>
      </w:r>
      <w:r>
        <w:rPr>
          <w:rFonts w:cs="Arial"/>
          <w:szCs w:val="20"/>
          <w:lang w:eastAsia="en-AU"/>
        </w:rPr>
        <w:t xml:space="preserve">. </w:t>
      </w:r>
      <w:bookmarkStart w:id="134" w:name="_Hlk483489847"/>
      <w:r>
        <w:rPr>
          <w:rFonts w:cs="Arial"/>
          <w:szCs w:val="20"/>
          <w:lang w:eastAsia="en-AU"/>
        </w:rPr>
        <w:t xml:space="preserve">It is also </w:t>
      </w:r>
      <w:r w:rsidRPr="00E637AC">
        <w:t xml:space="preserve">estimated that each person with gambling problems has between 5 and 10 people in their lives who are </w:t>
      </w:r>
      <w:r>
        <w:t xml:space="preserve">also </w:t>
      </w:r>
      <w:r w:rsidRPr="00E637AC">
        <w:t>affected by their gambling, either directly or indirectly</w:t>
      </w:r>
      <w:r>
        <w:t>.</w:t>
      </w:r>
      <w:r w:rsidRPr="00E637AC">
        <w:rPr>
          <w:rStyle w:val="FootnoteReference"/>
        </w:rPr>
        <w:footnoteReference w:id="242"/>
      </w:r>
      <w:r>
        <w:t xml:space="preserve"> These may include immediate family members, employees and employers, friends and team mates. </w:t>
      </w:r>
      <w:r w:rsidRPr="00E637AC">
        <w:rPr>
          <w:rStyle w:val="FootnoteReference"/>
        </w:rPr>
        <w:footnoteReference w:id="243"/>
      </w:r>
      <w:r w:rsidR="00621D99">
        <w:t xml:space="preserve"> </w:t>
      </w:r>
      <w:r w:rsidR="00220D9C">
        <w:t xml:space="preserve">A study in Victoria found that </w:t>
      </w:r>
      <w:r w:rsidR="00220D9C" w:rsidRPr="00C22F61">
        <w:rPr>
          <w:rFonts w:asciiTheme="minorHAnsi" w:hAnsiTheme="minorHAnsi" w:cstheme="minorHAnsi"/>
        </w:rPr>
        <w:t>an estimated 2.79% of Victorian adults reported experiencing problems because of someone else’s gaming</w:t>
      </w:r>
      <w:r w:rsidR="00220D9C">
        <w:t>.</w:t>
      </w:r>
      <w:r w:rsidR="00220D9C" w:rsidRPr="00C22F61">
        <w:rPr>
          <w:rStyle w:val="FootnoteReference"/>
          <w:rFonts w:asciiTheme="minorHAnsi" w:hAnsiTheme="minorHAnsi" w:cstheme="minorHAnsi"/>
        </w:rPr>
        <w:t xml:space="preserve"> </w:t>
      </w:r>
      <w:r w:rsidR="00220D9C">
        <w:rPr>
          <w:rStyle w:val="FootnoteReference"/>
          <w:rFonts w:asciiTheme="minorHAnsi" w:hAnsiTheme="minorHAnsi" w:cstheme="minorHAnsi"/>
        </w:rPr>
        <w:footnoteReference w:id="244"/>
      </w:r>
      <w:r w:rsidR="00220D9C">
        <w:rPr>
          <w:rFonts w:asciiTheme="minorHAnsi" w:hAnsiTheme="minorHAnsi" w:cstheme="minorHAnsi"/>
        </w:rPr>
        <w:t xml:space="preserve"> </w:t>
      </w:r>
    </w:p>
    <w:bookmarkEnd w:id="134"/>
    <w:p w:rsidR="003D1F93" w:rsidRDefault="003D1F93" w:rsidP="003D1F93">
      <w:r w:rsidRPr="00E637AC">
        <w:t xml:space="preserve">While there is little </w:t>
      </w:r>
      <w:r>
        <w:t xml:space="preserve">empirical </w:t>
      </w:r>
      <w:r w:rsidRPr="00E637AC">
        <w:t xml:space="preserve">evidence that supports the link between </w:t>
      </w:r>
      <w:r>
        <w:t>gambling-related harm</w:t>
      </w:r>
      <w:r w:rsidRPr="00E637AC">
        <w:t xml:space="preserve"> and child abuse, the one form of child mistreatment that has been linked to </w:t>
      </w:r>
      <w:r>
        <w:t>gambling-related harm</w:t>
      </w:r>
      <w:r w:rsidRPr="00E637AC">
        <w:t xml:space="preserve"> is neglect. Children may be left alone at home, in locked cars or at friends or family during gambling periods, sometimes for lengthy periods</w:t>
      </w:r>
      <w:r>
        <w:t>,</w:t>
      </w:r>
      <w:r w:rsidRPr="00E637AC">
        <w:t xml:space="preserve"> as many problem gamblers spend too much time as well as too much money gambling</w:t>
      </w:r>
      <w:r w:rsidRPr="00E637AC">
        <w:rPr>
          <w:rStyle w:val="FootnoteReference"/>
        </w:rPr>
        <w:footnoteReference w:id="245"/>
      </w:r>
      <w:r w:rsidRPr="00E637AC">
        <w:t>. Furthermore, children of gamblers are more likely than their peers to engage in escape behaviours</w:t>
      </w:r>
      <w:r>
        <w:t>,</w:t>
      </w:r>
      <w:r w:rsidRPr="00E637AC">
        <w:t xml:space="preserve"> such as overeating, smoking and alcohol and drug abuse, and gambling</w:t>
      </w:r>
      <w:r w:rsidRPr="00E637AC">
        <w:rPr>
          <w:rStyle w:val="FootnoteReference"/>
        </w:rPr>
        <w:footnoteReference w:id="246"/>
      </w:r>
      <w:r w:rsidRPr="00E637AC">
        <w:t xml:space="preserve">. </w:t>
      </w:r>
    </w:p>
    <w:p w:rsidR="003D1F93" w:rsidRPr="00E637AC" w:rsidRDefault="003D1F93" w:rsidP="003D1F93">
      <w:r>
        <w:t>While s</w:t>
      </w:r>
      <w:r w:rsidRPr="00E637AC">
        <w:t xml:space="preserve">ocial isolation has been identified as a key determinant of </w:t>
      </w:r>
      <w:r>
        <w:t>gambling-related harm</w:t>
      </w:r>
      <w:r w:rsidRPr="00E637AC">
        <w:t>, but is also an impact</w:t>
      </w:r>
      <w:r>
        <w:t>, further diminishing the quality of a problem gambler’s personal relationships</w:t>
      </w:r>
      <w:r w:rsidRPr="00E637AC">
        <w:t>.</w:t>
      </w:r>
    </w:p>
    <w:p w:rsidR="003D1F93" w:rsidRPr="00E637AC" w:rsidRDefault="003D1F93" w:rsidP="00235454">
      <w:pPr>
        <w:pStyle w:val="Heading5"/>
      </w:pPr>
      <w:r w:rsidRPr="00E637AC">
        <w:t>Crime</w:t>
      </w:r>
    </w:p>
    <w:p w:rsidR="003D1F93" w:rsidRPr="00E637AC" w:rsidRDefault="003D1F93" w:rsidP="003D1F93">
      <w:pPr>
        <w:rPr>
          <w:sz w:val="16"/>
        </w:rPr>
      </w:pPr>
      <w:r w:rsidRPr="00E637AC">
        <w:t xml:space="preserve">When problem gamblers face increasing financial pressures, obtaining funds to finance their gambling </w:t>
      </w:r>
      <w:r>
        <w:t xml:space="preserve">addiction </w:t>
      </w:r>
      <w:r w:rsidRPr="00E637AC">
        <w:t xml:space="preserve">becomes a primary driver. Crimes linked to </w:t>
      </w:r>
      <w:r>
        <w:t>gambling-related harm</w:t>
      </w:r>
      <w:r w:rsidRPr="00E637AC">
        <w:t xml:space="preserve"> are most closely associated with income-generating crimes required to fund the gambling habit and replace losses. These income</w:t>
      </w:r>
      <w:r>
        <w:t>-</w:t>
      </w:r>
      <w:r w:rsidRPr="00E637AC">
        <w:t>generating crimes include theft, fraud, break and enter, forgery, false pretences, larceny and robbery</w:t>
      </w:r>
      <w:r w:rsidRPr="00E637AC">
        <w:rPr>
          <w:rStyle w:val="FootnoteReference"/>
        </w:rPr>
        <w:footnoteReference w:id="247"/>
      </w:r>
      <w:r w:rsidRPr="00E637AC">
        <w:t xml:space="preserve">. These crimes may be committed against family members, friends, employees and neighbours as well as the broader community. </w:t>
      </w:r>
    </w:p>
    <w:p w:rsidR="003D1F93" w:rsidRPr="00E637AC" w:rsidRDefault="003D1F93" w:rsidP="003D1F93">
      <w:r>
        <w:t>EGM gambling is directly associated with an increase in crime, with h</w:t>
      </w:r>
      <w:r w:rsidRPr="00E637AC">
        <w:t xml:space="preserve">igher expenditure on </w:t>
      </w:r>
      <w:r>
        <w:t>EGMs</w:t>
      </w:r>
      <w:r w:rsidRPr="00E637AC">
        <w:t xml:space="preserve"> in a local area </w:t>
      </w:r>
      <w:r>
        <w:t xml:space="preserve">being </w:t>
      </w:r>
      <w:r w:rsidRPr="00E637AC">
        <w:t>associated with an increase in crime in that area</w:t>
      </w:r>
      <w:r>
        <w:t>. This is because</w:t>
      </w:r>
      <w:r w:rsidRPr="00E637AC">
        <w:t xml:space="preserve"> problem gamblers tend to gamble in areas close to their home or work place</w:t>
      </w:r>
      <w:r w:rsidRPr="00E637AC">
        <w:rPr>
          <w:rStyle w:val="FootnoteReference"/>
        </w:rPr>
        <w:footnoteReference w:id="248"/>
      </w:r>
      <w:r w:rsidRPr="00E637AC">
        <w:t xml:space="preserve">. </w:t>
      </w:r>
      <w:r>
        <w:t>Furthermore, studies have shown that EGMs account for more than half (57%) of fraud cases.</w:t>
      </w:r>
      <w:r>
        <w:rPr>
          <w:rStyle w:val="FootnoteReference"/>
        </w:rPr>
        <w:footnoteReference w:id="249"/>
      </w:r>
    </w:p>
    <w:p w:rsidR="00BB341B" w:rsidRDefault="00BB341B" w:rsidP="00BB341B">
      <w:pPr>
        <w:pStyle w:val="Heading5"/>
        <w:rPr>
          <w:lang w:eastAsia="en-AU"/>
        </w:rPr>
      </w:pPr>
      <w:r>
        <w:rPr>
          <w:lang w:eastAsia="en-AU"/>
        </w:rPr>
        <w:t>Family violence</w:t>
      </w:r>
    </w:p>
    <w:p w:rsidR="003D1F93" w:rsidRDefault="003D1F93" w:rsidP="003D1F93">
      <w:pPr>
        <w:rPr>
          <w:rFonts w:ascii="AdvPAC59" w:eastAsiaTheme="minorHAnsi" w:hAnsi="AdvPAC59" w:cs="AdvPAC59"/>
          <w:szCs w:val="20"/>
        </w:rPr>
      </w:pPr>
      <w:r>
        <w:rPr>
          <w:rFonts w:cs="Arial"/>
          <w:szCs w:val="20"/>
          <w:lang w:eastAsia="en-AU"/>
        </w:rPr>
        <w:t xml:space="preserve">There is evidence that draws a relationship between domestic or family violence and gambling-related harm </w:t>
      </w:r>
      <w:r w:rsidRPr="00E637AC">
        <w:t>with partners of problem gamblers being both physically and verbally abused by their spouses</w:t>
      </w:r>
      <w:r>
        <w:rPr>
          <w:rFonts w:cs="Arial"/>
          <w:szCs w:val="20"/>
          <w:lang w:eastAsia="en-AU"/>
        </w:rPr>
        <w:t>.</w:t>
      </w:r>
      <w:r w:rsidRPr="0085099E">
        <w:rPr>
          <w:rStyle w:val="FootnoteReference"/>
        </w:rPr>
        <w:t xml:space="preserve"> </w:t>
      </w:r>
      <w:r>
        <w:rPr>
          <w:rStyle w:val="FootnoteReference"/>
        </w:rPr>
        <w:footnoteReference w:id="250"/>
      </w:r>
      <w:r>
        <w:t xml:space="preserve">, </w:t>
      </w:r>
      <w:r w:rsidRPr="00E637AC">
        <w:rPr>
          <w:rStyle w:val="FootnoteReference"/>
        </w:rPr>
        <w:footnoteReference w:id="251"/>
      </w:r>
      <w:r>
        <w:t xml:space="preserve"> Studies have found that </w:t>
      </w:r>
      <w:r>
        <w:rPr>
          <w:rFonts w:ascii="AdvPAC59" w:eastAsiaTheme="minorHAnsi" w:hAnsi="AdvPAC59" w:cs="AdvPAC59"/>
          <w:szCs w:val="20"/>
        </w:rPr>
        <w:t>over one third of problem gamblers report being victims of physical intimate family violence (38.1%) or perpetrators of physical intimate partner violence (36.5%) and that the prevalence of gambling-related harm in intimate partner violence perpetrators is 11.3%.</w:t>
      </w:r>
      <w:r>
        <w:rPr>
          <w:rStyle w:val="FootnoteReference"/>
          <w:rFonts w:ascii="AdvPAC59" w:eastAsiaTheme="minorHAnsi" w:hAnsi="AdvPAC59" w:cs="AdvPAC59"/>
          <w:szCs w:val="20"/>
        </w:rPr>
        <w:footnoteReference w:id="252"/>
      </w:r>
    </w:p>
    <w:p w:rsidR="00BB341B" w:rsidRPr="00BB341B" w:rsidRDefault="00BB341B" w:rsidP="00BB341B">
      <w:pPr>
        <w:rPr>
          <w:rFonts w:asciiTheme="minorHAnsi" w:hAnsiTheme="minorHAnsi" w:cstheme="minorHAnsi"/>
          <w:color w:val="2E2E2E"/>
          <w:lang w:eastAsia="en-AU"/>
        </w:rPr>
      </w:pPr>
      <w:r w:rsidRPr="00BB341B">
        <w:rPr>
          <w:rFonts w:ascii="AdvPAC59" w:eastAsiaTheme="minorHAnsi" w:hAnsi="AdvPAC59" w:cs="AdvPAC59"/>
          <w:szCs w:val="20"/>
        </w:rPr>
        <w:t xml:space="preserve">Recent research </w:t>
      </w:r>
      <w:r w:rsidRPr="00BB341B">
        <w:rPr>
          <w:rFonts w:asciiTheme="minorHAnsi" w:hAnsiTheme="minorHAnsi" w:cstheme="minorHAnsi"/>
          <w:color w:val="2E2E2E"/>
          <w:lang w:eastAsia="en-AU"/>
        </w:rPr>
        <w:t>undertaken with clients of problem gambling treatment services found that family violence and abuse is common in people seeking help for their own or for someone else’s gambling:</w:t>
      </w:r>
      <w:r>
        <w:rPr>
          <w:rStyle w:val="FootnoteReference"/>
          <w:rFonts w:asciiTheme="minorHAnsi" w:hAnsiTheme="minorHAnsi" w:cstheme="minorHAnsi"/>
          <w:color w:val="2E2E2E"/>
          <w:lang w:eastAsia="en-AU"/>
        </w:rPr>
        <w:footnoteReference w:id="253"/>
      </w:r>
    </w:p>
    <w:p w:rsidR="00BB341B" w:rsidRDefault="00BB341B" w:rsidP="007D1909">
      <w:pPr>
        <w:pStyle w:val="ListParagraph"/>
        <w:numPr>
          <w:ilvl w:val="1"/>
          <w:numId w:val="58"/>
        </w:numPr>
        <w:spacing w:after="120"/>
        <w:contextualSpacing w:val="0"/>
        <w:rPr>
          <w:rFonts w:asciiTheme="minorHAnsi" w:hAnsiTheme="minorHAnsi" w:cstheme="minorHAnsi"/>
          <w:color w:val="2E2E2E"/>
          <w:lang w:eastAsia="en-AU"/>
        </w:rPr>
      </w:pPr>
      <w:r>
        <w:rPr>
          <w:rFonts w:asciiTheme="minorHAnsi" w:hAnsiTheme="minorHAnsi" w:cstheme="minorHAnsi"/>
          <w:color w:val="2E2E2E"/>
          <w:lang w:eastAsia="en-AU"/>
        </w:rPr>
        <w:t>Half (50%) of participants were victims of physical, psychological, emotional, verbal or sexual abuse in the previous 12 months.</w:t>
      </w:r>
    </w:p>
    <w:p w:rsidR="00BB341B" w:rsidRDefault="00BB341B" w:rsidP="007D1909">
      <w:pPr>
        <w:pStyle w:val="ListParagraph"/>
        <w:numPr>
          <w:ilvl w:val="1"/>
          <w:numId w:val="58"/>
        </w:numPr>
        <w:spacing w:after="120"/>
        <w:contextualSpacing w:val="0"/>
        <w:rPr>
          <w:rFonts w:asciiTheme="minorHAnsi" w:hAnsiTheme="minorHAnsi" w:cstheme="minorHAnsi"/>
          <w:color w:val="2E2E2E"/>
          <w:lang w:eastAsia="en-AU"/>
        </w:rPr>
      </w:pPr>
      <w:r>
        <w:rPr>
          <w:rFonts w:asciiTheme="minorHAnsi" w:hAnsiTheme="minorHAnsi" w:cstheme="minorHAnsi"/>
          <w:color w:val="2E2E2E"/>
          <w:lang w:eastAsia="en-AU"/>
        </w:rPr>
        <w:t>44% of the participants committed violence or abuse at least once in the past 12 months.</w:t>
      </w:r>
    </w:p>
    <w:p w:rsidR="00BB341B" w:rsidRDefault="00BB341B" w:rsidP="007D1909">
      <w:pPr>
        <w:pStyle w:val="ListParagraph"/>
        <w:numPr>
          <w:ilvl w:val="1"/>
          <w:numId w:val="58"/>
        </w:numPr>
        <w:spacing w:after="120"/>
        <w:contextualSpacing w:val="0"/>
        <w:rPr>
          <w:rFonts w:asciiTheme="minorHAnsi" w:hAnsiTheme="minorHAnsi" w:cstheme="minorHAnsi"/>
          <w:color w:val="2E2E2E"/>
          <w:lang w:eastAsia="en-AU"/>
        </w:rPr>
      </w:pPr>
      <w:r>
        <w:rPr>
          <w:rFonts w:asciiTheme="minorHAnsi" w:hAnsiTheme="minorHAnsi" w:cstheme="minorHAnsi"/>
          <w:color w:val="2E2E2E"/>
          <w:lang w:eastAsia="en-AU"/>
        </w:rPr>
        <w:t>More affected others reported committing and being victims of violence and abuse than gamblers with 57% committing violence/abus</w:t>
      </w:r>
      <w:r w:rsidR="007609EE">
        <w:rPr>
          <w:rFonts w:asciiTheme="minorHAnsi" w:hAnsiTheme="minorHAnsi" w:cstheme="minorHAnsi"/>
          <w:color w:val="2E2E2E"/>
          <w:lang w:eastAsia="en-AU"/>
        </w:rPr>
        <w:t>e compared with 41% of gamblers</w:t>
      </w:r>
      <w:r>
        <w:rPr>
          <w:rFonts w:asciiTheme="minorHAnsi" w:hAnsiTheme="minorHAnsi" w:cstheme="minorHAnsi"/>
          <w:color w:val="2E2E2E"/>
          <w:lang w:eastAsia="en-AU"/>
        </w:rPr>
        <w:t xml:space="preserve"> and 66% pf affected others being victims of violence/abuse compared with 47% of gamblers.</w:t>
      </w:r>
    </w:p>
    <w:p w:rsidR="00BB341B" w:rsidRDefault="00BB341B" w:rsidP="007D1909">
      <w:pPr>
        <w:pStyle w:val="ListParagraph"/>
        <w:numPr>
          <w:ilvl w:val="1"/>
          <w:numId w:val="58"/>
        </w:numPr>
        <w:spacing w:after="120"/>
        <w:contextualSpacing w:val="0"/>
        <w:rPr>
          <w:rFonts w:asciiTheme="minorHAnsi" w:hAnsiTheme="minorHAnsi" w:cstheme="minorHAnsi"/>
          <w:color w:val="2E2E2E"/>
          <w:lang w:eastAsia="en-AU"/>
        </w:rPr>
      </w:pPr>
      <w:r>
        <w:rPr>
          <w:rFonts w:asciiTheme="minorHAnsi" w:hAnsiTheme="minorHAnsi" w:cstheme="minorHAnsi"/>
          <w:color w:val="2E2E2E"/>
          <w:lang w:eastAsia="en-AU"/>
        </w:rPr>
        <w:t>Three quarters of family violence incidents was t</w:t>
      </w:r>
      <w:r w:rsidR="00CE10E5">
        <w:rPr>
          <w:rFonts w:asciiTheme="minorHAnsi" w:hAnsiTheme="minorHAnsi" w:cstheme="minorHAnsi"/>
          <w:color w:val="2E2E2E"/>
          <w:lang w:eastAsia="en-AU"/>
        </w:rPr>
        <w:t>o, or from, a family member for example</w:t>
      </w:r>
      <w:r>
        <w:rPr>
          <w:rFonts w:asciiTheme="minorHAnsi" w:hAnsiTheme="minorHAnsi" w:cstheme="minorHAnsi"/>
          <w:color w:val="2E2E2E"/>
          <w:lang w:eastAsia="en-AU"/>
        </w:rPr>
        <w:t xml:space="preserve"> a current or </w:t>
      </w:r>
      <w:r w:rsidR="00270386">
        <w:rPr>
          <w:rFonts w:asciiTheme="minorHAnsi" w:hAnsiTheme="minorHAnsi" w:cstheme="minorHAnsi"/>
          <w:color w:val="2E2E2E"/>
          <w:lang w:eastAsia="en-AU"/>
        </w:rPr>
        <w:t>ex-partner</w:t>
      </w:r>
      <w:r w:rsidR="00CE10E5">
        <w:rPr>
          <w:rFonts w:asciiTheme="minorHAnsi" w:hAnsiTheme="minorHAnsi" w:cstheme="minorHAnsi"/>
          <w:color w:val="2E2E2E"/>
          <w:lang w:eastAsia="en-AU"/>
        </w:rPr>
        <w:t xml:space="preserve">, </w:t>
      </w:r>
      <w:r>
        <w:rPr>
          <w:rFonts w:asciiTheme="minorHAnsi" w:hAnsiTheme="minorHAnsi" w:cstheme="minorHAnsi"/>
          <w:color w:val="2E2E2E"/>
          <w:lang w:eastAsia="en-AU"/>
        </w:rPr>
        <w:t>children and other family members.</w:t>
      </w:r>
    </w:p>
    <w:p w:rsidR="003D1F93" w:rsidRPr="00E637AC" w:rsidRDefault="003D1F93" w:rsidP="008D3EF1">
      <w:pPr>
        <w:pStyle w:val="Heading4"/>
      </w:pPr>
      <w:r w:rsidRPr="00E637AC">
        <w:t>Economic harms</w:t>
      </w:r>
    </w:p>
    <w:p w:rsidR="003D1F93" w:rsidRDefault="003D1F93" w:rsidP="008D3EF1">
      <w:pPr>
        <w:pStyle w:val="Heading5"/>
      </w:pPr>
      <w:r w:rsidRPr="00E637AC">
        <w:t>Financial hardship</w:t>
      </w:r>
    </w:p>
    <w:p w:rsidR="003D1F93" w:rsidRPr="00021EB9" w:rsidRDefault="003D1F93" w:rsidP="008D3EF1">
      <w:pPr>
        <w:rPr>
          <w:szCs w:val="20"/>
        </w:rPr>
      </w:pPr>
      <w:r>
        <w:rPr>
          <w:rFonts w:cs="Arial"/>
          <w:szCs w:val="20"/>
          <w:lang w:eastAsia="en-AU"/>
        </w:rPr>
        <w:t>It has been estimated that p</w:t>
      </w:r>
      <w:r w:rsidRPr="00021EB9">
        <w:rPr>
          <w:rFonts w:cs="Arial"/>
          <w:szCs w:val="20"/>
          <w:lang w:eastAsia="en-AU"/>
        </w:rPr>
        <w:t>eople who have a problem with their gambling lose an average of $21,000 a year</w:t>
      </w:r>
      <w:r>
        <w:rPr>
          <w:rFonts w:cs="Arial"/>
          <w:szCs w:val="20"/>
          <w:lang w:eastAsia="en-AU"/>
        </w:rPr>
        <w:t xml:space="preserve"> which is equivalent to </w:t>
      </w:r>
      <w:r w:rsidRPr="00021EB9">
        <w:rPr>
          <w:rFonts w:cs="Arial"/>
          <w:szCs w:val="20"/>
          <w:lang w:eastAsia="en-AU"/>
        </w:rPr>
        <w:t>a third of the average annual salary.</w:t>
      </w:r>
      <w:r>
        <w:rPr>
          <w:rStyle w:val="FootnoteReference"/>
          <w:rFonts w:cs="Arial"/>
          <w:szCs w:val="20"/>
          <w:lang w:eastAsia="en-AU"/>
        </w:rPr>
        <w:footnoteReference w:id="254"/>
      </w:r>
      <w:r w:rsidRPr="00021EB9">
        <w:rPr>
          <w:rFonts w:cs="Arial"/>
          <w:szCs w:val="20"/>
          <w:lang w:eastAsia="en-AU"/>
        </w:rPr>
        <w:t xml:space="preserve"> </w:t>
      </w:r>
      <w:r>
        <w:rPr>
          <w:rFonts w:cs="Arial"/>
          <w:szCs w:val="20"/>
          <w:lang w:eastAsia="en-AU"/>
        </w:rPr>
        <w:t xml:space="preserve">This money is diverted from other household expenses such as utilities, mortgages and family events and outings. </w:t>
      </w:r>
    </w:p>
    <w:p w:rsidR="003D1F93" w:rsidRPr="00E637AC" w:rsidRDefault="003D1F93" w:rsidP="008D3EF1">
      <w:r w:rsidRPr="00AD5AB3">
        <w:rPr>
          <w:szCs w:val="20"/>
        </w:rPr>
        <w:t>Problem gamblers may accumulate gambling-related debts, which in some cases can lead to bankruptcy due to an inability to service or repay debts. It has been estimated that bankruptcies due to gambling account for up to 40% of total bankruptcies in Victoria</w:t>
      </w:r>
      <w:r w:rsidRPr="007C062E">
        <w:rPr>
          <w:rStyle w:val="FootnoteReference"/>
        </w:rPr>
        <w:footnoteReference w:id="255"/>
      </w:r>
      <w:r w:rsidRPr="007C062E">
        <w:t xml:space="preserve"> and that 6% of problem gamblers experience bankruptcy</w:t>
      </w:r>
      <w:r w:rsidRPr="00E637AC">
        <w:rPr>
          <w:rStyle w:val="FootnoteReference"/>
        </w:rPr>
        <w:footnoteReference w:id="256"/>
      </w:r>
      <w:r w:rsidRPr="00E637AC">
        <w:t>. These unpaid debts are likely to be owed to businesses (mainly financial services businesses), family and friends</w:t>
      </w:r>
      <w:r w:rsidRPr="00E637AC">
        <w:rPr>
          <w:rStyle w:val="FootnoteReference"/>
        </w:rPr>
        <w:footnoteReference w:id="257"/>
      </w:r>
      <w:r w:rsidRPr="00E637AC">
        <w:t>.</w:t>
      </w:r>
    </w:p>
    <w:p w:rsidR="003D1F93" w:rsidRPr="00E637AC" w:rsidRDefault="003D1F93" w:rsidP="008D3EF1">
      <w:r w:rsidRPr="00E637AC">
        <w:t xml:space="preserve">Unemployment is both a cause and </w:t>
      </w:r>
      <w:r>
        <w:t xml:space="preserve">an </w:t>
      </w:r>
      <w:r w:rsidRPr="00E637AC">
        <w:t xml:space="preserve">effect of </w:t>
      </w:r>
      <w:r>
        <w:t>gambling-related harm</w:t>
      </w:r>
      <w:r w:rsidRPr="00E637AC">
        <w:t>. It has been estimated that 35% of problem gamblers are unemployed</w:t>
      </w:r>
      <w:r w:rsidRPr="00E637AC">
        <w:rPr>
          <w:rStyle w:val="FootnoteReference"/>
        </w:rPr>
        <w:footnoteReference w:id="258"/>
      </w:r>
      <w:r w:rsidRPr="00E637AC">
        <w:t>.</w:t>
      </w:r>
    </w:p>
    <w:p w:rsidR="003D1F93" w:rsidRPr="00E637AC" w:rsidRDefault="003D1F93" w:rsidP="008D3EF1">
      <w:pPr>
        <w:pStyle w:val="Heading5"/>
      </w:pPr>
      <w:r w:rsidRPr="00E637AC">
        <w:t xml:space="preserve">Impact on </w:t>
      </w:r>
      <w:r>
        <w:t>s</w:t>
      </w:r>
      <w:r w:rsidRPr="00E637AC">
        <w:t>pending</w:t>
      </w:r>
    </w:p>
    <w:p w:rsidR="003D1F93" w:rsidRPr="00E637AC" w:rsidRDefault="003D1F93" w:rsidP="008D3EF1">
      <w:r>
        <w:t xml:space="preserve">Expenditure on EGMs is associated with reduced spending </w:t>
      </w:r>
      <w:r w:rsidRPr="008A4387">
        <w:t>other firms in the services sector, other industry sectors and non-EGM operators in hotels and club sectors in regions</w:t>
      </w:r>
      <w:r w:rsidRPr="00E637AC">
        <w:rPr>
          <w:rStyle w:val="FootnoteReference"/>
        </w:rPr>
        <w:footnoteReference w:id="259"/>
      </w:r>
      <w:r>
        <w:t xml:space="preserve"> as a result of </w:t>
      </w:r>
      <w:r w:rsidRPr="00E637AC">
        <w:t>expenditures that would otherwise be directed to other goods and services (such as food and clothing), existing food and beverage businesses to a new or expanded food and beverage service in the gaming venue.</w:t>
      </w:r>
    </w:p>
    <w:p w:rsidR="003D1F93" w:rsidRPr="00E637AC" w:rsidRDefault="003D1F93" w:rsidP="008D3EF1">
      <w:r w:rsidRPr="00E637AC">
        <w:t xml:space="preserve">When savings run out, the gambling expenditures inevitably come from a diversion of funds otherwise allocated to on-going personal and household expenditures. These expenditures diverted to gambling can have an adverse effect on retailing in the locality. </w:t>
      </w:r>
    </w:p>
    <w:p w:rsidR="003D1F93" w:rsidRPr="003555E9" w:rsidRDefault="003D1F93" w:rsidP="008D3EF1">
      <w:pPr>
        <w:pStyle w:val="Heading5"/>
      </w:pPr>
      <w:r w:rsidRPr="003555E9">
        <w:t>Employment</w:t>
      </w:r>
    </w:p>
    <w:p w:rsidR="003D1F93" w:rsidRDefault="003D1F93" w:rsidP="008D3EF1">
      <w:pPr>
        <w:rPr>
          <w:rFonts w:cs="Arial"/>
        </w:rPr>
      </w:pPr>
      <w:r w:rsidRPr="003555E9">
        <w:t xml:space="preserve">The impact of </w:t>
      </w:r>
      <w:r>
        <w:t>gambling-related harm</w:t>
      </w:r>
      <w:r w:rsidRPr="003555E9">
        <w:t xml:space="preserve"> on employment includes</w:t>
      </w:r>
      <w:r w:rsidRPr="003555E9">
        <w:rPr>
          <w:rFonts w:cs="Arial"/>
        </w:rPr>
        <w:t xml:space="preserve"> loss of employment, job loss, job change, reduced work productivity, decreased attendance at work and</w:t>
      </w:r>
      <w:r w:rsidRPr="00E637AC">
        <w:rPr>
          <w:rFonts w:cs="Arial"/>
        </w:rPr>
        <w:t xml:space="preserve"> absenteeism</w:t>
      </w:r>
      <w:r w:rsidRPr="00E637AC">
        <w:rPr>
          <w:rStyle w:val="FootnoteReference"/>
        </w:rPr>
        <w:footnoteReference w:id="260"/>
      </w:r>
      <w:r w:rsidRPr="00E637AC">
        <w:rPr>
          <w:rFonts w:cs="Arial"/>
        </w:rPr>
        <w:t xml:space="preserve">. For the problem gambler, this can lead to loss of income and costs involved in finding alternative employment. Similarly, for the employer, costs incurred include staff replacement costs, loss of productivity and staff training costs. A further cost to the government is unemployment benefits and lost revenue. </w:t>
      </w:r>
    </w:p>
    <w:p w:rsidR="003D1F93" w:rsidRPr="00E637AC" w:rsidRDefault="003D1F93" w:rsidP="008D3EF1">
      <w:pPr>
        <w:pStyle w:val="Heading5"/>
      </w:pPr>
      <w:r w:rsidRPr="00E637AC">
        <w:t>Public costs</w:t>
      </w:r>
    </w:p>
    <w:p w:rsidR="003D1F93" w:rsidRPr="00E637AC" w:rsidRDefault="003D1F93" w:rsidP="008D3EF1">
      <w:r w:rsidRPr="00E637AC">
        <w:t xml:space="preserve">Public costs include those costs associated with regulation and service delivery. Regulatory costs to businesses include those resulting from the need to comply with a range of regulations and voluntary initiatives aimed at minimising the harm caused by </w:t>
      </w:r>
      <w:r>
        <w:t>gambling-related harm</w:t>
      </w:r>
      <w:r w:rsidRPr="00E637AC">
        <w:t xml:space="preserve"> to society</w:t>
      </w:r>
      <w:r w:rsidRPr="00E637AC">
        <w:rPr>
          <w:rStyle w:val="FootnoteReference"/>
        </w:rPr>
        <w:footnoteReference w:id="261"/>
      </w:r>
      <w:r w:rsidRPr="00E637AC">
        <w:t>.</w:t>
      </w:r>
    </w:p>
    <w:p w:rsidR="003D1F93" w:rsidRDefault="003D1F93" w:rsidP="008D3EF1">
      <w:r w:rsidRPr="00E637AC">
        <w:t xml:space="preserve">Direct and indirect government service costs include compilation and analysis of data and indicators on gaming expenditure and </w:t>
      </w:r>
      <w:r>
        <w:t>gambling-related harm</w:t>
      </w:r>
      <w:r w:rsidRPr="00E637AC">
        <w:t xml:space="preserve"> and the use of financial and </w:t>
      </w:r>
      <w:r>
        <w:t>gambling-related harm</w:t>
      </w:r>
      <w:r w:rsidRPr="00E637AC">
        <w:t xml:space="preserve"> counselling services.</w:t>
      </w:r>
    </w:p>
    <w:p w:rsidR="003D1F93" w:rsidRPr="00E637AC" w:rsidRDefault="003D1F93" w:rsidP="008D3EF1">
      <w:r>
        <w:t>Gambling-related harm</w:t>
      </w:r>
      <w:r w:rsidRPr="00E637AC">
        <w:t xml:space="preserve"> contributes to the costs in the health and human services sector and is associated with screening clients of social welfare services for </w:t>
      </w:r>
      <w:r>
        <w:t>gambling-related harm</w:t>
      </w:r>
      <w:r w:rsidRPr="00E637AC">
        <w:t>, and surveying problem gamblers over time regarding their use of social welfare services</w:t>
      </w:r>
      <w:r w:rsidRPr="00E637AC">
        <w:rPr>
          <w:rStyle w:val="FootnoteReference"/>
        </w:rPr>
        <w:footnoteReference w:id="262"/>
      </w:r>
      <w:r w:rsidRPr="00E637AC">
        <w:t>.</w:t>
      </w:r>
    </w:p>
    <w:p w:rsidR="003D1F93" w:rsidRPr="00E637AC" w:rsidRDefault="003D1F93" w:rsidP="008D3EF1">
      <w:r w:rsidRPr="00E637AC">
        <w:t xml:space="preserve">It has been estimated that </w:t>
      </w:r>
      <w:r>
        <w:t>gambling-related harm</w:t>
      </w:r>
      <w:r w:rsidRPr="00E637AC">
        <w:t xml:space="preserve"> cost the Victorian community between $1.5 billion and $2.7 billion in 2010-11</w:t>
      </w:r>
      <w:r w:rsidRPr="00E637AC">
        <w:rPr>
          <w:rStyle w:val="FootnoteReference"/>
        </w:rPr>
        <w:footnoteReference w:id="263"/>
      </w:r>
      <w:r w:rsidRPr="00E637AC">
        <w:t>.</w:t>
      </w:r>
      <w:r>
        <w:t xml:space="preserve"> </w:t>
      </w:r>
      <w:r w:rsidRPr="00E637AC">
        <w:t>The majority of quantifiable costs arise from two primary impacts namely the costs associated with excess financial losses to problem gamblers (between $1 billion and $1.4 billion) and the intangible costs associated with impacts on mental wellbeing for problem gamblers and their families (between $400 million and $1.2 billion)</w:t>
      </w:r>
      <w:r w:rsidRPr="00E637AC">
        <w:rPr>
          <w:rStyle w:val="FootnoteReference"/>
        </w:rPr>
        <w:footnoteReference w:id="264"/>
      </w:r>
      <w:r w:rsidRPr="00E637AC">
        <w:t xml:space="preserve">. Many of the costs of </w:t>
      </w:r>
      <w:r>
        <w:t>gambling-related harm</w:t>
      </w:r>
      <w:r w:rsidRPr="00E637AC">
        <w:t xml:space="preserve"> are indirect and are associated with additional demands on the health and human services sectors.</w:t>
      </w:r>
    </w:p>
    <w:p w:rsidR="003D1F93" w:rsidRPr="003D1F93" w:rsidRDefault="003D1F93" w:rsidP="008D3EF1">
      <w:r w:rsidRPr="00E637AC">
        <w:t xml:space="preserve">Although the social and economic harms associated with </w:t>
      </w:r>
      <w:r>
        <w:t>gambling-related harm</w:t>
      </w:r>
      <w:r w:rsidRPr="00E637AC">
        <w:t xml:space="preserve"> are experienced directly and indirectly by individuals, their families and the broader community, those directly benefitting from EGM activity are the Victorian Government, EGM owners, the hotels and clubs who operate the machines, and those able to access the Community Support Funds (CSF)</w:t>
      </w:r>
      <w:r w:rsidRPr="00E637AC">
        <w:rPr>
          <w:rStyle w:val="FootnoteReference"/>
        </w:rPr>
        <w:footnoteReference w:id="265"/>
      </w:r>
      <w:r w:rsidRPr="00E637AC">
        <w:t>. It has been found that the economic benefits derived from gambling accrue at the macro rather than at the local and community level because of the centralised tax revenue system</w:t>
      </w:r>
      <w:r w:rsidRPr="00E637AC">
        <w:rPr>
          <w:rStyle w:val="FootnoteReference"/>
        </w:rPr>
        <w:footnoteReference w:id="266"/>
      </w:r>
      <w:r w:rsidRPr="00E637AC">
        <w:t>.</w:t>
      </w:r>
    </w:p>
    <w:p w:rsidR="003F04AF" w:rsidRDefault="003F04AF">
      <w:pPr>
        <w:spacing w:line="276" w:lineRule="auto"/>
        <w:ind w:left="720"/>
        <w:rPr>
          <w:rFonts w:asciiTheme="minorHAnsi" w:eastAsiaTheme="majorEastAsia" w:hAnsiTheme="minorHAnsi" w:cstheme="minorHAnsi"/>
          <w:b/>
          <w:bCs/>
          <w:color w:val="365F91" w:themeColor="accent1" w:themeShade="BF"/>
          <w:sz w:val="28"/>
          <w:szCs w:val="28"/>
        </w:rPr>
      </w:pPr>
      <w:r>
        <w:rPr>
          <w:rFonts w:asciiTheme="minorHAnsi" w:hAnsiTheme="minorHAnsi" w:cstheme="minorHAnsi"/>
          <w:caps/>
        </w:rPr>
        <w:br w:type="page"/>
      </w:r>
    </w:p>
    <w:p w:rsidR="005E227D" w:rsidRDefault="00051F9D" w:rsidP="005E227D">
      <w:pPr>
        <w:pStyle w:val="Heading1"/>
        <w:spacing w:before="240" w:line="259" w:lineRule="auto"/>
        <w:rPr>
          <w:rFonts w:asciiTheme="minorHAnsi" w:hAnsiTheme="minorHAnsi" w:cstheme="minorHAnsi"/>
        </w:rPr>
      </w:pPr>
      <w:bookmarkStart w:id="135" w:name="_Toc494287778"/>
      <w:r w:rsidRPr="0099464A">
        <w:rPr>
          <w:rFonts w:asciiTheme="minorHAnsi" w:hAnsiTheme="minorHAnsi" w:cstheme="minorHAnsi"/>
          <w:caps w:val="0"/>
        </w:rPr>
        <w:t xml:space="preserve">Framework </w:t>
      </w:r>
      <w:r>
        <w:rPr>
          <w:rFonts w:asciiTheme="minorHAnsi" w:hAnsiTheme="minorHAnsi" w:cstheme="minorHAnsi"/>
          <w:caps w:val="0"/>
        </w:rPr>
        <w:t>f</w:t>
      </w:r>
      <w:r w:rsidRPr="0099464A">
        <w:rPr>
          <w:rFonts w:asciiTheme="minorHAnsi" w:hAnsiTheme="minorHAnsi" w:cstheme="minorHAnsi"/>
          <w:caps w:val="0"/>
        </w:rPr>
        <w:t xml:space="preserve">or </w:t>
      </w:r>
      <w:r>
        <w:rPr>
          <w:rFonts w:asciiTheme="minorHAnsi" w:hAnsiTheme="minorHAnsi" w:cstheme="minorHAnsi"/>
          <w:caps w:val="0"/>
        </w:rPr>
        <w:t>t</w:t>
      </w:r>
      <w:r w:rsidRPr="0099464A">
        <w:rPr>
          <w:rFonts w:asciiTheme="minorHAnsi" w:hAnsiTheme="minorHAnsi" w:cstheme="minorHAnsi"/>
          <w:caps w:val="0"/>
        </w:rPr>
        <w:t xml:space="preserve">he </w:t>
      </w:r>
      <w:r>
        <w:rPr>
          <w:rFonts w:asciiTheme="minorHAnsi" w:hAnsiTheme="minorHAnsi" w:cstheme="minorHAnsi"/>
          <w:caps w:val="0"/>
        </w:rPr>
        <w:t>r</w:t>
      </w:r>
      <w:r w:rsidRPr="0099464A">
        <w:rPr>
          <w:rFonts w:asciiTheme="minorHAnsi" w:hAnsiTheme="minorHAnsi" w:cstheme="minorHAnsi"/>
          <w:caps w:val="0"/>
        </w:rPr>
        <w:t xml:space="preserve">evised Local Planning Policy </w:t>
      </w:r>
      <w:r>
        <w:rPr>
          <w:rFonts w:asciiTheme="minorHAnsi" w:hAnsiTheme="minorHAnsi" w:cstheme="minorHAnsi"/>
          <w:caps w:val="0"/>
        </w:rPr>
        <w:t>f</w:t>
      </w:r>
      <w:r w:rsidRPr="0099464A">
        <w:rPr>
          <w:rFonts w:asciiTheme="minorHAnsi" w:hAnsiTheme="minorHAnsi" w:cstheme="minorHAnsi"/>
          <w:caps w:val="0"/>
        </w:rPr>
        <w:t>or Gaming</w:t>
      </w:r>
      <w:bookmarkEnd w:id="135"/>
    </w:p>
    <w:p w:rsidR="00BB341B" w:rsidRDefault="00BB341B" w:rsidP="00BB341B">
      <w:r>
        <w:t>This</w:t>
      </w:r>
      <w:r w:rsidR="0091423E">
        <w:t xml:space="preserve"> Chapter</w:t>
      </w:r>
      <w:r>
        <w:t xml:space="preserve"> summarises the key features of the most current local planning policy frameworks in Victorian planning schemes. These features will inform the development of the City of Melbourne Local Planning Policy for Electronic Gaming and amendments to relevant clauses of the municipal strategic statement.</w:t>
      </w:r>
    </w:p>
    <w:tbl>
      <w:tblPr>
        <w:tblStyle w:val="TableGrid"/>
        <w:tblW w:w="0" w:type="auto"/>
        <w:shd w:val="clear" w:color="auto" w:fill="D9D9D9" w:themeFill="background1" w:themeFillShade="D9"/>
        <w:tblLook w:val="04A0" w:firstRow="1" w:lastRow="0" w:firstColumn="1" w:lastColumn="0" w:noHBand="0" w:noVBand="1"/>
      </w:tblPr>
      <w:tblGrid>
        <w:gridCol w:w="9016"/>
      </w:tblGrid>
      <w:tr w:rsidR="0072242F" w:rsidRPr="00C40980" w:rsidTr="0072242F">
        <w:tc>
          <w:tcPr>
            <w:tcW w:w="9016" w:type="dxa"/>
            <w:shd w:val="clear" w:color="auto" w:fill="D9D9D9" w:themeFill="background1" w:themeFillShade="D9"/>
          </w:tcPr>
          <w:p w:rsidR="0072242F" w:rsidRPr="00795EBA" w:rsidRDefault="0072242F" w:rsidP="0072242F">
            <w:pPr>
              <w:spacing w:after="120"/>
              <w:rPr>
                <w:b/>
              </w:rPr>
            </w:pPr>
            <w:r w:rsidRPr="00795EBA">
              <w:rPr>
                <w:b/>
              </w:rPr>
              <w:t>Key findings</w:t>
            </w:r>
          </w:p>
          <w:p w:rsidR="0072242F" w:rsidRPr="00795EBA" w:rsidRDefault="00273D41" w:rsidP="0072242F">
            <w:pPr>
              <w:spacing w:after="120"/>
            </w:pPr>
            <w:r w:rsidRPr="00795EBA">
              <w:t>The municipal strategic statements and local planning policies for gaming in Victorian planning schemes include strategies and policies that seek to prevent convenience gambling and protect those most at risk of gambling-related harms.</w:t>
            </w:r>
          </w:p>
          <w:p w:rsidR="00795EBA" w:rsidRPr="00795EBA" w:rsidRDefault="00795EBA" w:rsidP="0072242F">
            <w:pPr>
              <w:spacing w:after="120"/>
            </w:pPr>
            <w:r w:rsidRPr="00795EBA">
              <w:t>The key objectives included in the local planning policies focus on:</w:t>
            </w:r>
          </w:p>
          <w:p w:rsidR="00795EBA" w:rsidRPr="00795EBA" w:rsidRDefault="00795EBA" w:rsidP="007D1909">
            <w:pPr>
              <w:pStyle w:val="BodytextBlue"/>
              <w:numPr>
                <w:ilvl w:val="0"/>
                <w:numId w:val="79"/>
              </w:numPr>
              <w:rPr>
                <w:rFonts w:ascii="Calibri" w:hAnsi="Calibri" w:cs="Calibri"/>
                <w:color w:val="auto"/>
                <w:sz w:val="22"/>
                <w:szCs w:val="22"/>
              </w:rPr>
            </w:pPr>
            <w:r>
              <w:rPr>
                <w:rFonts w:ascii="Calibri" w:hAnsi="Calibri" w:cs="Calibri"/>
                <w:color w:val="auto"/>
                <w:sz w:val="22"/>
                <w:szCs w:val="22"/>
              </w:rPr>
              <w:t>minimising</w:t>
            </w:r>
            <w:r w:rsidRPr="00795EBA">
              <w:rPr>
                <w:rFonts w:ascii="Calibri" w:hAnsi="Calibri" w:cs="Calibri"/>
                <w:color w:val="auto"/>
                <w:sz w:val="22"/>
                <w:szCs w:val="22"/>
              </w:rPr>
              <w:t xml:space="preserve"> gambling-related harms to i</w:t>
            </w:r>
            <w:r w:rsidR="007609EE">
              <w:rPr>
                <w:rFonts w:ascii="Calibri" w:hAnsi="Calibri" w:cs="Calibri"/>
                <w:color w:val="auto"/>
                <w:sz w:val="22"/>
                <w:szCs w:val="22"/>
              </w:rPr>
              <w:t>ndividuals and the community</w:t>
            </w:r>
          </w:p>
          <w:p w:rsidR="00795EBA" w:rsidRPr="00795EBA" w:rsidRDefault="00795EBA" w:rsidP="007D1909">
            <w:pPr>
              <w:pStyle w:val="BodytextBlue"/>
              <w:numPr>
                <w:ilvl w:val="0"/>
                <w:numId w:val="79"/>
              </w:numPr>
              <w:rPr>
                <w:rFonts w:ascii="Calibri" w:hAnsi="Calibri" w:cs="Calibri"/>
                <w:color w:val="auto"/>
                <w:sz w:val="22"/>
                <w:szCs w:val="22"/>
              </w:rPr>
            </w:pPr>
            <w:r>
              <w:rPr>
                <w:rFonts w:ascii="Calibri" w:hAnsi="Calibri" w:cs="Calibri"/>
                <w:color w:val="auto"/>
                <w:sz w:val="22"/>
                <w:szCs w:val="22"/>
              </w:rPr>
              <w:t>ensuring that</w:t>
            </w:r>
            <w:r w:rsidRPr="00795EBA">
              <w:rPr>
                <w:rFonts w:ascii="Calibri" w:hAnsi="Calibri" w:cs="Calibri"/>
                <w:color w:val="auto"/>
                <w:sz w:val="22"/>
                <w:szCs w:val="22"/>
              </w:rPr>
              <w:t xml:space="preserve"> gaming machines are situated in appropriate locations and premises to</w:t>
            </w:r>
            <w:r w:rsidR="007609EE">
              <w:rPr>
                <w:rFonts w:ascii="Calibri" w:hAnsi="Calibri" w:cs="Calibri"/>
                <w:color w:val="auto"/>
                <w:sz w:val="22"/>
                <w:szCs w:val="22"/>
              </w:rPr>
              <w:t xml:space="preserve"> prevent convenience gambling</w:t>
            </w:r>
          </w:p>
          <w:p w:rsidR="00795EBA" w:rsidRPr="00795EBA" w:rsidRDefault="00795EBA" w:rsidP="007D1909">
            <w:pPr>
              <w:pStyle w:val="BodytextBlue"/>
              <w:numPr>
                <w:ilvl w:val="0"/>
                <w:numId w:val="79"/>
              </w:numPr>
              <w:rPr>
                <w:rFonts w:ascii="Calibri" w:hAnsi="Calibri" w:cs="Calibri"/>
                <w:color w:val="auto"/>
                <w:sz w:val="22"/>
                <w:szCs w:val="22"/>
              </w:rPr>
            </w:pPr>
            <w:r>
              <w:rPr>
                <w:rFonts w:ascii="Calibri" w:hAnsi="Calibri" w:cs="Calibri"/>
                <w:color w:val="auto"/>
                <w:sz w:val="22"/>
                <w:szCs w:val="22"/>
              </w:rPr>
              <w:t>ensuring that</w:t>
            </w:r>
            <w:r w:rsidRPr="00795EBA">
              <w:rPr>
                <w:rFonts w:ascii="Calibri" w:hAnsi="Calibri" w:cs="Calibri"/>
                <w:color w:val="auto"/>
                <w:sz w:val="22"/>
                <w:szCs w:val="22"/>
              </w:rPr>
              <w:t xml:space="preserve"> where gaming machines operate, they do so as part of the overall range of social, leisure, entertainment and recreation </w:t>
            </w:r>
            <w:r w:rsidR="007609EE">
              <w:rPr>
                <w:rFonts w:ascii="Calibri" w:hAnsi="Calibri" w:cs="Calibri"/>
                <w:color w:val="auto"/>
                <w:sz w:val="22"/>
                <w:szCs w:val="22"/>
              </w:rPr>
              <w:t>activities and facilities</w:t>
            </w:r>
          </w:p>
          <w:p w:rsidR="00795EBA" w:rsidRPr="00795EBA" w:rsidRDefault="00795EBA" w:rsidP="007D1909">
            <w:pPr>
              <w:pStyle w:val="BodytextBlue"/>
              <w:numPr>
                <w:ilvl w:val="0"/>
                <w:numId w:val="79"/>
              </w:numPr>
              <w:rPr>
                <w:rFonts w:ascii="Calibri" w:hAnsi="Calibri" w:cs="Calibri"/>
                <w:color w:val="auto"/>
                <w:sz w:val="22"/>
                <w:szCs w:val="22"/>
              </w:rPr>
            </w:pPr>
            <w:r>
              <w:rPr>
                <w:rFonts w:ascii="Calibri" w:hAnsi="Calibri" w:cs="Calibri"/>
                <w:color w:val="auto"/>
                <w:sz w:val="22"/>
                <w:szCs w:val="22"/>
              </w:rPr>
              <w:t xml:space="preserve">reducing </w:t>
            </w:r>
            <w:r w:rsidRPr="00795EBA">
              <w:rPr>
                <w:rFonts w:ascii="Calibri" w:hAnsi="Calibri" w:cs="Calibri"/>
                <w:color w:val="auto"/>
                <w:sz w:val="22"/>
                <w:szCs w:val="22"/>
              </w:rPr>
              <w:t>the concentration of gaming machines and gaming venues</w:t>
            </w:r>
          </w:p>
          <w:p w:rsidR="00795EBA" w:rsidRPr="00795EBA" w:rsidRDefault="00795EBA" w:rsidP="007D1909">
            <w:pPr>
              <w:pStyle w:val="BodytextBlue"/>
              <w:numPr>
                <w:ilvl w:val="0"/>
                <w:numId w:val="79"/>
              </w:numPr>
              <w:rPr>
                <w:rFonts w:ascii="Calibri" w:hAnsi="Calibri" w:cs="Calibri"/>
                <w:color w:val="auto"/>
                <w:sz w:val="22"/>
                <w:szCs w:val="22"/>
              </w:rPr>
            </w:pPr>
            <w:r>
              <w:rPr>
                <w:rFonts w:ascii="Calibri" w:hAnsi="Calibri" w:cs="Calibri"/>
                <w:color w:val="auto"/>
                <w:sz w:val="22"/>
                <w:szCs w:val="22"/>
              </w:rPr>
              <w:t>ensuring</w:t>
            </w:r>
            <w:r w:rsidRPr="00795EBA">
              <w:rPr>
                <w:rFonts w:ascii="Calibri" w:hAnsi="Calibri" w:cs="Calibri"/>
                <w:color w:val="auto"/>
                <w:sz w:val="22"/>
                <w:szCs w:val="22"/>
              </w:rPr>
              <w:t xml:space="preserve"> that gaming venues do not detract from </w:t>
            </w:r>
            <w:r w:rsidR="007609EE">
              <w:rPr>
                <w:rFonts w:ascii="Calibri" w:hAnsi="Calibri" w:cs="Calibri"/>
                <w:color w:val="auto"/>
                <w:sz w:val="22"/>
                <w:szCs w:val="22"/>
              </w:rPr>
              <w:t>the amenity of surrounding uses</w:t>
            </w:r>
          </w:p>
          <w:p w:rsidR="00795EBA" w:rsidRPr="00795EBA" w:rsidRDefault="00795EBA" w:rsidP="007D1909">
            <w:pPr>
              <w:pStyle w:val="BodytextBlue"/>
              <w:numPr>
                <w:ilvl w:val="0"/>
                <w:numId w:val="79"/>
              </w:numPr>
              <w:rPr>
                <w:rFonts w:ascii="Calibri" w:hAnsi="Calibri" w:cs="Calibri"/>
                <w:color w:val="auto"/>
                <w:sz w:val="22"/>
                <w:szCs w:val="22"/>
              </w:rPr>
            </w:pPr>
            <w:r>
              <w:rPr>
                <w:rFonts w:ascii="Calibri" w:hAnsi="Calibri" w:cs="Calibri"/>
                <w:color w:val="auto"/>
                <w:sz w:val="22"/>
                <w:szCs w:val="22"/>
              </w:rPr>
              <w:t>ensuring</w:t>
            </w:r>
            <w:r w:rsidRPr="00795EBA">
              <w:rPr>
                <w:rFonts w:ascii="Calibri" w:hAnsi="Calibri" w:cs="Calibri"/>
                <w:color w:val="auto"/>
                <w:sz w:val="22"/>
                <w:szCs w:val="22"/>
              </w:rPr>
              <w:t xml:space="preserve"> that the location and operation of gaming machines achieves</w:t>
            </w:r>
            <w:r w:rsidR="007609EE">
              <w:rPr>
                <w:rFonts w:ascii="Calibri" w:hAnsi="Calibri" w:cs="Calibri"/>
                <w:color w:val="auto"/>
                <w:sz w:val="22"/>
                <w:szCs w:val="22"/>
              </w:rPr>
              <w:t xml:space="preserve"> net community benefit</w:t>
            </w:r>
          </w:p>
          <w:p w:rsidR="00795EBA" w:rsidRPr="00795EBA" w:rsidRDefault="00795EBA" w:rsidP="007D1909">
            <w:pPr>
              <w:pStyle w:val="BodytextBlue"/>
              <w:numPr>
                <w:ilvl w:val="0"/>
                <w:numId w:val="79"/>
              </w:numPr>
            </w:pPr>
            <w:r w:rsidRPr="00795EBA">
              <w:rPr>
                <w:rFonts w:ascii="Calibri" w:hAnsi="Calibri" w:cs="Calibri"/>
                <w:color w:val="auto"/>
                <w:sz w:val="22"/>
                <w:szCs w:val="22"/>
              </w:rPr>
              <w:t>discouraging the proliferation of gaming premises in locations where the</w:t>
            </w:r>
            <w:r w:rsidR="007609EE">
              <w:rPr>
                <w:rFonts w:ascii="Calibri" w:hAnsi="Calibri" w:cs="Calibri"/>
                <w:color w:val="auto"/>
                <w:sz w:val="22"/>
                <w:szCs w:val="22"/>
              </w:rPr>
              <w:t xml:space="preserve"> predominant use is residential</w:t>
            </w:r>
          </w:p>
          <w:p w:rsidR="00795EBA" w:rsidRDefault="00795EBA" w:rsidP="00795EBA">
            <w:pPr>
              <w:pStyle w:val="BodytextBlue"/>
              <w:ind w:left="0"/>
              <w:rPr>
                <w:rFonts w:ascii="Calibri" w:hAnsi="Calibri" w:cs="Calibri"/>
                <w:color w:val="auto"/>
                <w:sz w:val="22"/>
                <w:szCs w:val="22"/>
              </w:rPr>
            </w:pPr>
            <w:r>
              <w:rPr>
                <w:rFonts w:ascii="Calibri" w:hAnsi="Calibri" w:cs="Calibri"/>
                <w:color w:val="auto"/>
                <w:sz w:val="22"/>
                <w:szCs w:val="22"/>
              </w:rPr>
              <w:t>The local planning policies require the planning permit application to provide a suite of information relating to the proposal, the land use and zoning of the area surrounding the proposal site, the location of gambling-sensitive uses and uses that could contribute to convenience gambling, a community survey and a detailed socio-economic impact assessment</w:t>
            </w:r>
          </w:p>
          <w:p w:rsidR="00795EBA" w:rsidRDefault="00795EBA" w:rsidP="00795EBA">
            <w:pPr>
              <w:pStyle w:val="BodytextBlue"/>
              <w:ind w:left="0"/>
              <w:rPr>
                <w:rFonts w:ascii="Calibri" w:hAnsi="Calibri" w:cs="Calibri"/>
                <w:color w:val="auto"/>
                <w:sz w:val="22"/>
                <w:szCs w:val="22"/>
              </w:rPr>
            </w:pPr>
            <w:r>
              <w:rPr>
                <w:rFonts w:ascii="Calibri" w:hAnsi="Calibri" w:cs="Calibri"/>
                <w:color w:val="auto"/>
                <w:sz w:val="22"/>
                <w:szCs w:val="22"/>
              </w:rPr>
              <w:t>Decision guidelines included in local planning policies relate to:</w:t>
            </w:r>
          </w:p>
          <w:p w:rsidR="00795EBA" w:rsidRDefault="00795EBA" w:rsidP="007D1909">
            <w:pPr>
              <w:pStyle w:val="ListParagraph"/>
              <w:numPr>
                <w:ilvl w:val="0"/>
                <w:numId w:val="80"/>
              </w:numPr>
              <w:spacing w:after="120"/>
              <w:ind w:left="714" w:hanging="357"/>
              <w:contextualSpacing w:val="0"/>
            </w:pPr>
            <w:r w:rsidRPr="0087107A">
              <w:t>Whether the proposal will achieve the objecti</w:t>
            </w:r>
            <w:r w:rsidR="007609EE">
              <w:t>ves and outcomes of this policy</w:t>
            </w:r>
          </w:p>
          <w:p w:rsidR="00795EBA" w:rsidRPr="0087107A" w:rsidRDefault="00795EBA" w:rsidP="007D1909">
            <w:pPr>
              <w:pStyle w:val="ListParagraph"/>
              <w:numPr>
                <w:ilvl w:val="0"/>
                <w:numId w:val="80"/>
              </w:numPr>
              <w:spacing w:after="120"/>
              <w:ind w:left="714" w:hanging="357"/>
              <w:contextualSpacing w:val="0"/>
            </w:pPr>
            <w:r w:rsidRPr="0087107A">
              <w:t xml:space="preserve">Whether the proposal will </w:t>
            </w:r>
            <w:r>
              <w:t>increase gambling-related</w:t>
            </w:r>
            <w:r w:rsidR="007609EE">
              <w:t xml:space="preserve"> harm</w:t>
            </w:r>
          </w:p>
          <w:p w:rsidR="00795EBA" w:rsidRPr="0087107A" w:rsidRDefault="00795EBA" w:rsidP="007D1909">
            <w:pPr>
              <w:pStyle w:val="ListParagraph"/>
              <w:numPr>
                <w:ilvl w:val="0"/>
                <w:numId w:val="80"/>
              </w:numPr>
              <w:spacing w:after="120"/>
              <w:ind w:left="714" w:hanging="357"/>
              <w:contextualSpacing w:val="0"/>
            </w:pPr>
            <w:r w:rsidRPr="0087107A">
              <w:t xml:space="preserve">Whether the proposal can demonstrate that there is to be a net community benefit </w:t>
            </w:r>
            <w:r>
              <w:t>beyond</w:t>
            </w:r>
            <w:r w:rsidRPr="0087107A">
              <w:t xml:space="preserve"> any statutory </w:t>
            </w:r>
            <w:r w:rsidR="007609EE">
              <w:t>community contributions scheme</w:t>
            </w:r>
          </w:p>
          <w:p w:rsidR="00795EBA" w:rsidRPr="0087107A" w:rsidRDefault="00795EBA" w:rsidP="007D1909">
            <w:pPr>
              <w:pStyle w:val="ListParagraph"/>
              <w:numPr>
                <w:ilvl w:val="0"/>
                <w:numId w:val="80"/>
              </w:numPr>
              <w:spacing w:after="120"/>
              <w:ind w:left="714" w:hanging="357"/>
              <w:contextualSpacing w:val="0"/>
            </w:pPr>
            <w:r w:rsidRPr="0087107A">
              <w:t xml:space="preserve">Whether the proposal will </w:t>
            </w:r>
            <w:r>
              <w:t>contribute to</w:t>
            </w:r>
            <w:r w:rsidRPr="0087107A">
              <w:t xml:space="preserve"> the levels of socio- economic disadvantage or have any other adverse im</w:t>
            </w:r>
            <w:r w:rsidR="007609EE">
              <w:t>pacts on vulnerable communities</w:t>
            </w:r>
          </w:p>
          <w:p w:rsidR="00795EBA" w:rsidRPr="00FB161C" w:rsidRDefault="00795EBA" w:rsidP="007D1909">
            <w:pPr>
              <w:pStyle w:val="ListParagraph"/>
              <w:numPr>
                <w:ilvl w:val="0"/>
                <w:numId w:val="80"/>
              </w:numPr>
              <w:spacing w:after="120"/>
              <w:ind w:left="714" w:hanging="357"/>
              <w:contextualSpacing w:val="0"/>
            </w:pPr>
            <w:r w:rsidRPr="00FB161C">
              <w:t>Whether the location of the gaming machines wou</w:t>
            </w:r>
            <w:r w:rsidR="007609EE">
              <w:t>ld result in convenience gaming</w:t>
            </w:r>
          </w:p>
          <w:p w:rsidR="00795EBA" w:rsidRPr="0087107A" w:rsidRDefault="00795EBA" w:rsidP="007D1909">
            <w:pPr>
              <w:pStyle w:val="ListParagraph"/>
              <w:numPr>
                <w:ilvl w:val="0"/>
                <w:numId w:val="80"/>
              </w:numPr>
              <w:spacing w:after="120"/>
              <w:ind w:left="714" w:hanging="357"/>
              <w:contextualSpacing w:val="0"/>
            </w:pPr>
            <w:r w:rsidRPr="0087107A">
              <w:t xml:space="preserve">Whether the proposal would create, or </w:t>
            </w:r>
            <w:r>
              <w:t xml:space="preserve">contribute to </w:t>
            </w:r>
            <w:r w:rsidRPr="0087107A">
              <w:t>an exi</w:t>
            </w:r>
            <w:r w:rsidR="007609EE">
              <w:t>sting, cluster of gaming venues</w:t>
            </w:r>
          </w:p>
          <w:p w:rsidR="00795EBA" w:rsidRDefault="00795EBA" w:rsidP="007D1909">
            <w:pPr>
              <w:pStyle w:val="ListParagraph"/>
              <w:numPr>
                <w:ilvl w:val="0"/>
                <w:numId w:val="80"/>
              </w:numPr>
              <w:spacing w:after="120"/>
              <w:ind w:left="714" w:hanging="357"/>
              <w:contextualSpacing w:val="0"/>
            </w:pPr>
            <w:r w:rsidRPr="0087107A">
              <w:t>Whether patrons will have access to non-gam</w:t>
            </w:r>
            <w:r>
              <w:t>bl</w:t>
            </w:r>
            <w:r w:rsidRPr="0087107A">
              <w:t xml:space="preserve">ing entertainment and recreation facilities in the </w:t>
            </w:r>
            <w:r>
              <w:t xml:space="preserve">surrounding </w:t>
            </w:r>
            <w:r w:rsidRPr="0087107A">
              <w:t xml:space="preserve">area and </w:t>
            </w:r>
            <w:r>
              <w:t xml:space="preserve">in </w:t>
            </w:r>
            <w:r w:rsidRPr="0087107A">
              <w:t xml:space="preserve">the gaming venue that operate at the same time as the </w:t>
            </w:r>
            <w:r>
              <w:t>gaming machines</w:t>
            </w:r>
          </w:p>
          <w:p w:rsidR="00795EBA" w:rsidRPr="00795EBA" w:rsidRDefault="00795EBA" w:rsidP="007D1909">
            <w:pPr>
              <w:pStyle w:val="ListParagraph"/>
              <w:numPr>
                <w:ilvl w:val="0"/>
                <w:numId w:val="80"/>
              </w:numPr>
              <w:spacing w:after="0"/>
              <w:rPr>
                <w:rFonts w:cs="Calibri"/>
                <w:szCs w:val="22"/>
              </w:rPr>
            </w:pPr>
            <w:r>
              <w:t>The impact of the proposal on the safety, amenity, character, tourism and cultural assets of the surroun</w:t>
            </w:r>
            <w:r w:rsidR="007609EE">
              <w:t>ding land area and municipality</w:t>
            </w:r>
          </w:p>
          <w:p w:rsidR="00795EBA" w:rsidRPr="00795EBA" w:rsidRDefault="00795EBA" w:rsidP="00795EBA">
            <w:pPr>
              <w:pStyle w:val="BodytextBlue"/>
              <w:ind w:left="0"/>
            </w:pPr>
          </w:p>
        </w:tc>
      </w:tr>
    </w:tbl>
    <w:p w:rsidR="0072242F" w:rsidRDefault="0072242F" w:rsidP="00BB341B">
      <w:pPr>
        <w:rPr>
          <w:highlight w:val="yellow"/>
        </w:rPr>
      </w:pPr>
    </w:p>
    <w:p w:rsidR="007609EE" w:rsidRPr="00C40980" w:rsidRDefault="007609EE" w:rsidP="00BB341B">
      <w:pPr>
        <w:rPr>
          <w:highlight w:val="yellow"/>
        </w:rPr>
      </w:pPr>
    </w:p>
    <w:tbl>
      <w:tblPr>
        <w:tblStyle w:val="TableGrid"/>
        <w:tblW w:w="0" w:type="auto"/>
        <w:shd w:val="clear" w:color="auto" w:fill="D9D9D9" w:themeFill="background1" w:themeFillShade="D9"/>
        <w:tblLook w:val="04A0" w:firstRow="1" w:lastRow="0" w:firstColumn="1" w:lastColumn="0" w:noHBand="0" w:noVBand="1"/>
      </w:tblPr>
      <w:tblGrid>
        <w:gridCol w:w="9016"/>
      </w:tblGrid>
      <w:tr w:rsidR="0072242F" w:rsidTr="005C14BD">
        <w:tc>
          <w:tcPr>
            <w:tcW w:w="9016" w:type="dxa"/>
            <w:shd w:val="clear" w:color="auto" w:fill="D9D9D9" w:themeFill="background1" w:themeFillShade="D9"/>
          </w:tcPr>
          <w:p w:rsidR="0072242F" w:rsidRPr="00795EBA" w:rsidRDefault="0072242F" w:rsidP="0072242F">
            <w:pPr>
              <w:spacing w:after="120"/>
              <w:rPr>
                <w:b/>
              </w:rPr>
            </w:pPr>
            <w:r w:rsidRPr="00795EBA">
              <w:rPr>
                <w:b/>
              </w:rPr>
              <w:t xml:space="preserve">Implications for the </w:t>
            </w:r>
            <w:r w:rsidR="007B3C27" w:rsidRPr="00795EBA">
              <w:rPr>
                <w:b/>
              </w:rPr>
              <w:t>Electronic Gaming Decision</w:t>
            </w:r>
            <w:r w:rsidRPr="00795EBA">
              <w:rPr>
                <w:b/>
              </w:rPr>
              <w:t>-Making Framework and Local Planning Policy for Gaming</w:t>
            </w:r>
          </w:p>
          <w:p w:rsidR="0072242F" w:rsidRPr="00795EBA" w:rsidRDefault="00795EBA" w:rsidP="0072242F">
            <w:pPr>
              <w:spacing w:after="120"/>
            </w:pPr>
            <w:r>
              <w:t>The content and scope of the municipal strategic statements and local planning policies reviewed will inform the amendment of the Melbourne Planning Scheme.</w:t>
            </w:r>
          </w:p>
        </w:tc>
      </w:tr>
    </w:tbl>
    <w:p w:rsidR="0072242F" w:rsidRPr="00BB341B" w:rsidRDefault="0072242F" w:rsidP="00BB341B"/>
    <w:p w:rsidR="005E227D" w:rsidRPr="005E227D" w:rsidRDefault="00F8009B" w:rsidP="00FC5226">
      <w:pPr>
        <w:pStyle w:val="Heading2"/>
      </w:pPr>
      <w:bookmarkStart w:id="136" w:name="_Toc494287779"/>
      <w:r>
        <w:t>Review of municipal strategic statements</w:t>
      </w:r>
      <w:bookmarkEnd w:id="136"/>
    </w:p>
    <w:p w:rsidR="005E227D" w:rsidRDefault="005E227D" w:rsidP="005E227D">
      <w:r>
        <w:t xml:space="preserve">The Maribyrnong and Wyndham </w:t>
      </w:r>
      <w:r w:rsidR="00BB341B">
        <w:t>m</w:t>
      </w:r>
      <w:r>
        <w:t xml:space="preserve">unicipal </w:t>
      </w:r>
      <w:r w:rsidR="00BB341B">
        <w:t>st</w:t>
      </w:r>
      <w:r>
        <w:t xml:space="preserve">rategic </w:t>
      </w:r>
      <w:r w:rsidR="00BB341B">
        <w:t>s</w:t>
      </w:r>
      <w:r>
        <w:t>tatements have included reference to gaming in their clauses concerning economic development while the Monash, Manningham and Moonee Valley Planning Schemes have included reference to gaming in their clauses concerning activity centres. The Manningham Planning Scheme has also included reference to gaming in the clause concerning community health and wellbeing.</w:t>
      </w:r>
    </w:p>
    <w:p w:rsidR="005E227D" w:rsidRDefault="005E227D" w:rsidP="005E227D">
      <w:r>
        <w:t>The Cardinia and Moreland Planning Schemes have not included any reference to gaming in their Municipal Strategic Statements.</w:t>
      </w:r>
    </w:p>
    <w:p w:rsidR="005E227D" w:rsidRDefault="005E227D" w:rsidP="005E227D">
      <w:r>
        <w:t xml:space="preserve">Objectives in these clauses relate to minimising the adverse social impacts or harms associated with EGMs (Maribyrnong) and protecting the health and wellbeing of the community. Strategies relate to requiring social and economic impact assessments, encouraging responsible development that promotes a healthy, safe and diverse community (Wyndham), and assessing gaming applications </w:t>
      </w:r>
      <w:r w:rsidR="00BB341B">
        <w:t>based on</w:t>
      </w:r>
      <w:r>
        <w:t xml:space="preserve"> the social and economic impacts on the community (Wyndham and Maribyrnong), and discouraging the expansion of gambling venues or EGMs within a specific activity centre (Moonee Valley)</w:t>
      </w:r>
      <w:r w:rsidR="00BB341B">
        <w:t>.</w:t>
      </w:r>
    </w:p>
    <w:p w:rsidR="005E227D" w:rsidRPr="00323053" w:rsidRDefault="00F8009B" w:rsidP="00FC5226">
      <w:pPr>
        <w:pStyle w:val="Heading2"/>
      </w:pPr>
      <w:bookmarkStart w:id="137" w:name="_Toc494287780"/>
      <w:r>
        <w:t>Review of local planning policies for electronic gaming</w:t>
      </w:r>
      <w:bookmarkEnd w:id="137"/>
    </w:p>
    <w:p w:rsidR="005E227D" w:rsidRPr="0099464A" w:rsidRDefault="005E227D" w:rsidP="005E227D">
      <w:pPr>
        <w:rPr>
          <w:rFonts w:cstheme="minorHAnsi"/>
        </w:rPr>
      </w:pPr>
      <w:r w:rsidRPr="0099464A">
        <w:rPr>
          <w:rFonts w:cstheme="minorHAnsi"/>
        </w:rPr>
        <w:t>The policy is introduced by stating that it a planning permit to install or use a gaming machine, or use the land for the purpose</w:t>
      </w:r>
      <w:r>
        <w:rPr>
          <w:rFonts w:cstheme="minorHAnsi"/>
        </w:rPr>
        <w:t>s</w:t>
      </w:r>
      <w:r w:rsidRPr="0099464A">
        <w:rPr>
          <w:rFonts w:cstheme="minorHAnsi"/>
        </w:rPr>
        <w:t xml:space="preserve"> of gaming where a permit is required pursuant to Clause 52.28 of the Planning Scheme. </w:t>
      </w:r>
    </w:p>
    <w:p w:rsidR="005E227D" w:rsidRPr="0099464A" w:rsidRDefault="005E227D" w:rsidP="005E227D">
      <w:pPr>
        <w:pStyle w:val="Heading4"/>
        <w:rPr>
          <w:rFonts w:asciiTheme="minorHAnsi" w:hAnsiTheme="minorHAnsi" w:cstheme="minorHAnsi"/>
        </w:rPr>
      </w:pPr>
      <w:r w:rsidRPr="0099464A">
        <w:rPr>
          <w:rFonts w:asciiTheme="minorHAnsi" w:hAnsiTheme="minorHAnsi" w:cstheme="minorHAnsi"/>
        </w:rPr>
        <w:t>Policy basis</w:t>
      </w:r>
    </w:p>
    <w:p w:rsidR="005E227D" w:rsidRDefault="005E227D" w:rsidP="005E227D">
      <w:pPr>
        <w:rPr>
          <w:rFonts w:cstheme="minorHAnsi"/>
        </w:rPr>
      </w:pPr>
      <w:r w:rsidRPr="0099464A">
        <w:rPr>
          <w:rFonts w:cstheme="minorHAnsi"/>
        </w:rPr>
        <w:t xml:space="preserve">This context of the policy is set by </w:t>
      </w:r>
      <w:r>
        <w:rPr>
          <w:rFonts w:cstheme="minorHAnsi"/>
        </w:rPr>
        <w:t>referring</w:t>
      </w:r>
      <w:r w:rsidRPr="0099464A">
        <w:rPr>
          <w:rFonts w:cstheme="minorHAnsi"/>
        </w:rPr>
        <w:t xml:space="preserve"> to other relevant clauses in the planning scheme (SPPF, MSS and Clause 52.28 </w:t>
      </w:r>
      <w:r w:rsidRPr="0099464A">
        <w:rPr>
          <w:rFonts w:cstheme="minorHAnsi"/>
          <w:i/>
        </w:rPr>
        <w:t>Gaming).</w:t>
      </w:r>
      <w:r w:rsidRPr="0099464A">
        <w:rPr>
          <w:rFonts w:cstheme="minorHAnsi"/>
        </w:rPr>
        <w:t xml:space="preserve"> The purpose of the policy is sometimes described as “guiding the location of EGMs to appropriate areas, sites and venues” and or “implementing the objectives and strategies of [other relevant clauses in the SPPF and </w:t>
      </w:r>
      <w:r w:rsidR="00BB341B">
        <w:rPr>
          <w:rFonts w:cstheme="minorHAnsi"/>
        </w:rPr>
        <w:t>MSS]”.</w:t>
      </w:r>
    </w:p>
    <w:p w:rsidR="005E227D" w:rsidRPr="0099464A" w:rsidRDefault="005E227D" w:rsidP="005E227D">
      <w:pPr>
        <w:rPr>
          <w:rFonts w:cstheme="minorHAnsi"/>
        </w:rPr>
      </w:pPr>
      <w:r w:rsidRPr="0099464A">
        <w:rPr>
          <w:rFonts w:cstheme="minorHAnsi"/>
        </w:rPr>
        <w:t>The policy basis of the various local planning policies covers the following key factors</w:t>
      </w:r>
      <w:r w:rsidR="00BB341B">
        <w:rPr>
          <w:rFonts w:cstheme="minorHAnsi"/>
        </w:rPr>
        <w:t>:</w:t>
      </w:r>
    </w:p>
    <w:p w:rsidR="005E227D" w:rsidRPr="0099464A" w:rsidRDefault="005E227D" w:rsidP="007D1909">
      <w:pPr>
        <w:pStyle w:val="ListParagraph"/>
        <w:numPr>
          <w:ilvl w:val="0"/>
          <w:numId w:val="47"/>
        </w:numPr>
        <w:spacing w:after="120"/>
        <w:contextualSpacing w:val="0"/>
        <w:rPr>
          <w:rFonts w:cstheme="minorHAnsi"/>
          <w:szCs w:val="22"/>
        </w:rPr>
      </w:pPr>
      <w:r w:rsidRPr="0099464A">
        <w:rPr>
          <w:rFonts w:cstheme="minorHAnsi"/>
          <w:szCs w:val="22"/>
        </w:rPr>
        <w:t>Although gaming can bring some benefits, Council is concerned with the negative i</w:t>
      </w:r>
      <w:r w:rsidR="00CA1D0A">
        <w:rPr>
          <w:rFonts w:cstheme="minorHAnsi"/>
          <w:szCs w:val="22"/>
        </w:rPr>
        <w:t>mpacts of gambling-related harm</w:t>
      </w:r>
    </w:p>
    <w:p w:rsidR="005E227D" w:rsidRPr="0099464A" w:rsidRDefault="005E227D" w:rsidP="007D1909">
      <w:pPr>
        <w:pStyle w:val="ListParagraph"/>
        <w:numPr>
          <w:ilvl w:val="0"/>
          <w:numId w:val="47"/>
        </w:numPr>
        <w:spacing w:after="120"/>
        <w:contextualSpacing w:val="0"/>
        <w:rPr>
          <w:rFonts w:cstheme="minorHAnsi"/>
          <w:szCs w:val="22"/>
        </w:rPr>
      </w:pPr>
      <w:r w:rsidRPr="0099464A">
        <w:rPr>
          <w:rFonts w:cstheme="minorHAnsi"/>
          <w:szCs w:val="22"/>
        </w:rPr>
        <w:t>There is a link between social disadvantage, gambling-related harm and proximity to gaming ven</w:t>
      </w:r>
      <w:r w:rsidR="00CA1D0A">
        <w:rPr>
          <w:rFonts w:cstheme="minorHAnsi"/>
          <w:szCs w:val="22"/>
        </w:rPr>
        <w:t>ues</w:t>
      </w:r>
    </w:p>
    <w:p w:rsidR="005E227D" w:rsidRPr="0099464A" w:rsidRDefault="005E227D" w:rsidP="007D1909">
      <w:pPr>
        <w:pStyle w:val="ListParagraph"/>
        <w:numPr>
          <w:ilvl w:val="0"/>
          <w:numId w:val="47"/>
        </w:numPr>
        <w:spacing w:after="120"/>
        <w:contextualSpacing w:val="0"/>
        <w:rPr>
          <w:rFonts w:cstheme="minorHAnsi"/>
          <w:szCs w:val="22"/>
        </w:rPr>
      </w:pPr>
      <w:r w:rsidRPr="0099464A">
        <w:rPr>
          <w:rFonts w:cstheme="minorHAnsi"/>
          <w:szCs w:val="22"/>
        </w:rPr>
        <w:t>Gaming is a legal form of entertainment that needs to be planned for amo</w:t>
      </w:r>
      <w:r w:rsidR="00CA1D0A">
        <w:rPr>
          <w:rFonts w:cstheme="minorHAnsi"/>
          <w:szCs w:val="22"/>
        </w:rPr>
        <w:t>ng other forms of entertainment</w:t>
      </w:r>
    </w:p>
    <w:p w:rsidR="005E227D" w:rsidRPr="0099464A" w:rsidRDefault="005E227D" w:rsidP="007D1909">
      <w:pPr>
        <w:pStyle w:val="ListParagraph"/>
        <w:numPr>
          <w:ilvl w:val="0"/>
          <w:numId w:val="47"/>
        </w:numPr>
        <w:spacing w:after="120"/>
        <w:contextualSpacing w:val="0"/>
        <w:rPr>
          <w:rFonts w:cstheme="minorHAnsi"/>
          <w:szCs w:val="22"/>
        </w:rPr>
      </w:pPr>
      <w:r w:rsidRPr="0099464A">
        <w:rPr>
          <w:rFonts w:cstheme="minorHAnsi"/>
          <w:szCs w:val="22"/>
        </w:rPr>
        <w:t>The policy is based on the</w:t>
      </w:r>
      <w:r w:rsidR="00CA1D0A">
        <w:rPr>
          <w:rFonts w:cstheme="minorHAnsi"/>
          <w:szCs w:val="22"/>
        </w:rPr>
        <w:t xml:space="preserve"> principle of harm minimisation</w:t>
      </w:r>
    </w:p>
    <w:p w:rsidR="005E227D" w:rsidRPr="0099464A" w:rsidRDefault="005E227D" w:rsidP="007D1909">
      <w:pPr>
        <w:pStyle w:val="ListParagraph"/>
        <w:numPr>
          <w:ilvl w:val="0"/>
          <w:numId w:val="47"/>
        </w:numPr>
        <w:spacing w:after="120"/>
        <w:contextualSpacing w:val="0"/>
        <w:rPr>
          <w:rFonts w:cstheme="minorHAnsi"/>
          <w:szCs w:val="22"/>
        </w:rPr>
      </w:pPr>
      <w:r w:rsidRPr="0099464A">
        <w:rPr>
          <w:rFonts w:cstheme="minorHAnsi"/>
          <w:szCs w:val="22"/>
        </w:rPr>
        <w:t>EGMs should be reasonably accessible to the community as a form of entertainment, but n</w:t>
      </w:r>
      <w:r w:rsidR="00CA1D0A">
        <w:rPr>
          <w:rFonts w:cstheme="minorHAnsi"/>
          <w:szCs w:val="22"/>
        </w:rPr>
        <w:t>ot convenient (Hume)</w:t>
      </w:r>
    </w:p>
    <w:p w:rsidR="005E227D" w:rsidRPr="0099464A" w:rsidRDefault="005E227D" w:rsidP="007D1909">
      <w:pPr>
        <w:pStyle w:val="ListParagraph"/>
        <w:numPr>
          <w:ilvl w:val="0"/>
          <w:numId w:val="47"/>
        </w:numPr>
        <w:spacing w:after="120"/>
        <w:contextualSpacing w:val="0"/>
        <w:rPr>
          <w:rFonts w:cstheme="minorHAnsi"/>
          <w:szCs w:val="22"/>
        </w:rPr>
      </w:pPr>
      <w:r w:rsidRPr="0099464A">
        <w:rPr>
          <w:rFonts w:cstheme="minorHAnsi"/>
          <w:szCs w:val="22"/>
        </w:rPr>
        <w:t>Social housing is defined as “For the purposes of this policy, social (community and public) housing means housing for people on lower incomes that is owned or leased by the Department of Human Resources, registered housing associates or not-for-profit housing organisations. A concentration of social (community and public) housing will general be said to exist if there are 50 or more dwellings of that type wit</w:t>
      </w:r>
      <w:r w:rsidR="00CA1D0A">
        <w:rPr>
          <w:rFonts w:cstheme="minorHAnsi"/>
          <w:szCs w:val="22"/>
        </w:rPr>
        <w:t xml:space="preserve">hin a circle of a 150m radius </w:t>
      </w:r>
      <w:r w:rsidRPr="0099464A">
        <w:rPr>
          <w:rFonts w:cstheme="minorHAnsi"/>
          <w:szCs w:val="22"/>
        </w:rPr>
        <w:t>(Moonee Valley) or 25 or more dwellings within a r</w:t>
      </w:r>
      <w:r w:rsidR="00CA1D0A">
        <w:rPr>
          <w:rFonts w:cstheme="minorHAnsi"/>
          <w:szCs w:val="22"/>
        </w:rPr>
        <w:t>adius of 150m (Mount Alexander)</w:t>
      </w:r>
    </w:p>
    <w:p w:rsidR="005E227D" w:rsidRDefault="005E227D" w:rsidP="005E227D">
      <w:pPr>
        <w:rPr>
          <w:rFonts w:cstheme="minorHAnsi"/>
        </w:rPr>
      </w:pPr>
      <w:r>
        <w:rPr>
          <w:rFonts w:cstheme="minorHAnsi"/>
        </w:rPr>
        <w:t>Specific features of the policy basis of the selected local planning policies include:</w:t>
      </w:r>
    </w:p>
    <w:p w:rsidR="005E227D" w:rsidRDefault="00BB341B" w:rsidP="007D1909">
      <w:pPr>
        <w:pStyle w:val="ListParagraph"/>
        <w:numPr>
          <w:ilvl w:val="0"/>
          <w:numId w:val="50"/>
        </w:numPr>
        <w:spacing w:after="120"/>
        <w:contextualSpacing w:val="0"/>
        <w:rPr>
          <w:rFonts w:cstheme="minorHAnsi"/>
        </w:rPr>
      </w:pPr>
      <w:r>
        <w:rPr>
          <w:rFonts w:cstheme="minorHAnsi"/>
        </w:rPr>
        <w:t>r</w:t>
      </w:r>
      <w:r w:rsidR="005E227D">
        <w:rPr>
          <w:rFonts w:cstheme="minorHAnsi"/>
        </w:rPr>
        <w:t>eference</w:t>
      </w:r>
      <w:r w:rsidR="005E227D" w:rsidRPr="00B32FE6">
        <w:rPr>
          <w:rFonts w:cstheme="minorHAnsi"/>
        </w:rPr>
        <w:t xml:space="preserve"> to Council’s guidelines for the assessment of the social and economic impact of gaming machines</w:t>
      </w:r>
      <w:r w:rsidR="005E227D">
        <w:rPr>
          <w:rFonts w:cstheme="minorHAnsi"/>
        </w:rPr>
        <w:t xml:space="preserve"> (Moreland)</w:t>
      </w:r>
    </w:p>
    <w:p w:rsidR="005E227D" w:rsidRDefault="00BB341B" w:rsidP="007D1909">
      <w:pPr>
        <w:pStyle w:val="ListParagraph"/>
        <w:numPr>
          <w:ilvl w:val="0"/>
          <w:numId w:val="50"/>
        </w:numPr>
        <w:spacing w:after="120"/>
        <w:contextualSpacing w:val="0"/>
        <w:rPr>
          <w:rFonts w:cstheme="minorHAnsi"/>
        </w:rPr>
      </w:pPr>
      <w:r>
        <w:rPr>
          <w:rFonts w:cstheme="minorHAnsi"/>
        </w:rPr>
        <w:t>d</w:t>
      </w:r>
      <w:r w:rsidR="005E227D">
        <w:rPr>
          <w:rFonts w:cstheme="minorHAnsi"/>
        </w:rPr>
        <w:t>escription of the</w:t>
      </w:r>
      <w:r w:rsidR="005E227D" w:rsidRPr="00B32FE6">
        <w:rPr>
          <w:rFonts w:cstheme="minorHAnsi"/>
        </w:rPr>
        <w:t xml:space="preserve"> specific features of the gaming and community context within which the policy will operate</w:t>
      </w:r>
      <w:r w:rsidR="005E227D">
        <w:rPr>
          <w:rFonts w:cstheme="minorHAnsi"/>
        </w:rPr>
        <w:t xml:space="preserve"> (Monash)</w:t>
      </w:r>
    </w:p>
    <w:p w:rsidR="005E227D" w:rsidRPr="00B32FE6" w:rsidRDefault="00BB341B" w:rsidP="007D1909">
      <w:pPr>
        <w:pStyle w:val="ListParagraph"/>
        <w:numPr>
          <w:ilvl w:val="0"/>
          <w:numId w:val="50"/>
        </w:numPr>
        <w:spacing w:after="120"/>
        <w:contextualSpacing w:val="0"/>
        <w:rPr>
          <w:rFonts w:cstheme="minorHAnsi"/>
        </w:rPr>
      </w:pPr>
      <w:r>
        <w:rPr>
          <w:rFonts w:cstheme="minorHAnsi"/>
        </w:rPr>
        <w:t>r</w:t>
      </w:r>
      <w:r w:rsidR="005E227D">
        <w:rPr>
          <w:rFonts w:cstheme="minorHAnsi"/>
        </w:rPr>
        <w:t>eference to the purpose of the policy being to guide the location of gaming machines in appropriate areas, sites and venues in order to protect those vulnerable to the impacts of gambling-related h</w:t>
      </w:r>
      <w:r w:rsidR="00CA1D0A">
        <w:rPr>
          <w:rFonts w:cstheme="minorHAnsi"/>
        </w:rPr>
        <w:t>arms (Moonee Valley and Monash)</w:t>
      </w:r>
    </w:p>
    <w:p w:rsidR="005E227D" w:rsidRPr="0099464A" w:rsidRDefault="005E227D" w:rsidP="005E227D">
      <w:pPr>
        <w:rPr>
          <w:rFonts w:cstheme="minorHAnsi"/>
        </w:rPr>
      </w:pPr>
      <w:r w:rsidRPr="0099464A">
        <w:rPr>
          <w:rFonts w:cstheme="minorHAnsi"/>
        </w:rPr>
        <w:t xml:space="preserve">The Wyndham Local Planning Policy (Clause 22.03) describes </w:t>
      </w:r>
      <w:r w:rsidR="00BB341B">
        <w:rPr>
          <w:rFonts w:cstheme="minorHAnsi"/>
        </w:rPr>
        <w:t>several</w:t>
      </w:r>
      <w:r w:rsidRPr="0099464A">
        <w:rPr>
          <w:rFonts w:cstheme="minorHAnsi"/>
        </w:rPr>
        <w:t xml:space="preserve"> policy priorities that set the framework for the various strategies. </w:t>
      </w:r>
      <w:r w:rsidR="00F713A0">
        <w:rPr>
          <w:rFonts w:cstheme="minorHAnsi"/>
        </w:rPr>
        <w:t xml:space="preserve">The Planning Panel </w:t>
      </w:r>
      <w:r>
        <w:rPr>
          <w:rFonts w:cstheme="minorHAnsi"/>
        </w:rPr>
        <w:t>supported this as they assist in understanding the underlying basi</w:t>
      </w:r>
      <w:r w:rsidR="008C766F">
        <w:rPr>
          <w:rFonts w:cstheme="minorHAnsi"/>
        </w:rPr>
        <w:t>s for the policy and facilitate</w:t>
      </w:r>
      <w:r>
        <w:rPr>
          <w:rFonts w:cstheme="minorHAnsi"/>
        </w:rPr>
        <w:t xml:space="preserve">s a balanced assessment. </w:t>
      </w:r>
      <w:r w:rsidRPr="0099464A">
        <w:rPr>
          <w:rFonts w:cstheme="minorHAnsi"/>
        </w:rPr>
        <w:t xml:space="preserve">These </w:t>
      </w:r>
      <w:r w:rsidR="00F713A0">
        <w:rPr>
          <w:rFonts w:cstheme="minorHAnsi"/>
        </w:rPr>
        <w:t xml:space="preserve">priorities </w:t>
      </w:r>
      <w:r w:rsidRPr="0099464A">
        <w:rPr>
          <w:rFonts w:cstheme="minorHAnsi"/>
        </w:rPr>
        <w:t>include:</w:t>
      </w:r>
    </w:p>
    <w:p w:rsidR="005E227D" w:rsidRPr="0099464A" w:rsidRDefault="005E227D" w:rsidP="007D1909">
      <w:pPr>
        <w:pStyle w:val="ListParagraph"/>
        <w:numPr>
          <w:ilvl w:val="0"/>
          <w:numId w:val="49"/>
        </w:numPr>
        <w:spacing w:after="120"/>
        <w:contextualSpacing w:val="0"/>
        <w:rPr>
          <w:rFonts w:cstheme="minorHAnsi"/>
          <w:szCs w:val="22"/>
        </w:rPr>
      </w:pPr>
      <w:r w:rsidRPr="0099464A">
        <w:rPr>
          <w:rFonts w:cstheme="minorHAnsi"/>
          <w:szCs w:val="22"/>
        </w:rPr>
        <w:t>discouraging the use and installation of EGMs in areas</w:t>
      </w:r>
      <w:r w:rsidR="007609EE">
        <w:rPr>
          <w:rFonts w:cstheme="minorHAnsi"/>
          <w:szCs w:val="22"/>
        </w:rPr>
        <w:t xml:space="preserve"> of socio-economic disadvantage</w:t>
      </w:r>
    </w:p>
    <w:p w:rsidR="005E227D" w:rsidRPr="0099464A" w:rsidRDefault="005E227D" w:rsidP="007D1909">
      <w:pPr>
        <w:pStyle w:val="ListParagraph"/>
        <w:numPr>
          <w:ilvl w:val="0"/>
          <w:numId w:val="49"/>
        </w:numPr>
        <w:spacing w:after="120"/>
        <w:contextualSpacing w:val="0"/>
        <w:rPr>
          <w:rFonts w:cstheme="minorHAnsi"/>
          <w:szCs w:val="22"/>
        </w:rPr>
      </w:pPr>
      <w:r w:rsidRPr="0099464A">
        <w:rPr>
          <w:rFonts w:cstheme="minorHAnsi"/>
          <w:szCs w:val="22"/>
        </w:rPr>
        <w:t>discouraging the clustering of gamin</w:t>
      </w:r>
      <w:r w:rsidR="007609EE">
        <w:rPr>
          <w:rFonts w:cstheme="minorHAnsi"/>
          <w:szCs w:val="22"/>
        </w:rPr>
        <w:t>g venues</w:t>
      </w:r>
    </w:p>
    <w:p w:rsidR="005E227D" w:rsidRPr="0099464A" w:rsidRDefault="005E227D" w:rsidP="007D1909">
      <w:pPr>
        <w:pStyle w:val="ListParagraph"/>
        <w:numPr>
          <w:ilvl w:val="0"/>
          <w:numId w:val="49"/>
        </w:numPr>
        <w:spacing w:after="120"/>
        <w:contextualSpacing w:val="0"/>
        <w:rPr>
          <w:rFonts w:cstheme="minorHAnsi"/>
          <w:szCs w:val="22"/>
        </w:rPr>
      </w:pPr>
      <w:r w:rsidRPr="0099464A">
        <w:rPr>
          <w:rFonts w:cstheme="minorHAnsi"/>
          <w:szCs w:val="22"/>
        </w:rPr>
        <w:t xml:space="preserve">discouraging gaming venues </w:t>
      </w:r>
      <w:r w:rsidR="00CA1D0A">
        <w:rPr>
          <w:rFonts w:cstheme="minorHAnsi"/>
          <w:szCs w:val="22"/>
        </w:rPr>
        <w:t>from residential neighbourhoods</w:t>
      </w:r>
      <w:r w:rsidRPr="0099464A">
        <w:rPr>
          <w:rFonts w:cstheme="minorHAnsi"/>
          <w:szCs w:val="22"/>
        </w:rPr>
        <w:t xml:space="preserve"> and locating gaming venues in or near activity centres, in areas characterised by specialised industries or business, restricted retail and rec</w:t>
      </w:r>
      <w:r w:rsidR="007609EE">
        <w:rPr>
          <w:rFonts w:cstheme="minorHAnsi"/>
          <w:szCs w:val="22"/>
        </w:rPr>
        <w:t>reational or tourist activities</w:t>
      </w:r>
    </w:p>
    <w:p w:rsidR="005E227D" w:rsidRPr="0099464A" w:rsidRDefault="005E227D" w:rsidP="007D1909">
      <w:pPr>
        <w:pStyle w:val="ListParagraph"/>
        <w:numPr>
          <w:ilvl w:val="0"/>
          <w:numId w:val="49"/>
        </w:numPr>
        <w:spacing w:after="120"/>
        <w:contextualSpacing w:val="0"/>
        <w:rPr>
          <w:rFonts w:cstheme="minorHAnsi"/>
          <w:szCs w:val="22"/>
        </w:rPr>
      </w:pPr>
      <w:r w:rsidRPr="0099464A">
        <w:rPr>
          <w:rFonts w:cstheme="minorHAnsi"/>
          <w:szCs w:val="22"/>
        </w:rPr>
        <w:t xml:space="preserve">separating gaming venues from areas of every day neighbourhood activity with high </w:t>
      </w:r>
      <w:r w:rsidR="007609EE">
        <w:rPr>
          <w:rFonts w:cstheme="minorHAnsi"/>
          <w:szCs w:val="22"/>
        </w:rPr>
        <w:t>levels of pedestrian activities</w:t>
      </w:r>
    </w:p>
    <w:p w:rsidR="005E227D" w:rsidRPr="0099464A" w:rsidRDefault="005E227D" w:rsidP="007D1909">
      <w:pPr>
        <w:pStyle w:val="ListParagraph"/>
        <w:numPr>
          <w:ilvl w:val="0"/>
          <w:numId w:val="49"/>
        </w:numPr>
        <w:spacing w:after="120"/>
        <w:contextualSpacing w:val="0"/>
        <w:rPr>
          <w:rFonts w:cstheme="minorHAnsi"/>
          <w:szCs w:val="22"/>
        </w:rPr>
      </w:pPr>
      <w:r w:rsidRPr="0099464A">
        <w:rPr>
          <w:rFonts w:cstheme="minorHAnsi"/>
          <w:szCs w:val="22"/>
        </w:rPr>
        <w:t>incorporating a mix of non</w:t>
      </w:r>
      <w:r w:rsidR="007609EE">
        <w:rPr>
          <w:rFonts w:cstheme="minorHAnsi"/>
          <w:szCs w:val="22"/>
        </w:rPr>
        <w:t>-gaming functions in venues</w:t>
      </w:r>
    </w:p>
    <w:p w:rsidR="005E227D" w:rsidRPr="0099464A" w:rsidRDefault="005E227D" w:rsidP="007D1909">
      <w:pPr>
        <w:pStyle w:val="ListParagraph"/>
        <w:numPr>
          <w:ilvl w:val="0"/>
          <w:numId w:val="49"/>
        </w:numPr>
        <w:spacing w:after="120"/>
        <w:contextualSpacing w:val="0"/>
        <w:rPr>
          <w:rFonts w:cstheme="minorHAnsi"/>
          <w:szCs w:val="22"/>
        </w:rPr>
      </w:pPr>
      <w:r w:rsidRPr="0099464A">
        <w:rPr>
          <w:rFonts w:cstheme="minorHAnsi"/>
          <w:szCs w:val="22"/>
        </w:rPr>
        <w:t>designing venues that are attractive and incorpor</w:t>
      </w:r>
      <w:r w:rsidR="007609EE">
        <w:rPr>
          <w:rFonts w:cstheme="minorHAnsi"/>
          <w:szCs w:val="22"/>
        </w:rPr>
        <w:t>ate harm minimisation measures.</w:t>
      </w:r>
    </w:p>
    <w:p w:rsidR="005E227D" w:rsidRPr="0099464A" w:rsidRDefault="005E227D" w:rsidP="005E227D">
      <w:pPr>
        <w:pStyle w:val="Heading4"/>
        <w:rPr>
          <w:rFonts w:asciiTheme="minorHAnsi" w:hAnsiTheme="minorHAnsi" w:cstheme="minorHAnsi"/>
        </w:rPr>
      </w:pPr>
      <w:r w:rsidRPr="0099464A">
        <w:rPr>
          <w:rFonts w:asciiTheme="minorHAnsi" w:hAnsiTheme="minorHAnsi" w:cstheme="minorHAnsi"/>
        </w:rPr>
        <w:t>Objectives</w:t>
      </w:r>
    </w:p>
    <w:p w:rsidR="005E227D" w:rsidRPr="007609EE" w:rsidRDefault="005E227D" w:rsidP="005E227D">
      <w:pPr>
        <w:rPr>
          <w:rFonts w:cstheme="minorHAnsi"/>
        </w:rPr>
      </w:pPr>
      <w:r w:rsidRPr="0099464A">
        <w:rPr>
          <w:rFonts w:cstheme="minorHAnsi"/>
        </w:rPr>
        <w:t xml:space="preserve">The objectives in the various local planning policies align with and reflect the purposes of Clause 52.28 </w:t>
      </w:r>
      <w:r w:rsidR="007609EE">
        <w:rPr>
          <w:rFonts w:cstheme="minorHAnsi"/>
          <w:i/>
        </w:rPr>
        <w:t>Gaming</w:t>
      </w:r>
      <w:r w:rsidR="007609EE">
        <w:rPr>
          <w:rFonts w:cstheme="minorHAnsi"/>
        </w:rPr>
        <w:t>, including:</w:t>
      </w:r>
    </w:p>
    <w:p w:rsidR="005E227D" w:rsidRPr="007609EE" w:rsidRDefault="005E227D" w:rsidP="007D1909">
      <w:pPr>
        <w:pStyle w:val="ListParagraph"/>
        <w:numPr>
          <w:ilvl w:val="0"/>
          <w:numId w:val="48"/>
        </w:numPr>
        <w:spacing w:after="120"/>
        <w:ind w:left="714" w:hanging="357"/>
        <w:contextualSpacing w:val="0"/>
        <w:rPr>
          <w:rFonts w:cstheme="minorHAnsi"/>
        </w:rPr>
      </w:pPr>
      <w:r w:rsidRPr="007609EE">
        <w:rPr>
          <w:rFonts w:cstheme="minorHAnsi"/>
        </w:rPr>
        <w:t>To ensure that gaming machines are situated in app</w:t>
      </w:r>
      <w:r w:rsidR="007609EE">
        <w:rPr>
          <w:rFonts w:cstheme="minorHAnsi"/>
        </w:rPr>
        <w:t>ropriate locations and premises</w:t>
      </w:r>
    </w:p>
    <w:p w:rsidR="005E227D" w:rsidRPr="007609EE" w:rsidRDefault="005E227D" w:rsidP="007D1909">
      <w:pPr>
        <w:pStyle w:val="ListParagraph"/>
        <w:numPr>
          <w:ilvl w:val="0"/>
          <w:numId w:val="48"/>
        </w:numPr>
        <w:spacing w:after="120"/>
        <w:ind w:left="714" w:hanging="357"/>
        <w:contextualSpacing w:val="0"/>
        <w:rPr>
          <w:rFonts w:cstheme="minorHAnsi"/>
        </w:rPr>
      </w:pPr>
      <w:r w:rsidRPr="007609EE">
        <w:rPr>
          <w:rFonts w:cstheme="minorHAnsi"/>
        </w:rPr>
        <w:t>To ensure the social and economic impacts of the location of</w:t>
      </w:r>
      <w:r w:rsidR="007609EE">
        <w:rPr>
          <w:rFonts w:cstheme="minorHAnsi"/>
        </w:rPr>
        <w:t xml:space="preserve"> gaming machines are considered</w:t>
      </w:r>
    </w:p>
    <w:p w:rsidR="005E227D" w:rsidRPr="007609EE" w:rsidRDefault="005E227D" w:rsidP="007D1909">
      <w:pPr>
        <w:pStyle w:val="ListParagraph"/>
        <w:numPr>
          <w:ilvl w:val="0"/>
          <w:numId w:val="48"/>
        </w:numPr>
        <w:spacing w:after="120"/>
        <w:ind w:left="714" w:hanging="357"/>
        <w:contextualSpacing w:val="0"/>
        <w:rPr>
          <w:rFonts w:cstheme="minorHAnsi"/>
        </w:rPr>
      </w:pPr>
      <w:r w:rsidRPr="007609EE">
        <w:rPr>
          <w:rFonts w:cstheme="minorHAnsi"/>
        </w:rPr>
        <w:t>To prohibit gaming machines in specified shopping compl</w:t>
      </w:r>
      <w:r w:rsidR="007609EE">
        <w:rPr>
          <w:rFonts w:cstheme="minorHAnsi"/>
        </w:rPr>
        <w:t>exes and strip shopping centres</w:t>
      </w:r>
    </w:p>
    <w:p w:rsidR="005E227D" w:rsidRPr="0099464A" w:rsidRDefault="005E227D" w:rsidP="005E227D">
      <w:pPr>
        <w:rPr>
          <w:rFonts w:cstheme="minorHAnsi"/>
        </w:rPr>
      </w:pPr>
      <w:r w:rsidRPr="0099464A">
        <w:rPr>
          <w:rFonts w:cstheme="minorHAnsi"/>
        </w:rPr>
        <w:t>The following objectives provide the framework for the policy and strategies:</w:t>
      </w:r>
    </w:p>
    <w:p w:rsidR="005E227D" w:rsidRDefault="005E227D" w:rsidP="007D1909">
      <w:pPr>
        <w:pStyle w:val="ListParagraph"/>
        <w:numPr>
          <w:ilvl w:val="0"/>
          <w:numId w:val="48"/>
        </w:numPr>
        <w:spacing w:after="120"/>
        <w:ind w:left="714" w:hanging="357"/>
        <w:contextualSpacing w:val="0"/>
        <w:rPr>
          <w:rFonts w:cstheme="minorHAnsi"/>
        </w:rPr>
      </w:pPr>
      <w:r>
        <w:rPr>
          <w:rFonts w:cstheme="minorHAnsi"/>
        </w:rPr>
        <w:t>To minimise harm from gaming and the incidence of problem gambling</w:t>
      </w:r>
    </w:p>
    <w:p w:rsidR="005E227D" w:rsidRDefault="005E227D" w:rsidP="007D1909">
      <w:pPr>
        <w:pStyle w:val="ListParagraph"/>
        <w:numPr>
          <w:ilvl w:val="0"/>
          <w:numId w:val="48"/>
        </w:numPr>
        <w:spacing w:after="120"/>
        <w:ind w:left="714" w:hanging="357"/>
        <w:contextualSpacing w:val="0"/>
        <w:rPr>
          <w:rFonts w:cstheme="minorHAnsi"/>
        </w:rPr>
      </w:pPr>
      <w:r>
        <w:rPr>
          <w:rFonts w:cstheme="minorHAnsi"/>
        </w:rPr>
        <w:t>To discourage the location of gaming machines in and proximate to disadvantaged areas and vulnerable communities</w:t>
      </w:r>
    </w:p>
    <w:p w:rsidR="005E227D" w:rsidRDefault="005E227D" w:rsidP="007D1909">
      <w:pPr>
        <w:pStyle w:val="ListParagraph"/>
        <w:numPr>
          <w:ilvl w:val="0"/>
          <w:numId w:val="48"/>
        </w:numPr>
        <w:spacing w:after="120"/>
        <w:ind w:left="714" w:hanging="357"/>
        <w:contextualSpacing w:val="0"/>
        <w:rPr>
          <w:rFonts w:cstheme="minorHAnsi"/>
        </w:rPr>
      </w:pPr>
      <w:r>
        <w:rPr>
          <w:rFonts w:cstheme="minorHAnsi"/>
        </w:rPr>
        <w:t>To minimise opportunities for convenience gaming</w:t>
      </w:r>
    </w:p>
    <w:p w:rsidR="005E227D" w:rsidRDefault="005E227D" w:rsidP="007D1909">
      <w:pPr>
        <w:pStyle w:val="ListParagraph"/>
        <w:numPr>
          <w:ilvl w:val="0"/>
          <w:numId w:val="48"/>
        </w:numPr>
        <w:spacing w:after="120"/>
        <w:ind w:left="714" w:hanging="357"/>
        <w:contextualSpacing w:val="0"/>
        <w:rPr>
          <w:rFonts w:cstheme="minorHAnsi"/>
        </w:rPr>
      </w:pPr>
      <w:r>
        <w:rPr>
          <w:rFonts w:cstheme="minorHAnsi"/>
        </w:rPr>
        <w:t>To protect the amenity of surrounding uses</w:t>
      </w:r>
    </w:p>
    <w:p w:rsidR="005E227D" w:rsidRPr="0099464A" w:rsidRDefault="005E227D" w:rsidP="007D1909">
      <w:pPr>
        <w:pStyle w:val="ListParagraph"/>
        <w:numPr>
          <w:ilvl w:val="0"/>
          <w:numId w:val="48"/>
        </w:numPr>
        <w:spacing w:after="120"/>
        <w:ind w:left="714" w:hanging="357"/>
        <w:contextualSpacing w:val="0"/>
        <w:rPr>
          <w:rFonts w:cstheme="minorHAnsi"/>
        </w:rPr>
      </w:pPr>
      <w:r w:rsidRPr="0099464A">
        <w:rPr>
          <w:rFonts w:cstheme="minorHAnsi"/>
        </w:rPr>
        <w:t xml:space="preserve">To achieve positive social, economic and environmental outcomes in the </w:t>
      </w:r>
      <w:r w:rsidR="00F713A0">
        <w:rPr>
          <w:rFonts w:cstheme="minorHAnsi"/>
        </w:rPr>
        <w:t>location and relocation of EGMs</w:t>
      </w:r>
    </w:p>
    <w:p w:rsidR="005E227D" w:rsidRPr="0099464A" w:rsidRDefault="005E227D" w:rsidP="007D1909">
      <w:pPr>
        <w:pStyle w:val="ListParagraph"/>
        <w:numPr>
          <w:ilvl w:val="0"/>
          <w:numId w:val="48"/>
        </w:numPr>
        <w:spacing w:after="120"/>
        <w:ind w:left="714" w:hanging="357"/>
        <w:contextualSpacing w:val="0"/>
        <w:rPr>
          <w:rFonts w:cstheme="minorHAnsi"/>
        </w:rPr>
      </w:pPr>
      <w:r w:rsidRPr="0099464A">
        <w:rPr>
          <w:rFonts w:cstheme="minorHAnsi"/>
        </w:rPr>
        <w:t>Discourage the location of EGMs and gamin</w:t>
      </w:r>
      <w:r w:rsidR="007609EE">
        <w:rPr>
          <w:rFonts w:cstheme="minorHAnsi"/>
        </w:rPr>
        <w:t>g venues in disadvantaged areas</w:t>
      </w:r>
    </w:p>
    <w:p w:rsidR="005E227D" w:rsidRPr="0099464A" w:rsidRDefault="005E227D" w:rsidP="007D1909">
      <w:pPr>
        <w:pStyle w:val="ListParagraph"/>
        <w:numPr>
          <w:ilvl w:val="0"/>
          <w:numId w:val="48"/>
        </w:numPr>
        <w:spacing w:after="120"/>
        <w:ind w:left="714" w:hanging="357"/>
        <w:contextualSpacing w:val="0"/>
        <w:rPr>
          <w:rFonts w:cstheme="minorHAnsi"/>
        </w:rPr>
      </w:pPr>
      <w:r w:rsidRPr="0099464A">
        <w:rPr>
          <w:rFonts w:cstheme="minorHAnsi"/>
        </w:rPr>
        <w:t>To locate EGMs and gaming venues in accordance with the hierarchy of activity centres as part of the overall range of entertai</w:t>
      </w:r>
      <w:r w:rsidR="007609EE">
        <w:rPr>
          <w:rFonts w:cstheme="minorHAnsi"/>
        </w:rPr>
        <w:t>nment facilities and activities</w:t>
      </w:r>
    </w:p>
    <w:p w:rsidR="005E227D" w:rsidRPr="0099464A" w:rsidRDefault="005E227D" w:rsidP="007D1909">
      <w:pPr>
        <w:pStyle w:val="ListParagraph"/>
        <w:numPr>
          <w:ilvl w:val="0"/>
          <w:numId w:val="48"/>
        </w:numPr>
        <w:spacing w:after="120"/>
        <w:ind w:left="714" w:hanging="357"/>
        <w:contextualSpacing w:val="0"/>
        <w:rPr>
          <w:rFonts w:cstheme="minorHAnsi"/>
        </w:rPr>
      </w:pPr>
      <w:r w:rsidRPr="0099464A">
        <w:rPr>
          <w:rFonts w:cstheme="minorHAnsi"/>
        </w:rPr>
        <w:t>To discourage the location of EGMs and new gaming venues where they are accessible to people who are vulnerable to gambling-rel</w:t>
      </w:r>
      <w:r w:rsidR="007609EE">
        <w:rPr>
          <w:rFonts w:cstheme="minorHAnsi"/>
        </w:rPr>
        <w:t>ated harm or gambling sensitive</w:t>
      </w:r>
    </w:p>
    <w:p w:rsidR="005E227D" w:rsidRPr="0099464A" w:rsidRDefault="005E227D" w:rsidP="007D1909">
      <w:pPr>
        <w:pStyle w:val="ListParagraph"/>
        <w:numPr>
          <w:ilvl w:val="0"/>
          <w:numId w:val="48"/>
        </w:numPr>
        <w:spacing w:after="120"/>
        <w:ind w:left="714" w:hanging="357"/>
        <w:contextualSpacing w:val="0"/>
        <w:rPr>
          <w:rFonts w:cstheme="minorHAnsi"/>
        </w:rPr>
      </w:pPr>
      <w:r w:rsidRPr="0099464A">
        <w:rPr>
          <w:rFonts w:cstheme="minorHAnsi"/>
        </w:rPr>
        <w:t>To maximise choice of non-gaming social, leisure, recreation and entertainment uses and facilities, both within the gaming venue and in the ar</w:t>
      </w:r>
      <w:r w:rsidR="007609EE">
        <w:rPr>
          <w:rFonts w:cstheme="minorHAnsi"/>
        </w:rPr>
        <w:t>ea surrounding the gaming venue</w:t>
      </w:r>
    </w:p>
    <w:p w:rsidR="005E227D" w:rsidRPr="0099464A" w:rsidRDefault="005E227D" w:rsidP="007D1909">
      <w:pPr>
        <w:pStyle w:val="ListParagraph"/>
        <w:numPr>
          <w:ilvl w:val="0"/>
          <w:numId w:val="48"/>
        </w:numPr>
        <w:spacing w:after="120"/>
        <w:ind w:left="714" w:hanging="357"/>
        <w:contextualSpacing w:val="0"/>
        <w:rPr>
          <w:rFonts w:cstheme="minorHAnsi"/>
        </w:rPr>
      </w:pPr>
      <w:r w:rsidRPr="0099464A">
        <w:rPr>
          <w:rFonts w:cstheme="minorHAnsi"/>
        </w:rPr>
        <w:t>To protect the safety and amenity of land uses surrou</w:t>
      </w:r>
      <w:r w:rsidR="007609EE">
        <w:rPr>
          <w:rFonts w:cstheme="minorHAnsi"/>
        </w:rPr>
        <w:t>nding and adjacent to the venue</w:t>
      </w:r>
    </w:p>
    <w:p w:rsidR="005E227D" w:rsidRPr="0099464A" w:rsidRDefault="005E227D" w:rsidP="007D1909">
      <w:pPr>
        <w:pStyle w:val="ListParagraph"/>
        <w:numPr>
          <w:ilvl w:val="0"/>
          <w:numId w:val="48"/>
        </w:numPr>
        <w:spacing w:after="120"/>
        <w:ind w:left="714" w:hanging="357"/>
        <w:contextualSpacing w:val="0"/>
        <w:rPr>
          <w:rFonts w:cstheme="minorHAnsi"/>
        </w:rPr>
      </w:pPr>
      <w:r w:rsidRPr="0099464A">
        <w:rPr>
          <w:rFonts w:cstheme="minorHAnsi"/>
        </w:rPr>
        <w:t>To protect local economies, heritage charac</w:t>
      </w:r>
      <w:r w:rsidR="007609EE">
        <w:rPr>
          <w:rFonts w:cstheme="minorHAnsi"/>
        </w:rPr>
        <w:t>ter, tourism assets and amenity</w:t>
      </w:r>
    </w:p>
    <w:p w:rsidR="005E227D" w:rsidRPr="0099464A" w:rsidRDefault="005E227D" w:rsidP="007D1909">
      <w:pPr>
        <w:pStyle w:val="ListParagraph"/>
        <w:numPr>
          <w:ilvl w:val="0"/>
          <w:numId w:val="48"/>
        </w:numPr>
        <w:spacing w:after="120" w:line="276" w:lineRule="auto"/>
        <w:contextualSpacing w:val="0"/>
        <w:rPr>
          <w:rFonts w:cstheme="minorHAnsi"/>
        </w:rPr>
      </w:pPr>
      <w:r w:rsidRPr="0099464A">
        <w:rPr>
          <w:rFonts w:cstheme="minorHAnsi"/>
        </w:rPr>
        <w:t xml:space="preserve">To plan the location of EGMs as part of the overall range of entertainment and recreation facilities and activities on </w:t>
      </w:r>
      <w:r w:rsidR="00F713A0">
        <w:rPr>
          <w:rFonts w:cstheme="minorHAnsi"/>
        </w:rPr>
        <w:t>offer</w:t>
      </w:r>
      <w:r w:rsidRPr="0099464A">
        <w:rPr>
          <w:rFonts w:cstheme="minorHAnsi"/>
        </w:rPr>
        <w:t>.</w:t>
      </w:r>
    </w:p>
    <w:p w:rsidR="005E227D" w:rsidRPr="00764A62" w:rsidRDefault="005E227D" w:rsidP="005E227D">
      <w:pPr>
        <w:pStyle w:val="Heading4"/>
        <w:rPr>
          <w:rFonts w:cs="Arial"/>
        </w:rPr>
      </w:pPr>
      <w:r w:rsidRPr="00764A62">
        <w:rPr>
          <w:rFonts w:cs="Arial"/>
        </w:rPr>
        <w:t>Policy</w:t>
      </w:r>
    </w:p>
    <w:p w:rsidR="005E227D" w:rsidRPr="00764A62" w:rsidRDefault="005E227D" w:rsidP="005E227D">
      <w:pPr>
        <w:rPr>
          <w:rFonts w:cs="Arial"/>
        </w:rPr>
      </w:pPr>
      <w:r w:rsidRPr="00764A62">
        <w:rPr>
          <w:rFonts w:cs="Arial"/>
        </w:rPr>
        <w:t>The policy component focuses on the three key land use considerations, namely appropriate areas, appropriate locations and appropriate venues. The individual policies for each respective consideration are typically described as those that are appropriate (using the word ‘should’) and that that are deemed inappropriate (</w:t>
      </w:r>
      <w:r>
        <w:rPr>
          <w:rFonts w:cs="Arial"/>
        </w:rPr>
        <w:t>using</w:t>
      </w:r>
      <w:r w:rsidRPr="00764A62">
        <w:rPr>
          <w:rFonts w:cs="Arial"/>
        </w:rPr>
        <w:t xml:space="preserve"> the words ‘should not’). </w:t>
      </w:r>
    </w:p>
    <w:p w:rsidR="005E227D" w:rsidRDefault="005E227D" w:rsidP="005E227D">
      <w:pPr>
        <w:rPr>
          <w:rFonts w:cs="Arial"/>
        </w:rPr>
      </w:pPr>
      <w:r w:rsidRPr="00764A62">
        <w:rPr>
          <w:rFonts w:cs="Arial"/>
        </w:rPr>
        <w:t xml:space="preserve">Most local planning policies reviewed have structured their policies around the three land use considerations namely areas, sites or locations and venues or premises. However, the Mount Alexander Shire </w:t>
      </w:r>
      <w:r>
        <w:rPr>
          <w:rFonts w:cs="Arial"/>
        </w:rPr>
        <w:t>Local Planning Policy for Electronic Gaming</w:t>
      </w:r>
      <w:r w:rsidRPr="00764A62">
        <w:rPr>
          <w:rFonts w:cs="Arial"/>
        </w:rPr>
        <w:t xml:space="preserve"> combines areas and sites as the Panel found that this would achieve a more concise statement of policy</w:t>
      </w:r>
      <w:r w:rsidRPr="00764A62">
        <w:rPr>
          <w:rStyle w:val="FootnoteReference"/>
          <w:rFonts w:cs="Arial"/>
        </w:rPr>
        <w:footnoteReference w:id="267"/>
      </w:r>
      <w:r w:rsidRPr="00764A62">
        <w:rPr>
          <w:rFonts w:cs="Arial"/>
        </w:rPr>
        <w:t>.</w:t>
      </w:r>
    </w:p>
    <w:p w:rsidR="0071477F" w:rsidRDefault="005E227D" w:rsidP="0071477F">
      <w:pPr>
        <w:rPr>
          <w:rFonts w:cs="Arial"/>
        </w:rPr>
      </w:pPr>
      <w:r w:rsidRPr="00764A62">
        <w:rPr>
          <w:rFonts w:cs="Arial"/>
        </w:rPr>
        <w:t xml:space="preserve">The key features of the different local planning policies for gaming reviewed are summarised in Table </w:t>
      </w:r>
      <w:r w:rsidR="0071477F">
        <w:rPr>
          <w:rFonts w:cs="Arial"/>
        </w:rPr>
        <w:t>10</w:t>
      </w:r>
      <w:r w:rsidRPr="00764A62">
        <w:rPr>
          <w:rFonts w:cs="Arial"/>
        </w:rPr>
        <w:t>.</w:t>
      </w:r>
      <w:r w:rsidRPr="00970B1F">
        <w:rPr>
          <w:rFonts w:cs="Arial"/>
        </w:rPr>
        <w:t xml:space="preserve"> </w:t>
      </w:r>
      <w:r w:rsidRPr="00764A62">
        <w:rPr>
          <w:rFonts w:cs="Arial"/>
        </w:rPr>
        <w:t xml:space="preserve">Since there is reasonable consistency in the content and scope of the clauses among most of the planning schemes reviewed, individual references have not been provided, unless a principle or element within a particular planning scheme is markedly different from the others. </w:t>
      </w:r>
    </w:p>
    <w:p w:rsidR="0071477F" w:rsidRDefault="0071477F" w:rsidP="0071477F">
      <w:pPr>
        <w:rPr>
          <w:rFonts w:cs="Arial"/>
        </w:rPr>
      </w:pPr>
    </w:p>
    <w:p w:rsidR="0071477F" w:rsidRDefault="0071477F" w:rsidP="0071477F">
      <w:pPr>
        <w:pStyle w:val="Caption"/>
      </w:pPr>
      <w:bookmarkStart w:id="138" w:name="_Toc494206928"/>
      <w:bookmarkStart w:id="139" w:name="_Toc475982236"/>
      <w:bookmarkStart w:id="140" w:name="_Toc494287827"/>
      <w:r w:rsidRPr="0071477F">
        <w:t xml:space="preserve">Table </w:t>
      </w:r>
      <w:r w:rsidR="00802F28">
        <w:fldChar w:fldCharType="begin"/>
      </w:r>
      <w:r w:rsidR="00802F28">
        <w:instrText xml:space="preserve"> SEQ Table \* ARABIC </w:instrText>
      </w:r>
      <w:r w:rsidR="00802F28">
        <w:fldChar w:fldCharType="separate"/>
      </w:r>
      <w:r w:rsidRPr="0071477F">
        <w:rPr>
          <w:noProof/>
        </w:rPr>
        <w:t>10</w:t>
      </w:r>
      <w:r w:rsidR="00802F28">
        <w:rPr>
          <w:noProof/>
        </w:rPr>
        <w:fldChar w:fldCharType="end"/>
      </w:r>
      <w:r w:rsidRPr="0071477F">
        <w:t xml:space="preserve"> – Summary of key features of selected local planning policies for gaming in Victoria</w:t>
      </w:r>
      <w:bookmarkEnd w:id="138"/>
      <w:bookmarkEnd w:id="139"/>
      <w:bookmarkEnd w:id="140"/>
    </w:p>
    <w:tbl>
      <w:tblPr>
        <w:tblStyle w:val="LightList"/>
        <w:tblW w:w="5000" w:type="pct"/>
        <w:tblLook w:val="04A0" w:firstRow="1" w:lastRow="0" w:firstColumn="1" w:lastColumn="0" w:noHBand="0" w:noVBand="1"/>
      </w:tblPr>
      <w:tblGrid>
        <w:gridCol w:w="4621"/>
        <w:gridCol w:w="4621"/>
      </w:tblGrid>
      <w:tr w:rsidR="005E227D" w:rsidRPr="00764A62" w:rsidTr="00315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5E227D" w:rsidRPr="00764A62" w:rsidRDefault="005E227D" w:rsidP="00315894">
            <w:pPr>
              <w:spacing w:after="60"/>
              <w:rPr>
                <w:rFonts w:cs="Arial"/>
              </w:rPr>
            </w:pPr>
            <w:r w:rsidRPr="00764A62">
              <w:rPr>
                <w:rFonts w:cs="Arial"/>
              </w:rPr>
              <w:t>Should</w:t>
            </w:r>
            <w:r>
              <w:rPr>
                <w:rFonts w:cs="Arial"/>
              </w:rPr>
              <w:t xml:space="preserve"> be located</w:t>
            </w:r>
          </w:p>
        </w:tc>
        <w:tc>
          <w:tcPr>
            <w:tcW w:w="2500" w:type="pct"/>
          </w:tcPr>
          <w:p w:rsidR="005E227D" w:rsidRPr="00764A62" w:rsidRDefault="005E227D" w:rsidP="00315894">
            <w:pPr>
              <w:spacing w:after="60"/>
              <w:cnfStyle w:val="100000000000" w:firstRow="1" w:lastRow="0" w:firstColumn="0" w:lastColumn="0" w:oddVBand="0" w:evenVBand="0" w:oddHBand="0" w:evenHBand="0" w:firstRowFirstColumn="0" w:firstRowLastColumn="0" w:lastRowFirstColumn="0" w:lastRowLastColumn="0"/>
              <w:rPr>
                <w:rFonts w:cs="Arial"/>
              </w:rPr>
            </w:pPr>
            <w:r w:rsidRPr="00764A62">
              <w:rPr>
                <w:rFonts w:cs="Arial"/>
              </w:rPr>
              <w:t>Should not</w:t>
            </w:r>
            <w:r>
              <w:rPr>
                <w:rFonts w:cs="Arial"/>
              </w:rPr>
              <w:t xml:space="preserve"> be located</w:t>
            </w:r>
          </w:p>
        </w:tc>
      </w:tr>
      <w:tr w:rsidR="005E227D" w:rsidRPr="00764A62" w:rsidTr="00315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5E227D" w:rsidRPr="00764A62" w:rsidRDefault="005E227D" w:rsidP="00315894">
            <w:pPr>
              <w:spacing w:after="60"/>
              <w:jc w:val="center"/>
              <w:rPr>
                <w:rFonts w:cs="Arial"/>
              </w:rPr>
            </w:pPr>
            <w:r>
              <w:rPr>
                <w:rFonts w:cs="Arial"/>
              </w:rPr>
              <w:t>In a</w:t>
            </w:r>
            <w:r w:rsidRPr="00764A62">
              <w:rPr>
                <w:rFonts w:cs="Arial"/>
              </w:rPr>
              <w:t>reas</w:t>
            </w:r>
          </w:p>
        </w:tc>
      </w:tr>
      <w:tr w:rsidR="005E227D" w:rsidRPr="00764A62" w:rsidTr="00315894">
        <w:tc>
          <w:tcPr>
            <w:cnfStyle w:val="001000000000" w:firstRow="0" w:lastRow="0" w:firstColumn="1" w:lastColumn="0" w:oddVBand="0" w:evenVBand="0" w:oddHBand="0" w:evenHBand="0" w:firstRowFirstColumn="0" w:firstRowLastColumn="0" w:lastRowFirstColumn="0" w:lastRowLastColumn="0"/>
            <w:tcW w:w="2500" w:type="pct"/>
          </w:tcPr>
          <w:p w:rsidR="005E227D" w:rsidRDefault="005E227D" w:rsidP="00315894">
            <w:pPr>
              <w:spacing w:after="60"/>
              <w:rPr>
                <w:rFonts w:cs="Arial"/>
                <w:b w:val="0"/>
              </w:rPr>
            </w:pPr>
            <w:r w:rsidRPr="00764A62">
              <w:rPr>
                <w:rFonts w:cs="Arial"/>
                <w:b w:val="0"/>
              </w:rPr>
              <w:t>Where the proposal would make a positive contribution to the redistribution of gaming venues from areas of high to low disadvantage.</w:t>
            </w:r>
          </w:p>
          <w:p w:rsidR="005E227D" w:rsidRPr="00764A62" w:rsidRDefault="005E227D" w:rsidP="00315894">
            <w:pPr>
              <w:spacing w:after="60"/>
              <w:rPr>
                <w:rFonts w:cs="Arial"/>
                <w:b w:val="0"/>
              </w:rPr>
            </w:pPr>
            <w:r>
              <w:rPr>
                <w:rFonts w:cs="Arial"/>
                <w:b w:val="0"/>
              </w:rPr>
              <w:t>Where</w:t>
            </w:r>
            <w:r w:rsidRPr="00764A62">
              <w:rPr>
                <w:rFonts w:cs="Arial"/>
                <w:b w:val="0"/>
              </w:rPr>
              <w:t xml:space="preserve"> the population is growing or expected to grow. In these areas gaming venues should not be established ahead of the provision of non-gambling entertainment, recreation facilities and social infrastructure (Moonee Valley) </w:t>
            </w:r>
          </w:p>
          <w:p w:rsidR="005E227D" w:rsidRPr="00764A62" w:rsidRDefault="005E227D" w:rsidP="00315894">
            <w:pPr>
              <w:spacing w:after="60"/>
              <w:rPr>
                <w:rFonts w:cs="Arial"/>
                <w:b w:val="0"/>
              </w:rPr>
            </w:pPr>
            <w:r>
              <w:rPr>
                <w:rFonts w:cs="Arial"/>
                <w:b w:val="0"/>
              </w:rPr>
              <w:t>Where</w:t>
            </w:r>
            <w:r w:rsidRPr="00764A62">
              <w:rPr>
                <w:rFonts w:cs="Arial"/>
                <w:b w:val="0"/>
              </w:rPr>
              <w:t xml:space="preserve"> residents within a </w:t>
            </w:r>
            <w:r>
              <w:rPr>
                <w:rFonts w:cs="Arial"/>
                <w:b w:val="0"/>
              </w:rPr>
              <w:t>defined</w:t>
            </w:r>
            <w:r w:rsidRPr="00764A62">
              <w:rPr>
                <w:rFonts w:cs="Arial"/>
                <w:b w:val="0"/>
              </w:rPr>
              <w:t xml:space="preserve"> radius of the site have a reasonable choice of alternative non-gambling entertainment and recreation facilities and services that operate at the same time as the gaming venue. These may include hotels, clubs, cinemas, restaurants, bars and indoor recreation facilities</w:t>
            </w:r>
          </w:p>
          <w:p w:rsidR="005E227D" w:rsidRPr="00764A62" w:rsidRDefault="005E227D" w:rsidP="00315894">
            <w:pPr>
              <w:spacing w:after="60"/>
              <w:rPr>
                <w:rFonts w:cs="Arial"/>
                <w:b w:val="0"/>
              </w:rPr>
            </w:pPr>
            <w:r>
              <w:rPr>
                <w:rFonts w:cs="Arial"/>
                <w:b w:val="0"/>
              </w:rPr>
              <w:t>Where</w:t>
            </w:r>
            <w:r w:rsidRPr="00764A62">
              <w:rPr>
                <w:rFonts w:cs="Arial"/>
                <w:b w:val="0"/>
              </w:rPr>
              <w:t xml:space="preserve"> the total density is lower than the average for metro Melbourne.</w:t>
            </w:r>
          </w:p>
          <w:p w:rsidR="005E227D" w:rsidRPr="00764A62" w:rsidRDefault="005E227D" w:rsidP="00315894">
            <w:pPr>
              <w:spacing w:after="60"/>
              <w:rPr>
                <w:rFonts w:cs="Arial"/>
                <w:b w:val="0"/>
              </w:rPr>
            </w:pPr>
            <w:r w:rsidRPr="00764A62">
              <w:rPr>
                <w:rFonts w:cs="Arial"/>
                <w:b w:val="0"/>
              </w:rPr>
              <w:t>In nominated activity centres</w:t>
            </w:r>
            <w:r>
              <w:rPr>
                <w:rFonts w:cs="Arial"/>
                <w:b w:val="0"/>
              </w:rPr>
              <w:t>.</w:t>
            </w:r>
          </w:p>
        </w:tc>
        <w:tc>
          <w:tcPr>
            <w:tcW w:w="2500" w:type="pct"/>
          </w:tcPr>
          <w:p w:rsidR="005E227D" w:rsidRPr="00764A62" w:rsidRDefault="005E227D" w:rsidP="00315894">
            <w:pPr>
              <w:spacing w:after="60"/>
              <w:cnfStyle w:val="000000000000" w:firstRow="0" w:lastRow="0" w:firstColumn="0" w:lastColumn="0" w:oddVBand="0" w:evenVBand="0" w:oddHBand="0" w:evenHBand="0" w:firstRowFirstColumn="0" w:firstRowLastColumn="0" w:lastRowFirstColumn="0" w:lastRowLastColumn="0"/>
              <w:rPr>
                <w:rFonts w:cs="Arial"/>
              </w:rPr>
            </w:pPr>
            <w:r>
              <w:rPr>
                <w:rFonts w:cs="Arial"/>
              </w:rPr>
              <w:t>Displaying high levels of socio-economic disadvantage, often defined as SA1 localities, or high densities of EGMs</w:t>
            </w:r>
          </w:p>
          <w:p w:rsidR="005E227D" w:rsidRPr="00764A62" w:rsidRDefault="005E227D" w:rsidP="00315894">
            <w:pPr>
              <w:spacing w:after="6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Deemed to be </w:t>
            </w:r>
            <w:r w:rsidRPr="00764A62">
              <w:rPr>
                <w:rFonts w:cs="Arial"/>
              </w:rPr>
              <w:t xml:space="preserve">the </w:t>
            </w:r>
            <w:r>
              <w:rPr>
                <w:rFonts w:cs="Arial"/>
              </w:rPr>
              <w:t xml:space="preserve">at </w:t>
            </w:r>
            <w:r w:rsidRPr="00764A62">
              <w:rPr>
                <w:rFonts w:cs="Arial"/>
              </w:rPr>
              <w:t>core of activity centres where there is the highest intensity of activity</w:t>
            </w:r>
            <w:r>
              <w:rPr>
                <w:rFonts w:cs="Arial"/>
              </w:rPr>
              <w:t xml:space="preserve"> </w:t>
            </w:r>
            <w:r w:rsidRPr="00764A62">
              <w:rPr>
                <w:rFonts w:cs="Arial"/>
              </w:rPr>
              <w:t>including the main shopping areas and other widely visited civic, transport and community functions.</w:t>
            </w:r>
          </w:p>
          <w:p w:rsidR="005E227D" w:rsidRPr="00764A62" w:rsidRDefault="005E227D" w:rsidP="00315894">
            <w:pPr>
              <w:spacing w:after="60"/>
              <w:cnfStyle w:val="000000000000" w:firstRow="0" w:lastRow="0" w:firstColumn="0" w:lastColumn="0" w:oddVBand="0" w:evenVBand="0" w:oddHBand="0" w:evenHBand="0" w:firstRowFirstColumn="0" w:firstRowLastColumn="0" w:lastRowFirstColumn="0" w:lastRowLastColumn="0"/>
              <w:rPr>
                <w:rFonts w:cs="Arial"/>
              </w:rPr>
            </w:pPr>
            <w:r w:rsidRPr="00764A62">
              <w:rPr>
                <w:rFonts w:cs="Arial"/>
              </w:rPr>
              <w:t>Not compatible with surrounding uses due to inadequate pedestrian and vehicle access, impact on amenity and potential to compromise the ongoing operations of surrounding businesses and industry.</w:t>
            </w:r>
          </w:p>
          <w:p w:rsidR="005E227D" w:rsidRPr="00764A62" w:rsidRDefault="005E227D" w:rsidP="00315894">
            <w:pPr>
              <w:spacing w:after="60"/>
              <w:cnfStyle w:val="000000000000" w:firstRow="0" w:lastRow="0" w:firstColumn="0" w:lastColumn="0" w:oddVBand="0" w:evenVBand="0" w:oddHBand="0" w:evenHBand="0" w:firstRowFirstColumn="0" w:firstRowLastColumn="0" w:lastRowFirstColumn="0" w:lastRowLastColumn="0"/>
              <w:rPr>
                <w:rFonts w:cs="Arial"/>
              </w:rPr>
            </w:pPr>
            <w:r w:rsidRPr="00764A62">
              <w:rPr>
                <w:rFonts w:cs="Arial"/>
              </w:rPr>
              <w:t>In residential areas (Wyndham).</w:t>
            </w:r>
          </w:p>
          <w:p w:rsidR="005E227D" w:rsidRPr="00764A62" w:rsidRDefault="005E227D" w:rsidP="00315894">
            <w:pPr>
              <w:spacing w:after="60"/>
              <w:cnfStyle w:val="000000000000" w:firstRow="0" w:lastRow="0" w:firstColumn="0" w:lastColumn="0" w:oddVBand="0" w:evenVBand="0" w:oddHBand="0" w:evenHBand="0" w:firstRowFirstColumn="0" w:firstRowLastColumn="0" w:lastRowFirstColumn="0" w:lastRowLastColumn="0"/>
              <w:rPr>
                <w:rFonts w:cs="Arial"/>
              </w:rPr>
            </w:pPr>
          </w:p>
        </w:tc>
      </w:tr>
      <w:tr w:rsidR="005E227D" w:rsidRPr="00764A62" w:rsidTr="00315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5E227D" w:rsidRPr="00764A62" w:rsidRDefault="005E227D" w:rsidP="00315894">
            <w:pPr>
              <w:spacing w:after="60"/>
              <w:jc w:val="center"/>
              <w:rPr>
                <w:rFonts w:cs="Arial"/>
                <w:b w:val="0"/>
              </w:rPr>
            </w:pPr>
            <w:r>
              <w:rPr>
                <w:rFonts w:cs="Arial"/>
              </w:rPr>
              <w:t>In locations/on sites</w:t>
            </w:r>
          </w:p>
        </w:tc>
      </w:tr>
      <w:tr w:rsidR="005E227D" w:rsidRPr="007F3669" w:rsidTr="00315894">
        <w:tc>
          <w:tcPr>
            <w:cnfStyle w:val="001000000000" w:firstRow="0" w:lastRow="0" w:firstColumn="1" w:lastColumn="0" w:oddVBand="0" w:evenVBand="0" w:oddHBand="0" w:evenHBand="0" w:firstRowFirstColumn="0" w:firstRowLastColumn="0" w:lastRowFirstColumn="0" w:lastRowLastColumn="0"/>
            <w:tcW w:w="2500" w:type="pct"/>
          </w:tcPr>
          <w:p w:rsidR="005E227D" w:rsidRPr="007F3669" w:rsidRDefault="005E227D" w:rsidP="00315894">
            <w:pPr>
              <w:spacing w:after="60"/>
              <w:rPr>
                <w:rFonts w:cs="Arial"/>
                <w:b w:val="0"/>
              </w:rPr>
            </w:pPr>
            <w:r w:rsidRPr="007F3669">
              <w:rPr>
                <w:rFonts w:cs="Arial"/>
                <w:b w:val="0"/>
              </w:rPr>
              <w:t>Located on the periphery of activity centres outside of the main shopping, transport, community and civic functions of the centre.</w:t>
            </w:r>
          </w:p>
          <w:p w:rsidR="005E227D" w:rsidRPr="007F3669" w:rsidRDefault="005E227D" w:rsidP="00315894">
            <w:pPr>
              <w:spacing w:after="60"/>
              <w:rPr>
                <w:rFonts w:cs="Arial"/>
                <w:b w:val="0"/>
              </w:rPr>
            </w:pPr>
            <w:r w:rsidRPr="007F3669">
              <w:rPr>
                <w:rFonts w:cs="Arial"/>
                <w:b w:val="0"/>
              </w:rPr>
              <w:t>Considered to be a destination in its own right due to separation from concentrations of activities associated with people undertaking daily activities such as strip shopping centres, shopping complexes, railway stations, community facilities, bus interchanges/removed from land zoned or intended for a commercial purpose (Cardinia Shire) (good for comprehensive development zone.</w:t>
            </w:r>
          </w:p>
          <w:p w:rsidR="005E227D" w:rsidRPr="007F3669" w:rsidRDefault="005E227D" w:rsidP="00315894">
            <w:pPr>
              <w:spacing w:after="60"/>
              <w:rPr>
                <w:rFonts w:cs="Arial"/>
                <w:b w:val="0"/>
              </w:rPr>
            </w:pPr>
            <w:r w:rsidRPr="007F3669">
              <w:rPr>
                <w:rFonts w:cs="Arial"/>
                <w:b w:val="0"/>
              </w:rPr>
              <w:t>Classified as a sports and recreation club with a land holding of more than two hectares.</w:t>
            </w:r>
          </w:p>
        </w:tc>
        <w:tc>
          <w:tcPr>
            <w:tcW w:w="2500" w:type="pct"/>
          </w:tcPr>
          <w:p w:rsidR="005E227D" w:rsidRPr="007F3669" w:rsidRDefault="005E227D" w:rsidP="00315894">
            <w:pPr>
              <w:spacing w:after="60"/>
              <w:cnfStyle w:val="000000000000" w:firstRow="0" w:lastRow="0" w:firstColumn="0" w:lastColumn="0" w:oddVBand="0" w:evenVBand="0" w:oddHBand="0" w:evenHBand="0" w:firstRowFirstColumn="0" w:firstRowLastColumn="0" w:lastRowFirstColumn="0" w:lastRowLastColumn="0"/>
              <w:rPr>
                <w:rFonts w:cs="Arial"/>
              </w:rPr>
            </w:pPr>
            <w:r w:rsidRPr="007F3669">
              <w:rPr>
                <w:rFonts w:cs="Arial"/>
              </w:rPr>
              <w:t xml:space="preserve">That are convenient to core retail areas, supermarkets, community facilities or transport interchanges where large numbers of pedestrians are likely to pass in the course of their daily activities, increasing the likelihood of spontaneous decisions to play EGMs. </w:t>
            </w:r>
          </w:p>
          <w:p w:rsidR="005E227D" w:rsidRPr="007F3669" w:rsidRDefault="005E227D" w:rsidP="00315894">
            <w:pPr>
              <w:spacing w:after="60"/>
              <w:cnfStyle w:val="000000000000" w:firstRow="0" w:lastRow="0" w:firstColumn="0" w:lastColumn="0" w:oddVBand="0" w:evenVBand="0" w:oddHBand="0" w:evenHBand="0" w:firstRowFirstColumn="0" w:firstRowLastColumn="0" w:lastRowFirstColumn="0" w:lastRowLastColumn="0"/>
              <w:rPr>
                <w:rFonts w:cs="Arial"/>
              </w:rPr>
            </w:pPr>
            <w:r w:rsidRPr="007F3669">
              <w:rPr>
                <w:rFonts w:cs="Arial"/>
              </w:rPr>
              <w:t>Where the gaming venues and associated entertainment and recreation uses detract from the character and integrity of the municipality’s tourism and heritage assets.</w:t>
            </w:r>
          </w:p>
          <w:p w:rsidR="005E227D" w:rsidRPr="007F3669" w:rsidRDefault="005E227D" w:rsidP="00315894">
            <w:pPr>
              <w:spacing w:after="60"/>
              <w:cnfStyle w:val="000000000000" w:firstRow="0" w:lastRow="0" w:firstColumn="0" w:lastColumn="0" w:oddVBand="0" w:evenVBand="0" w:oddHBand="0" w:evenHBand="0" w:firstRowFirstColumn="0" w:firstRowLastColumn="0" w:lastRowFirstColumn="0" w:lastRowLastColumn="0"/>
              <w:rPr>
                <w:rFonts w:cs="Arial"/>
              </w:rPr>
            </w:pPr>
            <w:r>
              <w:rPr>
                <w:rFonts w:cs="Arial"/>
              </w:rPr>
              <w:t>Where there is a concentration of gaming venues</w:t>
            </w:r>
            <w:r w:rsidRPr="007F3669">
              <w:rPr>
                <w:rFonts w:cs="Arial"/>
              </w:rPr>
              <w:t>.</w:t>
            </w:r>
          </w:p>
          <w:p w:rsidR="005E227D" w:rsidRPr="007F3669" w:rsidRDefault="005E227D" w:rsidP="00315894">
            <w:pPr>
              <w:spacing w:after="60"/>
              <w:cnfStyle w:val="000000000000" w:firstRow="0" w:lastRow="0" w:firstColumn="0" w:lastColumn="0" w:oddVBand="0" w:evenVBand="0" w:oddHBand="0" w:evenHBand="0" w:firstRowFirstColumn="0" w:firstRowLastColumn="0" w:lastRowFirstColumn="0" w:lastRowLastColumn="0"/>
              <w:rPr>
                <w:rFonts w:cs="Arial"/>
              </w:rPr>
            </w:pPr>
            <w:r>
              <w:rPr>
                <w:rFonts w:cs="Arial"/>
              </w:rPr>
              <w:t>Less</w:t>
            </w:r>
            <w:r w:rsidRPr="007F3669">
              <w:rPr>
                <w:rFonts w:cs="Arial"/>
              </w:rPr>
              <w:t xml:space="preserve"> than 400m from gambling sensitive facilities such as offices of public and private welfare agencies, gambler support services, gambling-related harm service delivery setting, concentrations of social housing.</w:t>
            </w:r>
          </w:p>
          <w:p w:rsidR="005E227D" w:rsidRPr="007F3669" w:rsidRDefault="005E227D" w:rsidP="00315894">
            <w:pPr>
              <w:spacing w:after="60"/>
              <w:cnfStyle w:val="000000000000" w:firstRow="0" w:lastRow="0" w:firstColumn="0" w:lastColumn="0" w:oddVBand="0" w:evenVBand="0" w:oddHBand="0" w:evenHBand="0" w:firstRowFirstColumn="0" w:firstRowLastColumn="0" w:lastRowFirstColumn="0" w:lastRowLastColumn="0"/>
              <w:rPr>
                <w:rFonts w:cs="Arial"/>
              </w:rPr>
            </w:pPr>
            <w:r w:rsidRPr="007F3669">
              <w:rPr>
                <w:rFonts w:cs="Arial"/>
              </w:rPr>
              <w:t xml:space="preserve">Abutting, adjacent to, opposite or in the direct line of sight of a strip shopping centre where the advertising for </w:t>
            </w:r>
            <w:r>
              <w:rPr>
                <w:rFonts w:cs="Arial"/>
              </w:rPr>
              <w:t>EGMs</w:t>
            </w:r>
            <w:r w:rsidRPr="007F3669">
              <w:rPr>
                <w:rFonts w:cs="Arial"/>
              </w:rPr>
              <w:t xml:space="preserve"> in the premises is clearly visible to people in the prohibited or discouraged area</w:t>
            </w:r>
          </w:p>
          <w:p w:rsidR="005E227D" w:rsidRPr="007F3669" w:rsidRDefault="005E227D" w:rsidP="00315894">
            <w:pPr>
              <w:spacing w:after="60"/>
              <w:cnfStyle w:val="000000000000" w:firstRow="0" w:lastRow="0" w:firstColumn="0" w:lastColumn="0" w:oddVBand="0" w:evenVBand="0" w:oddHBand="0" w:evenHBand="0" w:firstRowFirstColumn="0" w:firstRowLastColumn="0" w:lastRowFirstColumn="0" w:lastRowLastColumn="0"/>
              <w:rPr>
                <w:rFonts w:cs="Arial"/>
              </w:rPr>
            </w:pPr>
            <w:r w:rsidRPr="007F3669">
              <w:rPr>
                <w:rFonts w:cs="Arial"/>
              </w:rPr>
              <w:t>Within the same buildings as residential dwellings</w:t>
            </w:r>
            <w:r>
              <w:rPr>
                <w:rFonts w:cs="Arial"/>
              </w:rPr>
              <w:t xml:space="preserve"> (Monash)</w:t>
            </w:r>
            <w:r w:rsidRPr="007F3669">
              <w:rPr>
                <w:rFonts w:cs="Arial"/>
              </w:rPr>
              <w:t>.</w:t>
            </w:r>
          </w:p>
          <w:p w:rsidR="005E227D" w:rsidRPr="007F3669" w:rsidRDefault="005E227D" w:rsidP="00315894">
            <w:pPr>
              <w:spacing w:after="60"/>
              <w:cnfStyle w:val="000000000000" w:firstRow="0" w:lastRow="0" w:firstColumn="0" w:lastColumn="0" w:oddVBand="0" w:evenVBand="0" w:oddHBand="0" w:evenHBand="0" w:firstRowFirstColumn="0" w:firstRowLastColumn="0" w:lastRowFirstColumn="0" w:lastRowLastColumn="0"/>
              <w:rPr>
                <w:rFonts w:cs="Arial"/>
              </w:rPr>
            </w:pPr>
            <w:r w:rsidRPr="007F3669">
              <w:rPr>
                <w:rFonts w:cs="Arial"/>
              </w:rPr>
              <w:t>That are key connections between core retail areas in a township or activity centre (Cardinia).</w:t>
            </w:r>
          </w:p>
        </w:tc>
      </w:tr>
      <w:tr w:rsidR="005E227D" w:rsidRPr="00764A62" w:rsidTr="00315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5E227D" w:rsidRPr="00764A62" w:rsidRDefault="005E227D" w:rsidP="00315894">
            <w:pPr>
              <w:spacing w:after="60"/>
              <w:jc w:val="center"/>
              <w:rPr>
                <w:rFonts w:cs="Arial"/>
              </w:rPr>
            </w:pPr>
            <w:r>
              <w:rPr>
                <w:rFonts w:cs="Arial"/>
              </w:rPr>
              <w:t>In venues</w:t>
            </w:r>
          </w:p>
        </w:tc>
      </w:tr>
      <w:tr w:rsidR="005E227D" w:rsidRPr="00764A62" w:rsidTr="00315894">
        <w:tc>
          <w:tcPr>
            <w:cnfStyle w:val="001000000000" w:firstRow="0" w:lastRow="0" w:firstColumn="1" w:lastColumn="0" w:oddVBand="0" w:evenVBand="0" w:oddHBand="0" w:evenHBand="0" w:firstRowFirstColumn="0" w:firstRowLastColumn="0" w:lastRowFirstColumn="0" w:lastRowLastColumn="0"/>
            <w:tcW w:w="2500" w:type="pct"/>
          </w:tcPr>
          <w:p w:rsidR="005E227D" w:rsidRPr="00764A62" w:rsidRDefault="005E227D" w:rsidP="00315894">
            <w:pPr>
              <w:spacing w:after="60"/>
              <w:rPr>
                <w:rFonts w:cs="Arial"/>
                <w:b w:val="0"/>
              </w:rPr>
            </w:pPr>
            <w:r w:rsidRPr="00764A62">
              <w:rPr>
                <w:rFonts w:cs="Arial"/>
                <w:b w:val="0"/>
              </w:rPr>
              <w:t>That have a range of non-gaming social, leisure and recreational options as the main focus of the venue that are open at the same time as the gaming room.</w:t>
            </w:r>
          </w:p>
          <w:p w:rsidR="005E227D" w:rsidRPr="00764A62" w:rsidRDefault="005E227D" w:rsidP="00315894">
            <w:pPr>
              <w:spacing w:after="60"/>
              <w:rPr>
                <w:rFonts w:cs="Arial"/>
                <w:b w:val="0"/>
              </w:rPr>
            </w:pPr>
            <w:r>
              <w:rPr>
                <w:rFonts w:cs="Arial"/>
                <w:b w:val="0"/>
              </w:rPr>
              <w:t>That h</w:t>
            </w:r>
            <w:r w:rsidRPr="00764A62">
              <w:rPr>
                <w:rFonts w:cs="Arial"/>
                <w:b w:val="0"/>
              </w:rPr>
              <w:t>ave a gaming floor area of less than 25% of the total floor area that is accessible to the public (Moonee Valley).</w:t>
            </w:r>
          </w:p>
          <w:p w:rsidR="005E227D" w:rsidRPr="00764A62" w:rsidRDefault="005E227D" w:rsidP="00315894">
            <w:pPr>
              <w:spacing w:after="60"/>
              <w:rPr>
                <w:rFonts w:cs="Arial"/>
                <w:b w:val="0"/>
              </w:rPr>
            </w:pPr>
            <w:r>
              <w:rPr>
                <w:rFonts w:cs="Arial"/>
                <w:b w:val="0"/>
              </w:rPr>
              <w:t>That d</w:t>
            </w:r>
            <w:r w:rsidRPr="00764A62">
              <w:rPr>
                <w:rFonts w:cs="Arial"/>
                <w:b w:val="0"/>
              </w:rPr>
              <w:t>o not have a 24 hour operation OR Do not operate for more than 16 hours per day and operate no later than 2am (Manningham) OR Closed for the playing of EGMs when other areas of the venue and other establishments in the vicinity of the venue which provide alternative recreation and entertainment are closed (Wyndham)</w:t>
            </w:r>
          </w:p>
          <w:p w:rsidR="005E227D" w:rsidRPr="00764A62" w:rsidRDefault="005E227D" w:rsidP="00315894">
            <w:pPr>
              <w:spacing w:after="60"/>
              <w:rPr>
                <w:rFonts w:cs="Arial"/>
                <w:b w:val="0"/>
              </w:rPr>
            </w:pPr>
            <w:r w:rsidRPr="00764A62">
              <w:rPr>
                <w:rFonts w:cs="Arial"/>
                <w:b w:val="0"/>
              </w:rPr>
              <w:t>Incorporate effective management and mitigation measures.</w:t>
            </w:r>
          </w:p>
          <w:p w:rsidR="005E227D" w:rsidRPr="00764A62" w:rsidRDefault="005E227D" w:rsidP="00315894">
            <w:pPr>
              <w:spacing w:after="60"/>
              <w:rPr>
                <w:rFonts w:cs="Arial"/>
                <w:b w:val="0"/>
              </w:rPr>
            </w:pPr>
            <w:r w:rsidRPr="00764A62">
              <w:rPr>
                <w:rFonts w:cs="Arial"/>
                <w:b w:val="0"/>
              </w:rPr>
              <w:t>Designed to comply with best practice and the full ambit of the VCGLR Venue Manual or any regulatory successor.</w:t>
            </w:r>
          </w:p>
          <w:p w:rsidR="005E227D" w:rsidRDefault="005E227D" w:rsidP="00315894">
            <w:pPr>
              <w:spacing w:after="60"/>
              <w:rPr>
                <w:rFonts w:cs="Arial"/>
                <w:b w:val="0"/>
              </w:rPr>
            </w:pPr>
            <w:r>
              <w:rPr>
                <w:rFonts w:cs="Arial"/>
                <w:b w:val="0"/>
              </w:rPr>
              <w:t>Where v</w:t>
            </w:r>
            <w:r w:rsidRPr="00764A62">
              <w:rPr>
                <w:rFonts w:cs="Arial"/>
                <w:b w:val="0"/>
              </w:rPr>
              <w:t>ehicle and patron access is from a main road and not a local road (Wyndham).</w:t>
            </w:r>
          </w:p>
          <w:p w:rsidR="005E227D" w:rsidRPr="00764A62" w:rsidRDefault="005E227D" w:rsidP="00315894">
            <w:pPr>
              <w:spacing w:after="60"/>
              <w:rPr>
                <w:rFonts w:cs="Arial"/>
                <w:b w:val="0"/>
              </w:rPr>
            </w:pPr>
            <w:r>
              <w:rPr>
                <w:rFonts w:cs="Arial"/>
                <w:b w:val="0"/>
              </w:rPr>
              <w:t>That promote non-gaming activities that increase net community benefit</w:t>
            </w:r>
          </w:p>
        </w:tc>
        <w:tc>
          <w:tcPr>
            <w:tcW w:w="2500" w:type="pct"/>
          </w:tcPr>
          <w:p w:rsidR="005E227D" w:rsidRPr="00764A62" w:rsidRDefault="005E227D" w:rsidP="00315894">
            <w:pPr>
              <w:spacing w:after="60"/>
              <w:cnfStyle w:val="000000000000" w:firstRow="0" w:lastRow="0" w:firstColumn="0" w:lastColumn="0" w:oddVBand="0" w:evenVBand="0" w:oddHBand="0" w:evenHBand="0" w:firstRowFirstColumn="0" w:firstRowLastColumn="0" w:lastRowFirstColumn="0" w:lastRowLastColumn="0"/>
              <w:rPr>
                <w:rFonts w:cs="Arial"/>
              </w:rPr>
            </w:pPr>
            <w:r>
              <w:rPr>
                <w:rFonts w:cs="Arial"/>
              </w:rPr>
              <w:t>That h</w:t>
            </w:r>
            <w:r w:rsidRPr="00764A62">
              <w:rPr>
                <w:rFonts w:cs="Arial"/>
              </w:rPr>
              <w:t>ave an adverse impact on safety and amenity as a result of parking, traffic, noise, lighting, security, operating hours.</w:t>
            </w:r>
          </w:p>
          <w:p w:rsidR="005E227D" w:rsidRPr="00764A62" w:rsidRDefault="005E227D" w:rsidP="00315894">
            <w:pPr>
              <w:spacing w:after="60"/>
              <w:cnfStyle w:val="000000000000" w:firstRow="0" w:lastRow="0" w:firstColumn="0" w:lastColumn="0" w:oddVBand="0" w:evenVBand="0" w:oddHBand="0" w:evenHBand="0" w:firstRowFirstColumn="0" w:firstRowLastColumn="0" w:lastRowFirstColumn="0" w:lastRowLastColumn="0"/>
              <w:rPr>
                <w:rFonts w:cs="Arial"/>
              </w:rPr>
            </w:pPr>
            <w:r>
              <w:rPr>
                <w:rFonts w:cs="Arial"/>
              </w:rPr>
              <w:t>That a</w:t>
            </w:r>
            <w:r w:rsidRPr="00764A62">
              <w:rPr>
                <w:rFonts w:cs="Arial"/>
              </w:rPr>
              <w:t>re incompatible with the predominant surrounding land uses.</w:t>
            </w:r>
          </w:p>
          <w:p w:rsidR="005E227D" w:rsidRPr="00764A62" w:rsidRDefault="005E227D" w:rsidP="00315894">
            <w:pPr>
              <w:spacing w:after="60"/>
              <w:cnfStyle w:val="000000000000" w:firstRow="0" w:lastRow="0" w:firstColumn="0" w:lastColumn="0" w:oddVBand="0" w:evenVBand="0" w:oddHBand="0" w:evenHBand="0" w:firstRowFirstColumn="0" w:firstRowLastColumn="0" w:lastRowFirstColumn="0" w:lastRowLastColumn="0"/>
              <w:rPr>
                <w:rFonts w:cs="Arial"/>
              </w:rPr>
            </w:pPr>
          </w:p>
        </w:tc>
      </w:tr>
    </w:tbl>
    <w:p w:rsidR="005E227D" w:rsidRDefault="005E227D" w:rsidP="0071477F">
      <w:pPr>
        <w:rPr>
          <w:rFonts w:cs="Arial"/>
        </w:rPr>
      </w:pPr>
      <w:r>
        <w:rPr>
          <w:rFonts w:cs="Arial"/>
        </w:rPr>
        <w:t>The following</w:t>
      </w:r>
      <w:r w:rsidRPr="00764A62">
        <w:rPr>
          <w:rFonts w:cs="Arial"/>
        </w:rPr>
        <w:t xml:space="preserve"> application requirements</w:t>
      </w:r>
      <w:r>
        <w:rPr>
          <w:rFonts w:cs="Arial"/>
        </w:rPr>
        <w:t xml:space="preserve"> are included</w:t>
      </w:r>
      <w:r w:rsidRPr="00764A62">
        <w:rPr>
          <w:rFonts w:cs="Arial"/>
        </w:rPr>
        <w:t>, some of which include specific information and data that is to be included for each requirement</w:t>
      </w:r>
      <w:r>
        <w:rPr>
          <w:rFonts w:cs="Arial"/>
        </w:rPr>
        <w:t xml:space="preserve"> (refer to Table </w:t>
      </w:r>
      <w:r w:rsidR="00FE262B">
        <w:rPr>
          <w:rFonts w:cs="Arial"/>
        </w:rPr>
        <w:t>11</w:t>
      </w:r>
      <w:r>
        <w:rPr>
          <w:rFonts w:cs="Arial"/>
        </w:rPr>
        <w:t>)</w:t>
      </w:r>
      <w:r w:rsidRPr="00764A62">
        <w:rPr>
          <w:rFonts w:cs="Arial"/>
        </w:rPr>
        <w:t>.</w:t>
      </w:r>
    </w:p>
    <w:p w:rsidR="0071477F" w:rsidRDefault="0071477F" w:rsidP="0071477F">
      <w:pPr>
        <w:pStyle w:val="Caption"/>
      </w:pPr>
      <w:bookmarkStart w:id="141" w:name="_Toc494206929"/>
      <w:bookmarkStart w:id="142" w:name="_Toc475982237"/>
      <w:bookmarkStart w:id="143" w:name="_Toc494287828"/>
      <w:r w:rsidRPr="0071477F">
        <w:t xml:space="preserve">Table </w:t>
      </w:r>
      <w:r w:rsidR="00802F28">
        <w:fldChar w:fldCharType="begin"/>
      </w:r>
      <w:r w:rsidR="00802F28">
        <w:instrText xml:space="preserve"> SEQ Table \* ARABIC </w:instrText>
      </w:r>
      <w:r w:rsidR="00802F28">
        <w:fldChar w:fldCharType="separate"/>
      </w:r>
      <w:r w:rsidRPr="0071477F">
        <w:rPr>
          <w:noProof/>
        </w:rPr>
        <w:t>11</w:t>
      </w:r>
      <w:r w:rsidR="00802F28">
        <w:rPr>
          <w:noProof/>
        </w:rPr>
        <w:fldChar w:fldCharType="end"/>
      </w:r>
      <w:r w:rsidRPr="0071477F">
        <w:t xml:space="preserve"> – Summary of application requirements of selected local planning policies for gaming in Victoria</w:t>
      </w:r>
      <w:bookmarkEnd w:id="141"/>
      <w:bookmarkEnd w:id="142"/>
      <w:bookmarkEnd w:id="143"/>
    </w:p>
    <w:tbl>
      <w:tblPr>
        <w:tblStyle w:val="LightList"/>
        <w:tblW w:w="5000" w:type="pct"/>
        <w:tblLook w:val="04A0" w:firstRow="1" w:lastRow="0" w:firstColumn="1" w:lastColumn="0" w:noHBand="0" w:noVBand="1"/>
      </w:tblPr>
      <w:tblGrid>
        <w:gridCol w:w="2144"/>
        <w:gridCol w:w="7098"/>
      </w:tblGrid>
      <w:tr w:rsidR="005E227D" w:rsidRPr="00764A62" w:rsidTr="003158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0" w:type="pct"/>
          </w:tcPr>
          <w:p w:rsidR="005E227D" w:rsidRPr="00764A62" w:rsidRDefault="005E227D" w:rsidP="00315894">
            <w:pPr>
              <w:spacing w:after="60"/>
              <w:rPr>
                <w:rFonts w:cs="Arial"/>
              </w:rPr>
            </w:pPr>
            <w:r w:rsidRPr="00764A62">
              <w:rPr>
                <w:rFonts w:cs="Arial"/>
              </w:rPr>
              <w:t>Application requirement</w:t>
            </w:r>
          </w:p>
        </w:tc>
        <w:tc>
          <w:tcPr>
            <w:tcW w:w="3840" w:type="pct"/>
          </w:tcPr>
          <w:p w:rsidR="005E227D" w:rsidRPr="00764A62" w:rsidRDefault="005E227D" w:rsidP="00315894">
            <w:pPr>
              <w:spacing w:after="60"/>
              <w:cnfStyle w:val="100000000000" w:firstRow="1" w:lastRow="0" w:firstColumn="0" w:lastColumn="0" w:oddVBand="0" w:evenVBand="0" w:oddHBand="0" w:evenHBand="0" w:firstRowFirstColumn="0" w:firstRowLastColumn="0" w:lastRowFirstColumn="0" w:lastRowLastColumn="0"/>
              <w:rPr>
                <w:rFonts w:cs="Arial"/>
              </w:rPr>
            </w:pPr>
            <w:r w:rsidRPr="00764A62">
              <w:rPr>
                <w:rFonts w:cs="Arial"/>
              </w:rPr>
              <w:t>Data to be included</w:t>
            </w:r>
          </w:p>
        </w:tc>
      </w:tr>
      <w:tr w:rsidR="005E227D" w:rsidRPr="008F0127" w:rsidTr="00315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0" w:type="pct"/>
          </w:tcPr>
          <w:p w:rsidR="005E227D" w:rsidRDefault="005E227D" w:rsidP="00315894">
            <w:pPr>
              <w:spacing w:after="60"/>
              <w:rPr>
                <w:rFonts w:cs="Arial"/>
                <w:b w:val="0"/>
              </w:rPr>
            </w:pPr>
            <w:r>
              <w:rPr>
                <w:rFonts w:cs="Arial"/>
                <w:b w:val="0"/>
              </w:rPr>
              <w:t>Site details</w:t>
            </w:r>
          </w:p>
        </w:tc>
        <w:tc>
          <w:tcPr>
            <w:tcW w:w="3840" w:type="pct"/>
          </w:tcPr>
          <w:p w:rsidR="005E227D" w:rsidRDefault="005E227D" w:rsidP="00315894">
            <w:pPr>
              <w:spacing w:after="60"/>
              <w:cnfStyle w:val="000000100000" w:firstRow="0" w:lastRow="0" w:firstColumn="0" w:lastColumn="0" w:oddVBand="0" w:evenVBand="0" w:oddHBand="1" w:evenHBand="0" w:firstRowFirstColumn="0" w:firstRowLastColumn="0" w:lastRowFirstColumn="0" w:lastRowLastColumn="0"/>
              <w:rPr>
                <w:rFonts w:cs="Arial"/>
              </w:rPr>
            </w:pPr>
            <w:r>
              <w:rPr>
                <w:rFonts w:cs="Arial"/>
              </w:rPr>
              <w:t>Land uses and zoning of adjoining and surrounding uses, availability of non-gambling activities in the vicinity of the site (hours of operation and location), gambling sensitive uses, pedestrian counts</w:t>
            </w:r>
          </w:p>
        </w:tc>
      </w:tr>
      <w:tr w:rsidR="005E227D" w:rsidRPr="008F0127" w:rsidTr="00315894">
        <w:tc>
          <w:tcPr>
            <w:cnfStyle w:val="001000000000" w:firstRow="0" w:lastRow="0" w:firstColumn="1" w:lastColumn="0" w:oddVBand="0" w:evenVBand="0" w:oddHBand="0" w:evenHBand="0" w:firstRowFirstColumn="0" w:firstRowLastColumn="0" w:lastRowFirstColumn="0" w:lastRowLastColumn="0"/>
            <w:tcW w:w="1160" w:type="pct"/>
          </w:tcPr>
          <w:p w:rsidR="005E227D" w:rsidRPr="008F0127" w:rsidRDefault="005E227D" w:rsidP="00315894">
            <w:pPr>
              <w:spacing w:after="60"/>
              <w:rPr>
                <w:rFonts w:cs="Arial"/>
                <w:b w:val="0"/>
              </w:rPr>
            </w:pPr>
            <w:r>
              <w:rPr>
                <w:rFonts w:cs="Arial"/>
                <w:b w:val="0"/>
              </w:rPr>
              <w:t>Proposal</w:t>
            </w:r>
            <w:r w:rsidRPr="008F0127">
              <w:rPr>
                <w:rFonts w:cs="Arial"/>
                <w:b w:val="0"/>
              </w:rPr>
              <w:t xml:space="preserve"> details</w:t>
            </w:r>
          </w:p>
        </w:tc>
        <w:tc>
          <w:tcPr>
            <w:tcW w:w="3840" w:type="pct"/>
          </w:tcPr>
          <w:p w:rsidR="005E227D" w:rsidRPr="008F0127" w:rsidRDefault="005E227D" w:rsidP="00315894">
            <w:pPr>
              <w:spacing w:after="60"/>
              <w:cnfStyle w:val="000000000000" w:firstRow="0" w:lastRow="0" w:firstColumn="0" w:lastColumn="0" w:oddVBand="0" w:evenVBand="0" w:oddHBand="0" w:evenHBand="0" w:firstRowFirstColumn="0" w:firstRowLastColumn="0" w:lastRowFirstColumn="0" w:lastRowLastColumn="0"/>
              <w:rPr>
                <w:rFonts w:cs="Arial"/>
              </w:rPr>
            </w:pPr>
            <w:r>
              <w:rPr>
                <w:rFonts w:cs="Arial"/>
              </w:rPr>
              <w:t>Description of the proposal in terms of its compliance with the planning scheme, type of venue, number of EGMs, employment, supply contracts and investment, range of non-gambling activities to be provided, extent of statutory and non-statutory community contributions and their beneficiaries</w:t>
            </w:r>
          </w:p>
        </w:tc>
      </w:tr>
      <w:tr w:rsidR="005E227D" w:rsidRPr="00764A62" w:rsidTr="00315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0" w:type="pct"/>
          </w:tcPr>
          <w:p w:rsidR="005E227D" w:rsidRPr="00764A62" w:rsidRDefault="005E227D" w:rsidP="00315894">
            <w:pPr>
              <w:spacing w:after="60"/>
              <w:rPr>
                <w:rFonts w:cs="Arial"/>
                <w:b w:val="0"/>
              </w:rPr>
            </w:pPr>
            <w:r w:rsidRPr="00764A62">
              <w:rPr>
                <w:rFonts w:cs="Arial"/>
                <w:b w:val="0"/>
              </w:rPr>
              <w:t>Social and economic impact assessment prepared by a suitably qualified profession</w:t>
            </w:r>
          </w:p>
        </w:tc>
        <w:tc>
          <w:tcPr>
            <w:tcW w:w="3840" w:type="pct"/>
          </w:tcPr>
          <w:p w:rsidR="005E227D" w:rsidRPr="00764A62" w:rsidRDefault="005E227D" w:rsidP="00315894">
            <w:pPr>
              <w:spacing w:after="60"/>
              <w:cnfStyle w:val="000000100000" w:firstRow="0" w:lastRow="0" w:firstColumn="0" w:lastColumn="0" w:oddVBand="0" w:evenVBand="0" w:oddHBand="1" w:evenHBand="0" w:firstRowFirstColumn="0" w:firstRowLastColumn="0" w:lastRowFirstColumn="0" w:lastRowLastColumn="0"/>
              <w:rPr>
                <w:rFonts w:cs="Arial"/>
              </w:rPr>
            </w:pPr>
            <w:r w:rsidRPr="00764A62">
              <w:rPr>
                <w:rFonts w:cs="Arial"/>
              </w:rPr>
              <w:t>For a defined catchment (typically 5</w:t>
            </w:r>
            <w:r>
              <w:rPr>
                <w:rFonts w:cs="Arial"/>
              </w:rPr>
              <w:t xml:space="preserve"> kilometres</w:t>
            </w:r>
            <w:r w:rsidRPr="00764A62">
              <w:rPr>
                <w:rFonts w:cs="Arial"/>
              </w:rPr>
              <w:t xml:space="preserve"> including adjoining municipalities as appropriate) the number of EGMs, forecast expenditure, existing and proposed distribution and density, proposed t</w:t>
            </w:r>
            <w:r>
              <w:rPr>
                <w:rFonts w:cs="Arial"/>
              </w:rPr>
              <w:t>ransfer of EGMs and expenditure.</w:t>
            </w:r>
            <w:r w:rsidRPr="00764A62">
              <w:rPr>
                <w:rFonts w:cs="Arial"/>
              </w:rPr>
              <w:t xml:space="preserve"> This profile is often required to be benchmarked against the municipality, metro or country municipalities and Melbourne.</w:t>
            </w:r>
          </w:p>
          <w:p w:rsidR="005E227D" w:rsidRPr="00764A62" w:rsidRDefault="005E227D" w:rsidP="00315894">
            <w:pPr>
              <w:spacing w:after="60"/>
              <w:cnfStyle w:val="000000100000" w:firstRow="0" w:lastRow="0" w:firstColumn="0" w:lastColumn="0" w:oddVBand="0" w:evenVBand="0" w:oddHBand="1" w:evenHBand="0" w:firstRowFirstColumn="0" w:firstRowLastColumn="0" w:lastRowFirstColumn="0" w:lastRowLastColumn="0"/>
              <w:rPr>
                <w:rFonts w:cs="Arial"/>
              </w:rPr>
            </w:pPr>
            <w:r w:rsidRPr="00764A62">
              <w:rPr>
                <w:rFonts w:cs="Arial"/>
              </w:rPr>
              <w:t xml:space="preserve">Detailed community profile assessing the relative vulnerability of the community </w:t>
            </w:r>
            <w:r>
              <w:rPr>
                <w:rFonts w:cs="Arial"/>
              </w:rPr>
              <w:t>according to specific determinants of gambling-related harms</w:t>
            </w:r>
          </w:p>
          <w:p w:rsidR="005E227D" w:rsidRDefault="005E227D" w:rsidP="00315894">
            <w:pPr>
              <w:spacing w:after="60"/>
              <w:cnfStyle w:val="000000100000" w:firstRow="0" w:lastRow="0" w:firstColumn="0" w:lastColumn="0" w:oddVBand="0" w:evenVBand="0" w:oddHBand="1" w:evenHBand="0" w:firstRowFirstColumn="0" w:firstRowLastColumn="0" w:lastRowFirstColumn="0" w:lastRowLastColumn="0"/>
              <w:rPr>
                <w:rFonts w:cs="Arial"/>
              </w:rPr>
            </w:pPr>
            <w:r w:rsidRPr="00764A62">
              <w:rPr>
                <w:rFonts w:cs="Arial"/>
              </w:rPr>
              <w:t>Assessment of social and economic impacts (benefits and disbenefits)</w:t>
            </w:r>
            <w:r>
              <w:rPr>
                <w:rFonts w:cs="Arial"/>
              </w:rPr>
              <w:t xml:space="preserve"> and a discussion of the potential for the proposal to achieve net community benefit</w:t>
            </w:r>
            <w:r w:rsidRPr="00764A62">
              <w:rPr>
                <w:rFonts w:cs="Arial"/>
              </w:rPr>
              <w:t>.</w:t>
            </w:r>
          </w:p>
          <w:p w:rsidR="005E227D" w:rsidRPr="00764A62" w:rsidRDefault="005E227D" w:rsidP="00315894">
            <w:pPr>
              <w:spacing w:after="60"/>
              <w:cnfStyle w:val="000000100000" w:firstRow="0" w:lastRow="0" w:firstColumn="0" w:lastColumn="0" w:oddVBand="0" w:evenVBand="0" w:oddHBand="1" w:evenHBand="0" w:firstRowFirstColumn="0" w:firstRowLastColumn="0" w:lastRowFirstColumn="0" w:lastRowLastColumn="0"/>
              <w:rPr>
                <w:rFonts w:cs="Arial"/>
              </w:rPr>
            </w:pPr>
            <w:r>
              <w:rPr>
                <w:rFonts w:cs="Arial"/>
              </w:rPr>
              <w:t>The results from an a</w:t>
            </w:r>
            <w:r w:rsidRPr="00764A62">
              <w:rPr>
                <w:rFonts w:cs="Arial"/>
              </w:rPr>
              <w:t>cademically rigorous representative survey of residents and businesses within a 2.5</w:t>
            </w:r>
            <w:r>
              <w:rPr>
                <w:rFonts w:cs="Arial"/>
              </w:rPr>
              <w:t xml:space="preserve"> kilometres</w:t>
            </w:r>
            <w:r w:rsidRPr="00764A62">
              <w:rPr>
                <w:rFonts w:cs="Arial"/>
              </w:rPr>
              <w:t xml:space="preserve"> radius.</w:t>
            </w:r>
          </w:p>
        </w:tc>
      </w:tr>
      <w:tr w:rsidR="005E227D" w:rsidRPr="00764A62" w:rsidTr="00315894">
        <w:tc>
          <w:tcPr>
            <w:cnfStyle w:val="001000000000" w:firstRow="0" w:lastRow="0" w:firstColumn="1" w:lastColumn="0" w:oddVBand="0" w:evenVBand="0" w:oddHBand="0" w:evenHBand="0" w:firstRowFirstColumn="0" w:firstRowLastColumn="0" w:lastRowFirstColumn="0" w:lastRowLastColumn="0"/>
            <w:tcW w:w="1160" w:type="pct"/>
          </w:tcPr>
          <w:p w:rsidR="005E227D" w:rsidRPr="00764A62" w:rsidRDefault="005E227D" w:rsidP="00315894">
            <w:pPr>
              <w:spacing w:after="60"/>
              <w:rPr>
                <w:rFonts w:cs="Arial"/>
                <w:b w:val="0"/>
              </w:rPr>
            </w:pPr>
            <w:r w:rsidRPr="00764A62">
              <w:rPr>
                <w:rFonts w:cs="Arial"/>
                <w:b w:val="0"/>
              </w:rPr>
              <w:t>Strategic policy analysis</w:t>
            </w:r>
          </w:p>
        </w:tc>
        <w:tc>
          <w:tcPr>
            <w:tcW w:w="3840" w:type="pct"/>
          </w:tcPr>
          <w:p w:rsidR="005E227D" w:rsidRPr="00764A62" w:rsidRDefault="005E227D" w:rsidP="00315894">
            <w:pPr>
              <w:spacing w:after="60"/>
              <w:cnfStyle w:val="000000000000" w:firstRow="0" w:lastRow="0" w:firstColumn="0" w:lastColumn="0" w:oddVBand="0" w:evenVBand="0" w:oddHBand="0" w:evenHBand="0" w:firstRowFirstColumn="0" w:firstRowLastColumn="0" w:lastRowFirstColumn="0" w:lastRowLastColumn="0"/>
              <w:rPr>
                <w:rFonts w:cs="Arial"/>
              </w:rPr>
            </w:pPr>
            <w:r w:rsidRPr="00764A62">
              <w:rPr>
                <w:rFonts w:cs="Arial"/>
              </w:rPr>
              <w:t>Discussion on the extent to which the proposal is consistent with the SPPF, LPPF, including policies such as recreation and entertainment and activity centres</w:t>
            </w:r>
          </w:p>
        </w:tc>
      </w:tr>
      <w:tr w:rsidR="005E227D" w:rsidRPr="00764A62" w:rsidTr="00315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0" w:type="pct"/>
          </w:tcPr>
          <w:p w:rsidR="005E227D" w:rsidRPr="00764A62" w:rsidRDefault="005E227D" w:rsidP="00315894">
            <w:pPr>
              <w:spacing w:after="60"/>
              <w:rPr>
                <w:rFonts w:cs="Arial"/>
                <w:b w:val="0"/>
              </w:rPr>
            </w:pPr>
            <w:r w:rsidRPr="00764A62">
              <w:rPr>
                <w:rFonts w:cs="Arial"/>
                <w:b w:val="0"/>
              </w:rPr>
              <w:t>Site and land use analysis</w:t>
            </w:r>
          </w:p>
        </w:tc>
        <w:tc>
          <w:tcPr>
            <w:tcW w:w="3840" w:type="pct"/>
          </w:tcPr>
          <w:p w:rsidR="005E227D" w:rsidRPr="00764A62" w:rsidRDefault="005E227D" w:rsidP="00315894">
            <w:pPr>
              <w:spacing w:after="60"/>
              <w:cnfStyle w:val="000000100000" w:firstRow="0" w:lastRow="0" w:firstColumn="0" w:lastColumn="0" w:oddVBand="0" w:evenVBand="0" w:oddHBand="1" w:evenHBand="0" w:firstRowFirstColumn="0" w:firstRowLastColumn="0" w:lastRowFirstColumn="0" w:lastRowLastColumn="0"/>
              <w:rPr>
                <w:rFonts w:cs="Arial"/>
              </w:rPr>
            </w:pPr>
            <w:r w:rsidRPr="00764A62">
              <w:rPr>
                <w:rFonts w:cs="Arial"/>
              </w:rPr>
              <w:t>Surrounding land uses</w:t>
            </w:r>
          </w:p>
          <w:p w:rsidR="005E227D" w:rsidRPr="00764A62" w:rsidRDefault="005E227D" w:rsidP="00315894">
            <w:pPr>
              <w:spacing w:after="60"/>
              <w:cnfStyle w:val="000000100000" w:firstRow="0" w:lastRow="0" w:firstColumn="0" w:lastColumn="0" w:oddVBand="0" w:evenVBand="0" w:oddHBand="1" w:evenHBand="0" w:firstRowFirstColumn="0" w:firstRowLastColumn="0" w:lastRowFirstColumn="0" w:lastRowLastColumn="0"/>
              <w:rPr>
                <w:rFonts w:cs="Arial"/>
              </w:rPr>
            </w:pPr>
            <w:r w:rsidRPr="00764A62">
              <w:rPr>
                <w:rFonts w:cs="Arial"/>
              </w:rPr>
              <w:t xml:space="preserve">Distance of existing and proposed </w:t>
            </w:r>
            <w:r>
              <w:rPr>
                <w:rFonts w:cs="Arial"/>
              </w:rPr>
              <w:t>EGMs</w:t>
            </w:r>
            <w:r w:rsidRPr="00764A62">
              <w:rPr>
                <w:rFonts w:cs="Arial"/>
              </w:rPr>
              <w:t xml:space="preserve">/venues from uses and facilities associated with day to day activities and people at an elevated risk of </w:t>
            </w:r>
            <w:r>
              <w:rPr>
                <w:rFonts w:cs="Arial"/>
              </w:rPr>
              <w:t>gambling-related harm</w:t>
            </w:r>
            <w:r w:rsidRPr="00764A62">
              <w:rPr>
                <w:rFonts w:cs="Arial"/>
              </w:rPr>
              <w:t xml:space="preserve"> such as shopping complexes, shopping strips, community facilities and services, public housing, gambling counselling services and public transport</w:t>
            </w:r>
          </w:p>
        </w:tc>
      </w:tr>
      <w:tr w:rsidR="005E227D" w:rsidRPr="00764A62" w:rsidTr="00315894">
        <w:tc>
          <w:tcPr>
            <w:cnfStyle w:val="001000000000" w:firstRow="0" w:lastRow="0" w:firstColumn="1" w:lastColumn="0" w:oddVBand="0" w:evenVBand="0" w:oddHBand="0" w:evenHBand="0" w:firstRowFirstColumn="0" w:firstRowLastColumn="0" w:lastRowFirstColumn="0" w:lastRowLastColumn="0"/>
            <w:tcW w:w="1160" w:type="pct"/>
          </w:tcPr>
          <w:p w:rsidR="005E227D" w:rsidRPr="00764A62" w:rsidRDefault="005E227D" w:rsidP="00315894">
            <w:pPr>
              <w:spacing w:after="60"/>
              <w:rPr>
                <w:rFonts w:cs="Arial"/>
                <w:b w:val="0"/>
              </w:rPr>
            </w:pPr>
            <w:r w:rsidRPr="00764A62">
              <w:rPr>
                <w:rFonts w:cs="Arial"/>
                <w:b w:val="0"/>
              </w:rPr>
              <w:t>Venue management plan</w:t>
            </w:r>
          </w:p>
        </w:tc>
        <w:tc>
          <w:tcPr>
            <w:tcW w:w="3840" w:type="pct"/>
          </w:tcPr>
          <w:p w:rsidR="005E227D" w:rsidRPr="00764A62" w:rsidRDefault="005E227D" w:rsidP="00315894">
            <w:pPr>
              <w:spacing w:after="60"/>
              <w:cnfStyle w:val="000000000000" w:firstRow="0" w:lastRow="0" w:firstColumn="0" w:lastColumn="0" w:oddVBand="0" w:evenVBand="0" w:oddHBand="0" w:evenHBand="0" w:firstRowFirstColumn="0" w:firstRowLastColumn="0" w:lastRowFirstColumn="0" w:lastRowLastColumn="0"/>
              <w:rPr>
                <w:rFonts w:cs="Arial"/>
              </w:rPr>
            </w:pPr>
            <w:r w:rsidRPr="00764A62">
              <w:rPr>
                <w:rFonts w:cs="Arial"/>
              </w:rPr>
              <w:t>Responsible gambling initiatives and measures.</w:t>
            </w:r>
          </w:p>
        </w:tc>
      </w:tr>
      <w:tr w:rsidR="005E227D" w:rsidRPr="00764A62" w:rsidTr="00315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0" w:type="pct"/>
          </w:tcPr>
          <w:p w:rsidR="005E227D" w:rsidRPr="00764A62" w:rsidRDefault="005E227D" w:rsidP="00315894">
            <w:pPr>
              <w:spacing w:after="60"/>
              <w:rPr>
                <w:rFonts w:cs="Arial"/>
                <w:b w:val="0"/>
              </w:rPr>
            </w:pPr>
            <w:r w:rsidRPr="00764A62">
              <w:rPr>
                <w:rFonts w:cs="Arial"/>
                <w:b w:val="0"/>
              </w:rPr>
              <w:t>Plans and elevations</w:t>
            </w:r>
          </w:p>
        </w:tc>
        <w:tc>
          <w:tcPr>
            <w:tcW w:w="3840" w:type="pct"/>
          </w:tcPr>
          <w:p w:rsidR="005E227D" w:rsidRPr="00764A62" w:rsidRDefault="005E227D" w:rsidP="00315894">
            <w:pPr>
              <w:spacing w:after="60"/>
              <w:cnfStyle w:val="000000100000" w:firstRow="0" w:lastRow="0" w:firstColumn="0" w:lastColumn="0" w:oddVBand="0" w:evenVBand="0" w:oddHBand="1" w:evenHBand="0" w:firstRowFirstColumn="0" w:firstRowLastColumn="0" w:lastRowFirstColumn="0" w:lastRowLastColumn="0"/>
              <w:rPr>
                <w:rFonts w:cs="Arial"/>
              </w:rPr>
            </w:pPr>
            <w:r w:rsidRPr="00764A62">
              <w:rPr>
                <w:rFonts w:cs="Arial"/>
              </w:rPr>
              <w:t>Design and layout of premises</w:t>
            </w:r>
          </w:p>
        </w:tc>
      </w:tr>
    </w:tbl>
    <w:p w:rsidR="005E227D" w:rsidRDefault="005E227D" w:rsidP="005E227D"/>
    <w:p w:rsidR="005E227D" w:rsidRDefault="005E227D" w:rsidP="005E227D">
      <w:r>
        <w:t>Where appropriate, the information should detail where and to what extent the proposal goes beyond statutory requirements in relation to community contributions, venue design, venue management and venue operations.</w:t>
      </w:r>
    </w:p>
    <w:p w:rsidR="005E227D" w:rsidRPr="00764A62" w:rsidRDefault="005E227D" w:rsidP="005E227D">
      <w:pPr>
        <w:pStyle w:val="Heading4"/>
        <w:rPr>
          <w:rFonts w:cs="Arial"/>
        </w:rPr>
      </w:pPr>
      <w:r w:rsidRPr="00764A62">
        <w:rPr>
          <w:rFonts w:cs="Arial"/>
        </w:rPr>
        <w:t>Decision guidelines</w:t>
      </w:r>
    </w:p>
    <w:p w:rsidR="005E227D" w:rsidRPr="00764A62" w:rsidRDefault="005E227D" w:rsidP="005E227D">
      <w:pPr>
        <w:rPr>
          <w:rFonts w:cs="Arial"/>
        </w:rPr>
      </w:pPr>
      <w:r>
        <w:rPr>
          <w:rFonts w:cs="Arial"/>
        </w:rPr>
        <w:t>The</w:t>
      </w:r>
      <w:r w:rsidRPr="00764A62">
        <w:rPr>
          <w:rFonts w:cs="Arial"/>
        </w:rPr>
        <w:t xml:space="preserve"> local planning policies reviewed have included</w:t>
      </w:r>
      <w:r>
        <w:rPr>
          <w:rFonts w:cs="Arial"/>
        </w:rPr>
        <w:t xml:space="preserve"> the following</w:t>
      </w:r>
      <w:r w:rsidRPr="00764A62">
        <w:rPr>
          <w:rFonts w:cs="Arial"/>
        </w:rPr>
        <w:t xml:space="preserve"> decision guidelines</w:t>
      </w:r>
      <w:r>
        <w:rPr>
          <w:rFonts w:cs="Arial"/>
        </w:rPr>
        <w:t>:</w:t>
      </w:r>
    </w:p>
    <w:p w:rsidR="005E227D" w:rsidRPr="00764A62" w:rsidRDefault="005E227D" w:rsidP="007D1909">
      <w:pPr>
        <w:pStyle w:val="ListParagraph"/>
        <w:numPr>
          <w:ilvl w:val="0"/>
          <w:numId w:val="51"/>
        </w:numPr>
        <w:spacing w:after="120"/>
        <w:contextualSpacing w:val="0"/>
      </w:pPr>
      <w:r w:rsidRPr="00764A62">
        <w:t xml:space="preserve">whether the proposal responds </w:t>
      </w:r>
      <w:r w:rsidR="00CA1D0A">
        <w:t>positively to harm minimisation</w:t>
      </w:r>
    </w:p>
    <w:p w:rsidR="005E227D" w:rsidRPr="00764A62" w:rsidRDefault="005E227D" w:rsidP="007D1909">
      <w:pPr>
        <w:pStyle w:val="ListParagraph"/>
        <w:numPr>
          <w:ilvl w:val="0"/>
          <w:numId w:val="51"/>
        </w:numPr>
        <w:spacing w:after="120"/>
        <w:contextualSpacing w:val="0"/>
      </w:pPr>
      <w:r>
        <w:t xml:space="preserve">the </w:t>
      </w:r>
      <w:r w:rsidRPr="00764A62">
        <w:t>potential for the proposal to result in net community benefit over and above community contributions scheme (as per Clause 10.02 o</w:t>
      </w:r>
      <w:r w:rsidR="00CA1D0A">
        <w:t>f the planning scheme)</w:t>
      </w:r>
    </w:p>
    <w:p w:rsidR="005E227D" w:rsidRPr="00764A62" w:rsidRDefault="005E227D" w:rsidP="007D1909">
      <w:pPr>
        <w:pStyle w:val="ListParagraph"/>
        <w:numPr>
          <w:ilvl w:val="0"/>
          <w:numId w:val="51"/>
        </w:numPr>
        <w:spacing w:after="120"/>
        <w:contextualSpacing w:val="0"/>
      </w:pPr>
      <w:r>
        <w:t xml:space="preserve">the </w:t>
      </w:r>
      <w:r w:rsidRPr="00764A62">
        <w:t xml:space="preserve">potential for the proposal to increase vulnerability to </w:t>
      </w:r>
      <w:r>
        <w:t>gambling-related harm</w:t>
      </w:r>
      <w:r w:rsidR="00CA1D0A">
        <w:t xml:space="preserve"> or social disadvantage</w:t>
      </w:r>
    </w:p>
    <w:p w:rsidR="005E227D" w:rsidRPr="00764A62" w:rsidRDefault="005E227D" w:rsidP="007D1909">
      <w:pPr>
        <w:pStyle w:val="ListParagraph"/>
        <w:numPr>
          <w:ilvl w:val="0"/>
          <w:numId w:val="51"/>
        </w:numPr>
        <w:spacing w:after="120"/>
        <w:contextualSpacing w:val="0"/>
      </w:pPr>
      <w:r w:rsidRPr="00764A62">
        <w:t>whether the proposal would con</w:t>
      </w:r>
      <w:r w:rsidR="00CA1D0A">
        <w:t>tribute to convenience gambling</w:t>
      </w:r>
    </w:p>
    <w:p w:rsidR="005E227D" w:rsidRPr="00764A62" w:rsidRDefault="005E227D" w:rsidP="007D1909">
      <w:pPr>
        <w:pStyle w:val="ListParagraph"/>
        <w:numPr>
          <w:ilvl w:val="0"/>
          <w:numId w:val="51"/>
        </w:numPr>
        <w:spacing w:after="120"/>
        <w:contextualSpacing w:val="0"/>
      </w:pPr>
      <w:r w:rsidRPr="00764A62">
        <w:t xml:space="preserve">whether there is a choice of non-gaming activities, both within the gaming </w:t>
      </w:r>
      <w:r w:rsidR="00CA1D0A">
        <w:t>venue and the surrounding areas</w:t>
      </w:r>
    </w:p>
    <w:p w:rsidR="005E227D" w:rsidRPr="00764A62" w:rsidRDefault="005E227D" w:rsidP="007D1909">
      <w:pPr>
        <w:pStyle w:val="ListParagraph"/>
        <w:numPr>
          <w:ilvl w:val="0"/>
          <w:numId w:val="51"/>
        </w:numPr>
        <w:spacing w:after="120"/>
        <w:contextualSpacing w:val="0"/>
      </w:pPr>
      <w:r>
        <w:t xml:space="preserve">the </w:t>
      </w:r>
      <w:r w:rsidRPr="00764A62">
        <w:t>impact of the proposal on the amenity, character and safety of the</w:t>
      </w:r>
      <w:r w:rsidR="00CA1D0A">
        <w:t xml:space="preserve"> area and surrounding land uses</w:t>
      </w:r>
    </w:p>
    <w:p w:rsidR="005E227D" w:rsidRPr="00764A62" w:rsidRDefault="005E227D" w:rsidP="007D1909">
      <w:pPr>
        <w:pStyle w:val="ListParagraph"/>
        <w:numPr>
          <w:ilvl w:val="0"/>
          <w:numId w:val="51"/>
        </w:numPr>
        <w:spacing w:after="120"/>
        <w:contextualSpacing w:val="0"/>
      </w:pPr>
      <w:r w:rsidRPr="00764A62">
        <w:t>whether the venue is accessible v</w:t>
      </w:r>
      <w:r w:rsidR="00CA1D0A">
        <w:t>ia a variety of transport modes</w:t>
      </w:r>
    </w:p>
    <w:p w:rsidR="005E227D" w:rsidRPr="00764A62" w:rsidRDefault="005E227D" w:rsidP="007D1909">
      <w:pPr>
        <w:pStyle w:val="ListParagraph"/>
        <w:numPr>
          <w:ilvl w:val="0"/>
          <w:numId w:val="51"/>
        </w:numPr>
        <w:spacing w:after="120"/>
        <w:contextualSpacing w:val="0"/>
      </w:pPr>
      <w:r w:rsidRPr="00764A62">
        <w:t xml:space="preserve">whether the proposal will result in a distribution of </w:t>
      </w:r>
      <w:r>
        <w:t>EGMs</w:t>
      </w:r>
      <w:r w:rsidRPr="00764A62">
        <w:t xml:space="preserve"> and expenditure from areas </w:t>
      </w:r>
      <w:r w:rsidR="00CA1D0A">
        <w:t>of high to low disadvantage</w:t>
      </w:r>
    </w:p>
    <w:p w:rsidR="005E227D" w:rsidRPr="00764A62" w:rsidRDefault="005E227D" w:rsidP="007D1909">
      <w:pPr>
        <w:pStyle w:val="ListParagraph"/>
        <w:numPr>
          <w:ilvl w:val="0"/>
          <w:numId w:val="51"/>
        </w:numPr>
        <w:spacing w:after="120"/>
        <w:contextualSpacing w:val="0"/>
      </w:pPr>
      <w:r w:rsidRPr="00764A62">
        <w:t>whether the proposal achieves the objectives of the policy.</w:t>
      </w:r>
    </w:p>
    <w:p w:rsidR="005E227D" w:rsidRPr="00F713A0" w:rsidRDefault="00F8009B" w:rsidP="00FC5226">
      <w:pPr>
        <w:pStyle w:val="Heading2"/>
      </w:pPr>
      <w:bookmarkStart w:id="144" w:name="_Toc494287781"/>
      <w:r>
        <w:t xml:space="preserve">Review of </w:t>
      </w:r>
      <w:r w:rsidR="005E227D" w:rsidRPr="00F713A0">
        <w:t>Clause 52.28</w:t>
      </w:r>
      <w:bookmarkEnd w:id="144"/>
    </w:p>
    <w:p w:rsidR="00EF6371" w:rsidRDefault="005E227D" w:rsidP="00EF6371">
      <w:pPr>
        <w:rPr>
          <w:rFonts w:cs="Arial"/>
        </w:rPr>
      </w:pPr>
      <w:r w:rsidRPr="00764A62">
        <w:rPr>
          <w:rFonts w:cs="Arial"/>
        </w:rPr>
        <w:t>All planning schemes reviewed included a list of shoppi</w:t>
      </w:r>
      <w:r w:rsidR="00303DB5">
        <w:rPr>
          <w:rFonts w:cs="Arial"/>
        </w:rPr>
        <w:t>ng complexes under Clause 52.28, listing</w:t>
      </w:r>
      <w:r w:rsidRPr="00764A62">
        <w:rPr>
          <w:rFonts w:cs="Arial"/>
        </w:rPr>
        <w:t xml:space="preserve"> those </w:t>
      </w:r>
      <w:r w:rsidR="00EF6371">
        <w:rPr>
          <w:rFonts w:cs="Arial"/>
        </w:rPr>
        <w:t xml:space="preserve">complexes </w:t>
      </w:r>
      <w:r w:rsidRPr="00764A62">
        <w:rPr>
          <w:rFonts w:cs="Arial"/>
        </w:rPr>
        <w:t xml:space="preserve">in which </w:t>
      </w:r>
      <w:r>
        <w:rPr>
          <w:rFonts w:cs="Arial"/>
        </w:rPr>
        <w:t>EGMs</w:t>
      </w:r>
      <w:r w:rsidR="00854CAB">
        <w:rPr>
          <w:rFonts w:cs="Arial"/>
        </w:rPr>
        <w:t xml:space="preserve"> are prohibited.</w:t>
      </w:r>
      <w:r w:rsidR="0067068E">
        <w:rPr>
          <w:rFonts w:cs="Arial"/>
        </w:rPr>
        <w:t xml:space="preserve"> </w:t>
      </w:r>
      <w:r w:rsidR="00EF6371">
        <w:rPr>
          <w:rFonts w:cs="Arial"/>
        </w:rPr>
        <w:t>Most have described the shopping complexes using the streets if it is on a corner or the street numbers if it is not. Where appropriate, the streets surrounding the shopping complex have been used. Some described properties to be included or excluded using the lot number or folio number (refer to Table 12).</w:t>
      </w:r>
    </w:p>
    <w:p w:rsidR="00EF6371" w:rsidRPr="00EF6371" w:rsidRDefault="00EF6371" w:rsidP="00EF6371">
      <w:pPr>
        <w:rPr>
          <w:rFonts w:cs="Arial"/>
        </w:rPr>
      </w:pPr>
      <w:r>
        <w:rPr>
          <w:rFonts w:cs="Arial"/>
        </w:rPr>
        <w:t>The Schedule to Clause 52.28-3 of the Melbourne Planning Scheme currently includes a list of shopping complexes in which EGMs are prohibited.  However, this will be updated to include QV Melbourne, Emporium, Harbour Town, DFO South Wharf and Spencer Street Outlet Centre.</w:t>
      </w:r>
    </w:p>
    <w:p w:rsidR="0071477F" w:rsidRDefault="0071477F" w:rsidP="0071477F">
      <w:pPr>
        <w:pStyle w:val="Caption"/>
      </w:pPr>
      <w:bookmarkStart w:id="145" w:name="_Toc494206930"/>
      <w:bookmarkStart w:id="146" w:name="_Toc494287829"/>
      <w:r w:rsidRPr="0071477F">
        <w:t xml:space="preserve">Table </w:t>
      </w:r>
      <w:r w:rsidR="00802F28">
        <w:fldChar w:fldCharType="begin"/>
      </w:r>
      <w:r w:rsidR="00802F28">
        <w:instrText xml:space="preserve"> SEQ Table \* ARABIC </w:instrText>
      </w:r>
      <w:r w:rsidR="00802F28">
        <w:fldChar w:fldCharType="separate"/>
      </w:r>
      <w:r w:rsidRPr="0071477F">
        <w:rPr>
          <w:noProof/>
        </w:rPr>
        <w:t>12</w:t>
      </w:r>
      <w:r w:rsidR="00802F28">
        <w:rPr>
          <w:noProof/>
        </w:rPr>
        <w:fldChar w:fldCharType="end"/>
      </w:r>
      <w:r w:rsidRPr="0071477F">
        <w:t xml:space="preserve"> – Description of shopping complexes</w:t>
      </w:r>
      <w:bookmarkEnd w:id="145"/>
      <w:bookmarkEnd w:id="146"/>
    </w:p>
    <w:tbl>
      <w:tblPr>
        <w:tblStyle w:val="ListTable3"/>
        <w:tblW w:w="5000" w:type="pct"/>
        <w:tblLook w:val="04A0" w:firstRow="1" w:lastRow="0" w:firstColumn="1" w:lastColumn="0" w:noHBand="0" w:noVBand="1"/>
      </w:tblPr>
      <w:tblGrid>
        <w:gridCol w:w="2756"/>
        <w:gridCol w:w="6486"/>
      </w:tblGrid>
      <w:tr w:rsidR="0067068E" w:rsidRPr="00315894" w:rsidTr="0067068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91" w:type="pct"/>
          </w:tcPr>
          <w:p w:rsidR="0067068E" w:rsidRDefault="0067068E" w:rsidP="00315894">
            <w:r>
              <w:t>Planning scheme</w:t>
            </w:r>
          </w:p>
        </w:tc>
        <w:tc>
          <w:tcPr>
            <w:tcW w:w="3509" w:type="pct"/>
          </w:tcPr>
          <w:p w:rsidR="0067068E" w:rsidRDefault="0067068E" w:rsidP="00315894">
            <w:pPr>
              <w:cnfStyle w:val="100000000000" w:firstRow="1" w:lastRow="0" w:firstColumn="0" w:lastColumn="0" w:oddVBand="0" w:evenVBand="0" w:oddHBand="0" w:evenHBand="0" w:firstRowFirstColumn="0" w:firstRowLastColumn="0" w:lastRowFirstColumn="0" w:lastRowLastColumn="0"/>
            </w:pPr>
            <w:r>
              <w:t>Description details</w:t>
            </w:r>
          </w:p>
        </w:tc>
      </w:tr>
      <w:tr w:rsidR="00315894" w:rsidRPr="00315894" w:rsidTr="00670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tcPr>
          <w:p w:rsidR="00315894" w:rsidRPr="00315894" w:rsidRDefault="00315894" w:rsidP="00315894">
            <w:r>
              <w:t>Macedon Ranges (street address and description)</w:t>
            </w:r>
          </w:p>
        </w:tc>
        <w:tc>
          <w:tcPr>
            <w:tcW w:w="3509" w:type="pct"/>
          </w:tcPr>
          <w:p w:rsidR="00315894" w:rsidRPr="00315894" w:rsidRDefault="000E71F1" w:rsidP="00315894">
            <w:pPr>
              <w:cnfStyle w:val="000000100000" w:firstRow="0" w:lastRow="0" w:firstColumn="0" w:lastColumn="0" w:oddVBand="0" w:evenVBand="0" w:oddHBand="1" w:evenHBand="0" w:firstRowFirstColumn="0" w:firstRowLastColumn="0" w:lastRowFirstColumn="0" w:lastRowLastColumn="0"/>
            </w:pPr>
            <w:r>
              <w:t xml:space="preserve">Gisborne Village SC: </w:t>
            </w:r>
            <w:r w:rsidR="00315894">
              <w:t>Land known as 22 Brantome Street, Gisborne and all lots contained within the Gisborne Village Shopping Centre.</w:t>
            </w:r>
          </w:p>
        </w:tc>
      </w:tr>
      <w:tr w:rsidR="00315894" w:rsidRPr="00315894" w:rsidTr="0067068E">
        <w:tc>
          <w:tcPr>
            <w:cnfStyle w:val="001000000000" w:firstRow="0" w:lastRow="0" w:firstColumn="1" w:lastColumn="0" w:oddVBand="0" w:evenVBand="0" w:oddHBand="0" w:evenHBand="0" w:firstRowFirstColumn="0" w:firstRowLastColumn="0" w:lastRowFirstColumn="0" w:lastRowLastColumn="0"/>
            <w:tcW w:w="1491" w:type="pct"/>
          </w:tcPr>
          <w:p w:rsidR="00315894" w:rsidRPr="00315894" w:rsidRDefault="00315894" w:rsidP="00315894">
            <w:r>
              <w:t>Manningham (description using streets)</w:t>
            </w:r>
          </w:p>
        </w:tc>
        <w:tc>
          <w:tcPr>
            <w:tcW w:w="3509" w:type="pct"/>
          </w:tcPr>
          <w:p w:rsidR="00315894" w:rsidRPr="00315894" w:rsidRDefault="000E71F1" w:rsidP="00315894">
            <w:pPr>
              <w:cnfStyle w:val="000000000000" w:firstRow="0" w:lastRow="0" w:firstColumn="0" w:lastColumn="0" w:oddVBand="0" w:evenVBand="0" w:oddHBand="0" w:evenHBand="0" w:firstRowFirstColumn="0" w:firstRowLastColumn="0" w:lastRowFirstColumn="0" w:lastRowLastColumn="0"/>
            </w:pPr>
            <w:r>
              <w:t xml:space="preserve">Westfield Doncaster: </w:t>
            </w:r>
            <w:r w:rsidR="00315894">
              <w:t>Land on the northwest corner of Grant Olson Avenue and Manningham Rd, Bulleen</w:t>
            </w:r>
          </w:p>
        </w:tc>
      </w:tr>
      <w:tr w:rsidR="00315894" w:rsidRPr="00315894" w:rsidTr="00670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tcPr>
          <w:p w:rsidR="00315894" w:rsidRPr="00315894" w:rsidRDefault="00315894" w:rsidP="00315894">
            <w:r>
              <w:t>Maribyrnong (description using streets and street address)</w:t>
            </w:r>
          </w:p>
        </w:tc>
        <w:tc>
          <w:tcPr>
            <w:tcW w:w="3509" w:type="pct"/>
          </w:tcPr>
          <w:p w:rsidR="00315894" w:rsidRDefault="000E71F1" w:rsidP="00315894">
            <w:pPr>
              <w:cnfStyle w:val="000000100000" w:firstRow="0" w:lastRow="0" w:firstColumn="0" w:lastColumn="0" w:oddVBand="0" w:evenVBand="0" w:oddHBand="1" w:evenHBand="0" w:firstRowFirstColumn="0" w:firstRowLastColumn="0" w:lastRowFirstColumn="0" w:lastRowLastColumn="0"/>
            </w:pPr>
            <w:r>
              <w:t xml:space="preserve">Highpoint SC: </w:t>
            </w:r>
            <w:r w:rsidR="00315894">
              <w:t>Land on the east side of Rosamond Road, Maribyrnong, bounded on the north by the rear boundary of lots fronting Bloomfield Avenue, on the south by the Robert Barratt Reserve and on the east by Warrs Road.</w:t>
            </w:r>
          </w:p>
          <w:p w:rsidR="00315894" w:rsidRPr="00315894" w:rsidRDefault="000E71F1" w:rsidP="00315894">
            <w:pPr>
              <w:cnfStyle w:val="000000100000" w:firstRow="0" w:lastRow="0" w:firstColumn="0" w:lastColumn="0" w:oddVBand="0" w:evenVBand="0" w:oddHBand="1" w:evenHBand="0" w:firstRowFirstColumn="0" w:firstRowLastColumn="0" w:lastRowFirstColumn="0" w:lastRowLastColumn="0"/>
            </w:pPr>
            <w:r>
              <w:t xml:space="preserve">Central West Major Activity Centre: </w:t>
            </w:r>
            <w:r w:rsidR="00315894">
              <w:t>Land at the corner of Ashley Street and South Road, known as 41-67 Ashley Street, Braybrook.</w:t>
            </w:r>
          </w:p>
        </w:tc>
      </w:tr>
      <w:tr w:rsidR="0016263A" w:rsidRPr="00315894" w:rsidTr="0067068E">
        <w:tc>
          <w:tcPr>
            <w:cnfStyle w:val="001000000000" w:firstRow="0" w:lastRow="0" w:firstColumn="1" w:lastColumn="0" w:oddVBand="0" w:evenVBand="0" w:oddHBand="0" w:evenHBand="0" w:firstRowFirstColumn="0" w:firstRowLastColumn="0" w:lastRowFirstColumn="0" w:lastRowLastColumn="0"/>
            <w:tcW w:w="1491" w:type="pct"/>
          </w:tcPr>
          <w:p w:rsidR="0016263A" w:rsidRDefault="0016263A" w:rsidP="00315894">
            <w:r>
              <w:t xml:space="preserve">Monash (precinct description also includes street address), </w:t>
            </w:r>
          </w:p>
        </w:tc>
        <w:tc>
          <w:tcPr>
            <w:tcW w:w="3509" w:type="pct"/>
          </w:tcPr>
          <w:p w:rsidR="0016263A" w:rsidRDefault="00890D5C" w:rsidP="00315894">
            <w:pPr>
              <w:cnfStyle w:val="000000000000" w:firstRow="0" w:lastRow="0" w:firstColumn="0" w:lastColumn="0" w:oddVBand="0" w:evenVBand="0" w:oddHBand="0" w:evenHBand="0" w:firstRowFirstColumn="0" w:firstRowLastColumn="0" w:lastRowFirstColumn="0" w:lastRowLastColumn="0"/>
            </w:pPr>
            <w:r>
              <w:t xml:space="preserve">Oakleigh Central Plaza SC: </w:t>
            </w:r>
            <w:r w:rsidR="0016263A">
              <w:t>Land bounded by Hanover St, Portman St, and the railway line, Oakleigh</w:t>
            </w:r>
          </w:p>
          <w:p w:rsidR="0016263A" w:rsidRDefault="00890D5C" w:rsidP="00315894">
            <w:pPr>
              <w:cnfStyle w:val="000000000000" w:firstRow="0" w:lastRow="0" w:firstColumn="0" w:lastColumn="0" w:oddVBand="0" w:evenVBand="0" w:oddHBand="0" w:evenHBand="0" w:firstRowFirstColumn="0" w:firstRowLastColumn="0" w:lastRowFirstColumn="0" w:lastRowLastColumn="0"/>
            </w:pPr>
            <w:r>
              <w:t xml:space="preserve">Brandon Park SC: </w:t>
            </w:r>
            <w:r w:rsidR="0016263A">
              <w:t>602 - 620 Ferntree Gully Rd, Wheelers Hill, being land bounded by Ferntree Gully Rd, Springvale Rd, Magid Avenue and Brandon Park Drive, Wheelers Hill</w:t>
            </w:r>
          </w:p>
        </w:tc>
      </w:tr>
      <w:tr w:rsidR="0016263A" w:rsidRPr="00315894" w:rsidTr="00670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tcPr>
          <w:p w:rsidR="0016263A" w:rsidRDefault="0016263A" w:rsidP="00315894">
            <w:r>
              <w:t>Moonee Valley (street description but excludes a relevant section)</w:t>
            </w:r>
          </w:p>
        </w:tc>
        <w:tc>
          <w:tcPr>
            <w:tcW w:w="3509" w:type="pct"/>
          </w:tcPr>
          <w:p w:rsidR="0016263A" w:rsidRDefault="00890D5C" w:rsidP="00315894">
            <w:pPr>
              <w:cnfStyle w:val="000000100000" w:firstRow="0" w:lastRow="0" w:firstColumn="0" w:lastColumn="0" w:oddVBand="0" w:evenVBand="0" w:oddHBand="1" w:evenHBand="0" w:firstRowFirstColumn="0" w:firstRowLastColumn="0" w:lastRowFirstColumn="0" w:lastRowLastColumn="0"/>
            </w:pPr>
            <w:r>
              <w:t xml:space="preserve">Airport West SC: </w:t>
            </w:r>
            <w:r w:rsidR="0016263A">
              <w:t>Land on the west side of Mathews Ave, Airport West, not including the Skyways Hotel</w:t>
            </w:r>
          </w:p>
        </w:tc>
      </w:tr>
      <w:tr w:rsidR="0016263A" w:rsidRPr="00315894" w:rsidTr="0067068E">
        <w:tc>
          <w:tcPr>
            <w:cnfStyle w:val="001000000000" w:firstRow="0" w:lastRow="0" w:firstColumn="1" w:lastColumn="0" w:oddVBand="0" w:evenVBand="0" w:oddHBand="0" w:evenHBand="0" w:firstRowFirstColumn="0" w:firstRowLastColumn="0" w:lastRowFirstColumn="0" w:lastRowLastColumn="0"/>
            <w:tcW w:w="1491" w:type="pct"/>
          </w:tcPr>
          <w:p w:rsidR="0016263A" w:rsidRDefault="0016263A" w:rsidP="00315894">
            <w:r>
              <w:t>Moreland (street description including a relevant section)</w:t>
            </w:r>
          </w:p>
        </w:tc>
        <w:tc>
          <w:tcPr>
            <w:tcW w:w="3509" w:type="pct"/>
          </w:tcPr>
          <w:p w:rsidR="0016263A" w:rsidRDefault="00890D5C" w:rsidP="00315894">
            <w:pPr>
              <w:cnfStyle w:val="000000000000" w:firstRow="0" w:lastRow="0" w:firstColumn="0" w:lastColumn="0" w:oddVBand="0" w:evenVBand="0" w:oddHBand="0" w:evenHBand="0" w:firstRowFirstColumn="0" w:firstRowLastColumn="0" w:lastRowFirstColumn="0" w:lastRowLastColumn="0"/>
            </w:pPr>
            <w:r>
              <w:t xml:space="preserve">Barkly Square SC: </w:t>
            </w:r>
            <w:r w:rsidR="0016263A">
              <w:t>90-106 Sydney Road, Brunswick, including land extending approximately 400 metres east of Sydney Road south of Weston Street and north of Barkly Street.</w:t>
            </w:r>
          </w:p>
        </w:tc>
      </w:tr>
      <w:tr w:rsidR="0016263A" w:rsidRPr="00315894" w:rsidTr="00670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tcPr>
          <w:p w:rsidR="0016263A" w:rsidRDefault="0016263A" w:rsidP="00315894">
            <w:r>
              <w:t>Hume (street address and lot/folio number)</w:t>
            </w:r>
          </w:p>
        </w:tc>
        <w:tc>
          <w:tcPr>
            <w:tcW w:w="3509" w:type="pct"/>
          </w:tcPr>
          <w:p w:rsidR="0016263A" w:rsidRDefault="000E71F1" w:rsidP="00315894">
            <w:pPr>
              <w:cnfStyle w:val="000000100000" w:firstRow="0" w:lastRow="0" w:firstColumn="0" w:lastColumn="0" w:oddVBand="0" w:evenVBand="0" w:oddHBand="1" w:evenHBand="0" w:firstRowFirstColumn="0" w:firstRowLastColumn="0" w:lastRowFirstColumn="0" w:lastRowLastColumn="0"/>
            </w:pPr>
            <w:r>
              <w:t xml:space="preserve">Broadmeadows Transit City: </w:t>
            </w:r>
            <w:r w:rsidR="0016263A">
              <w:t>Land bounded by Pascoe Vale Road, Riggall Street and Pearcedale Parade, Broadmeadows except for land known as Lot 1 PS 326521D (Vol 10149 Folio 129)</w:t>
            </w:r>
          </w:p>
        </w:tc>
      </w:tr>
      <w:tr w:rsidR="0016263A" w:rsidRPr="00315894" w:rsidTr="0067068E">
        <w:tc>
          <w:tcPr>
            <w:cnfStyle w:val="001000000000" w:firstRow="0" w:lastRow="0" w:firstColumn="1" w:lastColumn="0" w:oddVBand="0" w:evenVBand="0" w:oddHBand="0" w:evenHBand="0" w:firstRowFirstColumn="0" w:firstRowLastColumn="0" w:lastRowFirstColumn="0" w:lastRowLastColumn="0"/>
            <w:tcW w:w="1491" w:type="pct"/>
          </w:tcPr>
          <w:p w:rsidR="0016263A" w:rsidRDefault="000E71F1" w:rsidP="00315894">
            <w:r>
              <w:t>Cardinia (included the entire urban growth zone with some exclusions, subdivision and consolidation descriptions</w:t>
            </w:r>
          </w:p>
        </w:tc>
        <w:tc>
          <w:tcPr>
            <w:tcW w:w="3509" w:type="pct"/>
          </w:tcPr>
          <w:p w:rsidR="0016263A" w:rsidRDefault="000E71F1" w:rsidP="00315894">
            <w:pPr>
              <w:cnfStyle w:val="000000000000" w:firstRow="0" w:lastRow="0" w:firstColumn="0" w:lastColumn="0" w:oddVBand="0" w:evenVBand="0" w:oddHBand="0" w:evenHBand="0" w:firstRowFirstColumn="0" w:firstRowLastColumn="0" w:lastRowFirstColumn="0" w:lastRowLastColumn="0"/>
            </w:pPr>
            <w:r>
              <w:t>Officer Town Centre : All land in Urban Growth Zone 4 (UGZ4) other than Town Centre Precincts ‘Gateway’ and ‘Highway Business’ shown in Plan 2 of UGZ4.</w:t>
            </w:r>
          </w:p>
          <w:p w:rsidR="000E71F1" w:rsidRDefault="000E71F1" w:rsidP="00315894">
            <w:pPr>
              <w:cnfStyle w:val="000000000000" w:firstRow="0" w:lastRow="0" w:firstColumn="0" w:lastColumn="0" w:oddVBand="0" w:evenVBand="0" w:oddHBand="0" w:evenHBand="0" w:firstRowFirstColumn="0" w:firstRowLastColumn="0" w:lastRowFirstColumn="0" w:lastRowLastColumn="0"/>
            </w:pPr>
            <w:r>
              <w:t>Arena Shopping Centre: Lot R in Plan of Subdivision PS625955</w:t>
            </w:r>
          </w:p>
          <w:p w:rsidR="000E71F1" w:rsidRDefault="000E71F1" w:rsidP="00315894">
            <w:pPr>
              <w:cnfStyle w:val="000000000000" w:firstRow="0" w:lastRow="0" w:firstColumn="0" w:lastColumn="0" w:oddVBand="0" w:evenVBand="0" w:oddHBand="0" w:evenHBand="0" w:firstRowFirstColumn="0" w:firstRowLastColumn="0" w:lastRowFirstColumn="0" w:lastRowLastColumn="0"/>
            </w:pPr>
            <w:r>
              <w:t>Lakeside Square Shopping Centre: Lot 1042 in Plan of Subdivision PS640819</w:t>
            </w:r>
          </w:p>
        </w:tc>
      </w:tr>
      <w:tr w:rsidR="0016263A" w:rsidRPr="00315894" w:rsidTr="00670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pct"/>
          </w:tcPr>
          <w:p w:rsidR="0016263A" w:rsidRDefault="00572309" w:rsidP="00315894">
            <w:r>
              <w:t>Wyndham (description including formal lot/folio)</w:t>
            </w:r>
          </w:p>
        </w:tc>
        <w:tc>
          <w:tcPr>
            <w:tcW w:w="3509" w:type="pct"/>
          </w:tcPr>
          <w:p w:rsidR="0016263A" w:rsidRDefault="00572309" w:rsidP="00315894">
            <w:pPr>
              <w:cnfStyle w:val="000000100000" w:firstRow="0" w:lastRow="0" w:firstColumn="0" w:lastColumn="0" w:oddVBand="0" w:evenVBand="0" w:oddHBand="1" w:evenHBand="0" w:firstRowFirstColumn="0" w:firstRowLastColumn="0" w:lastRowFirstColumn="0" w:lastRowLastColumn="0"/>
            </w:pPr>
            <w:r>
              <w:t>Hoppers Crossing SC: Land bounded by Morris Road, Old Geelong Road and the railway line, comprising Pt CP154132, No’s 2-42,50,50A and Reserve PS335092 Old Geelong Road, Hoppers Crossing.</w:t>
            </w:r>
          </w:p>
        </w:tc>
      </w:tr>
    </w:tbl>
    <w:p w:rsidR="0067068E" w:rsidRDefault="0067068E" w:rsidP="005E227D">
      <w:pPr>
        <w:rPr>
          <w:rFonts w:cs="Arial"/>
        </w:rPr>
      </w:pPr>
    </w:p>
    <w:p w:rsidR="005E227D" w:rsidRPr="00764A62" w:rsidRDefault="005E227D" w:rsidP="005E227D">
      <w:pPr>
        <w:rPr>
          <w:rFonts w:cs="Arial"/>
        </w:rPr>
      </w:pPr>
      <w:r>
        <w:rPr>
          <w:rFonts w:cs="Arial"/>
        </w:rPr>
        <w:t>Some</w:t>
      </w:r>
      <w:r w:rsidRPr="00764A62">
        <w:rPr>
          <w:rFonts w:cs="Arial"/>
        </w:rPr>
        <w:t xml:space="preserve"> municipalities such as Monash and Moonee Valley have included a list of strip shopping centres in which </w:t>
      </w:r>
      <w:r>
        <w:rPr>
          <w:rFonts w:cs="Arial"/>
        </w:rPr>
        <w:t>EGMs</w:t>
      </w:r>
      <w:r w:rsidRPr="00764A62">
        <w:rPr>
          <w:rFonts w:cs="Arial"/>
        </w:rPr>
        <w:t xml:space="preserve"> are prohibited under Clause 52.28-4. Other municipalities such as Cardinia, Wyndham and </w:t>
      </w:r>
      <w:r>
        <w:rPr>
          <w:rFonts w:cs="Arial"/>
        </w:rPr>
        <w:t>Moreland</w:t>
      </w:r>
      <w:r w:rsidRPr="00764A62">
        <w:rPr>
          <w:rFonts w:cs="Arial"/>
        </w:rPr>
        <w:t xml:space="preserve"> have prohibited the inclusion of </w:t>
      </w:r>
      <w:r>
        <w:rPr>
          <w:rFonts w:cs="Arial"/>
        </w:rPr>
        <w:t>EGMs</w:t>
      </w:r>
      <w:r w:rsidRPr="00764A62">
        <w:rPr>
          <w:rFonts w:cs="Arial"/>
        </w:rPr>
        <w:t xml:space="preserve"> in all strip shopping centres under Clause 52.28-4</w:t>
      </w:r>
      <w:r>
        <w:rPr>
          <w:rFonts w:cs="Arial"/>
        </w:rPr>
        <w:t xml:space="preserve"> using the following wording:</w:t>
      </w:r>
    </w:p>
    <w:p w:rsidR="005E227D" w:rsidRDefault="005E227D" w:rsidP="005E227D">
      <w:pPr>
        <w:ind w:left="720"/>
        <w:rPr>
          <w:rFonts w:cstheme="minorHAnsi"/>
        </w:rPr>
      </w:pPr>
      <w:r w:rsidRPr="0058141A">
        <w:rPr>
          <w:rFonts w:cstheme="minorHAnsi"/>
          <w:i/>
        </w:rPr>
        <w:t>A gaming machine is prohibited in all strip shopping centres on land covered by this planning scheme</w:t>
      </w:r>
      <w:r w:rsidRPr="0099464A">
        <w:rPr>
          <w:rFonts w:cstheme="minorHAnsi"/>
        </w:rPr>
        <w:t xml:space="preserve"> (Moreland)</w:t>
      </w:r>
    </w:p>
    <w:p w:rsidR="0067068E" w:rsidRDefault="0067068E">
      <w:pPr>
        <w:spacing w:line="276" w:lineRule="auto"/>
        <w:ind w:left="720"/>
        <w:rPr>
          <w:rFonts w:eastAsiaTheme="majorEastAsia" w:cstheme="majorBidi"/>
          <w:b/>
          <w:bCs/>
          <w:caps/>
          <w:color w:val="365F91" w:themeColor="accent1" w:themeShade="BF"/>
          <w:sz w:val="28"/>
          <w:szCs w:val="28"/>
        </w:rPr>
      </w:pPr>
      <w:r>
        <w:br w:type="page"/>
      </w:r>
    </w:p>
    <w:p w:rsidR="005933D8" w:rsidRDefault="00051F9D" w:rsidP="00B421DE">
      <w:pPr>
        <w:pStyle w:val="Heading1"/>
        <w:numPr>
          <w:ilvl w:val="0"/>
          <w:numId w:val="0"/>
        </w:numPr>
        <w:spacing w:before="0" w:after="120"/>
        <w:rPr>
          <w:caps w:val="0"/>
        </w:rPr>
      </w:pPr>
      <w:bookmarkStart w:id="147" w:name="_Toc494287782"/>
      <w:r w:rsidRPr="00536569">
        <w:rPr>
          <w:caps w:val="0"/>
        </w:rPr>
        <w:t xml:space="preserve">Appendix 1 – </w:t>
      </w:r>
      <w:r>
        <w:rPr>
          <w:caps w:val="0"/>
        </w:rPr>
        <w:t>Bibliography and references</w:t>
      </w:r>
      <w:bookmarkEnd w:id="147"/>
    </w:p>
    <w:p w:rsidR="0071477F" w:rsidRPr="0071477F" w:rsidRDefault="0071477F" w:rsidP="0071477F">
      <w:pPr>
        <w:pStyle w:val="FootnoteText"/>
        <w:spacing w:after="120"/>
        <w:rPr>
          <w:rFonts w:asciiTheme="minorHAnsi" w:hAnsiTheme="minorHAnsi" w:cstheme="minorHAnsi"/>
          <w:color w:val="222222"/>
          <w:szCs w:val="22"/>
          <w:shd w:val="clear" w:color="auto" w:fill="FFFFFF"/>
        </w:rPr>
      </w:pPr>
      <w:r w:rsidRPr="0071477F">
        <w:rPr>
          <w:rFonts w:asciiTheme="minorHAnsi" w:hAnsiTheme="minorHAnsi" w:cstheme="minorHAnsi"/>
          <w:szCs w:val="22"/>
        </w:rPr>
        <w:t>Adams, PJ &amp; Wiles, J (2016), ‘Gambling machine annexes as enabling spaces for addictive engagement’, Health &amp; Place, vol. 43, pp. 1–7</w:t>
      </w:r>
    </w:p>
    <w:p w:rsidR="0071477F" w:rsidRPr="0071477F" w:rsidRDefault="0071477F" w:rsidP="0071477F">
      <w:pPr>
        <w:pStyle w:val="FootnoteText"/>
        <w:spacing w:after="120"/>
        <w:rPr>
          <w:rFonts w:asciiTheme="minorHAnsi" w:hAnsiTheme="minorHAnsi" w:cstheme="minorHAnsi"/>
          <w:color w:val="222222"/>
          <w:szCs w:val="22"/>
          <w:shd w:val="clear" w:color="auto" w:fill="FFFFFF"/>
        </w:rPr>
      </w:pPr>
      <w:r w:rsidRPr="0071477F">
        <w:rPr>
          <w:rFonts w:asciiTheme="minorHAnsi" w:hAnsiTheme="minorHAnsi" w:cstheme="minorHAnsi"/>
          <w:color w:val="222222"/>
          <w:szCs w:val="22"/>
          <w:shd w:val="clear" w:color="auto" w:fill="FFFFFF"/>
        </w:rPr>
        <w:t>Andrew Harris &amp; Mark D. Griffiths, (2017), A Critical Review of the Harm-Minimisation Tools Available for Electronic Gambling,</w:t>
      </w:r>
      <w:r w:rsidRPr="0071477F">
        <w:rPr>
          <w:rStyle w:val="apple-converted-space"/>
          <w:rFonts w:asciiTheme="minorHAnsi" w:eastAsiaTheme="majorEastAsia" w:hAnsiTheme="minorHAnsi" w:cstheme="minorHAnsi"/>
          <w:color w:val="222222"/>
          <w:szCs w:val="22"/>
          <w:shd w:val="clear" w:color="auto" w:fill="FFFFFF"/>
        </w:rPr>
        <w:t> </w:t>
      </w:r>
      <w:r w:rsidRPr="0071477F">
        <w:rPr>
          <w:rStyle w:val="Emphasis"/>
          <w:rFonts w:asciiTheme="minorHAnsi" w:hAnsiTheme="minorHAnsi" w:cstheme="minorHAnsi"/>
          <w:color w:val="222222"/>
          <w:szCs w:val="22"/>
          <w:shd w:val="clear" w:color="auto" w:fill="FFFFFF"/>
        </w:rPr>
        <w:t>Journal of Gambling Studies</w:t>
      </w:r>
      <w:r w:rsidRPr="0071477F">
        <w:rPr>
          <w:rFonts w:asciiTheme="minorHAnsi" w:hAnsiTheme="minorHAnsi" w:cstheme="minorHAnsi"/>
          <w:color w:val="222222"/>
          <w:szCs w:val="22"/>
          <w:shd w:val="clear" w:color="auto" w:fill="FFFFFF"/>
        </w:rPr>
        <w:t>, March Vol.33 Issue 1 pp.187-221</w:t>
      </w:r>
    </w:p>
    <w:p w:rsidR="0071477F" w:rsidRPr="0071477F" w:rsidRDefault="0071477F" w:rsidP="0071477F">
      <w:pPr>
        <w:rPr>
          <w:rFonts w:asciiTheme="minorHAnsi" w:hAnsiTheme="minorHAnsi" w:cstheme="minorHAnsi"/>
          <w:szCs w:val="22"/>
        </w:rPr>
      </w:pPr>
      <w:r w:rsidRPr="0071477F">
        <w:rPr>
          <w:rFonts w:asciiTheme="minorHAnsi" w:hAnsiTheme="minorHAnsi" w:cstheme="minorHAnsi"/>
          <w:color w:val="002639"/>
          <w:szCs w:val="22"/>
          <w:shd w:val="clear" w:color="auto" w:fill="FFFFFF"/>
        </w:rPr>
        <w:t xml:space="preserve">Auckland University of Technology (2017) </w:t>
      </w:r>
      <w:r w:rsidRPr="0071477F">
        <w:rPr>
          <w:rFonts w:asciiTheme="minorHAnsi" w:hAnsiTheme="minorHAnsi" w:cstheme="minorHAnsi"/>
          <w:i/>
          <w:color w:val="002639"/>
          <w:szCs w:val="22"/>
          <w:shd w:val="clear" w:color="auto" w:fill="FFFFFF"/>
        </w:rPr>
        <w:t>Problem Gambling and Family Violence in Help-Seeking Populations: Co-Occurrence, Impact and Coping</w:t>
      </w:r>
      <w:r w:rsidRPr="0071477F">
        <w:rPr>
          <w:rFonts w:asciiTheme="minorHAnsi" w:hAnsiTheme="minorHAnsi" w:cstheme="minorHAnsi"/>
          <w:color w:val="002639"/>
          <w:szCs w:val="22"/>
          <w:shd w:val="clear" w:color="auto" w:fill="FFFFFF"/>
        </w:rPr>
        <w:t>. Wellington: Ministry of Health.</w:t>
      </w:r>
    </w:p>
    <w:p w:rsidR="0071477F" w:rsidRPr="0071477F" w:rsidRDefault="0071477F" w:rsidP="0071477F">
      <w:pPr>
        <w:rPr>
          <w:rFonts w:asciiTheme="minorHAnsi" w:hAnsiTheme="minorHAnsi" w:cstheme="minorHAnsi"/>
          <w:iCs/>
          <w:szCs w:val="22"/>
        </w:rPr>
      </w:pPr>
      <w:r w:rsidRPr="0071477F">
        <w:rPr>
          <w:rFonts w:asciiTheme="minorHAnsi" w:hAnsiTheme="minorHAnsi" w:cstheme="minorHAnsi"/>
          <w:szCs w:val="22"/>
        </w:rPr>
        <w:t xml:space="preserve">Australian Government Productivity Commission (2010) </w:t>
      </w:r>
      <w:r w:rsidRPr="0071477F">
        <w:rPr>
          <w:rFonts w:asciiTheme="minorHAnsi" w:hAnsiTheme="minorHAnsi" w:cstheme="minorHAnsi"/>
          <w:i/>
          <w:iCs/>
          <w:szCs w:val="22"/>
        </w:rPr>
        <w:t xml:space="preserve">Productivity Commission Inquiry Report, Gambling </w:t>
      </w:r>
      <w:r w:rsidRPr="0071477F">
        <w:rPr>
          <w:rFonts w:asciiTheme="minorHAnsi" w:hAnsiTheme="minorHAnsi" w:cstheme="minorHAnsi"/>
          <w:iCs/>
          <w:szCs w:val="22"/>
        </w:rPr>
        <w:t>No. 50</w:t>
      </w:r>
    </w:p>
    <w:p w:rsidR="0071477F" w:rsidRPr="0071477F" w:rsidRDefault="0071477F" w:rsidP="0071477F">
      <w:pPr>
        <w:pStyle w:val="EndnoteText"/>
        <w:spacing w:after="120"/>
        <w:rPr>
          <w:rFonts w:asciiTheme="minorHAnsi" w:hAnsiTheme="minorHAnsi" w:cstheme="minorHAnsi"/>
          <w:szCs w:val="22"/>
        </w:rPr>
      </w:pPr>
      <w:r w:rsidRPr="0071477F">
        <w:rPr>
          <w:rFonts w:asciiTheme="minorHAnsi" w:hAnsiTheme="minorHAnsi" w:cstheme="minorHAnsi"/>
          <w:color w:val="222222"/>
          <w:szCs w:val="22"/>
          <w:shd w:val="clear" w:color="auto" w:fill="FFFFFF"/>
        </w:rPr>
        <w:t xml:space="preserve">Barratt, M.J., Livingston, M., Matthews, S., &amp; Clemens S.L. (2014) 'Gambling machine density if correlated with rates of help-seeking for problem gambling: a local area analysis in Victoria, Australia,' </w:t>
      </w:r>
      <w:r w:rsidRPr="0071477F">
        <w:rPr>
          <w:rFonts w:asciiTheme="minorHAnsi" w:hAnsiTheme="minorHAnsi" w:cstheme="minorHAnsi"/>
          <w:i/>
          <w:color w:val="222222"/>
          <w:szCs w:val="22"/>
          <w:shd w:val="clear" w:color="auto" w:fill="FFFFFF"/>
        </w:rPr>
        <w:t>Journal of Gambling Issues</w:t>
      </w:r>
      <w:r w:rsidRPr="0071477F">
        <w:rPr>
          <w:rFonts w:asciiTheme="minorHAnsi" w:hAnsiTheme="minorHAnsi" w:cstheme="minorHAnsi"/>
          <w:color w:val="222222"/>
          <w:szCs w:val="22"/>
          <w:shd w:val="clear" w:color="auto" w:fill="FFFFFF"/>
        </w:rPr>
        <w:t xml:space="preserve"> online first 9 April 2014.</w:t>
      </w:r>
    </w:p>
    <w:p w:rsidR="0071477F" w:rsidRPr="0071477F" w:rsidRDefault="0071477F" w:rsidP="0071477F">
      <w:pPr>
        <w:pStyle w:val="FootnoteText"/>
        <w:spacing w:after="120"/>
        <w:rPr>
          <w:rFonts w:asciiTheme="minorHAnsi" w:hAnsiTheme="minorHAnsi" w:cstheme="minorHAnsi"/>
          <w:szCs w:val="22"/>
        </w:rPr>
      </w:pPr>
      <w:r w:rsidRPr="0071477F">
        <w:rPr>
          <w:rFonts w:asciiTheme="minorHAnsi" w:hAnsiTheme="minorHAnsi" w:cstheme="minorHAnsi"/>
          <w:color w:val="222222"/>
          <w:szCs w:val="22"/>
          <w:lang w:val="en"/>
        </w:rPr>
        <w:t xml:space="preserve">Browne, M, Langham, E, Rawat, V, Greer, N, Li, E, Rose, J, Rockloff, M, Donaldson, P, Thorne, H, Goodwin, B, Bryden, G &amp; Best, T  (2016) </w:t>
      </w:r>
      <w:r w:rsidRPr="0071477F">
        <w:rPr>
          <w:rStyle w:val="Emphasis"/>
          <w:rFonts w:asciiTheme="minorHAnsi" w:hAnsiTheme="minorHAnsi" w:cstheme="minorHAnsi"/>
          <w:color w:val="222222"/>
          <w:szCs w:val="22"/>
          <w:lang w:val="en"/>
        </w:rPr>
        <w:t>Assessing gambling-related harm in Victoria: a public health perspective,</w:t>
      </w:r>
      <w:r w:rsidRPr="0071477F">
        <w:rPr>
          <w:rFonts w:asciiTheme="minorHAnsi" w:hAnsiTheme="minorHAnsi" w:cstheme="minorHAnsi"/>
          <w:color w:val="222222"/>
          <w:szCs w:val="22"/>
          <w:lang w:val="en"/>
        </w:rPr>
        <w:t> Victorian Responsible Gambling Foundation, Melbourne.</w:t>
      </w:r>
    </w:p>
    <w:p w:rsidR="0071477F" w:rsidRPr="0071477F" w:rsidRDefault="0071477F" w:rsidP="0071477F">
      <w:pPr>
        <w:pStyle w:val="FootnoteText"/>
        <w:spacing w:after="120"/>
        <w:rPr>
          <w:rFonts w:asciiTheme="minorHAnsi" w:hAnsiTheme="minorHAnsi" w:cstheme="minorHAnsi"/>
          <w:color w:val="222222"/>
          <w:szCs w:val="22"/>
          <w:shd w:val="clear" w:color="auto" w:fill="FFFFFF"/>
        </w:rPr>
      </w:pPr>
      <w:r w:rsidRPr="0071477F">
        <w:rPr>
          <w:rFonts w:asciiTheme="minorHAnsi" w:hAnsiTheme="minorHAnsi" w:cstheme="minorHAnsi"/>
          <w:szCs w:val="22"/>
        </w:rPr>
        <w:t>Calado, F, Alexandre, J &amp; Griffiths, MD 2016, ‘Prevalence of adolescent problem gambling: a systematic review of recent research’, Journal of Gambling Studies, pp. 1–28.</w:t>
      </w:r>
    </w:p>
    <w:p w:rsidR="0071477F" w:rsidRPr="0071477F" w:rsidRDefault="0071477F" w:rsidP="0071477F">
      <w:pPr>
        <w:pStyle w:val="EndnoteText"/>
        <w:spacing w:after="120"/>
        <w:rPr>
          <w:rFonts w:asciiTheme="minorHAnsi" w:hAnsiTheme="minorHAnsi" w:cstheme="minorHAnsi"/>
          <w:szCs w:val="22"/>
        </w:rPr>
      </w:pPr>
      <w:r w:rsidRPr="0071477F">
        <w:rPr>
          <w:rFonts w:asciiTheme="minorHAnsi" w:hAnsiTheme="minorHAnsi" w:cstheme="minorHAnsi"/>
          <w:szCs w:val="22"/>
        </w:rPr>
        <w:t xml:space="preserve">Delfabbro, P &amp; Thrupp, L (2003), ‘The social determinants of youth gambling in South Australian adolescents’, </w:t>
      </w:r>
      <w:r w:rsidRPr="0071477F">
        <w:rPr>
          <w:rFonts w:asciiTheme="minorHAnsi" w:hAnsiTheme="minorHAnsi" w:cstheme="minorHAnsi"/>
          <w:i/>
          <w:iCs/>
          <w:szCs w:val="22"/>
        </w:rPr>
        <w:t>Journal of Adolescence</w:t>
      </w:r>
      <w:r w:rsidRPr="0071477F">
        <w:rPr>
          <w:rFonts w:asciiTheme="minorHAnsi" w:hAnsiTheme="minorHAnsi" w:cstheme="minorHAnsi"/>
          <w:szCs w:val="22"/>
        </w:rPr>
        <w:t>, vol. 26, no. 3, pp. 313–30.</w:t>
      </w:r>
    </w:p>
    <w:p w:rsidR="0071477F" w:rsidRPr="0071477F" w:rsidRDefault="0071477F" w:rsidP="0071477F">
      <w:pPr>
        <w:pStyle w:val="FootnoteText"/>
        <w:spacing w:after="120"/>
        <w:rPr>
          <w:rFonts w:asciiTheme="minorHAnsi" w:hAnsiTheme="minorHAnsi" w:cstheme="minorHAnsi"/>
          <w:i/>
          <w:szCs w:val="22"/>
        </w:rPr>
      </w:pPr>
      <w:r w:rsidRPr="0071477F">
        <w:rPr>
          <w:rFonts w:asciiTheme="minorHAnsi" w:hAnsiTheme="minorHAnsi" w:cstheme="minorHAnsi"/>
          <w:szCs w:val="22"/>
        </w:rPr>
        <w:t xml:space="preserve">Department of Justice (2008) </w:t>
      </w:r>
      <w:r w:rsidRPr="0071477F">
        <w:rPr>
          <w:rFonts w:asciiTheme="minorHAnsi" w:hAnsiTheme="minorHAnsi" w:cstheme="minorHAnsi"/>
          <w:i/>
          <w:szCs w:val="22"/>
        </w:rPr>
        <w:t xml:space="preserve">Destination Gaming. Evaluating the benefits for Victoria. A Taking action on Problem Gambling </w:t>
      </w:r>
      <w:r w:rsidRPr="0071477F">
        <w:rPr>
          <w:rFonts w:asciiTheme="minorHAnsi" w:hAnsiTheme="minorHAnsi" w:cstheme="minorHAnsi"/>
          <w:szCs w:val="22"/>
        </w:rPr>
        <w:t>Initiative.</w:t>
      </w:r>
    </w:p>
    <w:p w:rsidR="0071477F" w:rsidRPr="0071477F" w:rsidRDefault="0071477F" w:rsidP="0071477F">
      <w:pPr>
        <w:pStyle w:val="FootnoteText"/>
        <w:spacing w:after="120"/>
        <w:rPr>
          <w:rFonts w:asciiTheme="minorHAnsi" w:hAnsiTheme="minorHAnsi" w:cstheme="minorHAnsi"/>
          <w:szCs w:val="22"/>
        </w:rPr>
      </w:pPr>
      <w:r w:rsidRPr="0071477F">
        <w:rPr>
          <w:rFonts w:asciiTheme="minorHAnsi" w:hAnsiTheme="minorHAnsi" w:cstheme="minorHAnsi"/>
          <w:szCs w:val="22"/>
        </w:rPr>
        <w:t xml:space="preserve">Department of Justice (2009) </w:t>
      </w:r>
      <w:r w:rsidRPr="0071477F">
        <w:rPr>
          <w:rFonts w:asciiTheme="minorHAnsi" w:hAnsiTheme="minorHAnsi" w:cstheme="minorHAnsi"/>
          <w:i/>
          <w:iCs/>
          <w:szCs w:val="22"/>
        </w:rPr>
        <w:t xml:space="preserve">Problem gambling from a public health perspective </w:t>
      </w:r>
      <w:r w:rsidRPr="0071477F">
        <w:rPr>
          <w:rFonts w:asciiTheme="minorHAnsi" w:hAnsiTheme="minorHAnsi" w:cstheme="minorHAnsi"/>
          <w:szCs w:val="22"/>
        </w:rPr>
        <w:t>Factsheet 4, Profile of Problem Gambling Risk Segments</w:t>
      </w:r>
    </w:p>
    <w:p w:rsidR="0071477F" w:rsidRPr="0071477F" w:rsidRDefault="0071477F" w:rsidP="0071477F">
      <w:pPr>
        <w:pStyle w:val="FootnoteText"/>
        <w:spacing w:after="120"/>
        <w:rPr>
          <w:rFonts w:asciiTheme="minorHAnsi" w:hAnsiTheme="minorHAnsi" w:cstheme="minorHAnsi"/>
          <w:szCs w:val="22"/>
        </w:rPr>
      </w:pPr>
      <w:r w:rsidRPr="0071477F">
        <w:rPr>
          <w:rFonts w:asciiTheme="minorHAnsi" w:hAnsiTheme="minorHAnsi" w:cstheme="minorHAnsi"/>
          <w:iCs/>
          <w:szCs w:val="22"/>
        </w:rPr>
        <w:t xml:space="preserve">Department of Justice (undated) </w:t>
      </w:r>
      <w:r w:rsidRPr="0071477F">
        <w:rPr>
          <w:rFonts w:asciiTheme="minorHAnsi" w:hAnsiTheme="minorHAnsi" w:cstheme="minorHAnsi"/>
          <w:i/>
          <w:iCs/>
          <w:szCs w:val="22"/>
        </w:rPr>
        <w:t xml:space="preserve">A guide to using a health promotion approach to problem gambling </w:t>
      </w:r>
      <w:r w:rsidRPr="0071477F">
        <w:rPr>
          <w:rFonts w:asciiTheme="minorHAnsi" w:hAnsiTheme="minorHAnsi" w:cstheme="minorHAnsi"/>
          <w:szCs w:val="22"/>
        </w:rPr>
        <w:t>State Government of Victoria</w:t>
      </w:r>
    </w:p>
    <w:p w:rsidR="0071477F" w:rsidRPr="0071477F" w:rsidRDefault="0071477F" w:rsidP="0071477F">
      <w:pPr>
        <w:rPr>
          <w:rFonts w:asciiTheme="minorHAnsi" w:hAnsiTheme="minorHAnsi" w:cstheme="minorHAnsi"/>
          <w:szCs w:val="22"/>
        </w:rPr>
      </w:pPr>
      <w:r w:rsidRPr="0071477F">
        <w:rPr>
          <w:rFonts w:asciiTheme="minorHAnsi" w:hAnsiTheme="minorHAnsi" w:cstheme="minorHAnsi"/>
          <w:szCs w:val="22"/>
        </w:rPr>
        <w:t xml:space="preserve">Department of Justice Office of Gaming and Racing (2005) </w:t>
      </w:r>
      <w:r w:rsidRPr="0071477F">
        <w:rPr>
          <w:rFonts w:asciiTheme="minorHAnsi" w:hAnsiTheme="minorHAnsi" w:cstheme="minorHAnsi"/>
          <w:i/>
          <w:szCs w:val="22"/>
        </w:rPr>
        <w:t>Regional Electronic Gaming Machine Caps Review Panel Final Report November 2005</w:t>
      </w:r>
      <w:r w:rsidRPr="0071477F">
        <w:rPr>
          <w:rFonts w:asciiTheme="minorHAnsi" w:hAnsiTheme="minorHAnsi" w:cstheme="minorHAnsi"/>
          <w:szCs w:val="22"/>
        </w:rPr>
        <w:t xml:space="preserve"> p18</w:t>
      </w:r>
    </w:p>
    <w:p w:rsidR="0071477F" w:rsidRPr="0071477F" w:rsidRDefault="0071477F" w:rsidP="0071477F">
      <w:pPr>
        <w:pStyle w:val="EndnoteText"/>
        <w:spacing w:after="120"/>
        <w:rPr>
          <w:rFonts w:asciiTheme="minorHAnsi" w:hAnsiTheme="minorHAnsi" w:cstheme="minorHAnsi"/>
          <w:szCs w:val="22"/>
        </w:rPr>
      </w:pPr>
      <w:r w:rsidRPr="0071477F">
        <w:rPr>
          <w:rFonts w:asciiTheme="minorHAnsi" w:hAnsiTheme="minorHAnsi" w:cstheme="minorHAnsi"/>
          <w:szCs w:val="22"/>
        </w:rPr>
        <w:t xml:space="preserve">Dowling, N, Jackson, AC, Thomas, SA &amp; Frydenberg, E (2010), </w:t>
      </w:r>
      <w:r w:rsidRPr="0071477F">
        <w:rPr>
          <w:rFonts w:asciiTheme="minorHAnsi" w:hAnsiTheme="minorHAnsi" w:cstheme="minorHAnsi"/>
          <w:i/>
          <w:iCs/>
          <w:szCs w:val="22"/>
        </w:rPr>
        <w:t>Children at risk of developing problem gambling</w:t>
      </w:r>
      <w:r w:rsidRPr="0071477F">
        <w:rPr>
          <w:rFonts w:asciiTheme="minorHAnsi" w:hAnsiTheme="minorHAnsi" w:cstheme="minorHAnsi"/>
          <w:szCs w:val="22"/>
        </w:rPr>
        <w:t>, Gambling Research Australia, Melbourne, viewed 18 November 2014.</w:t>
      </w:r>
    </w:p>
    <w:p w:rsidR="0071477F" w:rsidRPr="0071477F" w:rsidRDefault="0071477F" w:rsidP="0071477F">
      <w:pPr>
        <w:autoSpaceDE w:val="0"/>
        <w:autoSpaceDN w:val="0"/>
        <w:adjustRightInd w:val="0"/>
        <w:rPr>
          <w:rFonts w:asciiTheme="minorHAnsi" w:hAnsiTheme="minorHAnsi" w:cstheme="minorHAnsi"/>
          <w:szCs w:val="22"/>
        </w:rPr>
      </w:pPr>
      <w:r w:rsidRPr="0071477F">
        <w:rPr>
          <w:rFonts w:asciiTheme="minorHAnsi" w:hAnsiTheme="minorHAnsi" w:cstheme="minorHAnsi"/>
          <w:szCs w:val="22"/>
        </w:rPr>
        <w:t>Feldman, S, Radermacher, H, Anderson, C, &amp; Dickins, M. (2014). A qualitative investigation of the experiences, attitudes and beliefs about gambling in the Chinese and Tamil communities in Victoria. Victoria, Australia: Victorian Responsible Gambling Foundation.</w:t>
      </w:r>
    </w:p>
    <w:p w:rsidR="0071477F" w:rsidRPr="0071477F" w:rsidRDefault="0071477F" w:rsidP="0071477F">
      <w:pPr>
        <w:pStyle w:val="EndnoteText"/>
        <w:spacing w:after="120"/>
        <w:rPr>
          <w:rFonts w:asciiTheme="minorHAnsi" w:hAnsiTheme="minorHAnsi" w:cstheme="minorHAnsi"/>
          <w:i/>
          <w:szCs w:val="22"/>
        </w:rPr>
      </w:pPr>
      <w:r w:rsidRPr="0071477F">
        <w:rPr>
          <w:rFonts w:asciiTheme="minorHAnsi" w:hAnsiTheme="minorHAnsi" w:cstheme="minorHAnsi"/>
          <w:color w:val="222222"/>
          <w:szCs w:val="22"/>
          <w:shd w:val="clear" w:color="auto" w:fill="FFFFFF"/>
        </w:rPr>
        <w:t>Hare, S.</w:t>
      </w:r>
      <w:r w:rsidRPr="0071477F">
        <w:rPr>
          <w:rFonts w:asciiTheme="minorHAnsi" w:hAnsiTheme="minorHAnsi" w:cstheme="minorHAnsi"/>
          <w:i/>
          <w:color w:val="222222"/>
          <w:szCs w:val="22"/>
          <w:shd w:val="clear" w:color="auto" w:fill="FFFFFF"/>
        </w:rPr>
        <w:t xml:space="preserve"> </w:t>
      </w:r>
      <w:r w:rsidRPr="0071477F">
        <w:rPr>
          <w:rFonts w:asciiTheme="minorHAnsi" w:hAnsiTheme="minorHAnsi" w:cstheme="minorHAnsi"/>
          <w:color w:val="222222"/>
          <w:szCs w:val="22"/>
          <w:shd w:val="clear" w:color="auto" w:fill="FFFFFF"/>
        </w:rPr>
        <w:t>(2015)</w:t>
      </w:r>
      <w:r w:rsidRPr="0071477F">
        <w:rPr>
          <w:rStyle w:val="apple-converted-space"/>
          <w:rFonts w:asciiTheme="minorHAnsi" w:hAnsiTheme="minorHAnsi" w:cstheme="minorHAnsi"/>
          <w:color w:val="222222"/>
          <w:szCs w:val="22"/>
          <w:shd w:val="clear" w:color="auto" w:fill="FFFFFF"/>
        </w:rPr>
        <w:t> </w:t>
      </w:r>
      <w:r w:rsidRPr="0071477F">
        <w:rPr>
          <w:rStyle w:val="Emphasis"/>
          <w:rFonts w:asciiTheme="minorHAnsi" w:hAnsiTheme="minorHAnsi" w:cstheme="minorHAnsi"/>
          <w:color w:val="222222"/>
          <w:szCs w:val="22"/>
          <w:shd w:val="clear" w:color="auto" w:fill="FFFFFF"/>
        </w:rPr>
        <w:t>Study of Gambling and Health in Victoria: findings from the Victorian prevalence study 2014</w:t>
      </w:r>
      <w:r w:rsidRPr="0071477F">
        <w:rPr>
          <w:rStyle w:val="apple-converted-space"/>
          <w:rFonts w:asciiTheme="minorHAnsi" w:hAnsiTheme="minorHAnsi" w:cstheme="minorHAnsi"/>
          <w:i/>
          <w:color w:val="222222"/>
          <w:szCs w:val="22"/>
          <w:shd w:val="clear" w:color="auto" w:fill="FFFFFF"/>
        </w:rPr>
        <w:t> </w:t>
      </w:r>
      <w:r w:rsidRPr="0071477F">
        <w:rPr>
          <w:rFonts w:asciiTheme="minorHAnsi" w:hAnsiTheme="minorHAnsi" w:cstheme="minorHAnsi"/>
          <w:i/>
          <w:color w:val="222222"/>
          <w:szCs w:val="22"/>
          <w:shd w:val="clear" w:color="auto" w:fill="FFFFFF"/>
        </w:rPr>
        <w:t>Victoria, Australia: Victorian Responsible Gambling Foundation and Victorian Department of Justice and Regulation</w:t>
      </w:r>
    </w:p>
    <w:p w:rsidR="0071477F" w:rsidRPr="0071477F" w:rsidRDefault="0071477F" w:rsidP="0071477F">
      <w:pPr>
        <w:rPr>
          <w:rFonts w:asciiTheme="minorHAnsi" w:hAnsiTheme="minorHAnsi" w:cstheme="minorHAnsi"/>
          <w:szCs w:val="22"/>
        </w:rPr>
      </w:pPr>
      <w:r w:rsidRPr="0071477F">
        <w:rPr>
          <w:rFonts w:asciiTheme="minorHAnsi" w:hAnsiTheme="minorHAnsi" w:cstheme="minorHAnsi"/>
          <w:color w:val="000000"/>
          <w:szCs w:val="22"/>
        </w:rPr>
        <w:t xml:space="preserve">Hing, N (2014) “The efficacy of responsible gambling measures in NSW Clubs: The Gamblers’ Perspective” </w:t>
      </w:r>
      <w:r w:rsidRPr="0071477F">
        <w:rPr>
          <w:rFonts w:asciiTheme="minorHAnsi" w:hAnsiTheme="minorHAnsi" w:cstheme="minorHAnsi"/>
          <w:i/>
          <w:color w:val="000000"/>
          <w:szCs w:val="22"/>
        </w:rPr>
        <w:t xml:space="preserve">Gambling Research </w:t>
      </w:r>
      <w:r w:rsidRPr="0071477F">
        <w:rPr>
          <w:rFonts w:asciiTheme="minorHAnsi" w:hAnsiTheme="minorHAnsi" w:cstheme="minorHAnsi"/>
          <w:color w:val="000000"/>
          <w:szCs w:val="22"/>
        </w:rPr>
        <w:t xml:space="preserve">16(1), pp 32-46 </w:t>
      </w:r>
    </w:p>
    <w:p w:rsidR="0071477F" w:rsidRPr="0071477F" w:rsidRDefault="0071477F" w:rsidP="0071477F">
      <w:pPr>
        <w:pStyle w:val="FootnoteText"/>
        <w:spacing w:after="120"/>
        <w:rPr>
          <w:rFonts w:asciiTheme="minorHAnsi" w:hAnsiTheme="minorHAnsi" w:cstheme="minorHAnsi"/>
          <w:szCs w:val="22"/>
        </w:rPr>
      </w:pPr>
      <w:r w:rsidRPr="0071477F">
        <w:rPr>
          <w:rFonts w:asciiTheme="minorHAnsi" w:hAnsiTheme="minorHAnsi" w:cstheme="minorHAnsi"/>
          <w:szCs w:val="22"/>
        </w:rPr>
        <w:t xml:space="preserve">Hing, N and Gainsbury, S (2011) “Risky business: Gambling problems amongst gaming venue employees in Queensland, Australia” </w:t>
      </w:r>
      <w:r w:rsidRPr="0071477F">
        <w:rPr>
          <w:rFonts w:asciiTheme="minorHAnsi" w:hAnsiTheme="minorHAnsi" w:cstheme="minorHAnsi"/>
          <w:i/>
          <w:szCs w:val="22"/>
        </w:rPr>
        <w:t xml:space="preserve">Journal of Gambling Issues </w:t>
      </w:r>
      <w:r w:rsidRPr="0071477F">
        <w:rPr>
          <w:rFonts w:asciiTheme="minorHAnsi" w:hAnsiTheme="minorHAnsi" w:cstheme="minorHAnsi"/>
          <w:szCs w:val="22"/>
        </w:rPr>
        <w:t>Issue 25, June 2011</w:t>
      </w:r>
    </w:p>
    <w:p w:rsidR="0071477F" w:rsidRPr="0071477F" w:rsidRDefault="0071477F" w:rsidP="0071477F">
      <w:pPr>
        <w:rPr>
          <w:rFonts w:asciiTheme="minorHAnsi" w:hAnsiTheme="minorHAnsi" w:cstheme="minorHAnsi"/>
          <w:szCs w:val="22"/>
        </w:rPr>
      </w:pPr>
      <w:r w:rsidRPr="0071477F">
        <w:rPr>
          <w:rFonts w:asciiTheme="minorHAnsi" w:hAnsiTheme="minorHAnsi" w:cstheme="minorHAnsi"/>
          <w:szCs w:val="22"/>
        </w:rPr>
        <w:t>Hing, N and Nuske, E. (2011) “Assisting problem gamblers in the gaming venue: an assessment of practices and procedures followed by frontline hospitality staff”</w:t>
      </w:r>
      <w:r w:rsidRPr="0071477F">
        <w:rPr>
          <w:rFonts w:asciiTheme="minorHAnsi" w:hAnsiTheme="minorHAnsi" w:cstheme="minorHAnsi"/>
          <w:i/>
          <w:iCs/>
          <w:szCs w:val="22"/>
        </w:rPr>
        <w:t xml:space="preserve"> International Journal of Hospitality Management</w:t>
      </w:r>
      <w:r w:rsidRPr="0071477F">
        <w:rPr>
          <w:rFonts w:asciiTheme="minorHAnsi" w:hAnsiTheme="minorHAnsi" w:cstheme="minorHAnsi"/>
          <w:szCs w:val="22"/>
        </w:rPr>
        <w:t>, Vol. 20, No. 2, pp 459-467</w:t>
      </w:r>
    </w:p>
    <w:p w:rsidR="0071477F" w:rsidRPr="0071477F" w:rsidRDefault="0071477F" w:rsidP="0071477F">
      <w:pPr>
        <w:rPr>
          <w:rFonts w:asciiTheme="minorHAnsi" w:hAnsiTheme="minorHAnsi" w:cstheme="minorHAnsi"/>
          <w:color w:val="131413"/>
          <w:szCs w:val="22"/>
        </w:rPr>
      </w:pPr>
      <w:r w:rsidRPr="0071477F">
        <w:rPr>
          <w:rFonts w:asciiTheme="minorHAnsi" w:hAnsiTheme="minorHAnsi" w:cstheme="minorHAnsi"/>
          <w:szCs w:val="22"/>
        </w:rPr>
        <w:t xml:space="preserve">Hing, N, Breen, H, Gordon, A &amp; Russell A, (2014) The Gambling Behaviours of Indigenous Australians, Journal of Gambling Studies, 30:369–386 </w:t>
      </w:r>
    </w:p>
    <w:p w:rsidR="0071477F" w:rsidRPr="0071477F" w:rsidRDefault="0071477F" w:rsidP="0071477F">
      <w:pPr>
        <w:rPr>
          <w:rFonts w:asciiTheme="minorHAnsi" w:hAnsiTheme="minorHAnsi" w:cstheme="minorHAnsi"/>
          <w:szCs w:val="22"/>
        </w:rPr>
      </w:pPr>
      <w:r w:rsidRPr="0071477F">
        <w:rPr>
          <w:rFonts w:asciiTheme="minorHAnsi" w:hAnsiTheme="minorHAnsi" w:cstheme="minorHAnsi"/>
          <w:szCs w:val="22"/>
        </w:rPr>
        <w:t xml:space="preserve">Hing, N. and Haw, J (2010) </w:t>
      </w:r>
      <w:r w:rsidRPr="0071477F">
        <w:rPr>
          <w:rFonts w:asciiTheme="minorHAnsi" w:hAnsiTheme="minorHAnsi" w:cstheme="minorHAnsi"/>
          <w:i/>
          <w:szCs w:val="22"/>
        </w:rPr>
        <w:t xml:space="preserve">The Influence of Venue Characteristics on a Player’s Decision to Attend a Gambling Venue </w:t>
      </w:r>
      <w:r w:rsidRPr="0071477F">
        <w:rPr>
          <w:rFonts w:asciiTheme="minorHAnsi" w:hAnsiTheme="minorHAnsi" w:cstheme="minorHAnsi"/>
          <w:szCs w:val="22"/>
        </w:rPr>
        <w:t xml:space="preserve">Centre for Gambling Education and Research </w:t>
      </w:r>
    </w:p>
    <w:p w:rsidR="0071477F" w:rsidRPr="0071477F" w:rsidRDefault="0071477F" w:rsidP="0071477F">
      <w:pPr>
        <w:pStyle w:val="FootnoteText"/>
        <w:spacing w:after="120"/>
        <w:rPr>
          <w:rFonts w:asciiTheme="minorHAnsi" w:hAnsiTheme="minorHAnsi" w:cstheme="minorHAnsi"/>
          <w:szCs w:val="22"/>
        </w:rPr>
      </w:pPr>
      <w:r w:rsidRPr="0071477F">
        <w:rPr>
          <w:rFonts w:asciiTheme="minorHAnsi" w:hAnsiTheme="minorHAnsi" w:cstheme="minorHAnsi"/>
          <w:szCs w:val="22"/>
        </w:rPr>
        <w:t xml:space="preserve">Jackson, A (2009) </w:t>
      </w:r>
      <w:r w:rsidRPr="0071477F">
        <w:rPr>
          <w:rFonts w:asciiTheme="minorHAnsi" w:hAnsiTheme="minorHAnsi" w:cstheme="minorHAnsi"/>
          <w:i/>
          <w:szCs w:val="22"/>
        </w:rPr>
        <w:t xml:space="preserve">Who is at risk? </w:t>
      </w:r>
      <w:r w:rsidRPr="0071477F">
        <w:rPr>
          <w:rFonts w:asciiTheme="minorHAnsi" w:hAnsiTheme="minorHAnsi" w:cstheme="minorHAnsi"/>
          <w:szCs w:val="22"/>
        </w:rPr>
        <w:t>Government of South Australia</w:t>
      </w:r>
    </w:p>
    <w:p w:rsidR="0071477F" w:rsidRPr="0071477F" w:rsidRDefault="0071477F" w:rsidP="0071477F">
      <w:pPr>
        <w:rPr>
          <w:rFonts w:asciiTheme="minorHAnsi" w:hAnsiTheme="minorHAnsi" w:cstheme="minorHAnsi"/>
          <w:iCs/>
          <w:szCs w:val="22"/>
        </w:rPr>
      </w:pPr>
      <w:r w:rsidRPr="0071477F">
        <w:rPr>
          <w:rFonts w:asciiTheme="minorHAnsi" w:hAnsiTheme="minorHAnsi" w:cstheme="minorHAnsi"/>
          <w:iCs/>
          <w:szCs w:val="22"/>
        </w:rPr>
        <w:t xml:space="preserve">Jackson, A. Francis, L, Byrne, G and Christensen, D (2012) </w:t>
      </w:r>
      <w:r w:rsidRPr="0071477F">
        <w:rPr>
          <w:rFonts w:asciiTheme="minorHAnsi" w:hAnsiTheme="minorHAnsi" w:cstheme="minorHAnsi"/>
          <w:i/>
          <w:iCs/>
          <w:szCs w:val="22"/>
        </w:rPr>
        <w:t xml:space="preserve">International Journal of Mental Health Addiction </w:t>
      </w:r>
      <w:r w:rsidRPr="0071477F">
        <w:rPr>
          <w:rFonts w:asciiTheme="minorHAnsi" w:hAnsiTheme="minorHAnsi" w:cstheme="minorHAnsi"/>
          <w:iCs/>
          <w:szCs w:val="22"/>
        </w:rPr>
        <w:t>‘Leisure Substitution and Problem Gambling: Report of a Proof of Concept Group Intervention, online version published 17</w:t>
      </w:r>
      <w:r w:rsidRPr="0071477F">
        <w:rPr>
          <w:rFonts w:asciiTheme="minorHAnsi" w:hAnsiTheme="minorHAnsi" w:cstheme="minorHAnsi"/>
          <w:iCs/>
          <w:szCs w:val="22"/>
          <w:vertAlign w:val="superscript"/>
        </w:rPr>
        <w:t>th</w:t>
      </w:r>
      <w:r w:rsidRPr="0071477F">
        <w:rPr>
          <w:rFonts w:asciiTheme="minorHAnsi" w:hAnsiTheme="minorHAnsi" w:cstheme="minorHAnsi"/>
          <w:iCs/>
          <w:szCs w:val="22"/>
        </w:rPr>
        <w:t xml:space="preserve"> August 2012</w:t>
      </w:r>
    </w:p>
    <w:p w:rsidR="0071477F" w:rsidRPr="0071477F" w:rsidRDefault="0071477F" w:rsidP="0071477F">
      <w:pPr>
        <w:pStyle w:val="FootnoteText"/>
        <w:spacing w:after="120"/>
        <w:rPr>
          <w:rFonts w:asciiTheme="minorHAnsi" w:hAnsiTheme="minorHAnsi" w:cstheme="minorHAnsi"/>
          <w:szCs w:val="22"/>
        </w:rPr>
      </w:pPr>
      <w:r w:rsidRPr="0071477F">
        <w:rPr>
          <w:rFonts w:asciiTheme="minorHAnsi" w:hAnsiTheme="minorHAnsi" w:cstheme="minorHAnsi"/>
          <w:szCs w:val="22"/>
        </w:rPr>
        <w:t xml:space="preserve">Johansson, A., Grant, J., Kim, S., Odlaug, B., Gotestam, K. (2009) “Risk Factors for Problematic Gambling: A Critical Literature Review” </w:t>
      </w:r>
      <w:r w:rsidRPr="0071477F">
        <w:rPr>
          <w:rFonts w:asciiTheme="minorHAnsi" w:hAnsiTheme="minorHAnsi" w:cstheme="minorHAnsi"/>
          <w:i/>
          <w:szCs w:val="22"/>
        </w:rPr>
        <w:t>Journal of Gambling Studies</w:t>
      </w:r>
      <w:r w:rsidRPr="0071477F">
        <w:rPr>
          <w:rFonts w:asciiTheme="minorHAnsi" w:hAnsiTheme="minorHAnsi" w:cstheme="minorHAnsi"/>
          <w:szCs w:val="22"/>
        </w:rPr>
        <w:t xml:space="preserve"> Vol, 25, No 1, March 2009 p84</w:t>
      </w:r>
    </w:p>
    <w:p w:rsidR="0071477F" w:rsidRPr="0071477F" w:rsidRDefault="0071477F" w:rsidP="0071477F">
      <w:pPr>
        <w:rPr>
          <w:rFonts w:asciiTheme="minorHAnsi" w:hAnsiTheme="minorHAnsi" w:cstheme="minorHAnsi"/>
          <w:iCs/>
          <w:szCs w:val="22"/>
        </w:rPr>
      </w:pPr>
      <w:r w:rsidRPr="0071477F">
        <w:rPr>
          <w:rFonts w:asciiTheme="minorHAnsi" w:hAnsiTheme="minorHAnsi" w:cstheme="minorHAnsi"/>
          <w:iCs/>
          <w:szCs w:val="22"/>
        </w:rPr>
        <w:t xml:space="preserve">Kimberley, H. (2005) </w:t>
      </w:r>
      <w:r w:rsidRPr="0071477F">
        <w:rPr>
          <w:rFonts w:asciiTheme="minorHAnsi" w:hAnsiTheme="minorHAnsi" w:cstheme="minorHAnsi"/>
          <w:i/>
          <w:iCs/>
          <w:szCs w:val="22"/>
        </w:rPr>
        <w:t xml:space="preserve">The peril of the pokies </w:t>
      </w:r>
      <w:r w:rsidRPr="0071477F">
        <w:rPr>
          <w:rFonts w:asciiTheme="minorHAnsi" w:hAnsiTheme="minorHAnsi" w:cstheme="minorHAnsi"/>
          <w:iCs/>
          <w:szCs w:val="22"/>
        </w:rPr>
        <w:t>Women’s Information, Melbourne</w:t>
      </w:r>
    </w:p>
    <w:p w:rsidR="0071477F" w:rsidRPr="0071477F" w:rsidRDefault="0071477F" w:rsidP="0071477F">
      <w:pPr>
        <w:pStyle w:val="FootnoteText"/>
        <w:spacing w:after="120"/>
        <w:rPr>
          <w:rFonts w:asciiTheme="minorHAnsi" w:hAnsiTheme="minorHAnsi" w:cstheme="minorHAnsi"/>
          <w:szCs w:val="22"/>
        </w:rPr>
      </w:pPr>
      <w:r w:rsidRPr="0071477F">
        <w:rPr>
          <w:rFonts w:asciiTheme="minorHAnsi" w:hAnsiTheme="minorHAnsi" w:cstheme="minorHAnsi"/>
          <w:szCs w:val="22"/>
        </w:rPr>
        <w:t xml:space="preserve">Lemay, A; Bakich, E and Fontaine, A (2006) </w:t>
      </w:r>
      <w:r w:rsidRPr="0071477F">
        <w:rPr>
          <w:rFonts w:asciiTheme="minorHAnsi" w:hAnsiTheme="minorHAnsi" w:cstheme="minorHAnsi"/>
          <w:i/>
          <w:szCs w:val="22"/>
        </w:rPr>
        <w:t xml:space="preserve">Betting on Older Adults. A Problem Gambling Prevention Clinical Manual for Service Providers </w:t>
      </w:r>
      <w:r w:rsidRPr="0071477F">
        <w:rPr>
          <w:rFonts w:asciiTheme="minorHAnsi" w:hAnsiTheme="minorHAnsi" w:cstheme="minorHAnsi"/>
          <w:szCs w:val="22"/>
        </w:rPr>
        <w:t>Sault Area Hospital, St Joseph’s Care Group, Centretown Community Health Centre</w:t>
      </w:r>
    </w:p>
    <w:p w:rsidR="0071477F" w:rsidRPr="0071477F" w:rsidRDefault="0071477F" w:rsidP="0071477F">
      <w:pPr>
        <w:rPr>
          <w:rFonts w:asciiTheme="minorHAnsi" w:hAnsiTheme="minorHAnsi" w:cstheme="minorHAnsi"/>
          <w:iCs/>
          <w:szCs w:val="22"/>
        </w:rPr>
      </w:pPr>
      <w:r w:rsidRPr="0071477F">
        <w:rPr>
          <w:rFonts w:asciiTheme="minorHAnsi" w:hAnsiTheme="minorHAnsi" w:cstheme="minorHAnsi"/>
          <w:iCs/>
          <w:szCs w:val="22"/>
        </w:rPr>
        <w:t xml:space="preserve">Liao, M (undated) </w:t>
      </w:r>
      <w:r w:rsidRPr="0071477F">
        <w:rPr>
          <w:rFonts w:asciiTheme="minorHAnsi" w:hAnsiTheme="minorHAnsi" w:cstheme="minorHAnsi"/>
          <w:i/>
          <w:iCs/>
          <w:szCs w:val="22"/>
        </w:rPr>
        <w:t xml:space="preserve">Problem Gambling and Family Discordance </w:t>
      </w:r>
      <w:r w:rsidRPr="0071477F">
        <w:rPr>
          <w:rFonts w:asciiTheme="minorHAnsi" w:hAnsiTheme="minorHAnsi" w:cstheme="minorHAnsi"/>
          <w:iCs/>
          <w:szCs w:val="22"/>
        </w:rPr>
        <w:t xml:space="preserve">Problem Gambling </w:t>
      </w:r>
    </w:p>
    <w:p w:rsidR="0071477F" w:rsidRPr="0071477F" w:rsidRDefault="0071477F" w:rsidP="0071477F">
      <w:pPr>
        <w:rPr>
          <w:rFonts w:asciiTheme="minorHAnsi" w:hAnsiTheme="minorHAnsi" w:cstheme="minorHAnsi"/>
          <w:color w:val="000000"/>
          <w:szCs w:val="22"/>
        </w:rPr>
      </w:pPr>
      <w:r w:rsidRPr="0071477F">
        <w:rPr>
          <w:rFonts w:asciiTheme="minorHAnsi" w:hAnsiTheme="minorHAnsi" w:cstheme="minorHAnsi"/>
          <w:color w:val="000000"/>
          <w:szCs w:val="22"/>
        </w:rPr>
        <w:t>Livingstone C. Rintoul A. &amp; Francis L. (2004) </w:t>
      </w:r>
      <w:r w:rsidRPr="0071477F">
        <w:rPr>
          <w:rFonts w:asciiTheme="minorHAnsi" w:hAnsiTheme="minorHAnsi" w:cstheme="minorHAnsi"/>
          <w:i/>
          <w:iCs/>
          <w:color w:val="000000"/>
          <w:szCs w:val="22"/>
        </w:rPr>
        <w:t xml:space="preserve">What is the evidence for harm minimisation measures in gambling venues? </w:t>
      </w:r>
      <w:r w:rsidRPr="0071477F">
        <w:rPr>
          <w:rFonts w:asciiTheme="minorHAnsi" w:hAnsiTheme="minorHAnsi" w:cstheme="minorHAnsi"/>
          <w:color w:val="000000"/>
          <w:szCs w:val="22"/>
        </w:rPr>
        <w:t>Evidence Base 2: 1-24 ( </w:t>
      </w:r>
      <w:hyperlink r:id="rId64" w:history="1">
        <w:r w:rsidRPr="0071477F">
          <w:rPr>
            <w:rStyle w:val="Hyperlink"/>
            <w:rFonts w:asciiTheme="minorHAnsi" w:eastAsiaTheme="majorEastAsia" w:hAnsiTheme="minorHAnsi" w:cstheme="minorHAnsi"/>
            <w:szCs w:val="22"/>
          </w:rPr>
          <w:t>https://journal.anzsog.edu.au/publications</w:t>
        </w:r>
      </w:hyperlink>
      <w:r w:rsidRPr="0071477F">
        <w:rPr>
          <w:rFonts w:asciiTheme="minorHAnsi" w:hAnsiTheme="minorHAnsi" w:cstheme="minorHAnsi"/>
          <w:color w:val="000000"/>
          <w:szCs w:val="22"/>
        </w:rPr>
        <w:t xml:space="preserve"> )</w:t>
      </w:r>
    </w:p>
    <w:p w:rsidR="0071477F" w:rsidRPr="0071477F" w:rsidRDefault="0071477F" w:rsidP="0071477F">
      <w:pPr>
        <w:rPr>
          <w:rFonts w:asciiTheme="minorHAnsi" w:hAnsiTheme="minorHAnsi" w:cstheme="minorHAnsi"/>
          <w:iCs/>
          <w:szCs w:val="22"/>
        </w:rPr>
      </w:pPr>
      <w:r w:rsidRPr="0071477F">
        <w:rPr>
          <w:rFonts w:asciiTheme="minorHAnsi" w:hAnsiTheme="minorHAnsi" w:cstheme="minorHAnsi"/>
          <w:iCs/>
          <w:szCs w:val="22"/>
        </w:rPr>
        <w:t xml:space="preserve">Livingstone, C et al (2012) </w:t>
      </w:r>
      <w:r w:rsidRPr="0071477F">
        <w:rPr>
          <w:rFonts w:asciiTheme="minorHAnsi" w:hAnsiTheme="minorHAnsi" w:cstheme="minorHAnsi"/>
          <w:i/>
          <w:iCs/>
          <w:szCs w:val="22"/>
        </w:rPr>
        <w:t xml:space="preserve">Assessment of poker machine expenditure and community benefit claims in selected Commonwealth Electoral Divisions </w:t>
      </w:r>
      <w:r w:rsidRPr="0071477F">
        <w:rPr>
          <w:rFonts w:asciiTheme="minorHAnsi" w:hAnsiTheme="minorHAnsi" w:cstheme="minorHAnsi"/>
          <w:iCs/>
          <w:szCs w:val="22"/>
        </w:rPr>
        <w:t>Uniting Care Australia</w:t>
      </w:r>
    </w:p>
    <w:p w:rsidR="0071477F" w:rsidRPr="0071477F" w:rsidRDefault="0071477F" w:rsidP="0071477F">
      <w:pPr>
        <w:pStyle w:val="FootnoteText"/>
        <w:spacing w:after="120"/>
        <w:rPr>
          <w:rFonts w:asciiTheme="minorHAnsi" w:hAnsiTheme="minorHAnsi" w:cstheme="minorHAnsi"/>
          <w:color w:val="222222"/>
          <w:szCs w:val="22"/>
          <w:shd w:val="clear" w:color="auto" w:fill="FFFFFF"/>
        </w:rPr>
      </w:pPr>
      <w:r w:rsidRPr="0071477F">
        <w:rPr>
          <w:rFonts w:asciiTheme="minorHAnsi" w:hAnsiTheme="minorHAnsi" w:cstheme="minorHAnsi"/>
          <w:szCs w:val="22"/>
        </w:rPr>
        <w:t>Markham, F, Doran, B &amp; Young, M 2016, ‘The relationship between electronic gaming machine accessibility and police-recorded domestic violence: a spatio-temporal analysis of 654 postcodes in Victoria, Australia, 2005–2014’, Social Science &amp; Medicine, vol. 162, pp. 106–14.</w:t>
      </w:r>
    </w:p>
    <w:p w:rsidR="0071477F" w:rsidRPr="0071477F" w:rsidRDefault="0071477F" w:rsidP="0071477F">
      <w:pPr>
        <w:rPr>
          <w:rFonts w:asciiTheme="minorHAnsi" w:hAnsiTheme="minorHAnsi" w:cstheme="minorHAnsi"/>
          <w:color w:val="000000" w:themeColor="text1"/>
          <w:szCs w:val="22"/>
        </w:rPr>
      </w:pPr>
      <w:bookmarkStart w:id="148" w:name="_Hlk490121259"/>
      <w:r w:rsidRPr="0071477F">
        <w:rPr>
          <w:rFonts w:asciiTheme="minorHAnsi" w:hAnsiTheme="minorHAnsi" w:cstheme="minorHAnsi"/>
          <w:color w:val="000000" w:themeColor="text1"/>
          <w:szCs w:val="22"/>
        </w:rPr>
        <w:t xml:space="preserve">Miller, H. (2015) </w:t>
      </w:r>
      <w:hyperlink r:id="rId65" w:history="1">
        <w:r w:rsidRPr="0071477F">
          <w:rPr>
            <w:rStyle w:val="Hyperlink"/>
            <w:rFonts w:asciiTheme="minorHAnsi" w:eastAsiaTheme="majorEastAsia" w:hAnsiTheme="minorHAnsi" w:cstheme="minorHAnsi"/>
            <w:i/>
            <w:szCs w:val="22"/>
          </w:rPr>
          <w:t>Background paper: Risk factors for problem gambling: environmental, geographic, social, cultural, demographic, socio-economic, family and household</w:t>
        </w:r>
      </w:hyperlink>
      <w:r w:rsidRPr="0071477F">
        <w:rPr>
          <w:rFonts w:asciiTheme="minorHAnsi" w:hAnsiTheme="minorHAnsi" w:cstheme="minorHAnsi"/>
          <w:i/>
          <w:szCs w:val="22"/>
        </w:rPr>
        <w:t>,</w:t>
      </w:r>
      <w:r w:rsidRPr="0071477F">
        <w:rPr>
          <w:rFonts w:asciiTheme="minorHAnsi" w:hAnsiTheme="minorHAnsi" w:cstheme="minorHAnsi"/>
          <w:i/>
          <w:color w:val="000000" w:themeColor="text1"/>
          <w:szCs w:val="22"/>
        </w:rPr>
        <w:t xml:space="preserve"> </w:t>
      </w:r>
      <w:r w:rsidRPr="0071477F">
        <w:rPr>
          <w:rFonts w:asciiTheme="minorHAnsi" w:hAnsiTheme="minorHAnsi" w:cstheme="minorHAnsi"/>
          <w:color w:val="000000" w:themeColor="text1"/>
          <w:szCs w:val="22"/>
        </w:rPr>
        <w:t xml:space="preserve">Victorian Responsible Gambling Foundation, Melbourne. </w:t>
      </w:r>
    </w:p>
    <w:bookmarkEnd w:id="148"/>
    <w:p w:rsidR="0071477F" w:rsidRPr="0071477F" w:rsidRDefault="0071477F" w:rsidP="0071477F">
      <w:pPr>
        <w:pStyle w:val="FootnoteText"/>
        <w:spacing w:after="120"/>
        <w:rPr>
          <w:rFonts w:asciiTheme="minorHAnsi" w:hAnsiTheme="minorHAnsi" w:cstheme="minorHAnsi"/>
          <w:szCs w:val="22"/>
        </w:rPr>
      </w:pPr>
      <w:r w:rsidRPr="0071477F">
        <w:rPr>
          <w:rFonts w:asciiTheme="minorHAnsi" w:hAnsiTheme="minorHAnsi" w:cstheme="minorHAnsi"/>
          <w:color w:val="333333"/>
          <w:szCs w:val="22"/>
          <w:lang w:val="en"/>
        </w:rPr>
        <w:t xml:space="preserve">Minshull, L; Browne, B; Grudnoff, M and Richardson, D (2017) </w:t>
      </w:r>
      <w:r w:rsidRPr="0071477F">
        <w:rPr>
          <w:rFonts w:asciiTheme="minorHAnsi" w:hAnsiTheme="minorHAnsi" w:cstheme="minorHAnsi"/>
          <w:i/>
          <w:color w:val="333333"/>
          <w:szCs w:val="22"/>
          <w:lang w:val="en"/>
        </w:rPr>
        <w:t xml:space="preserve">Gambling on the Future: Do poker machines represent a net gain or loss to the Tasmanian economy </w:t>
      </w:r>
      <w:r w:rsidRPr="0071477F">
        <w:rPr>
          <w:rFonts w:asciiTheme="minorHAnsi" w:hAnsiTheme="minorHAnsi" w:cstheme="minorHAnsi"/>
          <w:color w:val="333333"/>
          <w:szCs w:val="22"/>
          <w:lang w:val="en"/>
        </w:rPr>
        <w:t>The Australia Institute</w:t>
      </w:r>
    </w:p>
    <w:p w:rsidR="0071477F" w:rsidRPr="0071477F" w:rsidRDefault="0071477F" w:rsidP="0071477F">
      <w:pPr>
        <w:rPr>
          <w:rFonts w:asciiTheme="minorHAnsi" w:hAnsiTheme="minorHAnsi" w:cstheme="minorHAnsi"/>
          <w:szCs w:val="22"/>
        </w:rPr>
      </w:pPr>
      <w:r w:rsidRPr="0071477F">
        <w:rPr>
          <w:rFonts w:asciiTheme="minorHAnsi" w:hAnsiTheme="minorHAnsi" w:cstheme="minorHAnsi"/>
          <w:szCs w:val="22"/>
        </w:rPr>
        <w:t>Multicultural Gambler’s Help Program, Centre for Culture, Ethnicity and Health (2011)</w:t>
      </w:r>
    </w:p>
    <w:p w:rsidR="0071477F" w:rsidRPr="0071477F" w:rsidRDefault="0071477F" w:rsidP="0071477F">
      <w:pPr>
        <w:rPr>
          <w:rFonts w:asciiTheme="minorHAnsi" w:hAnsiTheme="minorHAnsi" w:cstheme="minorHAnsi"/>
          <w:i/>
          <w:iCs/>
          <w:szCs w:val="22"/>
        </w:rPr>
      </w:pPr>
      <w:r w:rsidRPr="0071477F">
        <w:rPr>
          <w:rFonts w:asciiTheme="minorHAnsi" w:hAnsiTheme="minorHAnsi" w:cstheme="minorHAnsi"/>
          <w:szCs w:val="22"/>
        </w:rPr>
        <w:t xml:space="preserve">North Central Metro PCP (2009) </w:t>
      </w:r>
      <w:r w:rsidRPr="0071477F">
        <w:rPr>
          <w:rFonts w:asciiTheme="minorHAnsi" w:hAnsiTheme="minorHAnsi" w:cstheme="minorHAnsi"/>
          <w:i/>
          <w:iCs/>
          <w:szCs w:val="22"/>
        </w:rPr>
        <w:t xml:space="preserve">Health Promotion Resource Guide for Problem Gambling Prevention in Melbourne’s North </w:t>
      </w:r>
    </w:p>
    <w:p w:rsidR="0071477F" w:rsidRPr="0071477F" w:rsidRDefault="0071477F" w:rsidP="0071477F">
      <w:pPr>
        <w:rPr>
          <w:rFonts w:asciiTheme="minorHAnsi" w:hAnsiTheme="minorHAnsi" w:cstheme="minorHAnsi"/>
          <w:szCs w:val="22"/>
        </w:rPr>
      </w:pPr>
      <w:r w:rsidRPr="0071477F">
        <w:rPr>
          <w:rFonts w:asciiTheme="minorHAnsi" w:hAnsiTheme="minorHAnsi" w:cstheme="minorHAnsi"/>
          <w:szCs w:val="22"/>
        </w:rPr>
        <w:t xml:space="preserve">Ohtsuka, K. (2013 “Views on luck and winning, self-control, and gaming service expectations of culturally and linguistically diverse Australian poker machine gamblers” </w:t>
      </w:r>
      <w:r w:rsidRPr="0071477F">
        <w:rPr>
          <w:rFonts w:asciiTheme="minorHAnsi" w:hAnsiTheme="minorHAnsi" w:cstheme="minorHAnsi"/>
          <w:i/>
          <w:szCs w:val="22"/>
        </w:rPr>
        <w:t xml:space="preserve">Asian Journal of Gambling Issues and Public Health </w:t>
      </w:r>
      <w:r w:rsidRPr="0071477F">
        <w:rPr>
          <w:rFonts w:asciiTheme="minorHAnsi" w:hAnsiTheme="minorHAnsi" w:cstheme="minorHAnsi"/>
          <w:szCs w:val="22"/>
        </w:rPr>
        <w:t>3:9</w:t>
      </w:r>
    </w:p>
    <w:p w:rsidR="0071477F" w:rsidRPr="0071477F" w:rsidRDefault="0071477F" w:rsidP="0071477F">
      <w:pPr>
        <w:rPr>
          <w:rFonts w:asciiTheme="minorHAnsi" w:hAnsiTheme="minorHAnsi" w:cstheme="minorHAnsi"/>
          <w:szCs w:val="22"/>
        </w:rPr>
      </w:pPr>
      <w:r w:rsidRPr="0071477F">
        <w:rPr>
          <w:rFonts w:asciiTheme="minorHAnsi" w:hAnsiTheme="minorHAnsi" w:cstheme="minorHAnsi"/>
          <w:szCs w:val="22"/>
        </w:rPr>
        <w:t xml:space="preserve">Productivity Commission (1999) </w:t>
      </w:r>
      <w:r w:rsidRPr="0071477F">
        <w:rPr>
          <w:rFonts w:asciiTheme="minorHAnsi" w:hAnsiTheme="minorHAnsi" w:cstheme="minorHAnsi"/>
          <w:i/>
          <w:szCs w:val="22"/>
        </w:rPr>
        <w:t xml:space="preserve">Australia’s Gambling Industries </w:t>
      </w:r>
      <w:r w:rsidRPr="0071477F">
        <w:rPr>
          <w:rFonts w:asciiTheme="minorHAnsi" w:hAnsiTheme="minorHAnsi" w:cstheme="minorHAnsi"/>
          <w:szCs w:val="22"/>
        </w:rPr>
        <w:t>Report No. 10, AusInfo, Canberra</w:t>
      </w:r>
    </w:p>
    <w:p w:rsidR="0071477F" w:rsidRPr="0071477F" w:rsidRDefault="0071477F" w:rsidP="0071477F">
      <w:pPr>
        <w:pStyle w:val="EndnoteText"/>
        <w:spacing w:after="120"/>
        <w:rPr>
          <w:rFonts w:asciiTheme="minorHAnsi" w:hAnsiTheme="minorHAnsi" w:cstheme="minorHAnsi"/>
          <w:szCs w:val="22"/>
        </w:rPr>
      </w:pPr>
      <w:r w:rsidRPr="0071477F">
        <w:rPr>
          <w:rFonts w:asciiTheme="minorHAnsi" w:hAnsiTheme="minorHAnsi" w:cstheme="minorHAnsi"/>
          <w:szCs w:val="22"/>
        </w:rPr>
        <w:t xml:space="preserve">Raylu, N &amp; Oei, TP (2004), ‘Role of culture in gambling and problem gambling’, </w:t>
      </w:r>
      <w:r w:rsidRPr="0071477F">
        <w:rPr>
          <w:rFonts w:asciiTheme="minorHAnsi" w:hAnsiTheme="minorHAnsi" w:cstheme="minorHAnsi"/>
          <w:i/>
          <w:szCs w:val="22"/>
        </w:rPr>
        <w:t>Clinical psychology review</w:t>
      </w:r>
      <w:r w:rsidRPr="0071477F">
        <w:rPr>
          <w:rFonts w:asciiTheme="minorHAnsi" w:hAnsiTheme="minorHAnsi" w:cstheme="minorHAnsi"/>
          <w:szCs w:val="22"/>
        </w:rPr>
        <w:t>, vol. 23, no. 8, pp. 1087–1114.</w:t>
      </w:r>
    </w:p>
    <w:p w:rsidR="0071477F" w:rsidRPr="0071477F" w:rsidRDefault="0071477F" w:rsidP="0071477F">
      <w:pPr>
        <w:autoSpaceDE w:val="0"/>
        <w:autoSpaceDN w:val="0"/>
        <w:adjustRightInd w:val="0"/>
        <w:rPr>
          <w:rFonts w:asciiTheme="minorHAnsi" w:hAnsiTheme="minorHAnsi" w:cstheme="minorHAnsi"/>
          <w:szCs w:val="22"/>
        </w:rPr>
      </w:pPr>
      <w:r w:rsidRPr="0071477F">
        <w:rPr>
          <w:rFonts w:asciiTheme="minorHAnsi" w:hAnsiTheme="minorHAnsi" w:cstheme="minorHAnsi"/>
          <w:szCs w:val="22"/>
        </w:rPr>
        <w:t xml:space="preserve">Rintoul, A. C., C. Livingstone, A. P. Mellor and D. Jolley (2012). "Modelling vulnerability to gambling related harm: How disadvantage predicts gambling losses." </w:t>
      </w:r>
      <w:r w:rsidRPr="0071477F">
        <w:rPr>
          <w:rFonts w:asciiTheme="minorHAnsi" w:hAnsiTheme="minorHAnsi" w:cstheme="minorHAnsi"/>
          <w:i/>
          <w:szCs w:val="22"/>
        </w:rPr>
        <w:t>Addiction Research &amp; Theory</w:t>
      </w:r>
      <w:r w:rsidRPr="0071477F">
        <w:rPr>
          <w:rFonts w:asciiTheme="minorHAnsi" w:hAnsiTheme="minorHAnsi" w:cstheme="minorHAnsi"/>
          <w:szCs w:val="22"/>
        </w:rPr>
        <w:t xml:space="preserve"> 21(4): 329-338.</w:t>
      </w:r>
    </w:p>
    <w:p w:rsidR="0071477F" w:rsidRPr="0071477F" w:rsidRDefault="0071477F" w:rsidP="0071477F">
      <w:pPr>
        <w:rPr>
          <w:rFonts w:asciiTheme="minorHAnsi" w:hAnsiTheme="minorHAnsi" w:cstheme="minorHAnsi"/>
          <w:iCs/>
          <w:szCs w:val="22"/>
        </w:rPr>
      </w:pPr>
      <w:r w:rsidRPr="0071477F">
        <w:rPr>
          <w:rFonts w:asciiTheme="minorHAnsi" w:hAnsiTheme="minorHAnsi" w:cstheme="minorHAnsi"/>
          <w:iCs/>
          <w:szCs w:val="22"/>
        </w:rPr>
        <w:t xml:space="preserve">Rockloff, M (2010) </w:t>
      </w:r>
      <w:r w:rsidRPr="0071477F">
        <w:rPr>
          <w:rFonts w:asciiTheme="minorHAnsi" w:hAnsiTheme="minorHAnsi" w:cstheme="minorHAnsi"/>
          <w:i/>
          <w:iCs/>
          <w:szCs w:val="22"/>
        </w:rPr>
        <w:t xml:space="preserve">The impact of an audience and venue size on poker machine gambling </w:t>
      </w:r>
      <w:r w:rsidRPr="0071477F">
        <w:rPr>
          <w:rFonts w:asciiTheme="minorHAnsi" w:hAnsiTheme="minorHAnsi" w:cstheme="minorHAnsi"/>
          <w:iCs/>
          <w:szCs w:val="22"/>
        </w:rPr>
        <w:t>Central Queensland University Institute of Health and Social Science Research.</w:t>
      </w:r>
    </w:p>
    <w:p w:rsidR="0071477F" w:rsidRPr="0071477F" w:rsidRDefault="0071477F" w:rsidP="0071477F">
      <w:pPr>
        <w:rPr>
          <w:rFonts w:asciiTheme="minorHAnsi" w:hAnsiTheme="minorHAnsi" w:cstheme="minorHAnsi"/>
          <w:iCs/>
          <w:szCs w:val="22"/>
        </w:rPr>
      </w:pPr>
      <w:r w:rsidRPr="0071477F">
        <w:rPr>
          <w:rFonts w:asciiTheme="minorHAnsi" w:hAnsiTheme="minorHAnsi" w:cstheme="minorHAnsi"/>
          <w:iCs/>
          <w:szCs w:val="22"/>
        </w:rPr>
        <w:t xml:space="preserve">Rockloff, M; Greer, N and Evans, L (2012) “The Effect of Mere Presence on Electronic Gaming Machine Gambling” </w:t>
      </w:r>
      <w:r w:rsidRPr="0071477F">
        <w:rPr>
          <w:rFonts w:asciiTheme="minorHAnsi" w:hAnsiTheme="minorHAnsi" w:cstheme="minorHAnsi"/>
          <w:i/>
          <w:iCs/>
          <w:szCs w:val="22"/>
        </w:rPr>
        <w:t xml:space="preserve">Journal of Gambling Studies, </w:t>
      </w:r>
      <w:r w:rsidRPr="0071477F">
        <w:rPr>
          <w:rFonts w:asciiTheme="minorHAnsi" w:hAnsiTheme="minorHAnsi" w:cstheme="minorHAnsi"/>
          <w:iCs/>
          <w:szCs w:val="22"/>
        </w:rPr>
        <w:t>October 2012, Issue 27</w:t>
      </w:r>
    </w:p>
    <w:p w:rsidR="0071477F" w:rsidRPr="0071477F" w:rsidRDefault="0071477F" w:rsidP="0071477F">
      <w:pPr>
        <w:rPr>
          <w:rFonts w:asciiTheme="minorHAnsi" w:hAnsiTheme="minorHAnsi" w:cstheme="minorHAnsi"/>
          <w:i/>
          <w:iCs/>
          <w:szCs w:val="22"/>
        </w:rPr>
      </w:pPr>
      <w:r w:rsidRPr="0071477F">
        <w:rPr>
          <w:rFonts w:asciiTheme="minorHAnsi" w:hAnsiTheme="minorHAnsi" w:cstheme="minorHAnsi"/>
          <w:iCs/>
          <w:szCs w:val="22"/>
        </w:rPr>
        <w:t xml:space="preserve">Rockloff, M; Greer, N and Fay, C (2010) “The Social Contagion of Gambling: How Venue Size Contributes to Player Losses” </w:t>
      </w:r>
      <w:r w:rsidRPr="0071477F">
        <w:rPr>
          <w:rFonts w:asciiTheme="minorHAnsi" w:hAnsiTheme="minorHAnsi" w:cstheme="minorHAnsi"/>
          <w:i/>
          <w:iCs/>
          <w:szCs w:val="22"/>
        </w:rPr>
        <w:t xml:space="preserve">Journal of Gambling Studies, </w:t>
      </w:r>
      <w:r w:rsidRPr="0071477F">
        <w:rPr>
          <w:rFonts w:asciiTheme="minorHAnsi" w:hAnsiTheme="minorHAnsi" w:cstheme="minorHAnsi"/>
          <w:iCs/>
          <w:szCs w:val="22"/>
        </w:rPr>
        <w:t>September 2011, Volume 27, Issue 4, pp 487-497</w:t>
      </w:r>
    </w:p>
    <w:p w:rsidR="0071477F" w:rsidRPr="0071477F" w:rsidRDefault="0071477F" w:rsidP="0071477F">
      <w:pPr>
        <w:rPr>
          <w:rFonts w:asciiTheme="minorHAnsi" w:hAnsiTheme="minorHAnsi" w:cstheme="minorHAnsi"/>
          <w:iCs/>
          <w:szCs w:val="22"/>
        </w:rPr>
      </w:pPr>
      <w:r w:rsidRPr="0071477F">
        <w:rPr>
          <w:rFonts w:asciiTheme="minorHAnsi" w:hAnsiTheme="minorHAnsi" w:cstheme="minorHAnsi"/>
          <w:iCs/>
          <w:szCs w:val="22"/>
        </w:rPr>
        <w:t xml:space="preserve">Sobrun-Maharaj, A., Rossen, F. and Kei Wong, A (2012) </w:t>
      </w:r>
      <w:r w:rsidRPr="0071477F">
        <w:rPr>
          <w:rFonts w:asciiTheme="minorHAnsi" w:hAnsiTheme="minorHAnsi" w:cstheme="minorHAnsi"/>
          <w:i/>
          <w:iCs/>
          <w:szCs w:val="22"/>
        </w:rPr>
        <w:t xml:space="preserve">The Impact of Gambling and Problem Gambling on Asian Families and Communities in New Zealand </w:t>
      </w:r>
      <w:r w:rsidRPr="0071477F">
        <w:rPr>
          <w:rFonts w:asciiTheme="minorHAnsi" w:hAnsiTheme="minorHAnsi" w:cstheme="minorHAnsi"/>
          <w:iCs/>
          <w:szCs w:val="22"/>
        </w:rPr>
        <w:t>Ministry of Health, Wellington</w:t>
      </w:r>
    </w:p>
    <w:p w:rsidR="0071477F" w:rsidRPr="0071477F" w:rsidRDefault="0071477F" w:rsidP="0071477F">
      <w:pPr>
        <w:rPr>
          <w:rFonts w:asciiTheme="minorHAnsi" w:hAnsiTheme="minorHAnsi" w:cstheme="minorHAnsi"/>
          <w:i/>
          <w:iCs/>
          <w:szCs w:val="22"/>
        </w:rPr>
      </w:pPr>
      <w:r w:rsidRPr="0071477F">
        <w:rPr>
          <w:rFonts w:asciiTheme="minorHAnsi" w:hAnsiTheme="minorHAnsi" w:cstheme="minorHAnsi"/>
          <w:iCs/>
          <w:szCs w:val="22"/>
        </w:rPr>
        <w:t xml:space="preserve">South Australian Centre for Economic Studies (2005) </w:t>
      </w:r>
      <w:r w:rsidRPr="0071477F">
        <w:rPr>
          <w:rFonts w:asciiTheme="minorHAnsi" w:hAnsiTheme="minorHAnsi" w:cstheme="minorHAnsi"/>
          <w:i/>
          <w:iCs/>
          <w:szCs w:val="22"/>
        </w:rPr>
        <w:t>Community Impacts of Electronic Gaming Machine Gambling – Final Report</w:t>
      </w:r>
    </w:p>
    <w:p w:rsidR="0071477F" w:rsidRPr="0071477F" w:rsidRDefault="0071477F" w:rsidP="0071477F">
      <w:pPr>
        <w:rPr>
          <w:rFonts w:asciiTheme="minorHAnsi" w:hAnsiTheme="minorHAnsi" w:cstheme="minorHAnsi"/>
          <w:iCs/>
          <w:szCs w:val="22"/>
        </w:rPr>
      </w:pPr>
      <w:r w:rsidRPr="0071477F">
        <w:rPr>
          <w:rFonts w:asciiTheme="minorHAnsi" w:hAnsiTheme="minorHAnsi" w:cstheme="minorHAnsi"/>
          <w:szCs w:val="22"/>
        </w:rPr>
        <w:t xml:space="preserve">State Government of Victoria (2008) </w:t>
      </w:r>
      <w:r w:rsidRPr="0071477F">
        <w:rPr>
          <w:rFonts w:asciiTheme="minorHAnsi" w:hAnsiTheme="minorHAnsi" w:cstheme="minorHAnsi"/>
          <w:i/>
          <w:szCs w:val="22"/>
        </w:rPr>
        <w:t>A review of Australian Gambling Research</w:t>
      </w:r>
      <w:r w:rsidRPr="0071477F">
        <w:rPr>
          <w:rFonts w:asciiTheme="minorHAnsi" w:hAnsiTheme="minorHAnsi" w:cstheme="minorHAnsi"/>
          <w:szCs w:val="22"/>
        </w:rPr>
        <w:t xml:space="preserve"> Commissioned by Gambling Research Australia for the Ministerial Council on Gambling</w:t>
      </w:r>
    </w:p>
    <w:p w:rsidR="0071477F" w:rsidRPr="0071477F" w:rsidRDefault="0071477F" w:rsidP="0071477F">
      <w:pPr>
        <w:rPr>
          <w:rFonts w:asciiTheme="minorHAnsi" w:hAnsiTheme="minorHAnsi" w:cstheme="minorHAnsi"/>
          <w:szCs w:val="22"/>
        </w:rPr>
      </w:pPr>
      <w:r w:rsidRPr="0071477F">
        <w:rPr>
          <w:rFonts w:asciiTheme="minorHAnsi" w:hAnsiTheme="minorHAnsi" w:cstheme="minorHAnsi"/>
          <w:szCs w:val="22"/>
        </w:rPr>
        <w:t xml:space="preserve">State Government of Victoria (2008) </w:t>
      </w:r>
      <w:r w:rsidRPr="0071477F">
        <w:rPr>
          <w:rFonts w:asciiTheme="minorHAnsi" w:hAnsiTheme="minorHAnsi" w:cstheme="minorHAnsi"/>
          <w:i/>
          <w:szCs w:val="22"/>
        </w:rPr>
        <w:t xml:space="preserve">Destination-style Gambling </w:t>
      </w:r>
      <w:r w:rsidRPr="0071477F">
        <w:rPr>
          <w:rFonts w:asciiTheme="minorHAnsi" w:hAnsiTheme="minorHAnsi" w:cstheme="minorHAnsi"/>
          <w:szCs w:val="22"/>
        </w:rPr>
        <w:t>Department of Justice</w:t>
      </w:r>
    </w:p>
    <w:p w:rsidR="0071477F" w:rsidRPr="0071477F" w:rsidRDefault="0071477F" w:rsidP="0071477F">
      <w:pPr>
        <w:rPr>
          <w:rFonts w:asciiTheme="minorHAnsi" w:hAnsiTheme="minorHAnsi" w:cstheme="minorHAnsi"/>
          <w:iCs/>
          <w:szCs w:val="22"/>
        </w:rPr>
      </w:pPr>
      <w:r w:rsidRPr="0071477F">
        <w:rPr>
          <w:rFonts w:asciiTheme="minorHAnsi" w:hAnsiTheme="minorHAnsi" w:cstheme="minorHAnsi"/>
          <w:iCs/>
          <w:szCs w:val="22"/>
        </w:rPr>
        <w:t xml:space="preserve">State Government of Victoria (2010) </w:t>
      </w:r>
      <w:r w:rsidRPr="0071477F">
        <w:rPr>
          <w:rFonts w:asciiTheme="minorHAnsi" w:hAnsiTheme="minorHAnsi" w:cstheme="minorHAnsi"/>
          <w:i/>
          <w:iCs/>
          <w:szCs w:val="22"/>
        </w:rPr>
        <w:t xml:space="preserve">The relationship between crime and gaming expenditure Victoria </w:t>
      </w:r>
      <w:r w:rsidRPr="0071477F">
        <w:rPr>
          <w:rFonts w:asciiTheme="minorHAnsi" w:hAnsiTheme="minorHAnsi" w:cstheme="minorHAnsi"/>
          <w:iCs/>
          <w:szCs w:val="22"/>
        </w:rPr>
        <w:t>Department of Justice</w:t>
      </w:r>
    </w:p>
    <w:p w:rsidR="0071477F" w:rsidRPr="0071477F" w:rsidRDefault="0071477F" w:rsidP="0071477F">
      <w:pPr>
        <w:rPr>
          <w:rFonts w:asciiTheme="minorHAnsi" w:hAnsiTheme="minorHAnsi" w:cstheme="minorHAnsi"/>
          <w:iCs/>
          <w:szCs w:val="22"/>
        </w:rPr>
      </w:pPr>
      <w:r w:rsidRPr="0071477F">
        <w:rPr>
          <w:rFonts w:asciiTheme="minorHAnsi" w:hAnsiTheme="minorHAnsi" w:cstheme="minorHAnsi"/>
          <w:iCs/>
          <w:szCs w:val="22"/>
        </w:rPr>
        <w:t xml:space="preserve">State Government of Victoria (2011) </w:t>
      </w:r>
      <w:r w:rsidRPr="0071477F">
        <w:rPr>
          <w:rFonts w:asciiTheme="minorHAnsi" w:hAnsiTheme="minorHAnsi" w:cstheme="minorHAnsi"/>
          <w:i/>
          <w:iCs/>
          <w:szCs w:val="22"/>
        </w:rPr>
        <w:t xml:space="preserve">Socio-economic impacts of access to electronic gaming machines in Victoria – Effects on demand and communities </w:t>
      </w:r>
      <w:r w:rsidRPr="0071477F">
        <w:rPr>
          <w:rFonts w:asciiTheme="minorHAnsi" w:hAnsiTheme="minorHAnsi" w:cstheme="minorHAnsi"/>
          <w:iCs/>
          <w:szCs w:val="22"/>
        </w:rPr>
        <w:t>Department of Justice</w:t>
      </w:r>
    </w:p>
    <w:p w:rsidR="0071477F" w:rsidRPr="0071477F" w:rsidRDefault="0071477F" w:rsidP="0071477F">
      <w:pPr>
        <w:rPr>
          <w:rFonts w:asciiTheme="minorHAnsi" w:hAnsiTheme="minorHAnsi" w:cstheme="minorHAnsi"/>
          <w:i/>
          <w:iCs/>
          <w:szCs w:val="22"/>
        </w:rPr>
      </w:pPr>
      <w:r w:rsidRPr="0071477F">
        <w:rPr>
          <w:rFonts w:asciiTheme="minorHAnsi" w:hAnsiTheme="minorHAnsi" w:cstheme="minorHAnsi"/>
          <w:szCs w:val="22"/>
        </w:rPr>
        <w:t xml:space="preserve">State Government of Victoria </w:t>
      </w:r>
      <w:r w:rsidRPr="0071477F">
        <w:rPr>
          <w:rFonts w:asciiTheme="minorHAnsi" w:hAnsiTheme="minorHAnsi" w:cstheme="minorHAnsi"/>
          <w:i/>
          <w:iCs/>
          <w:szCs w:val="22"/>
        </w:rPr>
        <w:t xml:space="preserve">Problem Gambling Resource Kit </w:t>
      </w:r>
    </w:p>
    <w:p w:rsidR="0071477F" w:rsidRPr="0071477F" w:rsidRDefault="0071477F" w:rsidP="0071477F">
      <w:pPr>
        <w:rPr>
          <w:rFonts w:asciiTheme="minorHAnsi" w:hAnsiTheme="minorHAnsi" w:cstheme="minorHAnsi"/>
          <w:szCs w:val="22"/>
        </w:rPr>
      </w:pPr>
      <w:r w:rsidRPr="0071477F">
        <w:rPr>
          <w:rFonts w:asciiTheme="minorHAnsi" w:hAnsiTheme="minorHAnsi" w:cstheme="minorHAnsi"/>
          <w:szCs w:val="22"/>
        </w:rPr>
        <w:t xml:space="preserve">Stevens, M (2013) “Gambling problems amongst the CALD population of Australia: hidden, visible or not a problem?” </w:t>
      </w:r>
      <w:r w:rsidRPr="0071477F">
        <w:rPr>
          <w:rFonts w:asciiTheme="minorHAnsi" w:hAnsiTheme="minorHAnsi" w:cstheme="minorHAnsi"/>
          <w:i/>
          <w:szCs w:val="22"/>
        </w:rPr>
        <w:t xml:space="preserve">Asian Journal of Gambling Issues and Pubic Health </w:t>
      </w:r>
      <w:r w:rsidRPr="0071477F">
        <w:rPr>
          <w:rFonts w:asciiTheme="minorHAnsi" w:hAnsiTheme="minorHAnsi" w:cstheme="minorHAnsi"/>
          <w:szCs w:val="22"/>
        </w:rPr>
        <w:t>2013. 3:1</w:t>
      </w:r>
    </w:p>
    <w:p w:rsidR="0071477F" w:rsidRPr="0071477F" w:rsidRDefault="0071477F" w:rsidP="0071477F">
      <w:pPr>
        <w:rPr>
          <w:rFonts w:asciiTheme="minorHAnsi" w:hAnsiTheme="minorHAnsi" w:cstheme="minorHAnsi"/>
          <w:szCs w:val="22"/>
        </w:rPr>
      </w:pPr>
      <w:r w:rsidRPr="0071477F">
        <w:rPr>
          <w:rFonts w:asciiTheme="minorHAnsi" w:hAnsiTheme="minorHAnsi" w:cstheme="minorHAnsi"/>
          <w:szCs w:val="22"/>
        </w:rPr>
        <w:t xml:space="preserve">Thomas, A et al (2013) </w:t>
      </w:r>
      <w:r w:rsidRPr="0071477F">
        <w:rPr>
          <w:rFonts w:asciiTheme="minorHAnsi" w:hAnsiTheme="minorHAnsi" w:cstheme="minorHAnsi"/>
          <w:i/>
          <w:szCs w:val="22"/>
        </w:rPr>
        <w:t xml:space="preserve">Evaluation of the removal of ATMs from gaming venues in Victoria, Australia </w:t>
      </w:r>
      <w:r w:rsidRPr="0071477F">
        <w:rPr>
          <w:rFonts w:asciiTheme="minorHAnsi" w:hAnsiTheme="minorHAnsi" w:cstheme="minorHAnsi"/>
          <w:szCs w:val="22"/>
        </w:rPr>
        <w:t>Swinburne University</w:t>
      </w:r>
    </w:p>
    <w:p w:rsidR="0071477F" w:rsidRPr="0071477F" w:rsidRDefault="0071477F" w:rsidP="0071477F">
      <w:pPr>
        <w:pStyle w:val="EndnoteText"/>
        <w:spacing w:after="120"/>
        <w:rPr>
          <w:rFonts w:asciiTheme="minorHAnsi" w:hAnsiTheme="minorHAnsi" w:cstheme="minorHAnsi"/>
          <w:szCs w:val="22"/>
        </w:rPr>
      </w:pPr>
      <w:r w:rsidRPr="0071477F">
        <w:rPr>
          <w:rFonts w:asciiTheme="minorHAnsi" w:hAnsiTheme="minorHAnsi" w:cstheme="minorHAnsi"/>
          <w:szCs w:val="22"/>
        </w:rPr>
        <w:t>Thomas, A., Moore, S., Kalé, S., Zlatevska, N., Spence, M., Staiger, P. et al. (2011). International student gambling: The role of acculturation, gambling cognitions and social circumstances. Full technical report: A mixed-methods investigation of international student gambling. Melbourne: Gambling Research Australia.</w:t>
      </w:r>
    </w:p>
    <w:p w:rsidR="0071477F" w:rsidRPr="0071477F" w:rsidRDefault="0071477F" w:rsidP="0071477F">
      <w:pPr>
        <w:rPr>
          <w:rFonts w:asciiTheme="minorHAnsi" w:hAnsiTheme="minorHAnsi" w:cstheme="minorHAnsi"/>
          <w:szCs w:val="22"/>
        </w:rPr>
      </w:pPr>
      <w:r w:rsidRPr="0071477F">
        <w:rPr>
          <w:rFonts w:asciiTheme="minorHAnsi" w:hAnsiTheme="minorHAnsi" w:cstheme="minorHAnsi"/>
          <w:szCs w:val="22"/>
        </w:rPr>
        <w:t xml:space="preserve">Tuffin, A and Parr, V (2008) </w:t>
      </w:r>
      <w:r w:rsidRPr="0071477F">
        <w:rPr>
          <w:rFonts w:asciiTheme="minorHAnsi" w:hAnsiTheme="minorHAnsi" w:cstheme="minorHAnsi"/>
          <w:i/>
          <w:szCs w:val="22"/>
        </w:rPr>
        <w:t xml:space="preserve">Evaluation of the 6 hour shutdown of electronic gaming machines in NSW. </w:t>
      </w:r>
      <w:r w:rsidRPr="0071477F">
        <w:rPr>
          <w:rFonts w:asciiTheme="minorHAnsi" w:hAnsiTheme="minorHAnsi" w:cstheme="minorHAnsi"/>
          <w:szCs w:val="22"/>
        </w:rPr>
        <w:t>NSW Office of Liquor, gaming and Racing</w:t>
      </w:r>
    </w:p>
    <w:p w:rsidR="0071477F" w:rsidRPr="0071477F" w:rsidRDefault="0071477F" w:rsidP="0071477F">
      <w:pPr>
        <w:rPr>
          <w:rFonts w:asciiTheme="minorHAnsi" w:hAnsiTheme="minorHAnsi" w:cstheme="minorHAnsi"/>
          <w:szCs w:val="22"/>
        </w:rPr>
      </w:pPr>
      <w:r w:rsidRPr="0071477F">
        <w:rPr>
          <w:rFonts w:asciiTheme="minorHAnsi" w:hAnsiTheme="minorHAnsi" w:cstheme="minorHAnsi"/>
          <w:szCs w:val="22"/>
        </w:rPr>
        <w:t xml:space="preserve">Victorian Auditor General’s Office (2011) </w:t>
      </w:r>
      <w:r w:rsidRPr="0071477F">
        <w:rPr>
          <w:rFonts w:asciiTheme="minorHAnsi" w:hAnsiTheme="minorHAnsi" w:cstheme="minorHAnsi"/>
          <w:i/>
          <w:szCs w:val="22"/>
        </w:rPr>
        <w:t xml:space="preserve">Allocation of Electronic Gaming Machine Entitlements </w:t>
      </w:r>
    </w:p>
    <w:p w:rsidR="0071477F" w:rsidRPr="0071477F" w:rsidRDefault="0071477F" w:rsidP="0071477F">
      <w:pPr>
        <w:rPr>
          <w:rFonts w:asciiTheme="minorHAnsi" w:hAnsiTheme="minorHAnsi" w:cstheme="minorHAnsi"/>
          <w:szCs w:val="22"/>
        </w:rPr>
      </w:pPr>
      <w:r w:rsidRPr="0071477F">
        <w:rPr>
          <w:rFonts w:asciiTheme="minorHAnsi" w:hAnsiTheme="minorHAnsi" w:cstheme="minorHAnsi"/>
          <w:szCs w:val="22"/>
        </w:rPr>
        <w:t xml:space="preserve">Victorian Competition and Efficiency Commission (2010) </w:t>
      </w:r>
      <w:r w:rsidRPr="0071477F">
        <w:rPr>
          <w:rFonts w:asciiTheme="minorHAnsi" w:hAnsiTheme="minorHAnsi" w:cstheme="minorHAnsi"/>
          <w:i/>
          <w:szCs w:val="22"/>
        </w:rPr>
        <w:t xml:space="preserve">Counting the Cost. Inquiry into the Costs of Problem Gambling </w:t>
      </w:r>
      <w:r w:rsidRPr="0071477F">
        <w:rPr>
          <w:rFonts w:asciiTheme="minorHAnsi" w:hAnsiTheme="minorHAnsi" w:cstheme="minorHAnsi"/>
          <w:szCs w:val="22"/>
        </w:rPr>
        <w:t>A draft report for further consultation and input. October 2012</w:t>
      </w:r>
    </w:p>
    <w:p w:rsidR="0071477F" w:rsidRPr="0071477F" w:rsidRDefault="0071477F" w:rsidP="0071477F">
      <w:pPr>
        <w:rPr>
          <w:rFonts w:asciiTheme="minorHAnsi" w:hAnsiTheme="minorHAnsi" w:cstheme="minorHAnsi"/>
          <w:iCs/>
          <w:szCs w:val="22"/>
        </w:rPr>
      </w:pPr>
      <w:r w:rsidRPr="0071477F">
        <w:rPr>
          <w:rFonts w:asciiTheme="minorHAnsi" w:hAnsiTheme="minorHAnsi" w:cstheme="minorHAnsi"/>
          <w:szCs w:val="22"/>
        </w:rPr>
        <w:t xml:space="preserve">Victorian Responsible Gambling Foundation (2013) </w:t>
      </w:r>
      <w:r w:rsidRPr="0071477F">
        <w:rPr>
          <w:rFonts w:asciiTheme="minorHAnsi" w:hAnsiTheme="minorHAnsi" w:cstheme="minorHAnsi"/>
          <w:i/>
          <w:szCs w:val="22"/>
        </w:rPr>
        <w:t>The Responsible Gambling Guide</w:t>
      </w:r>
    </w:p>
    <w:p w:rsidR="0071477F" w:rsidRPr="0071477F" w:rsidRDefault="0071477F" w:rsidP="0071477F">
      <w:pPr>
        <w:pStyle w:val="FootnoteText"/>
        <w:spacing w:after="120"/>
        <w:rPr>
          <w:rFonts w:asciiTheme="minorHAnsi" w:hAnsiTheme="minorHAnsi" w:cstheme="minorHAnsi"/>
          <w:szCs w:val="22"/>
        </w:rPr>
      </w:pPr>
      <w:r w:rsidRPr="0071477F">
        <w:rPr>
          <w:rFonts w:asciiTheme="minorHAnsi" w:hAnsiTheme="minorHAnsi" w:cstheme="minorHAnsi"/>
          <w:szCs w:val="22"/>
        </w:rPr>
        <w:t xml:space="preserve">Wilkins, R (2017) </w:t>
      </w:r>
      <w:r w:rsidRPr="0071477F">
        <w:rPr>
          <w:rFonts w:asciiTheme="minorHAnsi" w:hAnsiTheme="minorHAnsi" w:cstheme="minorHAnsi"/>
          <w:i/>
          <w:szCs w:val="22"/>
        </w:rPr>
        <w:t>The Household, Income and Labour Dynamics in Australia Survey: Selected Findings from Waves 1 to 15</w:t>
      </w:r>
    </w:p>
    <w:p w:rsidR="0071477F" w:rsidRPr="0071477F" w:rsidRDefault="0071477F" w:rsidP="0071477F">
      <w:pPr>
        <w:rPr>
          <w:rFonts w:asciiTheme="minorHAnsi" w:hAnsiTheme="minorHAnsi" w:cstheme="minorHAnsi"/>
          <w:i/>
          <w:szCs w:val="22"/>
        </w:rPr>
      </w:pPr>
      <w:r w:rsidRPr="0071477F">
        <w:rPr>
          <w:rFonts w:asciiTheme="minorHAnsi" w:hAnsiTheme="minorHAnsi" w:cstheme="minorHAnsi"/>
          <w:szCs w:val="22"/>
        </w:rPr>
        <w:t xml:space="preserve">Women’s Health East Fact Sheet </w:t>
      </w:r>
      <w:r w:rsidRPr="0071477F">
        <w:rPr>
          <w:rFonts w:asciiTheme="minorHAnsi" w:hAnsiTheme="minorHAnsi" w:cstheme="minorHAnsi"/>
          <w:i/>
          <w:szCs w:val="22"/>
        </w:rPr>
        <w:t>Women and gambling</w:t>
      </w:r>
    </w:p>
    <w:p w:rsidR="0071477F" w:rsidRPr="0071477F" w:rsidRDefault="0071477F" w:rsidP="0071477F">
      <w:pPr>
        <w:pStyle w:val="FootnoteText"/>
        <w:spacing w:after="120"/>
        <w:rPr>
          <w:rFonts w:asciiTheme="minorHAnsi" w:hAnsiTheme="minorHAnsi" w:cstheme="minorHAnsi"/>
          <w:i/>
          <w:szCs w:val="22"/>
        </w:rPr>
      </w:pPr>
      <w:r w:rsidRPr="0071477F">
        <w:rPr>
          <w:rFonts w:asciiTheme="minorHAnsi" w:hAnsiTheme="minorHAnsi" w:cstheme="minorHAnsi"/>
          <w:szCs w:val="22"/>
        </w:rPr>
        <w:t xml:space="preserve">World Health Organisation (2003) </w:t>
      </w:r>
      <w:r w:rsidRPr="0071477F">
        <w:rPr>
          <w:rFonts w:asciiTheme="minorHAnsi" w:hAnsiTheme="minorHAnsi" w:cstheme="minorHAnsi"/>
          <w:i/>
          <w:szCs w:val="22"/>
        </w:rPr>
        <w:t>Social determinants of health: the solid facts</w:t>
      </w:r>
      <w:r w:rsidRPr="0071477F">
        <w:rPr>
          <w:rFonts w:asciiTheme="minorHAnsi" w:hAnsiTheme="minorHAnsi" w:cstheme="minorHAnsi"/>
          <w:szCs w:val="22"/>
        </w:rPr>
        <w:t xml:space="preserve"> WHO Regional Office for Europe, Denmark </w:t>
      </w:r>
      <w:r w:rsidRPr="0071477F">
        <w:rPr>
          <w:rFonts w:asciiTheme="minorHAnsi" w:hAnsiTheme="minorHAnsi" w:cstheme="minorHAnsi"/>
          <w:i/>
          <w:szCs w:val="22"/>
        </w:rPr>
        <w:t xml:space="preserve"> </w:t>
      </w:r>
    </w:p>
    <w:p w:rsidR="0071477F" w:rsidRPr="0071477F" w:rsidRDefault="0071477F" w:rsidP="0071477F">
      <w:pPr>
        <w:pStyle w:val="EndnoteText"/>
        <w:spacing w:after="120"/>
        <w:rPr>
          <w:rFonts w:asciiTheme="minorHAnsi" w:hAnsiTheme="minorHAnsi" w:cstheme="minorHAnsi"/>
          <w:szCs w:val="22"/>
        </w:rPr>
      </w:pPr>
      <w:r w:rsidRPr="0071477F">
        <w:rPr>
          <w:rFonts w:asciiTheme="minorHAnsi" w:hAnsiTheme="minorHAnsi" w:cstheme="minorHAnsi"/>
          <w:szCs w:val="22"/>
        </w:rPr>
        <w:t xml:space="preserve">Young, M, Markham, F, &amp; Doran, B (2012) ‘Placing bets: Gambling venues and the distribution of harm’, </w:t>
      </w:r>
      <w:r w:rsidRPr="0071477F">
        <w:rPr>
          <w:rFonts w:asciiTheme="minorHAnsi" w:hAnsiTheme="minorHAnsi" w:cstheme="minorHAnsi"/>
          <w:i/>
          <w:szCs w:val="22"/>
        </w:rPr>
        <w:t>Australian Geographer</w:t>
      </w:r>
      <w:r w:rsidRPr="0071477F">
        <w:rPr>
          <w:rFonts w:asciiTheme="minorHAnsi" w:hAnsiTheme="minorHAnsi" w:cstheme="minorHAnsi"/>
          <w:szCs w:val="22"/>
        </w:rPr>
        <w:t xml:space="preserve"> 43(4): 425-444</w:t>
      </w:r>
    </w:p>
    <w:p w:rsidR="0071477F" w:rsidRDefault="0071477F" w:rsidP="0071477F">
      <w:pPr>
        <w:pStyle w:val="FootnoteText"/>
        <w:spacing w:after="120"/>
        <w:rPr>
          <w:rFonts w:asciiTheme="minorHAnsi" w:hAnsiTheme="minorHAnsi" w:cstheme="minorHAnsi"/>
          <w:szCs w:val="22"/>
        </w:rPr>
      </w:pPr>
      <w:r w:rsidRPr="0071477F">
        <w:rPr>
          <w:rFonts w:asciiTheme="minorHAnsi" w:hAnsiTheme="minorHAnsi" w:cstheme="minorHAnsi"/>
          <w:szCs w:val="22"/>
        </w:rPr>
        <w:t>Zakus, Dwight, Skinner, James, Edward, Allen (2009) “Social Capital in Australian Sport”</w:t>
      </w:r>
      <w:r w:rsidRPr="0071477F">
        <w:rPr>
          <w:rFonts w:asciiTheme="minorHAnsi" w:hAnsiTheme="minorHAnsi" w:cstheme="minorHAnsi"/>
          <w:i/>
          <w:szCs w:val="22"/>
        </w:rPr>
        <w:t xml:space="preserve"> Sport in Society </w:t>
      </w:r>
      <w:r w:rsidRPr="0071477F">
        <w:rPr>
          <w:rFonts w:asciiTheme="minorHAnsi" w:hAnsiTheme="minorHAnsi" w:cstheme="minorHAnsi"/>
          <w:szCs w:val="22"/>
        </w:rPr>
        <w:t>accessed https://research-repository.griffith.edu.au/bitstream/handle/10072/30597/58330_1.pdf?sequence=1</w:t>
      </w:r>
    </w:p>
    <w:p w:rsidR="001F672C" w:rsidRPr="001F672C" w:rsidRDefault="001F672C" w:rsidP="001F672C">
      <w:pPr>
        <w:rPr>
          <w:color w:val="000000" w:themeColor="text1"/>
        </w:rPr>
      </w:pPr>
    </w:p>
    <w:p w:rsidR="0086152E" w:rsidRDefault="0086152E">
      <w:pPr>
        <w:spacing w:line="276" w:lineRule="auto"/>
        <w:ind w:left="720"/>
      </w:pPr>
      <w:r>
        <w:br w:type="page"/>
      </w:r>
    </w:p>
    <w:p w:rsidR="00D9712C" w:rsidRPr="00E256E4" w:rsidRDefault="00D9712C" w:rsidP="00D9712C">
      <w:pPr>
        <w:pStyle w:val="Heading1"/>
        <w:numPr>
          <w:ilvl w:val="0"/>
          <w:numId w:val="0"/>
        </w:numPr>
        <w:rPr>
          <w:caps w:val="0"/>
        </w:rPr>
      </w:pPr>
      <w:bookmarkStart w:id="149" w:name="_Toc494287783"/>
      <w:r>
        <w:t>A</w:t>
      </w:r>
      <w:r>
        <w:rPr>
          <w:caps w:val="0"/>
        </w:rPr>
        <w:t>ppendix</w:t>
      </w:r>
      <w:r>
        <w:t xml:space="preserve"> 2 – </w:t>
      </w:r>
      <w:r>
        <w:rPr>
          <w:caps w:val="0"/>
        </w:rPr>
        <w:t>Summary</w:t>
      </w:r>
      <w:r>
        <w:t xml:space="preserve"> </w:t>
      </w:r>
      <w:r>
        <w:rPr>
          <w:caps w:val="0"/>
        </w:rPr>
        <w:t>of</w:t>
      </w:r>
      <w:r>
        <w:t xml:space="preserve"> </w:t>
      </w:r>
      <w:r>
        <w:rPr>
          <w:caps w:val="0"/>
        </w:rPr>
        <w:t>stakeholder</w:t>
      </w:r>
      <w:r>
        <w:t xml:space="preserve"> </w:t>
      </w:r>
      <w:r>
        <w:rPr>
          <w:caps w:val="0"/>
        </w:rPr>
        <w:t>engagement</w:t>
      </w:r>
      <w:r>
        <w:t xml:space="preserve"> </w:t>
      </w:r>
      <w:r>
        <w:rPr>
          <w:caps w:val="0"/>
        </w:rPr>
        <w:t>discussions</w:t>
      </w:r>
      <w:bookmarkEnd w:id="149"/>
    </w:p>
    <w:p w:rsidR="00D9712C" w:rsidRDefault="00D9712C" w:rsidP="00D9712C">
      <w:pPr>
        <w:pStyle w:val="Heading3"/>
        <w:numPr>
          <w:ilvl w:val="0"/>
          <w:numId w:val="0"/>
        </w:numPr>
      </w:pPr>
      <w:r w:rsidRPr="00E256E4">
        <w:t xml:space="preserve"> </w:t>
      </w:r>
      <w:r>
        <w:t>Methodology</w:t>
      </w:r>
    </w:p>
    <w:p w:rsidR="00D9712C" w:rsidRDefault="00D9712C" w:rsidP="00D9712C">
      <w:r>
        <w:t>Telephone interviews were held with the following agencies and venue operators.</w:t>
      </w:r>
    </w:p>
    <w:p w:rsidR="00D9712C" w:rsidRDefault="00D9712C" w:rsidP="007D1909">
      <w:pPr>
        <w:pStyle w:val="ListParagraph"/>
        <w:numPr>
          <w:ilvl w:val="0"/>
          <w:numId w:val="67"/>
        </w:numPr>
        <w:spacing w:after="120"/>
        <w:contextualSpacing w:val="0"/>
      </w:pPr>
      <w:r>
        <w:t>Salvation Army</w:t>
      </w:r>
    </w:p>
    <w:p w:rsidR="00D9712C" w:rsidRDefault="00D9712C" w:rsidP="007D1909">
      <w:pPr>
        <w:pStyle w:val="ListParagraph"/>
        <w:numPr>
          <w:ilvl w:val="0"/>
          <w:numId w:val="67"/>
        </w:numPr>
        <w:spacing w:after="120"/>
        <w:contextualSpacing w:val="0"/>
      </w:pPr>
      <w:r>
        <w:t>Victorian Local Government Association</w:t>
      </w:r>
    </w:p>
    <w:p w:rsidR="00D9712C" w:rsidRDefault="00D9712C" w:rsidP="007D1909">
      <w:pPr>
        <w:pStyle w:val="ListParagraph"/>
        <w:numPr>
          <w:ilvl w:val="0"/>
          <w:numId w:val="67"/>
        </w:numPr>
        <w:spacing w:after="120"/>
        <w:contextualSpacing w:val="0"/>
      </w:pPr>
      <w:r>
        <w:t>Victorian Responsible Gambling Foundation</w:t>
      </w:r>
    </w:p>
    <w:p w:rsidR="00D9712C" w:rsidRDefault="00D9712C" w:rsidP="007D1909">
      <w:pPr>
        <w:pStyle w:val="ListParagraph"/>
        <w:numPr>
          <w:ilvl w:val="0"/>
          <w:numId w:val="67"/>
        </w:numPr>
        <w:spacing w:after="120"/>
        <w:contextualSpacing w:val="0"/>
      </w:pPr>
      <w:r>
        <w:t>The Celtic Club</w:t>
      </w:r>
    </w:p>
    <w:p w:rsidR="00D9712C" w:rsidRDefault="00D9712C" w:rsidP="007D1909">
      <w:pPr>
        <w:pStyle w:val="ListParagraph"/>
        <w:numPr>
          <w:ilvl w:val="0"/>
          <w:numId w:val="67"/>
        </w:numPr>
        <w:spacing w:after="120"/>
        <w:contextualSpacing w:val="0"/>
      </w:pPr>
      <w:r>
        <w:t>Mercure Grand Hotel on Swanston</w:t>
      </w:r>
    </w:p>
    <w:p w:rsidR="00D9712C" w:rsidRDefault="00D9712C" w:rsidP="007D1909">
      <w:pPr>
        <w:pStyle w:val="ListParagraph"/>
        <w:numPr>
          <w:ilvl w:val="0"/>
          <w:numId w:val="67"/>
        </w:numPr>
        <w:spacing w:after="120"/>
        <w:contextualSpacing w:val="0"/>
      </w:pPr>
      <w:r>
        <w:t>Batman’s Hill on Collins</w:t>
      </w:r>
    </w:p>
    <w:p w:rsidR="00D9712C" w:rsidRDefault="00D9712C" w:rsidP="007D1909">
      <w:pPr>
        <w:pStyle w:val="ListParagraph"/>
        <w:numPr>
          <w:ilvl w:val="0"/>
          <w:numId w:val="67"/>
        </w:numPr>
        <w:spacing w:after="120"/>
        <w:contextualSpacing w:val="0"/>
      </w:pPr>
      <w:r>
        <w:t>Pegasus Group (Melbourne Racing Club) representing Players on Lygon and the Golden Nugget</w:t>
      </w:r>
    </w:p>
    <w:p w:rsidR="00D9712C" w:rsidRDefault="00D9712C" w:rsidP="007D1909">
      <w:pPr>
        <w:pStyle w:val="ListParagraph"/>
        <w:numPr>
          <w:ilvl w:val="0"/>
          <w:numId w:val="67"/>
        </w:numPr>
        <w:spacing w:after="120"/>
        <w:contextualSpacing w:val="0"/>
      </w:pPr>
      <w:r>
        <w:t>Doxa Club Inc. representing The Meeting Place and Clocks at Flinders Street Station</w:t>
      </w:r>
    </w:p>
    <w:p w:rsidR="00D9712C" w:rsidRDefault="00D9712C" w:rsidP="007D1909">
      <w:pPr>
        <w:pStyle w:val="ListParagraph"/>
        <w:numPr>
          <w:ilvl w:val="0"/>
          <w:numId w:val="67"/>
        </w:numPr>
        <w:spacing w:after="120"/>
        <w:contextualSpacing w:val="0"/>
      </w:pPr>
      <w:r>
        <w:t>Hotel and Leisure Management representing Bourke’s Hill Welcome Stranger and the Mail Exchange</w:t>
      </w:r>
    </w:p>
    <w:p w:rsidR="00D9712C" w:rsidRDefault="00D9712C" w:rsidP="00D9712C">
      <w:r>
        <w:t>The feedback gathered during this process is summarised below.</w:t>
      </w:r>
    </w:p>
    <w:p w:rsidR="00D9712C" w:rsidRDefault="00D9712C" w:rsidP="00D9712C">
      <w:pPr>
        <w:pStyle w:val="Heading3"/>
        <w:numPr>
          <w:ilvl w:val="0"/>
          <w:numId w:val="0"/>
        </w:numPr>
      </w:pPr>
      <w:r>
        <w:t>Feedback from venue operators</w:t>
      </w:r>
    </w:p>
    <w:p w:rsidR="00D9712C" w:rsidRDefault="00D9712C" w:rsidP="00D9712C">
      <w:r>
        <w:t>Telephone interviews were held with operators of nine of the 11 gaming venues. Of these, six interviews were conducted as three venue operators were responsible for the management of two venues each.</w:t>
      </w:r>
    </w:p>
    <w:p w:rsidR="00D9712C" w:rsidRDefault="00D9712C" w:rsidP="00D9712C">
      <w:r>
        <w:t>The venue operators were interested in providing comments on the draft Decision-Making Framework and Local Planning Policy for Gaming.</w:t>
      </w:r>
    </w:p>
    <w:p w:rsidR="00D9712C" w:rsidRDefault="00D9712C" w:rsidP="00D9712C">
      <w:r>
        <w:t>The feedback gathered during these telephone interviews is summarised under the following topics which provided the structure for each of the interviews.</w:t>
      </w:r>
    </w:p>
    <w:p w:rsidR="00D9712C" w:rsidRDefault="00D9712C" w:rsidP="00D9712C">
      <w:pPr>
        <w:pStyle w:val="Heading5"/>
      </w:pPr>
      <w:r w:rsidRPr="00E759E5">
        <w:t xml:space="preserve">What measures do you think are most effective in preventing gambling-related harms? </w:t>
      </w:r>
    </w:p>
    <w:p w:rsidR="00D9712C" w:rsidRDefault="00D9712C" w:rsidP="00D9712C">
      <w:r>
        <w:t>All venue operators felt that staff training was the most effective measure as it enables the staff members to recognise people who are experiencing problems with their gambling and provide them with support and information. Four venue operators also felt that the State Government’s YourPlay mandatory self-exclusion</w:t>
      </w:r>
      <w:r>
        <w:rPr>
          <w:rStyle w:val="FootnoteReference"/>
        </w:rPr>
        <w:footnoteReference w:id="268"/>
      </w:r>
      <w:r>
        <w:t xml:space="preserve"> program was also effective.</w:t>
      </w:r>
    </w:p>
    <w:p w:rsidR="00D9712C" w:rsidRDefault="00D9712C" w:rsidP="00D9712C">
      <w:r>
        <w:t>Other effective harm minimisation measures mentioned included media advertising, and the problem gambling awareness material that is placed in the venue and on the EGMs.</w:t>
      </w:r>
    </w:p>
    <w:p w:rsidR="00D9712C" w:rsidRPr="00705CC0" w:rsidRDefault="00D9712C" w:rsidP="00D9712C">
      <w:r>
        <w:t>One venue operator mentioned that the two venues they operate do not offer loyalty programs as a harm minimisation measure.</w:t>
      </w:r>
    </w:p>
    <w:p w:rsidR="00D9712C" w:rsidRDefault="00D9712C" w:rsidP="00D9712C">
      <w:pPr>
        <w:pStyle w:val="Heading5"/>
      </w:pPr>
      <w:r w:rsidRPr="00E759E5">
        <w:t>What factors do you consider when deciding whether to establish a new gaming venue or increase the number of EGMs?</w:t>
      </w:r>
    </w:p>
    <w:p w:rsidR="00D9712C" w:rsidRDefault="00D9712C" w:rsidP="00D9712C">
      <w:r>
        <w:t>Key factors that would determine whether the venue operator would seek to increase the number of EGMs in their venue or establish a</w:t>
      </w:r>
      <w:r w:rsidR="00303DB5">
        <w:t xml:space="preserve"> new venue included location factors, such as</w:t>
      </w:r>
      <w:r>
        <w:t xml:space="preserve"> proximity to public transport and volume of foot traffic</w:t>
      </w:r>
      <w:r w:rsidR="00397893">
        <w:t>,</w:t>
      </w:r>
      <w:r>
        <w:t xml:space="preserve"> whether it would be financially viable or beneficial</w:t>
      </w:r>
      <w:r w:rsidR="00397893">
        <w:t>,</w:t>
      </w:r>
      <w:r>
        <w:t xml:space="preserve"> whether there is a demand for more g</w:t>
      </w:r>
      <w:r w:rsidR="00397893">
        <w:t>aming and non-gaming facilities,</w:t>
      </w:r>
      <w:r>
        <w:t xml:space="preserve"> existing comp</w:t>
      </w:r>
      <w:r w:rsidR="00397893">
        <w:t xml:space="preserve">etition in the gaming industry </w:t>
      </w:r>
      <w:r>
        <w:t>and whether the site would accommodate any proposed changes.</w:t>
      </w:r>
    </w:p>
    <w:p w:rsidR="00D9712C" w:rsidRPr="00705CC0" w:rsidRDefault="00D9712C" w:rsidP="00D9712C">
      <w:r>
        <w:t>One venue operator mentioned that the potential social and economic impacts are also an important consideration.</w:t>
      </w:r>
    </w:p>
    <w:p w:rsidR="00D9712C" w:rsidRDefault="00D9712C" w:rsidP="00D9712C">
      <w:pPr>
        <w:pStyle w:val="Heading5"/>
      </w:pPr>
      <w:r w:rsidRPr="00E759E5">
        <w:t>What are the primary reasons people visit your venue?</w:t>
      </w:r>
    </w:p>
    <w:p w:rsidR="00D9712C" w:rsidRDefault="00D9712C" w:rsidP="00D9712C">
      <w:r>
        <w:t>The venue operators indicated that the main reason people visit the venue is to make use of the full range of gaming and non-gaming facilities such as the bistro, café, gaming lounge, TAB and keno wagering services and sports bar. These facilities provided opportunities for people to socialise during lunch breaks and after work and watch sport. One of the clubs also mentioned that people visit the venue for cultural and heritage reasons.</w:t>
      </w:r>
    </w:p>
    <w:p w:rsidR="00D9712C" w:rsidRPr="00D84377" w:rsidRDefault="00D9712C" w:rsidP="00D9712C">
      <w:r>
        <w:t>Other reasons included customer service, the comfortable atmosphere, convenience and because the gaming venue provided additional facilities for visitors staying at the attached hotel.</w:t>
      </w:r>
    </w:p>
    <w:p w:rsidR="00D9712C" w:rsidRDefault="00D9712C" w:rsidP="00D9712C">
      <w:pPr>
        <w:pStyle w:val="Heading5"/>
      </w:pPr>
      <w:r w:rsidRPr="00E759E5">
        <w:t>Would you be able to describe your patron profile (e.g. age, gender, culture, occupation) and whether they live in the City of Melbourne or elsewhere?</w:t>
      </w:r>
    </w:p>
    <w:p w:rsidR="00D9712C" w:rsidRDefault="00D9712C" w:rsidP="00D9712C">
      <w:r>
        <w:t>All venue operators described their patron profile as being diverse and including residents, workers and visitors from metropolitan Melbourne, Victoria, interstate and overseas. They also mentioned that the patron profile changed according to other events and activities that w</w:t>
      </w:r>
      <w:r w:rsidR="00303DB5">
        <w:t>ere taking place in the City, for instance</w:t>
      </w:r>
      <w:r>
        <w:t xml:space="preserve"> over the weekends the patrons also attend sporting and cultural events whereas during the week the patrons were typically workers and residents. </w:t>
      </w:r>
    </w:p>
    <w:p w:rsidR="00D9712C" w:rsidRDefault="00D9712C" w:rsidP="00D9712C">
      <w:r>
        <w:t>The gaming venues that are close to Chinatown indicated that international visitors form a large proportion of their patrons.</w:t>
      </w:r>
    </w:p>
    <w:p w:rsidR="00D9712C" w:rsidRPr="00D84377" w:rsidRDefault="00D9712C" w:rsidP="00D9712C">
      <w:r>
        <w:t xml:space="preserve">The two venues that are attached to hotels indicated that their patrons included guests at these hotels. </w:t>
      </w:r>
    </w:p>
    <w:p w:rsidR="00D9712C" w:rsidRDefault="00D9712C" w:rsidP="00D9712C">
      <w:pPr>
        <w:pStyle w:val="Heading5"/>
      </w:pPr>
      <w:r w:rsidRPr="00E759E5">
        <w:t>What percentage of patrons using the gaming room use other facilities in your venue?</w:t>
      </w:r>
    </w:p>
    <w:p w:rsidR="00D9712C" w:rsidRPr="00D84377" w:rsidRDefault="00D9712C" w:rsidP="00D9712C">
      <w:r>
        <w:t>Most venue operators indicated that a very large proportion of their patrons use other facilities in the venue. This proportion varied from around 60 percent to 95 percent.</w:t>
      </w:r>
    </w:p>
    <w:p w:rsidR="00D9712C" w:rsidRDefault="00D9712C" w:rsidP="00D9712C">
      <w:pPr>
        <w:pStyle w:val="Heading5"/>
      </w:pPr>
      <w:r w:rsidRPr="00E759E5">
        <w:t>How do you think gambling in the City of Melbourne differs from other municipalities e.g. gambling patterns, size and location of gambling venues, patron profile?</w:t>
      </w:r>
    </w:p>
    <w:p w:rsidR="00D9712C" w:rsidRPr="00CF6A48" w:rsidRDefault="00D9712C" w:rsidP="00D9712C">
      <w:r>
        <w:t xml:space="preserve">Key differences identified by the venue operators included the lack of on-site car parking, a wider and more diverse patron profile, the fact that Crown Casino is a major competitor, the presence of a wider range of non-gambling activities in the surrounding area, venues are smaller and the patrons are less socio-economically disadvantaged. </w:t>
      </w:r>
    </w:p>
    <w:p w:rsidR="00D9712C" w:rsidRDefault="00D9712C" w:rsidP="00D9712C">
      <w:pPr>
        <w:pStyle w:val="Heading5"/>
      </w:pPr>
      <w:r w:rsidRPr="00E759E5">
        <w:t>What do you think the future of electronic gambling is in the City of Melbourne?</w:t>
      </w:r>
    </w:p>
    <w:p w:rsidR="00D9712C" w:rsidRPr="00CF6A48" w:rsidRDefault="00D9712C" w:rsidP="00D9712C">
      <w:r>
        <w:t>In general, the venue operators felt that the demand for gaming in the City of Melbourne is steady, and is unlikely to grow at a significant rate. Reasons for this included the presence of Crown Casino, the restrictions placed by the State Government, and competition resulting from other non-gambling entertainment facilities in the City. Some venue operators did not think that the population growth associated with the urban renewal areas would generate much additional demand for EGMs in the municipality.</w:t>
      </w:r>
    </w:p>
    <w:p w:rsidR="00D9712C" w:rsidRPr="00CF6A48" w:rsidRDefault="00D9712C" w:rsidP="00D9712C">
      <w:pPr>
        <w:ind w:left="720"/>
        <w:rPr>
          <w:i/>
          <w:szCs w:val="20"/>
        </w:rPr>
      </w:pPr>
      <w:r w:rsidRPr="00CF6A48">
        <w:rPr>
          <w:i/>
          <w:szCs w:val="20"/>
        </w:rPr>
        <w:t xml:space="preserve">Our venue is certainly growing, will continue to grow as the population will grow, but at a slower rate because of increased awareness of problem gambling and state harm minimisation measures such as </w:t>
      </w:r>
      <w:r>
        <w:rPr>
          <w:i/>
          <w:szCs w:val="20"/>
        </w:rPr>
        <w:t>YourP</w:t>
      </w:r>
      <w:r w:rsidRPr="00CF6A48">
        <w:rPr>
          <w:i/>
          <w:szCs w:val="20"/>
        </w:rPr>
        <w:t>lay</w:t>
      </w:r>
      <w:r w:rsidRPr="00CF6A48">
        <w:rPr>
          <w:szCs w:val="20"/>
        </w:rPr>
        <w:t xml:space="preserve"> (Hotel venue, attached to an accommodation hotel)</w:t>
      </w:r>
    </w:p>
    <w:p w:rsidR="00D9712C" w:rsidRPr="00E759E5" w:rsidRDefault="00D9712C" w:rsidP="00D9712C">
      <w:pPr>
        <w:ind w:left="720"/>
      </w:pPr>
      <w:r w:rsidRPr="00CF6A48">
        <w:rPr>
          <w:i/>
          <w:szCs w:val="20"/>
        </w:rPr>
        <w:t>Major events are bad for gaming because they offer alternatives</w:t>
      </w:r>
      <w:r>
        <w:rPr>
          <w:szCs w:val="20"/>
        </w:rPr>
        <w:t xml:space="preserve"> (Operator of two hotel venues)</w:t>
      </w:r>
    </w:p>
    <w:p w:rsidR="00D9712C" w:rsidRDefault="00D9712C" w:rsidP="00D9712C">
      <w:pPr>
        <w:pStyle w:val="Heading5"/>
      </w:pPr>
      <w:r w:rsidRPr="00E759E5">
        <w:t>What do you think Council’s role/s are in relation to preventing and minimising gambling-related harms?</w:t>
      </w:r>
    </w:p>
    <w:p w:rsidR="00D9712C" w:rsidRDefault="00D9712C" w:rsidP="00D9712C">
      <w:pPr>
        <w:rPr>
          <w:rFonts w:eastAsiaTheme="minorHAnsi"/>
        </w:rPr>
      </w:pPr>
      <w:r>
        <w:rPr>
          <w:rFonts w:eastAsiaTheme="minorHAnsi"/>
        </w:rPr>
        <w:t>Four of the gaming operators felt that Council should play a minimal role in regulating EGMs and gaming venues, and implementing harm minimisation measures, as this is the State Government’s role. In general the venue operators felt that Councils play an important role in facilitating collaboration between the venue operators, Council and agencies.</w:t>
      </w:r>
    </w:p>
    <w:p w:rsidR="00D9712C" w:rsidRPr="00C61A4C" w:rsidRDefault="00D9712C" w:rsidP="00D9712C">
      <w:pPr>
        <w:rPr>
          <w:rFonts w:eastAsiaTheme="minorHAnsi"/>
        </w:rPr>
      </w:pPr>
      <w:r>
        <w:rPr>
          <w:rFonts w:eastAsiaTheme="minorHAnsi"/>
        </w:rPr>
        <w:t>One of the venue operators felt that Council should work closer with the State Government to put statutory measures in place to ensure that community contributions benefit the municipality.</w:t>
      </w:r>
    </w:p>
    <w:p w:rsidR="00D9712C" w:rsidRDefault="00D9712C" w:rsidP="00D9712C">
      <w:pPr>
        <w:pStyle w:val="Heading3"/>
        <w:numPr>
          <w:ilvl w:val="0"/>
          <w:numId w:val="0"/>
        </w:numPr>
      </w:pPr>
      <w:r>
        <w:t>Feedback from agencies and peak bodies</w:t>
      </w:r>
    </w:p>
    <w:p w:rsidR="00D9712C" w:rsidRDefault="00D9712C" w:rsidP="00D9712C">
      <w:pPr>
        <w:pStyle w:val="Heading5"/>
      </w:pPr>
      <w:r w:rsidRPr="00A7367D">
        <w:t xml:space="preserve">Which groups or individuals are most at risk of gambling-related harms? </w:t>
      </w:r>
    </w:p>
    <w:p w:rsidR="00D9712C" w:rsidRDefault="00D9712C" w:rsidP="00D9712C">
      <w:r>
        <w:t>The following groups within the community were identified as being at an elevated risk of gambling-related harms:</w:t>
      </w:r>
    </w:p>
    <w:p w:rsidR="00D9712C" w:rsidRDefault="00D9712C" w:rsidP="007D1909">
      <w:pPr>
        <w:pStyle w:val="ListParagraph"/>
        <w:numPr>
          <w:ilvl w:val="0"/>
          <w:numId w:val="67"/>
        </w:numPr>
        <w:spacing w:after="120"/>
        <w:contextualSpacing w:val="0"/>
      </w:pPr>
      <w:r>
        <w:t>people experiencing homelessness and migrants due to social isolation and loneliness, and poor s</w:t>
      </w:r>
      <w:r w:rsidR="00CA1D0A">
        <w:t>ocial connectedness</w:t>
      </w:r>
    </w:p>
    <w:p w:rsidR="00D9712C" w:rsidRDefault="00D9712C" w:rsidP="007D1909">
      <w:pPr>
        <w:pStyle w:val="ListParagraph"/>
        <w:numPr>
          <w:ilvl w:val="0"/>
          <w:numId w:val="67"/>
        </w:numPr>
        <w:spacing w:after="120"/>
        <w:contextualSpacing w:val="0"/>
      </w:pPr>
      <w:r>
        <w:t>older peopl</w:t>
      </w:r>
      <w:r w:rsidR="00CA1D0A">
        <w:t>e due to loneliness and boredom</w:t>
      </w:r>
    </w:p>
    <w:p w:rsidR="00D9712C" w:rsidRDefault="00D9712C" w:rsidP="007D1909">
      <w:pPr>
        <w:pStyle w:val="ListParagraph"/>
        <w:numPr>
          <w:ilvl w:val="0"/>
          <w:numId w:val="67"/>
        </w:numPr>
        <w:spacing w:after="120"/>
        <w:contextualSpacing w:val="0"/>
      </w:pPr>
      <w:r>
        <w:t>people with a</w:t>
      </w:r>
      <w:r w:rsidR="00CA1D0A">
        <w:t>ccess to large amounts of money</w:t>
      </w:r>
    </w:p>
    <w:p w:rsidR="00D9712C" w:rsidRDefault="00D9712C" w:rsidP="007D1909">
      <w:pPr>
        <w:pStyle w:val="ListParagraph"/>
        <w:numPr>
          <w:ilvl w:val="0"/>
          <w:numId w:val="67"/>
        </w:numPr>
        <w:spacing w:after="120"/>
        <w:contextualSpacing w:val="0"/>
      </w:pPr>
      <w:r>
        <w:t>peop</w:t>
      </w:r>
      <w:r w:rsidR="00CA1D0A">
        <w:t>le with addictive personalities</w:t>
      </w:r>
    </w:p>
    <w:p w:rsidR="00D9712C" w:rsidRDefault="00D9712C" w:rsidP="007D1909">
      <w:pPr>
        <w:pStyle w:val="ListParagraph"/>
        <w:numPr>
          <w:ilvl w:val="0"/>
          <w:numId w:val="67"/>
        </w:numPr>
        <w:spacing w:after="120"/>
        <w:contextualSpacing w:val="0"/>
      </w:pPr>
      <w:r>
        <w:t>people experiencing ment</w:t>
      </w:r>
      <w:r w:rsidR="00CA1D0A">
        <w:t>al health issues such as stress</w:t>
      </w:r>
    </w:p>
    <w:p w:rsidR="00D9712C" w:rsidRDefault="00D9712C" w:rsidP="007D1909">
      <w:pPr>
        <w:pStyle w:val="ListParagraph"/>
        <w:numPr>
          <w:ilvl w:val="0"/>
          <w:numId w:val="67"/>
        </w:numPr>
        <w:spacing w:after="120"/>
        <w:contextualSpacing w:val="0"/>
      </w:pPr>
      <w:r>
        <w:t>p</w:t>
      </w:r>
      <w:r w:rsidR="00303DB5">
        <w:t xml:space="preserve">eople with poor social skills, for example </w:t>
      </w:r>
      <w:r>
        <w:t xml:space="preserve"> the ‘socially awkward’ as they lack the skills to interact with other people, therefore finding it e</w:t>
      </w:r>
      <w:r w:rsidR="00CA1D0A">
        <w:t>asier to interact with the EGMs</w:t>
      </w:r>
    </w:p>
    <w:p w:rsidR="00D9712C" w:rsidRDefault="00D9712C" w:rsidP="007D1909">
      <w:pPr>
        <w:pStyle w:val="ListParagraph"/>
        <w:numPr>
          <w:ilvl w:val="0"/>
          <w:numId w:val="67"/>
        </w:numPr>
        <w:spacing w:after="120"/>
        <w:contextualSpacing w:val="0"/>
      </w:pPr>
      <w:r>
        <w:t xml:space="preserve">international students who are experiencing financial stress and difficulties paying their fees and are under stress to succeed in their </w:t>
      </w:r>
      <w:r w:rsidR="00CA1D0A">
        <w:t>studies</w:t>
      </w:r>
    </w:p>
    <w:p w:rsidR="00D9712C" w:rsidRDefault="00D9712C" w:rsidP="007D1909">
      <w:pPr>
        <w:pStyle w:val="ListParagraph"/>
        <w:numPr>
          <w:ilvl w:val="0"/>
          <w:numId w:val="67"/>
        </w:numPr>
        <w:spacing w:after="120"/>
        <w:contextualSpacing w:val="0"/>
      </w:pPr>
      <w:r>
        <w:t>Aborigi</w:t>
      </w:r>
      <w:r w:rsidR="00CA1D0A">
        <w:t>nal and Torres Strait Islanders</w:t>
      </w:r>
    </w:p>
    <w:p w:rsidR="00D9712C" w:rsidRDefault="00D9712C" w:rsidP="007D1909">
      <w:pPr>
        <w:pStyle w:val="ListParagraph"/>
        <w:numPr>
          <w:ilvl w:val="0"/>
          <w:numId w:val="67"/>
        </w:numPr>
        <w:spacing w:after="120"/>
        <w:contextualSpacing w:val="0"/>
      </w:pPr>
      <w:r>
        <w:t>people from culturally and lin</w:t>
      </w:r>
      <w:r w:rsidR="00CA1D0A">
        <w:t>guistically diverse backgrounds</w:t>
      </w:r>
    </w:p>
    <w:p w:rsidR="00D9712C" w:rsidRDefault="00D9712C" w:rsidP="007D1909">
      <w:pPr>
        <w:pStyle w:val="ListParagraph"/>
        <w:numPr>
          <w:ilvl w:val="0"/>
          <w:numId w:val="67"/>
        </w:numPr>
        <w:spacing w:after="120"/>
        <w:contextualSpacing w:val="0"/>
      </w:pPr>
      <w:r>
        <w:t>gambling venue employees</w:t>
      </w:r>
    </w:p>
    <w:p w:rsidR="00D9712C" w:rsidRDefault="00CA1D0A" w:rsidP="007D1909">
      <w:pPr>
        <w:pStyle w:val="ListParagraph"/>
        <w:numPr>
          <w:ilvl w:val="0"/>
          <w:numId w:val="67"/>
        </w:numPr>
        <w:spacing w:after="120"/>
        <w:contextualSpacing w:val="0"/>
      </w:pPr>
      <w:r>
        <w:t>young people</w:t>
      </w:r>
    </w:p>
    <w:p w:rsidR="00D9712C" w:rsidRDefault="00CA1D0A" w:rsidP="007D1909">
      <w:pPr>
        <w:pStyle w:val="ListParagraph"/>
        <w:numPr>
          <w:ilvl w:val="0"/>
          <w:numId w:val="67"/>
        </w:numPr>
        <w:spacing w:after="120"/>
        <w:contextualSpacing w:val="0"/>
      </w:pPr>
      <w:r>
        <w:t>children of gamblers</w:t>
      </w:r>
    </w:p>
    <w:p w:rsidR="00D9712C" w:rsidRDefault="00D9712C" w:rsidP="007D1909">
      <w:pPr>
        <w:pStyle w:val="ListParagraph"/>
        <w:numPr>
          <w:ilvl w:val="0"/>
          <w:numId w:val="67"/>
        </w:numPr>
        <w:spacing w:after="120"/>
        <w:contextualSpacing w:val="0"/>
      </w:pPr>
      <w:r>
        <w:t>being male</w:t>
      </w:r>
    </w:p>
    <w:p w:rsidR="00D9712C" w:rsidRDefault="00CA1D0A" w:rsidP="007D1909">
      <w:pPr>
        <w:pStyle w:val="ListParagraph"/>
        <w:numPr>
          <w:ilvl w:val="0"/>
          <w:numId w:val="67"/>
        </w:numPr>
        <w:spacing w:after="120"/>
        <w:contextualSpacing w:val="0"/>
      </w:pPr>
      <w:r>
        <w:t>low educational attainment</w:t>
      </w:r>
    </w:p>
    <w:p w:rsidR="00D9712C" w:rsidRDefault="00D9712C" w:rsidP="007D1909">
      <w:pPr>
        <w:pStyle w:val="ListParagraph"/>
        <w:numPr>
          <w:ilvl w:val="0"/>
          <w:numId w:val="67"/>
        </w:numPr>
        <w:spacing w:after="120"/>
        <w:contextualSpacing w:val="0"/>
      </w:pPr>
      <w:r>
        <w:t>people with contact with the corrections system.</w:t>
      </w:r>
    </w:p>
    <w:p w:rsidR="00D9712C" w:rsidRDefault="00D9712C" w:rsidP="00D9712C">
      <w:r>
        <w:t>One agency also noted that older people are at particular risk of gambling harms.</w:t>
      </w:r>
    </w:p>
    <w:p w:rsidR="00D9712C" w:rsidRDefault="00D9712C" w:rsidP="00D9712C">
      <w:pPr>
        <w:autoSpaceDE w:val="0"/>
        <w:autoSpaceDN w:val="0"/>
        <w:adjustRightInd w:val="0"/>
        <w:spacing w:after="141"/>
        <w:ind w:left="720"/>
      </w:pPr>
      <w:r w:rsidRPr="008B51BC">
        <w:rPr>
          <w:rFonts w:asciiTheme="minorHAnsi" w:hAnsiTheme="minorHAnsi" w:cs="Verdana"/>
          <w:i/>
          <w:color w:val="000000"/>
          <w:szCs w:val="22"/>
        </w:rPr>
        <w:t>Older people experience a number of risk factors for problem gambling such as difficultly adjusting to retirement and decreased mobility and physical health. The impacts of problem gambling of older people are significant due to a reduced ability to replenish savings after retirement.</w:t>
      </w:r>
      <w:r w:rsidRPr="008B51BC">
        <w:rPr>
          <w:rFonts w:asciiTheme="minorHAnsi" w:hAnsiTheme="minorHAnsi" w:cs="Verdana"/>
          <w:i/>
          <w:color w:val="FF0000"/>
          <w:szCs w:val="22"/>
        </w:rPr>
        <w:t xml:space="preserve"> </w:t>
      </w:r>
      <w:r w:rsidRPr="008B51BC">
        <w:rPr>
          <w:rFonts w:asciiTheme="minorHAnsi" w:hAnsiTheme="minorHAnsi" w:cs="Verdana"/>
          <w:i/>
          <w:szCs w:val="22"/>
        </w:rPr>
        <w:t>Almost 18% of problem gamblers and 48% of moderate risk gamblers are aged 55 or older, with pokies being the second preferred form of gambling for gamblers in these categories, following lotto, Powerball and the pools.</w:t>
      </w:r>
      <w:r w:rsidRPr="008B51BC">
        <w:rPr>
          <w:rStyle w:val="EndnoteReference"/>
          <w:rFonts w:asciiTheme="minorHAnsi" w:hAnsiTheme="minorHAnsi" w:cs="Verdana"/>
          <w:i/>
          <w:szCs w:val="22"/>
        </w:rPr>
        <w:endnoteReference w:id="1"/>
      </w:r>
      <w:r>
        <w:rPr>
          <w:rFonts w:asciiTheme="minorHAnsi" w:hAnsiTheme="minorHAnsi" w:cs="Verdana"/>
          <w:i/>
          <w:szCs w:val="22"/>
        </w:rPr>
        <w:t xml:space="preserve"> </w:t>
      </w:r>
      <w:r>
        <w:rPr>
          <w:rFonts w:asciiTheme="minorHAnsi" w:hAnsiTheme="minorHAnsi" w:cs="Verdana"/>
          <w:szCs w:val="22"/>
        </w:rPr>
        <w:t>Peak Body</w:t>
      </w:r>
    </w:p>
    <w:p w:rsidR="00D9712C" w:rsidRPr="00A7367D" w:rsidRDefault="00D9712C" w:rsidP="00D9712C">
      <w:r>
        <w:t>However, one agency indicated that there is not a ‘typical problem-gambler’ in Australia due to the high accessibility of a range of gambling products. This agency also indicated that two thirds of harm presentations to gambling services were as a result of the use of EGMs.</w:t>
      </w:r>
    </w:p>
    <w:p w:rsidR="00D9712C" w:rsidRDefault="00D9712C" w:rsidP="00D9712C">
      <w:pPr>
        <w:pStyle w:val="Heading5"/>
      </w:pPr>
      <w:r w:rsidRPr="00A7367D">
        <w:t>Are there any particular factors relating to gambling harm and gambling patterns in the City of Melbourne that should be considered? E.g. homelessness, proportion of students</w:t>
      </w:r>
      <w:r>
        <w:t>?</w:t>
      </w:r>
    </w:p>
    <w:p w:rsidR="00D9712C" w:rsidRDefault="00D9712C" w:rsidP="00D9712C">
      <w:r>
        <w:t>The following specific features relating to gambling harm and gambling patters in the City of Melbourne were highlighted:</w:t>
      </w:r>
    </w:p>
    <w:p w:rsidR="00D9712C" w:rsidRDefault="00CA1D0A" w:rsidP="007D1909">
      <w:pPr>
        <w:pStyle w:val="ListParagraph"/>
        <w:numPr>
          <w:ilvl w:val="0"/>
          <w:numId w:val="68"/>
        </w:numPr>
        <w:spacing w:after="120"/>
        <w:contextualSpacing w:val="0"/>
      </w:pPr>
      <w:r>
        <w:t>their ease of access</w:t>
      </w:r>
    </w:p>
    <w:p w:rsidR="00D9712C" w:rsidRDefault="00D9712C" w:rsidP="007D1909">
      <w:pPr>
        <w:pStyle w:val="ListParagraph"/>
        <w:numPr>
          <w:ilvl w:val="0"/>
          <w:numId w:val="68"/>
        </w:numPr>
        <w:spacing w:after="120"/>
        <w:contextualSpacing w:val="0"/>
      </w:pPr>
      <w:r>
        <w:t xml:space="preserve">the transient nature of the patron profile </w:t>
      </w:r>
      <w:r w:rsidR="00CA1D0A">
        <w:t>consisting of workers, students</w:t>
      </w:r>
    </w:p>
    <w:p w:rsidR="00D9712C" w:rsidRDefault="00D9712C" w:rsidP="007D1909">
      <w:pPr>
        <w:pStyle w:val="ListParagraph"/>
        <w:numPr>
          <w:ilvl w:val="0"/>
          <w:numId w:val="68"/>
        </w:numPr>
        <w:spacing w:after="120"/>
        <w:contextualSpacing w:val="0"/>
      </w:pPr>
      <w:r>
        <w:t>relatively low levels of socio-economic disadvantage among the residents and other users on the one hand but also a sign</w:t>
      </w:r>
      <w:r w:rsidR="00CA1D0A">
        <w:t>ificant homelessness population.</w:t>
      </w:r>
    </w:p>
    <w:p w:rsidR="00D9712C" w:rsidRPr="00511AC3" w:rsidRDefault="00D9712C" w:rsidP="00D9712C">
      <w:r>
        <w:t>However, it was also noted that the socio-economic risk factors associated with gambling harms are the same in the City of Melbourne as they are elsewhere.</w:t>
      </w:r>
    </w:p>
    <w:p w:rsidR="00D9712C" w:rsidRDefault="00D9712C" w:rsidP="00D9712C">
      <w:pPr>
        <w:pStyle w:val="Heading5"/>
      </w:pPr>
      <w:r w:rsidRPr="00A7367D">
        <w:t>What are the main reasons that people become vulnerable to gambling-related harms?</w:t>
      </w:r>
    </w:p>
    <w:p w:rsidR="00D9712C" w:rsidRDefault="00D9712C" w:rsidP="00D9712C">
      <w:r>
        <w:t>One peak body identified the following factors:</w:t>
      </w:r>
    </w:p>
    <w:p w:rsidR="00D9712C" w:rsidRDefault="00D9712C" w:rsidP="007D1909">
      <w:pPr>
        <w:pStyle w:val="ListParagraph"/>
        <w:numPr>
          <w:ilvl w:val="0"/>
          <w:numId w:val="69"/>
        </w:numPr>
        <w:spacing w:after="120"/>
        <w:contextualSpacing w:val="0"/>
      </w:pPr>
      <w:r>
        <w:t>acc</w:t>
      </w:r>
      <w:r w:rsidR="00CA1D0A">
        <w:t>essibility to gambling products</w:t>
      </w:r>
    </w:p>
    <w:p w:rsidR="00D9712C" w:rsidRDefault="00CA1D0A" w:rsidP="007D1909">
      <w:pPr>
        <w:pStyle w:val="ListParagraph"/>
        <w:numPr>
          <w:ilvl w:val="0"/>
          <w:numId w:val="69"/>
        </w:numPr>
        <w:spacing w:after="120"/>
        <w:contextualSpacing w:val="0"/>
      </w:pPr>
      <w:r>
        <w:t>expenditure</w:t>
      </w:r>
    </w:p>
    <w:p w:rsidR="00D9712C" w:rsidRDefault="00D9712C" w:rsidP="007D1909">
      <w:pPr>
        <w:pStyle w:val="ListParagraph"/>
        <w:numPr>
          <w:ilvl w:val="0"/>
          <w:numId w:val="69"/>
        </w:numPr>
        <w:spacing w:after="120"/>
        <w:contextualSpacing w:val="0"/>
      </w:pPr>
      <w:r>
        <w:t>socio-economic disadvantage</w:t>
      </w:r>
    </w:p>
    <w:p w:rsidR="00D9712C" w:rsidRDefault="00D9712C" w:rsidP="007D1909">
      <w:pPr>
        <w:pStyle w:val="ListParagraph"/>
        <w:numPr>
          <w:ilvl w:val="0"/>
          <w:numId w:val="69"/>
        </w:numPr>
        <w:spacing w:after="120"/>
        <w:contextualSpacing w:val="0"/>
      </w:pPr>
      <w:r>
        <w:t>proximity to facilities and services associated with day to day activities such</w:t>
      </w:r>
      <w:r w:rsidR="00CA1D0A">
        <w:t xml:space="preserve"> as shops and entertainment</w:t>
      </w:r>
    </w:p>
    <w:p w:rsidR="00D9712C" w:rsidRDefault="00D9712C" w:rsidP="007D1909">
      <w:pPr>
        <w:pStyle w:val="ListParagraph"/>
        <w:numPr>
          <w:ilvl w:val="0"/>
          <w:numId w:val="69"/>
        </w:numPr>
        <w:spacing w:after="120"/>
        <w:contextualSpacing w:val="0"/>
      </w:pPr>
      <w:r>
        <w:t>online gambling.</w:t>
      </w:r>
    </w:p>
    <w:p w:rsidR="00D9712C" w:rsidRDefault="00D9712C" w:rsidP="00D9712C">
      <w:r>
        <w:t>The agencies indicated that factors such as family breakdown, financial abuse and elder abuse, lack of financial resources, homelessness are key factors that increase a person’s vulnerability to gambling harm.</w:t>
      </w:r>
    </w:p>
    <w:p w:rsidR="00D9712C" w:rsidRDefault="00D9712C" w:rsidP="00D9712C">
      <w:r>
        <w:t>One agency highlighted the specific risks associated with EGMs.</w:t>
      </w:r>
    </w:p>
    <w:p w:rsidR="00D9712C" w:rsidRPr="00511AC3" w:rsidRDefault="00D9712C" w:rsidP="00D9712C">
      <w:pPr>
        <w:ind w:left="720"/>
      </w:pPr>
      <w:r w:rsidRPr="0033027A">
        <w:rPr>
          <w:i/>
          <w:szCs w:val="20"/>
        </w:rPr>
        <w:t>EGM gambling, because it’s so intensive, seems to come to a head because the capacity of losses is high whereas sports betting and racing can manifest over a longer period of time.</w:t>
      </w:r>
      <w:r>
        <w:rPr>
          <w:i/>
          <w:szCs w:val="20"/>
        </w:rPr>
        <w:t xml:space="preserve"> </w:t>
      </w:r>
      <w:r>
        <w:rPr>
          <w:szCs w:val="20"/>
        </w:rPr>
        <w:t>Peak Body.</w:t>
      </w:r>
    </w:p>
    <w:p w:rsidR="00D9712C" w:rsidRDefault="00D9712C" w:rsidP="00D9712C">
      <w:pPr>
        <w:pStyle w:val="Heading5"/>
      </w:pPr>
      <w:r w:rsidRPr="00A7367D">
        <w:t>What do you think the main impacts of gambling-related harms are, on individuals and the broader community?</w:t>
      </w:r>
    </w:p>
    <w:p w:rsidR="00D9712C" w:rsidRDefault="00D9712C" w:rsidP="00D9712C">
      <w:r>
        <w:t xml:space="preserve">The key impacts of gambling-related harms identified by the agencies included domestic violence, loss of self-esteem, deterioration of mental health, self-harm, loss of family relationships, housing insecurity, suicide, crime, reduced work or study performance. This is particularly noticeable among people over the age of 55 years. </w:t>
      </w:r>
    </w:p>
    <w:p w:rsidR="00D9712C" w:rsidRPr="00205332" w:rsidRDefault="00D9712C" w:rsidP="00D9712C">
      <w:pPr>
        <w:ind w:left="720"/>
        <w:rPr>
          <w:szCs w:val="20"/>
        </w:rPr>
      </w:pPr>
      <w:r>
        <w:rPr>
          <w:i/>
          <w:szCs w:val="20"/>
        </w:rPr>
        <w:t>P</w:t>
      </w:r>
      <w:r w:rsidRPr="00205332">
        <w:rPr>
          <w:i/>
          <w:szCs w:val="20"/>
        </w:rPr>
        <w:t xml:space="preserve">eople who gamble blame themselves rather than externalise it to a substance, it becomes tied up in their own self-worth, </w:t>
      </w:r>
      <w:r>
        <w:rPr>
          <w:i/>
          <w:szCs w:val="20"/>
        </w:rPr>
        <w:t xml:space="preserve">[resulting in] </w:t>
      </w:r>
      <w:r w:rsidRPr="00205332">
        <w:rPr>
          <w:i/>
          <w:szCs w:val="20"/>
        </w:rPr>
        <w:t>high rates of anxiety and depression, and high rates of suicide - gambling has highest suicide rate of any major addictions</w:t>
      </w:r>
      <w:r>
        <w:rPr>
          <w:i/>
          <w:szCs w:val="20"/>
        </w:rPr>
        <w:t xml:space="preserve"> </w:t>
      </w:r>
      <w:r>
        <w:rPr>
          <w:szCs w:val="20"/>
        </w:rPr>
        <w:t>Peak Body</w:t>
      </w:r>
    </w:p>
    <w:p w:rsidR="00D9712C" w:rsidRPr="00205332" w:rsidRDefault="00D9712C" w:rsidP="00D9712C">
      <w:pPr>
        <w:ind w:left="720"/>
        <w:rPr>
          <w:i/>
          <w:szCs w:val="20"/>
        </w:rPr>
      </w:pPr>
      <w:r w:rsidRPr="00205332">
        <w:rPr>
          <w:i/>
          <w:szCs w:val="20"/>
        </w:rPr>
        <w:t>Physical health impacts tend to be nebulous – people tend to neglect their own physical health, e</w:t>
      </w:r>
      <w:r>
        <w:rPr>
          <w:i/>
          <w:szCs w:val="20"/>
        </w:rPr>
        <w:t>.</w:t>
      </w:r>
      <w:r w:rsidRPr="00205332">
        <w:rPr>
          <w:i/>
          <w:szCs w:val="20"/>
        </w:rPr>
        <w:t>g</w:t>
      </w:r>
      <w:r>
        <w:rPr>
          <w:i/>
          <w:szCs w:val="20"/>
        </w:rPr>
        <w:t>.</w:t>
      </w:r>
      <w:r w:rsidRPr="00205332">
        <w:rPr>
          <w:i/>
          <w:szCs w:val="20"/>
        </w:rPr>
        <w:t xml:space="preserve"> trips to doctors and dentists, </w:t>
      </w:r>
      <w:r>
        <w:rPr>
          <w:i/>
          <w:szCs w:val="20"/>
        </w:rPr>
        <w:t>[they]</w:t>
      </w:r>
      <w:r w:rsidRPr="00205332">
        <w:rPr>
          <w:i/>
          <w:szCs w:val="20"/>
        </w:rPr>
        <w:t xml:space="preserve"> neglect to pay bills e.g. water electricity gas internet </w:t>
      </w:r>
      <w:r>
        <w:rPr>
          <w:i/>
          <w:szCs w:val="20"/>
        </w:rPr>
        <w:t>[and]</w:t>
      </w:r>
      <w:r w:rsidRPr="00205332">
        <w:rPr>
          <w:i/>
          <w:szCs w:val="20"/>
        </w:rPr>
        <w:t xml:space="preserve"> find themselves in difficulty</w:t>
      </w:r>
      <w:r w:rsidRPr="00205332">
        <w:rPr>
          <w:szCs w:val="20"/>
        </w:rPr>
        <w:t xml:space="preserve"> </w:t>
      </w:r>
      <w:r>
        <w:rPr>
          <w:szCs w:val="20"/>
        </w:rPr>
        <w:t>Peak Body</w:t>
      </w:r>
    </w:p>
    <w:p w:rsidR="00D9712C" w:rsidRPr="00205332" w:rsidRDefault="00D9712C" w:rsidP="00D9712C">
      <w:pPr>
        <w:ind w:left="720"/>
        <w:rPr>
          <w:i/>
        </w:rPr>
      </w:pPr>
      <w:r>
        <w:rPr>
          <w:i/>
          <w:szCs w:val="20"/>
        </w:rPr>
        <w:t>B</w:t>
      </w:r>
      <w:r w:rsidRPr="00205332">
        <w:rPr>
          <w:i/>
          <w:szCs w:val="20"/>
        </w:rPr>
        <w:t>reakdown of relationships with partners but also with their children, parents and siblings because they get tired of being asked for money and having an adult family member who is dependent</w:t>
      </w:r>
      <w:r>
        <w:rPr>
          <w:i/>
          <w:szCs w:val="20"/>
        </w:rPr>
        <w:t>. S</w:t>
      </w:r>
      <w:r w:rsidRPr="00205332">
        <w:rPr>
          <w:i/>
          <w:szCs w:val="20"/>
        </w:rPr>
        <w:t xml:space="preserve">ome relationship harms are irreparable, that in itself leads to financial instability because </w:t>
      </w:r>
      <w:r>
        <w:rPr>
          <w:i/>
          <w:szCs w:val="20"/>
        </w:rPr>
        <w:t xml:space="preserve">the </w:t>
      </w:r>
      <w:r w:rsidRPr="00205332">
        <w:rPr>
          <w:i/>
          <w:szCs w:val="20"/>
        </w:rPr>
        <w:t>loss of a partner leads to</w:t>
      </w:r>
      <w:r>
        <w:rPr>
          <w:i/>
          <w:szCs w:val="20"/>
        </w:rPr>
        <w:t xml:space="preserve"> the</w:t>
      </w:r>
      <w:r w:rsidRPr="00205332">
        <w:rPr>
          <w:i/>
          <w:szCs w:val="20"/>
        </w:rPr>
        <w:t xml:space="preserve"> loss of the family home, </w:t>
      </w:r>
      <w:r>
        <w:rPr>
          <w:i/>
          <w:szCs w:val="20"/>
        </w:rPr>
        <w:t>and this</w:t>
      </w:r>
      <w:r w:rsidRPr="00205332">
        <w:rPr>
          <w:i/>
          <w:szCs w:val="20"/>
        </w:rPr>
        <w:t xml:space="preserve"> can lead to homelessness</w:t>
      </w:r>
      <w:r w:rsidRPr="00205332">
        <w:rPr>
          <w:szCs w:val="20"/>
        </w:rPr>
        <w:t xml:space="preserve"> </w:t>
      </w:r>
      <w:r>
        <w:rPr>
          <w:szCs w:val="20"/>
        </w:rPr>
        <w:t>Peak Body</w:t>
      </w:r>
    </w:p>
    <w:p w:rsidR="00D9712C" w:rsidRDefault="00D9712C" w:rsidP="00D9712C">
      <w:r>
        <w:t>Another key impact is child abuse, which includes neglect.</w:t>
      </w:r>
    </w:p>
    <w:p w:rsidR="00D9712C" w:rsidRPr="00205332" w:rsidRDefault="00D9712C" w:rsidP="00D9712C">
      <w:pPr>
        <w:ind w:left="720"/>
        <w:rPr>
          <w:i/>
          <w:szCs w:val="20"/>
        </w:rPr>
      </w:pPr>
      <w:r w:rsidRPr="00205332">
        <w:rPr>
          <w:i/>
          <w:szCs w:val="20"/>
        </w:rPr>
        <w:t xml:space="preserve">Harm to children </w:t>
      </w:r>
      <w:r>
        <w:rPr>
          <w:i/>
          <w:szCs w:val="20"/>
        </w:rPr>
        <w:t>which is</w:t>
      </w:r>
      <w:r w:rsidRPr="00205332">
        <w:rPr>
          <w:i/>
          <w:szCs w:val="20"/>
        </w:rPr>
        <w:t xml:space="preserve"> manifest as neglect</w:t>
      </w:r>
      <w:r>
        <w:rPr>
          <w:i/>
          <w:szCs w:val="20"/>
        </w:rPr>
        <w:t xml:space="preserve">. A </w:t>
      </w:r>
      <w:r w:rsidRPr="00205332">
        <w:rPr>
          <w:i/>
          <w:szCs w:val="20"/>
        </w:rPr>
        <w:t>large part of gambling harm is loss of time, not just money</w:t>
      </w:r>
      <w:r>
        <w:rPr>
          <w:i/>
          <w:szCs w:val="20"/>
        </w:rPr>
        <w:t>, it’s an activity that takes the parent</w:t>
      </w:r>
      <w:r w:rsidRPr="00205332">
        <w:rPr>
          <w:i/>
          <w:szCs w:val="20"/>
        </w:rPr>
        <w:t xml:space="preserve"> out of the home for hours on end</w:t>
      </w:r>
      <w:r>
        <w:rPr>
          <w:i/>
          <w:szCs w:val="20"/>
        </w:rPr>
        <w:t>.</w:t>
      </w:r>
      <w:r w:rsidRPr="00205332">
        <w:rPr>
          <w:szCs w:val="20"/>
        </w:rPr>
        <w:t xml:space="preserve"> </w:t>
      </w:r>
      <w:r>
        <w:rPr>
          <w:szCs w:val="20"/>
        </w:rPr>
        <w:t>Peak Body</w:t>
      </w:r>
    </w:p>
    <w:p w:rsidR="00D9712C" w:rsidRDefault="00D9712C" w:rsidP="00D9712C">
      <w:pPr>
        <w:pStyle w:val="Heading5"/>
      </w:pPr>
      <w:r w:rsidRPr="00A7367D">
        <w:t>What do you think Council’s role/s are in relation to preventing and minimising gambling-related harms?</w:t>
      </w:r>
    </w:p>
    <w:p w:rsidR="00D9712C" w:rsidRPr="00511AC3" w:rsidRDefault="00D9712C" w:rsidP="00D9712C">
      <w:r>
        <w:t>In general, the agencies felt that Council fulfils several roles, including the gaming and planning approval process, identifying where in the city legal forms of entertainment (including gambling should and should not be located</w:t>
      </w:r>
      <w:r w:rsidR="00CA1D0A">
        <w:t>,</w:t>
      </w:r>
      <w:r w:rsidRPr="0033027A">
        <w:t xml:space="preserve"> </w:t>
      </w:r>
      <w:r>
        <w:t>community education about the harms associated with gambling, particularly among migra</w:t>
      </w:r>
      <w:r w:rsidR="00CA1D0A">
        <w:t>nts and other vulnerable groups,</w:t>
      </w:r>
      <w:r>
        <w:t xml:space="preserve"> program and service delivery, advocating for changes to limit opening hours and cash withdrawals. </w:t>
      </w:r>
    </w:p>
    <w:p w:rsidR="00D9712C" w:rsidRDefault="00D9712C" w:rsidP="00D9712C">
      <w:r>
        <w:t>One agency felt that Council has the responsibility to consider the local land use impacts of gambling and, under the legislation, ought to act in the best interests of the community by taking a preventative and precautionary approach.</w:t>
      </w:r>
    </w:p>
    <w:p w:rsidR="00D9712C" w:rsidRPr="0033027A" w:rsidRDefault="00D9712C" w:rsidP="00D9712C">
      <w:pPr>
        <w:ind w:left="720"/>
        <w:rPr>
          <w:szCs w:val="20"/>
        </w:rPr>
      </w:pPr>
      <w:r>
        <w:rPr>
          <w:i/>
          <w:szCs w:val="20"/>
        </w:rPr>
        <w:t>The d</w:t>
      </w:r>
      <w:r w:rsidRPr="0033027A">
        <w:rPr>
          <w:i/>
          <w:szCs w:val="20"/>
        </w:rPr>
        <w:t>ifficulty is that the precautionary approach is not consistent with the way the other regulators operate where they look at the balance between harms</w:t>
      </w:r>
      <w:r>
        <w:rPr>
          <w:i/>
          <w:szCs w:val="20"/>
        </w:rPr>
        <w:t xml:space="preserve"> </w:t>
      </w:r>
      <w:r>
        <w:rPr>
          <w:szCs w:val="20"/>
        </w:rPr>
        <w:t>Peak Body</w:t>
      </w:r>
    </w:p>
    <w:p w:rsidR="00D9712C" w:rsidRDefault="00D9712C" w:rsidP="00D9712C">
      <w:r>
        <w:t>This agency also felt that the City of Melbourne is unique in Victoria as it plays a very important leadership role in advocacy and setting an effective policy direction for the location and operation of EGMs.</w:t>
      </w:r>
    </w:p>
    <w:p w:rsidR="00D9712C" w:rsidRPr="0033027A" w:rsidRDefault="00D9712C" w:rsidP="00D9712C">
      <w:pPr>
        <w:ind w:left="720"/>
        <w:rPr>
          <w:szCs w:val="20"/>
        </w:rPr>
      </w:pPr>
      <w:r>
        <w:rPr>
          <w:i/>
        </w:rPr>
        <w:t>The City of Melbourne has</w:t>
      </w:r>
      <w:r w:rsidRPr="0033027A">
        <w:rPr>
          <w:i/>
          <w:szCs w:val="20"/>
        </w:rPr>
        <w:t xml:space="preserve"> quite a lot of ability when working with other Councils to shape that </w:t>
      </w:r>
      <w:r>
        <w:rPr>
          <w:i/>
          <w:szCs w:val="20"/>
        </w:rPr>
        <w:t xml:space="preserve">[the gambling and gambling-related harm] </w:t>
      </w:r>
      <w:r w:rsidRPr="0033027A">
        <w:rPr>
          <w:i/>
          <w:szCs w:val="20"/>
        </w:rPr>
        <w:t>agenda. Council should lead the agenda to enable Councils to have greater controls</w:t>
      </w:r>
      <w:r>
        <w:rPr>
          <w:i/>
          <w:szCs w:val="20"/>
        </w:rPr>
        <w:t>. Council has</w:t>
      </w:r>
      <w:r w:rsidRPr="0033027A">
        <w:rPr>
          <w:i/>
          <w:szCs w:val="20"/>
        </w:rPr>
        <w:t xml:space="preserve"> greater weight</w:t>
      </w:r>
      <w:r>
        <w:rPr>
          <w:i/>
          <w:szCs w:val="20"/>
        </w:rPr>
        <w:t xml:space="preserve"> and </w:t>
      </w:r>
      <w:r w:rsidRPr="0033027A">
        <w:rPr>
          <w:i/>
          <w:szCs w:val="20"/>
        </w:rPr>
        <w:t>should use it. This would have an outsize impact.</w:t>
      </w:r>
      <w:r>
        <w:rPr>
          <w:i/>
          <w:szCs w:val="20"/>
        </w:rPr>
        <w:t xml:space="preserve"> </w:t>
      </w:r>
      <w:r>
        <w:rPr>
          <w:szCs w:val="20"/>
        </w:rPr>
        <w:t>Peak Body</w:t>
      </w:r>
    </w:p>
    <w:p w:rsidR="00D9712C" w:rsidRDefault="00D9712C" w:rsidP="00D9712C">
      <w:r>
        <w:t>The agencies suggested that Council should implement strategies to prevent the growth of EGMs in the municipality. Another suggestion is that Council should apply emerging research.</w:t>
      </w:r>
    </w:p>
    <w:p w:rsidR="00D9712C" w:rsidRPr="008B51BC" w:rsidRDefault="00D9712C" w:rsidP="00D9712C">
      <w:pPr>
        <w:ind w:left="720"/>
        <w:rPr>
          <w:rFonts w:asciiTheme="minorHAnsi" w:hAnsiTheme="minorHAnsi"/>
          <w:bCs/>
          <w:iCs/>
          <w:szCs w:val="22"/>
        </w:rPr>
      </w:pPr>
      <w:r>
        <w:rPr>
          <w:rFonts w:asciiTheme="minorHAnsi" w:hAnsiTheme="minorHAnsi"/>
          <w:bCs/>
          <w:i/>
          <w:iCs/>
          <w:szCs w:val="22"/>
        </w:rPr>
        <w:t>T</w:t>
      </w:r>
      <w:r w:rsidRPr="008B51BC">
        <w:rPr>
          <w:rFonts w:asciiTheme="minorHAnsi" w:hAnsiTheme="minorHAnsi"/>
          <w:bCs/>
          <w:i/>
          <w:iCs/>
          <w:szCs w:val="22"/>
        </w:rPr>
        <w:t>here should be a broadening of focus from the prevention of 'problem gambling' to the lessening of gambling harm which is distributed across a broader section of the Victorian community. This means population wide initiatives to prevent and reduce gambling harm are best targeted to low and moderate risk gambling, while harm reduction interventions and treatment are better targeted to existing problem gamblers.</w:t>
      </w:r>
      <w:r>
        <w:rPr>
          <w:rFonts w:asciiTheme="minorHAnsi" w:hAnsiTheme="minorHAnsi"/>
          <w:bCs/>
          <w:i/>
          <w:iCs/>
          <w:szCs w:val="22"/>
        </w:rPr>
        <w:t xml:space="preserve"> </w:t>
      </w:r>
      <w:r>
        <w:rPr>
          <w:rFonts w:asciiTheme="minorHAnsi" w:hAnsiTheme="minorHAnsi"/>
          <w:bCs/>
          <w:iCs/>
          <w:szCs w:val="22"/>
        </w:rPr>
        <w:t>Peak Body</w:t>
      </w:r>
    </w:p>
    <w:p w:rsidR="00D9712C" w:rsidRDefault="00D9712C" w:rsidP="00D9712C">
      <w:r>
        <w:t>Other suggestions included:</w:t>
      </w:r>
    </w:p>
    <w:p w:rsidR="00D9712C" w:rsidRDefault="00D9712C" w:rsidP="007D1909">
      <w:pPr>
        <w:pStyle w:val="ListParagraph"/>
        <w:numPr>
          <w:ilvl w:val="0"/>
          <w:numId w:val="70"/>
        </w:numPr>
        <w:spacing w:after="120"/>
        <w:contextualSpacing w:val="0"/>
      </w:pPr>
      <w:r>
        <w:t xml:space="preserve">the implementation of a workplace policy that should consider support, affecting behavioural change and prohibiting the </w:t>
      </w:r>
      <w:r w:rsidR="00CA1D0A">
        <w:t>use of gambling during worktime</w:t>
      </w:r>
    </w:p>
    <w:p w:rsidR="00D9712C" w:rsidRPr="00511AC3" w:rsidRDefault="00D9712C" w:rsidP="007D1909">
      <w:pPr>
        <w:pStyle w:val="ListParagraph"/>
        <w:numPr>
          <w:ilvl w:val="0"/>
          <w:numId w:val="70"/>
        </w:numPr>
        <w:spacing w:after="120"/>
        <w:contextualSpacing w:val="0"/>
      </w:pPr>
      <w:r>
        <w:t>restrictions or the prohibition of gambling advertising on Council property.</w:t>
      </w:r>
    </w:p>
    <w:p w:rsidR="00D9712C" w:rsidRDefault="00D9712C" w:rsidP="00D9712C">
      <w:pPr>
        <w:pStyle w:val="Heading5"/>
      </w:pPr>
      <w:r w:rsidRPr="00A7367D">
        <w:t>Is there anything else you would like to say?</w:t>
      </w:r>
    </w:p>
    <w:p w:rsidR="00471CD9" w:rsidRDefault="00D9712C" w:rsidP="00D9712C">
      <w:pPr>
        <w:rPr>
          <w:rFonts w:asciiTheme="minorHAnsi" w:hAnsiTheme="minorHAnsi" w:cstheme="minorHAnsi"/>
        </w:rPr>
        <w:sectPr w:rsidR="00471CD9" w:rsidSect="00F27E2F">
          <w:headerReference w:type="even" r:id="rId66"/>
          <w:headerReference w:type="default" r:id="rId67"/>
          <w:footerReference w:type="default" r:id="rId68"/>
          <w:headerReference w:type="first" r:id="rId69"/>
          <w:footerReference w:type="first" r:id="rId70"/>
          <w:endnotePr>
            <w:numFmt w:val="decimal"/>
          </w:endnotePr>
          <w:pgSz w:w="11906" w:h="16838"/>
          <w:pgMar w:top="1440" w:right="1440" w:bottom="1440" w:left="1440" w:header="708" w:footer="708" w:gutter="0"/>
          <w:pgNumType w:start="1"/>
          <w:cols w:space="708"/>
          <w:titlePg/>
          <w:docGrid w:linePitch="360"/>
        </w:sectPr>
      </w:pPr>
      <w:r>
        <w:t>One agency highlighted the fact that the scale and location of Crown Casino is a key factor that needs to be considered when developing the Electronic Gaming Decision-Making Framework and Local Planning Policy for Gaming, even though this gambling facility is not under the jurisdiction of the City of Melbourne. This agency also noted that strip shopping centres are very difficult to define in the City of Melbourne and that the Local Planning Policy for Gaming should give specific guidance on how to prevent convenience gambling.</w:t>
      </w:r>
    </w:p>
    <w:p w:rsidR="005933D8" w:rsidRPr="0099464A" w:rsidRDefault="00051F9D" w:rsidP="005933D8">
      <w:pPr>
        <w:pStyle w:val="Heading1"/>
        <w:numPr>
          <w:ilvl w:val="0"/>
          <w:numId w:val="0"/>
        </w:numPr>
        <w:rPr>
          <w:rFonts w:asciiTheme="minorHAnsi" w:hAnsiTheme="minorHAnsi" w:cstheme="minorHAnsi"/>
        </w:rPr>
      </w:pPr>
      <w:bookmarkStart w:id="150" w:name="_Toc494287784"/>
      <w:r w:rsidRPr="0099464A">
        <w:rPr>
          <w:rFonts w:asciiTheme="minorHAnsi" w:hAnsiTheme="minorHAnsi" w:cstheme="minorHAnsi"/>
          <w:caps w:val="0"/>
        </w:rPr>
        <w:t xml:space="preserve">Appendix </w:t>
      </w:r>
      <w:r w:rsidR="00D9712C">
        <w:rPr>
          <w:rFonts w:asciiTheme="minorHAnsi" w:hAnsiTheme="minorHAnsi" w:cstheme="minorHAnsi"/>
        </w:rPr>
        <w:t>3</w:t>
      </w:r>
      <w:r w:rsidRPr="0099464A">
        <w:rPr>
          <w:rFonts w:asciiTheme="minorHAnsi" w:hAnsiTheme="minorHAnsi" w:cstheme="minorHAnsi"/>
          <w:caps w:val="0"/>
        </w:rPr>
        <w:t xml:space="preserve"> – </w:t>
      </w:r>
      <w:r>
        <w:rPr>
          <w:rFonts w:asciiTheme="minorHAnsi" w:hAnsiTheme="minorHAnsi" w:cstheme="minorHAnsi"/>
          <w:caps w:val="0"/>
        </w:rPr>
        <w:t>S</w:t>
      </w:r>
      <w:r w:rsidRPr="0099464A">
        <w:rPr>
          <w:rFonts w:asciiTheme="minorHAnsi" w:hAnsiTheme="minorHAnsi" w:cstheme="minorHAnsi"/>
          <w:caps w:val="0"/>
        </w:rPr>
        <w:t>napshot of key gaming data</w:t>
      </w:r>
      <w:bookmarkEnd w:id="150"/>
    </w:p>
    <w:tbl>
      <w:tblPr>
        <w:tblStyle w:val="ListTable3"/>
        <w:tblW w:w="5000" w:type="pct"/>
        <w:jc w:val="center"/>
        <w:tblLayout w:type="fixed"/>
        <w:tblLook w:val="04A0" w:firstRow="1" w:lastRow="0" w:firstColumn="1" w:lastColumn="0" w:noHBand="0" w:noVBand="1"/>
      </w:tblPr>
      <w:tblGrid>
        <w:gridCol w:w="1727"/>
        <w:gridCol w:w="1557"/>
        <w:gridCol w:w="1557"/>
        <w:gridCol w:w="1556"/>
        <w:gridCol w:w="1556"/>
        <w:gridCol w:w="1556"/>
        <w:gridCol w:w="1556"/>
        <w:gridCol w:w="1556"/>
        <w:gridCol w:w="1553"/>
      </w:tblGrid>
      <w:tr w:rsidR="005933D8" w:rsidRPr="0099464A" w:rsidTr="00E86245">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100" w:firstRow="0" w:lastRow="0" w:firstColumn="1" w:lastColumn="0" w:oddVBand="0" w:evenVBand="0" w:oddHBand="0" w:evenHBand="0" w:firstRowFirstColumn="1" w:firstRowLastColumn="0" w:lastRowFirstColumn="0" w:lastRowLastColumn="0"/>
            <w:tcW w:w="609" w:type="pct"/>
            <w:noWrap/>
            <w:hideMark/>
          </w:tcPr>
          <w:p w:rsidR="005933D8" w:rsidRPr="0099464A" w:rsidRDefault="005933D8" w:rsidP="004424D8">
            <w:pPr>
              <w:jc w:val="center"/>
              <w:rPr>
                <w:rFonts w:cstheme="minorHAnsi"/>
                <w:sz w:val="20"/>
                <w:szCs w:val="20"/>
                <w:lang w:eastAsia="en-AU"/>
              </w:rPr>
            </w:pPr>
            <w:r w:rsidRPr="0099464A">
              <w:rPr>
                <w:rFonts w:cstheme="minorHAnsi"/>
                <w:sz w:val="20"/>
                <w:szCs w:val="20"/>
                <w:lang w:eastAsia="en-AU"/>
              </w:rPr>
              <w:t>LGA Name</w:t>
            </w:r>
          </w:p>
        </w:tc>
        <w:tc>
          <w:tcPr>
            <w:tcW w:w="549" w:type="pct"/>
            <w:noWrap/>
            <w:hideMark/>
          </w:tcPr>
          <w:p w:rsidR="005933D8" w:rsidRPr="0099464A" w:rsidRDefault="005933D8" w:rsidP="00E8624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City of Melbourne</w:t>
            </w:r>
          </w:p>
        </w:tc>
        <w:tc>
          <w:tcPr>
            <w:tcW w:w="549" w:type="pct"/>
            <w:noWrap/>
            <w:hideMark/>
          </w:tcPr>
          <w:p w:rsidR="005933D8" w:rsidRPr="0099464A" w:rsidRDefault="005933D8" w:rsidP="00E8624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City of Hobsons Bay</w:t>
            </w:r>
          </w:p>
        </w:tc>
        <w:tc>
          <w:tcPr>
            <w:tcW w:w="549" w:type="pct"/>
            <w:noWrap/>
            <w:hideMark/>
          </w:tcPr>
          <w:p w:rsidR="005933D8" w:rsidRPr="0099464A" w:rsidRDefault="005933D8" w:rsidP="00E8624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City of Maribyrnong</w:t>
            </w:r>
          </w:p>
        </w:tc>
        <w:tc>
          <w:tcPr>
            <w:tcW w:w="549" w:type="pct"/>
            <w:noWrap/>
            <w:hideMark/>
          </w:tcPr>
          <w:p w:rsidR="005933D8" w:rsidRPr="0099464A" w:rsidRDefault="005933D8" w:rsidP="00E8624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City of Moonee Valley</w:t>
            </w:r>
          </w:p>
        </w:tc>
        <w:tc>
          <w:tcPr>
            <w:tcW w:w="549" w:type="pct"/>
            <w:noWrap/>
            <w:hideMark/>
          </w:tcPr>
          <w:p w:rsidR="005933D8" w:rsidRPr="0099464A" w:rsidRDefault="005933D8" w:rsidP="00E8624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City of Moreland</w:t>
            </w:r>
          </w:p>
        </w:tc>
        <w:tc>
          <w:tcPr>
            <w:tcW w:w="549" w:type="pct"/>
            <w:noWrap/>
            <w:hideMark/>
          </w:tcPr>
          <w:p w:rsidR="005933D8" w:rsidRPr="0099464A" w:rsidRDefault="005933D8" w:rsidP="00E8624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City of Port Phillip</w:t>
            </w:r>
          </w:p>
        </w:tc>
        <w:tc>
          <w:tcPr>
            <w:tcW w:w="549" w:type="pct"/>
            <w:noWrap/>
            <w:hideMark/>
          </w:tcPr>
          <w:p w:rsidR="005933D8" w:rsidRPr="0099464A" w:rsidRDefault="005933D8" w:rsidP="00E8624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City of Stonnington</w:t>
            </w:r>
          </w:p>
        </w:tc>
        <w:tc>
          <w:tcPr>
            <w:tcW w:w="548" w:type="pct"/>
            <w:noWrap/>
            <w:hideMark/>
          </w:tcPr>
          <w:p w:rsidR="005933D8" w:rsidRPr="0099464A" w:rsidRDefault="005933D8" w:rsidP="00E86245">
            <w:pPr>
              <w:jc w:val="center"/>
              <w:cnfStyle w:val="100000000000" w:firstRow="1"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City of Yarra</w:t>
            </w:r>
          </w:p>
        </w:tc>
      </w:tr>
      <w:tr w:rsidR="005933D8" w:rsidRPr="0099464A" w:rsidTr="00E86245">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9" w:type="pct"/>
            <w:noWrap/>
            <w:hideMark/>
          </w:tcPr>
          <w:p w:rsidR="005933D8" w:rsidRPr="0099464A" w:rsidRDefault="005933D8" w:rsidP="004424D8">
            <w:pPr>
              <w:rPr>
                <w:rFonts w:cstheme="minorHAnsi"/>
                <w:sz w:val="20"/>
                <w:szCs w:val="20"/>
                <w:lang w:eastAsia="en-AU"/>
              </w:rPr>
            </w:pPr>
            <w:r w:rsidRPr="0099464A">
              <w:rPr>
                <w:rFonts w:cstheme="minorHAnsi"/>
                <w:sz w:val="20"/>
                <w:szCs w:val="20"/>
                <w:lang w:eastAsia="en-AU"/>
              </w:rPr>
              <w:t>SEIFA score of relative socio-economic disadvantage</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lang w:eastAsia="en-AU"/>
              </w:rPr>
            </w:pPr>
            <w:r w:rsidRPr="0099464A">
              <w:rPr>
                <w:rFonts w:cstheme="minorHAnsi"/>
                <w:b/>
                <w:sz w:val="20"/>
                <w:szCs w:val="20"/>
                <w:lang w:eastAsia="en-AU"/>
              </w:rPr>
              <w:t>1,050.96</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999.92</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988.43</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1,030.54</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999.81</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1,076.77</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1,097.82</w:t>
            </w:r>
          </w:p>
        </w:tc>
        <w:tc>
          <w:tcPr>
            <w:tcW w:w="548"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1,041.94</w:t>
            </w:r>
          </w:p>
        </w:tc>
      </w:tr>
      <w:tr w:rsidR="005933D8" w:rsidRPr="0099464A" w:rsidTr="00E86245">
        <w:trPr>
          <w:trHeight w:val="290"/>
          <w:jc w:val="center"/>
        </w:trPr>
        <w:tc>
          <w:tcPr>
            <w:cnfStyle w:val="001000000000" w:firstRow="0" w:lastRow="0" w:firstColumn="1" w:lastColumn="0" w:oddVBand="0" w:evenVBand="0" w:oddHBand="0" w:evenHBand="0" w:firstRowFirstColumn="0" w:firstRowLastColumn="0" w:lastRowFirstColumn="0" w:lastRowLastColumn="0"/>
            <w:tcW w:w="609" w:type="pct"/>
            <w:hideMark/>
          </w:tcPr>
          <w:p w:rsidR="005933D8" w:rsidRPr="0099464A" w:rsidRDefault="005933D8" w:rsidP="004424D8">
            <w:pPr>
              <w:rPr>
                <w:rFonts w:cstheme="minorHAnsi"/>
                <w:color w:val="000000"/>
                <w:sz w:val="20"/>
                <w:szCs w:val="20"/>
                <w:lang w:eastAsia="en-AU"/>
              </w:rPr>
            </w:pPr>
            <w:r w:rsidRPr="0099464A">
              <w:rPr>
                <w:rFonts w:cstheme="minorHAnsi"/>
                <w:color w:val="000000"/>
                <w:sz w:val="20"/>
                <w:szCs w:val="20"/>
                <w:lang w:eastAsia="en-AU"/>
              </w:rPr>
              <w:t># of EGMs</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746</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577</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440</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732</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640</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383</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287</w:t>
            </w:r>
          </w:p>
        </w:tc>
        <w:tc>
          <w:tcPr>
            <w:tcW w:w="548"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308</w:t>
            </w:r>
          </w:p>
        </w:tc>
      </w:tr>
      <w:tr w:rsidR="005933D8" w:rsidRPr="0099464A" w:rsidTr="00E86245">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9" w:type="pct"/>
            <w:hideMark/>
          </w:tcPr>
          <w:p w:rsidR="005933D8" w:rsidRPr="0099464A" w:rsidRDefault="005933D8" w:rsidP="004424D8">
            <w:pPr>
              <w:rPr>
                <w:rFonts w:cstheme="minorHAnsi"/>
                <w:color w:val="000000"/>
                <w:sz w:val="20"/>
                <w:szCs w:val="20"/>
                <w:lang w:eastAsia="en-AU"/>
              </w:rPr>
            </w:pPr>
            <w:r w:rsidRPr="0099464A">
              <w:rPr>
                <w:rFonts w:cstheme="minorHAnsi"/>
                <w:color w:val="000000"/>
                <w:sz w:val="20"/>
                <w:szCs w:val="20"/>
                <w:lang w:eastAsia="en-AU"/>
              </w:rPr>
              <w:t>#of venues</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11</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10</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9</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11</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12</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10</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7</w:t>
            </w:r>
          </w:p>
        </w:tc>
        <w:tc>
          <w:tcPr>
            <w:tcW w:w="548"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8</w:t>
            </w:r>
          </w:p>
        </w:tc>
      </w:tr>
      <w:tr w:rsidR="005933D8" w:rsidRPr="0099464A" w:rsidTr="00E86245">
        <w:trPr>
          <w:trHeight w:val="290"/>
          <w:jc w:val="center"/>
        </w:trPr>
        <w:tc>
          <w:tcPr>
            <w:cnfStyle w:val="001000000000" w:firstRow="0" w:lastRow="0" w:firstColumn="1" w:lastColumn="0" w:oddVBand="0" w:evenVBand="0" w:oddHBand="0" w:evenHBand="0" w:firstRowFirstColumn="0" w:firstRowLastColumn="0" w:lastRowFirstColumn="0" w:lastRowLastColumn="0"/>
            <w:tcW w:w="609" w:type="pct"/>
            <w:hideMark/>
          </w:tcPr>
          <w:p w:rsidR="005933D8" w:rsidRPr="0099464A" w:rsidRDefault="005933D8" w:rsidP="004424D8">
            <w:pPr>
              <w:rPr>
                <w:rFonts w:cstheme="minorHAnsi"/>
                <w:color w:val="000000"/>
                <w:sz w:val="20"/>
                <w:szCs w:val="20"/>
                <w:lang w:eastAsia="en-AU"/>
              </w:rPr>
            </w:pPr>
            <w:r w:rsidRPr="0099464A">
              <w:rPr>
                <w:rFonts w:cstheme="minorHAnsi"/>
                <w:color w:val="000000"/>
                <w:sz w:val="20"/>
                <w:szCs w:val="20"/>
                <w:lang w:eastAsia="en-AU"/>
              </w:rPr>
              <w:t>Player Loss</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$79,770,052.63</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$46,829,609.25</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$53,735,025.14</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$75,401,077.51</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$ 63,531,110.68</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$28,095,943.28</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$23,443,276.63</w:t>
            </w:r>
          </w:p>
        </w:tc>
        <w:tc>
          <w:tcPr>
            <w:tcW w:w="548"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$32,992,353.39</w:t>
            </w:r>
          </w:p>
        </w:tc>
      </w:tr>
      <w:tr w:rsidR="005933D8" w:rsidRPr="0099464A" w:rsidTr="00E86245">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9" w:type="pct"/>
            <w:hideMark/>
          </w:tcPr>
          <w:p w:rsidR="005933D8" w:rsidRPr="0099464A" w:rsidRDefault="005933D8" w:rsidP="004424D8">
            <w:pPr>
              <w:rPr>
                <w:rFonts w:cstheme="minorHAnsi"/>
                <w:color w:val="000000"/>
                <w:sz w:val="20"/>
                <w:szCs w:val="20"/>
                <w:lang w:eastAsia="en-AU"/>
              </w:rPr>
            </w:pPr>
            <w:r w:rsidRPr="0099464A">
              <w:rPr>
                <w:rFonts w:cstheme="minorHAnsi"/>
                <w:color w:val="000000"/>
                <w:sz w:val="20"/>
                <w:szCs w:val="20"/>
                <w:lang w:eastAsia="en-AU"/>
              </w:rPr>
              <w:t>average Venue size</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68</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58</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49</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67</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53</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38</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41</w:t>
            </w:r>
          </w:p>
        </w:tc>
        <w:tc>
          <w:tcPr>
            <w:tcW w:w="548"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39</w:t>
            </w:r>
          </w:p>
        </w:tc>
      </w:tr>
      <w:tr w:rsidR="005933D8" w:rsidRPr="0099464A" w:rsidTr="00E86245">
        <w:trPr>
          <w:trHeight w:val="580"/>
          <w:jc w:val="center"/>
        </w:trPr>
        <w:tc>
          <w:tcPr>
            <w:cnfStyle w:val="001000000000" w:firstRow="0" w:lastRow="0" w:firstColumn="1" w:lastColumn="0" w:oddVBand="0" w:evenVBand="0" w:oddHBand="0" w:evenHBand="0" w:firstRowFirstColumn="0" w:firstRowLastColumn="0" w:lastRowFirstColumn="0" w:lastRowLastColumn="0"/>
            <w:tcW w:w="609" w:type="pct"/>
            <w:hideMark/>
          </w:tcPr>
          <w:p w:rsidR="005933D8" w:rsidRPr="0099464A" w:rsidRDefault="005933D8" w:rsidP="004424D8">
            <w:pPr>
              <w:rPr>
                <w:rFonts w:cstheme="minorHAnsi"/>
                <w:color w:val="000000"/>
                <w:sz w:val="20"/>
                <w:szCs w:val="20"/>
                <w:lang w:eastAsia="en-AU"/>
              </w:rPr>
            </w:pPr>
            <w:r w:rsidRPr="0099464A">
              <w:rPr>
                <w:rFonts w:cstheme="minorHAnsi"/>
                <w:color w:val="000000"/>
                <w:sz w:val="20"/>
                <w:szCs w:val="20"/>
                <w:lang w:eastAsia="en-AU"/>
              </w:rPr>
              <w:t>average expenditure per venue</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$7,251,822.97</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$4,682,960.93</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$5,970,558.35</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$6,854,643.41</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$5,294,259.22</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$2,809,594.33</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$3,349,039.52</w:t>
            </w:r>
          </w:p>
        </w:tc>
        <w:tc>
          <w:tcPr>
            <w:tcW w:w="548"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$4,124,044.17</w:t>
            </w:r>
          </w:p>
        </w:tc>
      </w:tr>
      <w:tr w:rsidR="005933D8" w:rsidRPr="0099464A" w:rsidTr="00E86245">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609" w:type="pct"/>
            <w:hideMark/>
          </w:tcPr>
          <w:p w:rsidR="005933D8" w:rsidRPr="0099464A" w:rsidRDefault="005933D8" w:rsidP="004424D8">
            <w:pPr>
              <w:rPr>
                <w:rFonts w:cstheme="minorHAnsi"/>
                <w:color w:val="000000"/>
                <w:sz w:val="20"/>
                <w:szCs w:val="20"/>
                <w:lang w:eastAsia="en-AU"/>
              </w:rPr>
            </w:pPr>
            <w:r w:rsidRPr="0099464A">
              <w:rPr>
                <w:rFonts w:cstheme="minorHAnsi"/>
                <w:color w:val="000000"/>
                <w:sz w:val="20"/>
                <w:szCs w:val="20"/>
                <w:lang w:eastAsia="en-AU"/>
              </w:rPr>
              <w:t>average expenditure per EGM</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$106,930.37</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$81,160.50</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$122,125.06</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$103,006.94</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$99,267.36</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$73,357.55</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$81,683.89</w:t>
            </w:r>
          </w:p>
        </w:tc>
        <w:tc>
          <w:tcPr>
            <w:tcW w:w="548"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$107,118.03</w:t>
            </w:r>
          </w:p>
        </w:tc>
      </w:tr>
      <w:tr w:rsidR="005933D8" w:rsidRPr="0099464A" w:rsidTr="00E86245">
        <w:trPr>
          <w:trHeight w:val="290"/>
          <w:jc w:val="center"/>
        </w:trPr>
        <w:tc>
          <w:tcPr>
            <w:cnfStyle w:val="001000000000" w:firstRow="0" w:lastRow="0" w:firstColumn="1" w:lastColumn="0" w:oddVBand="0" w:evenVBand="0" w:oddHBand="0" w:evenHBand="0" w:firstRowFirstColumn="0" w:firstRowLastColumn="0" w:lastRowFirstColumn="0" w:lastRowLastColumn="0"/>
            <w:tcW w:w="609" w:type="pct"/>
            <w:hideMark/>
          </w:tcPr>
          <w:p w:rsidR="005933D8" w:rsidRPr="0099464A" w:rsidRDefault="005933D8" w:rsidP="004424D8">
            <w:pPr>
              <w:rPr>
                <w:rFonts w:cstheme="minorHAnsi"/>
                <w:sz w:val="20"/>
                <w:szCs w:val="20"/>
                <w:lang w:eastAsia="en-AU"/>
              </w:rPr>
            </w:pPr>
            <w:r w:rsidRPr="0099464A">
              <w:rPr>
                <w:rFonts w:cstheme="minorHAnsi"/>
                <w:sz w:val="20"/>
                <w:szCs w:val="20"/>
                <w:lang w:eastAsia="en-AU"/>
              </w:rPr>
              <w:t>adults per Venue 2016</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11,102</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7,402</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7,633</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8,848</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11,604</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9,457</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13,330</w:t>
            </w:r>
          </w:p>
        </w:tc>
        <w:tc>
          <w:tcPr>
            <w:tcW w:w="548"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9,871</w:t>
            </w:r>
          </w:p>
        </w:tc>
      </w:tr>
      <w:tr w:rsidR="005933D8" w:rsidRPr="0099464A" w:rsidTr="00E86245">
        <w:trPr>
          <w:cnfStyle w:val="000000100000" w:firstRow="0" w:lastRow="0" w:firstColumn="0" w:lastColumn="0" w:oddVBand="0" w:evenVBand="0" w:oddHBand="1"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609" w:type="pct"/>
            <w:hideMark/>
          </w:tcPr>
          <w:p w:rsidR="005933D8" w:rsidRPr="0099464A" w:rsidRDefault="005933D8" w:rsidP="004424D8">
            <w:pPr>
              <w:rPr>
                <w:rFonts w:cstheme="minorHAnsi"/>
                <w:sz w:val="20"/>
                <w:szCs w:val="20"/>
                <w:lang w:eastAsia="en-AU"/>
              </w:rPr>
            </w:pPr>
            <w:r w:rsidRPr="0099464A">
              <w:rPr>
                <w:rFonts w:cstheme="minorHAnsi"/>
                <w:sz w:val="20"/>
                <w:szCs w:val="20"/>
                <w:lang w:eastAsia="en-AU"/>
              </w:rPr>
              <w:t>density EGMS per 1,000 Adults 2016</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6.1</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7.8</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6.4</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7.5</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4.6</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4.0</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3.1</w:t>
            </w:r>
          </w:p>
        </w:tc>
        <w:tc>
          <w:tcPr>
            <w:tcW w:w="548"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3.9</w:t>
            </w:r>
          </w:p>
        </w:tc>
      </w:tr>
      <w:tr w:rsidR="005933D8" w:rsidRPr="0099464A" w:rsidTr="00E86245">
        <w:trPr>
          <w:trHeight w:val="500"/>
          <w:jc w:val="center"/>
        </w:trPr>
        <w:tc>
          <w:tcPr>
            <w:cnfStyle w:val="001000000000" w:firstRow="0" w:lastRow="0" w:firstColumn="1" w:lastColumn="0" w:oddVBand="0" w:evenVBand="0" w:oddHBand="0" w:evenHBand="0" w:firstRowFirstColumn="0" w:firstRowLastColumn="0" w:lastRowFirstColumn="0" w:lastRowLastColumn="0"/>
            <w:tcW w:w="609" w:type="pct"/>
            <w:hideMark/>
          </w:tcPr>
          <w:p w:rsidR="005933D8" w:rsidRPr="0099464A" w:rsidRDefault="005933D8" w:rsidP="004424D8">
            <w:pPr>
              <w:rPr>
                <w:rFonts w:cstheme="minorHAnsi"/>
                <w:sz w:val="20"/>
                <w:szCs w:val="20"/>
                <w:lang w:eastAsia="en-AU"/>
              </w:rPr>
            </w:pPr>
            <w:r w:rsidRPr="0099464A">
              <w:rPr>
                <w:rFonts w:cstheme="minorHAnsi"/>
                <w:sz w:val="20"/>
                <w:szCs w:val="20"/>
                <w:lang w:eastAsia="en-AU"/>
              </w:rPr>
              <w:t>expenditure per Adult 2016</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653.19</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632.67</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782.17</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774.71</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456.25</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297.10</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251.25</w:t>
            </w:r>
          </w:p>
        </w:tc>
        <w:tc>
          <w:tcPr>
            <w:tcW w:w="548"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lang w:eastAsia="en-AU"/>
              </w:rPr>
            </w:pPr>
            <w:r w:rsidRPr="0099464A">
              <w:rPr>
                <w:rFonts w:cstheme="minorHAnsi"/>
                <w:sz w:val="20"/>
                <w:szCs w:val="20"/>
                <w:lang w:eastAsia="en-AU"/>
              </w:rPr>
              <w:t>417.78</w:t>
            </w:r>
          </w:p>
        </w:tc>
      </w:tr>
      <w:tr w:rsidR="005933D8" w:rsidRPr="0099464A" w:rsidTr="00E8624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09" w:type="pct"/>
            <w:hideMark/>
          </w:tcPr>
          <w:p w:rsidR="005933D8" w:rsidRPr="0099464A" w:rsidRDefault="005933D8" w:rsidP="004424D8">
            <w:pPr>
              <w:rPr>
                <w:rFonts w:cstheme="minorHAnsi"/>
                <w:color w:val="000000"/>
                <w:sz w:val="20"/>
                <w:szCs w:val="20"/>
                <w:lang w:eastAsia="en-AU"/>
              </w:rPr>
            </w:pPr>
            <w:r w:rsidRPr="0099464A">
              <w:rPr>
                <w:rFonts w:cstheme="minorHAnsi"/>
                <w:color w:val="000000"/>
                <w:sz w:val="20"/>
                <w:szCs w:val="20"/>
                <w:lang w:eastAsia="en-AU"/>
              </w:rPr>
              <w:t>rank expenditure</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23</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21</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13</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16</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26</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28</w:t>
            </w:r>
          </w:p>
        </w:tc>
        <w:tc>
          <w:tcPr>
            <w:tcW w:w="548"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24</w:t>
            </w:r>
          </w:p>
        </w:tc>
      </w:tr>
      <w:tr w:rsidR="005933D8" w:rsidRPr="0099464A" w:rsidTr="00E86245">
        <w:trPr>
          <w:trHeight w:val="290"/>
          <w:jc w:val="center"/>
        </w:trPr>
        <w:tc>
          <w:tcPr>
            <w:cnfStyle w:val="001000000000" w:firstRow="0" w:lastRow="0" w:firstColumn="1" w:lastColumn="0" w:oddVBand="0" w:evenVBand="0" w:oddHBand="0" w:evenHBand="0" w:firstRowFirstColumn="0" w:firstRowLastColumn="0" w:lastRowFirstColumn="0" w:lastRowLastColumn="0"/>
            <w:tcW w:w="609" w:type="pct"/>
            <w:hideMark/>
          </w:tcPr>
          <w:p w:rsidR="005933D8" w:rsidRPr="0099464A" w:rsidRDefault="005933D8" w:rsidP="004424D8">
            <w:pPr>
              <w:rPr>
                <w:rFonts w:cstheme="minorHAnsi"/>
                <w:color w:val="000000"/>
                <w:sz w:val="20"/>
                <w:szCs w:val="20"/>
                <w:lang w:eastAsia="en-AU"/>
              </w:rPr>
            </w:pPr>
            <w:r w:rsidRPr="0099464A">
              <w:rPr>
                <w:rFonts w:cstheme="minorHAnsi"/>
                <w:color w:val="000000"/>
                <w:sz w:val="20"/>
                <w:szCs w:val="20"/>
                <w:lang w:eastAsia="en-AU"/>
              </w:rPr>
              <w:t>rank EGMs</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13</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18</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23</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15</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16</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25</w:t>
            </w:r>
          </w:p>
        </w:tc>
        <w:tc>
          <w:tcPr>
            <w:tcW w:w="549"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27</w:t>
            </w:r>
          </w:p>
        </w:tc>
        <w:tc>
          <w:tcPr>
            <w:tcW w:w="548" w:type="pct"/>
            <w:noWrap/>
            <w:hideMark/>
          </w:tcPr>
          <w:p w:rsidR="005933D8" w:rsidRPr="0099464A" w:rsidRDefault="005933D8" w:rsidP="00E86245">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26</w:t>
            </w:r>
          </w:p>
        </w:tc>
      </w:tr>
      <w:tr w:rsidR="005933D8" w:rsidRPr="0099464A" w:rsidTr="00E86245">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609" w:type="pct"/>
            <w:hideMark/>
          </w:tcPr>
          <w:p w:rsidR="005933D8" w:rsidRPr="0099464A" w:rsidRDefault="005933D8" w:rsidP="004424D8">
            <w:pPr>
              <w:rPr>
                <w:rFonts w:cstheme="minorHAnsi"/>
                <w:color w:val="000000"/>
                <w:sz w:val="20"/>
                <w:szCs w:val="20"/>
                <w:lang w:eastAsia="en-AU"/>
              </w:rPr>
            </w:pPr>
            <w:r w:rsidRPr="0099464A">
              <w:rPr>
                <w:rFonts w:cstheme="minorHAnsi"/>
                <w:color w:val="000000"/>
                <w:sz w:val="20"/>
                <w:szCs w:val="20"/>
                <w:lang w:eastAsia="en-AU"/>
              </w:rPr>
              <w:t>rank no venues</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14</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18</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22</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15</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11</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19</w:t>
            </w:r>
          </w:p>
        </w:tc>
        <w:tc>
          <w:tcPr>
            <w:tcW w:w="549"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26</w:t>
            </w:r>
          </w:p>
        </w:tc>
        <w:tc>
          <w:tcPr>
            <w:tcW w:w="548" w:type="pct"/>
            <w:noWrap/>
            <w:hideMark/>
          </w:tcPr>
          <w:p w:rsidR="005933D8" w:rsidRPr="0099464A" w:rsidRDefault="005933D8" w:rsidP="00E86245">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eastAsia="en-AU"/>
              </w:rPr>
            </w:pPr>
            <w:r w:rsidRPr="0099464A">
              <w:rPr>
                <w:rFonts w:cstheme="minorHAnsi"/>
                <w:color w:val="000000"/>
                <w:sz w:val="20"/>
                <w:szCs w:val="20"/>
                <w:lang w:eastAsia="en-AU"/>
              </w:rPr>
              <w:t>23</w:t>
            </w:r>
          </w:p>
        </w:tc>
      </w:tr>
    </w:tbl>
    <w:p w:rsidR="00352011" w:rsidRDefault="005933D8" w:rsidP="005933D8">
      <w:pPr>
        <w:rPr>
          <w:rFonts w:cstheme="minorHAnsi"/>
        </w:rPr>
      </w:pPr>
      <w:r>
        <w:rPr>
          <w:rFonts w:cstheme="minorHAnsi"/>
        </w:rPr>
        <w:t>Source: VCGLR and ABS Census of Population and Housing, 2011</w:t>
      </w:r>
    </w:p>
    <w:p w:rsidR="00352011" w:rsidRDefault="00352011" w:rsidP="00352011">
      <w:r>
        <w:br w:type="page"/>
      </w:r>
    </w:p>
    <w:p w:rsidR="00352011" w:rsidRDefault="0086152E" w:rsidP="00D556C8">
      <w:pPr>
        <w:pStyle w:val="Heading1"/>
        <w:numPr>
          <w:ilvl w:val="0"/>
          <w:numId w:val="0"/>
        </w:numPr>
      </w:pPr>
      <w:bookmarkStart w:id="151" w:name="_Toc494287785"/>
      <w:r>
        <w:rPr>
          <w:caps w:val="0"/>
        </w:rPr>
        <w:t xml:space="preserve">Appendix </w:t>
      </w:r>
      <w:r w:rsidR="00D9712C">
        <w:rPr>
          <w:caps w:val="0"/>
        </w:rPr>
        <w:t>4</w:t>
      </w:r>
      <w:r w:rsidR="00B07143">
        <w:rPr>
          <w:caps w:val="0"/>
        </w:rPr>
        <w:t xml:space="preserve"> </w:t>
      </w:r>
      <w:r w:rsidR="00051F9D">
        <w:rPr>
          <w:caps w:val="0"/>
        </w:rPr>
        <w:t>– Socio-economic profile of the community and associated risk factors for gambling-related harms</w:t>
      </w:r>
      <w:bookmarkEnd w:id="151"/>
    </w:p>
    <w:tbl>
      <w:tblPr>
        <w:tblW w:w="5501" w:type="pct"/>
        <w:tblInd w:w="-74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top w:w="15" w:type="dxa"/>
          <w:bottom w:w="15" w:type="dxa"/>
        </w:tblCellMar>
        <w:tblLook w:val="04A0" w:firstRow="1" w:lastRow="0" w:firstColumn="1" w:lastColumn="0" w:noHBand="0" w:noVBand="1"/>
      </w:tblPr>
      <w:tblGrid>
        <w:gridCol w:w="1746"/>
        <w:gridCol w:w="730"/>
        <w:gridCol w:w="833"/>
        <w:gridCol w:w="833"/>
        <w:gridCol w:w="920"/>
        <w:gridCol w:w="948"/>
        <w:gridCol w:w="820"/>
        <w:gridCol w:w="820"/>
        <w:gridCol w:w="742"/>
        <w:gridCol w:w="904"/>
        <w:gridCol w:w="1138"/>
        <w:gridCol w:w="1304"/>
        <w:gridCol w:w="580"/>
        <w:gridCol w:w="752"/>
        <w:gridCol w:w="727"/>
        <w:gridCol w:w="724"/>
        <w:gridCol w:w="1073"/>
      </w:tblGrid>
      <w:tr w:rsidR="00352011" w:rsidRPr="00352011" w:rsidTr="00872BAB">
        <w:trPr>
          <w:cantSplit/>
          <w:trHeight w:val="1740"/>
        </w:trPr>
        <w:tc>
          <w:tcPr>
            <w:tcW w:w="560" w:type="pct"/>
            <w:shd w:val="clear" w:color="auto" w:fill="000000" w:themeFill="text1"/>
            <w:vAlign w:val="bottom"/>
            <w:hideMark/>
          </w:tcPr>
          <w:p w:rsidR="00352011" w:rsidRPr="00352011" w:rsidRDefault="00352011" w:rsidP="00352011">
            <w:pPr>
              <w:spacing w:after="0"/>
              <w:rPr>
                <w:rFonts w:cs="Calibri"/>
                <w:color w:val="FFFFFF" w:themeColor="background1"/>
                <w:sz w:val="18"/>
                <w:szCs w:val="18"/>
                <w:lang w:eastAsia="en-AU"/>
              </w:rPr>
            </w:pPr>
            <w:r>
              <w:rPr>
                <w:rFonts w:cs="Calibri"/>
                <w:color w:val="FFFFFF" w:themeColor="background1"/>
                <w:sz w:val="18"/>
                <w:szCs w:val="18"/>
                <w:lang w:eastAsia="en-AU"/>
              </w:rPr>
              <w:t>SA/SSC</w:t>
            </w:r>
          </w:p>
        </w:tc>
        <w:tc>
          <w:tcPr>
            <w:tcW w:w="234" w:type="pct"/>
            <w:shd w:val="clear" w:color="auto" w:fill="000000" w:themeFill="text1"/>
            <w:textDirection w:val="btLr"/>
            <w:vAlign w:val="bottom"/>
            <w:hideMark/>
          </w:tcPr>
          <w:p w:rsidR="00352011" w:rsidRPr="00352011" w:rsidRDefault="00352011" w:rsidP="00352011">
            <w:pPr>
              <w:spacing w:after="0"/>
              <w:ind w:left="113" w:right="113"/>
              <w:rPr>
                <w:rFonts w:cs="Calibri"/>
                <w:color w:val="FFFFFF" w:themeColor="background1"/>
                <w:sz w:val="18"/>
                <w:szCs w:val="18"/>
                <w:lang w:eastAsia="en-AU"/>
              </w:rPr>
            </w:pPr>
            <w:r w:rsidRPr="00352011">
              <w:rPr>
                <w:rFonts w:cs="Calibri"/>
                <w:color w:val="FFFFFF" w:themeColor="background1"/>
                <w:sz w:val="18"/>
                <w:szCs w:val="18"/>
                <w:lang w:eastAsia="en-AU"/>
              </w:rPr>
              <w:t>SEIFA Relative Socio-economic Disadvantage</w:t>
            </w:r>
          </w:p>
        </w:tc>
        <w:tc>
          <w:tcPr>
            <w:tcW w:w="267" w:type="pct"/>
            <w:shd w:val="clear" w:color="auto" w:fill="000000" w:themeFill="text1"/>
            <w:textDirection w:val="btLr"/>
            <w:vAlign w:val="bottom"/>
            <w:hideMark/>
          </w:tcPr>
          <w:p w:rsidR="00352011" w:rsidRPr="00352011" w:rsidRDefault="00352011" w:rsidP="00352011">
            <w:pPr>
              <w:spacing w:after="0"/>
              <w:ind w:left="113" w:right="113"/>
              <w:rPr>
                <w:rFonts w:cs="Calibri"/>
                <w:color w:val="FFFFFF" w:themeColor="background1"/>
                <w:sz w:val="18"/>
                <w:szCs w:val="18"/>
                <w:lang w:eastAsia="en-AU"/>
              </w:rPr>
            </w:pPr>
            <w:r w:rsidRPr="00352011">
              <w:rPr>
                <w:rFonts w:cs="Calibri"/>
                <w:color w:val="FFFFFF" w:themeColor="background1"/>
                <w:sz w:val="18"/>
                <w:szCs w:val="18"/>
                <w:lang w:eastAsia="en-AU"/>
              </w:rPr>
              <w:t xml:space="preserve">Households with mortgage stress  </w:t>
            </w:r>
          </w:p>
        </w:tc>
        <w:tc>
          <w:tcPr>
            <w:tcW w:w="267" w:type="pct"/>
            <w:shd w:val="clear" w:color="auto" w:fill="000000" w:themeFill="text1"/>
            <w:textDirection w:val="btLr"/>
            <w:vAlign w:val="bottom"/>
            <w:hideMark/>
          </w:tcPr>
          <w:p w:rsidR="00352011" w:rsidRPr="00352011" w:rsidRDefault="00352011" w:rsidP="00352011">
            <w:pPr>
              <w:spacing w:after="0"/>
              <w:ind w:left="113" w:right="113"/>
              <w:rPr>
                <w:rFonts w:cs="Calibri"/>
                <w:color w:val="FFFFFF" w:themeColor="background1"/>
                <w:sz w:val="18"/>
                <w:szCs w:val="18"/>
                <w:lang w:eastAsia="en-AU"/>
              </w:rPr>
            </w:pPr>
            <w:r w:rsidRPr="00352011">
              <w:rPr>
                <w:rFonts w:cs="Calibri"/>
                <w:color w:val="FFFFFF" w:themeColor="background1"/>
                <w:sz w:val="18"/>
                <w:szCs w:val="18"/>
                <w:lang w:eastAsia="en-AU"/>
              </w:rPr>
              <w:t>Households with rental stress</w:t>
            </w:r>
          </w:p>
        </w:tc>
        <w:tc>
          <w:tcPr>
            <w:tcW w:w="295" w:type="pct"/>
            <w:shd w:val="clear" w:color="auto" w:fill="000000" w:themeFill="text1"/>
            <w:textDirection w:val="btLr"/>
            <w:vAlign w:val="bottom"/>
            <w:hideMark/>
          </w:tcPr>
          <w:p w:rsidR="00352011" w:rsidRPr="00352011" w:rsidRDefault="00352011" w:rsidP="00352011">
            <w:pPr>
              <w:spacing w:after="0"/>
              <w:ind w:left="113" w:right="113"/>
              <w:rPr>
                <w:rFonts w:cs="Calibri"/>
                <w:color w:val="FFFFFF" w:themeColor="background1"/>
                <w:sz w:val="18"/>
                <w:szCs w:val="18"/>
                <w:lang w:eastAsia="en-AU"/>
              </w:rPr>
            </w:pPr>
            <w:r w:rsidRPr="00352011">
              <w:rPr>
                <w:rFonts w:cs="Calibri"/>
                <w:color w:val="FFFFFF" w:themeColor="background1"/>
                <w:sz w:val="18"/>
                <w:szCs w:val="18"/>
                <w:lang w:eastAsia="en-AU"/>
              </w:rPr>
              <w:t xml:space="preserve">Unemployment rate  </w:t>
            </w:r>
          </w:p>
        </w:tc>
        <w:tc>
          <w:tcPr>
            <w:tcW w:w="304" w:type="pct"/>
            <w:shd w:val="clear" w:color="auto" w:fill="000000" w:themeFill="text1"/>
            <w:textDirection w:val="btLr"/>
            <w:vAlign w:val="bottom"/>
            <w:hideMark/>
          </w:tcPr>
          <w:p w:rsidR="00352011" w:rsidRPr="00352011" w:rsidRDefault="00352011" w:rsidP="00352011">
            <w:pPr>
              <w:spacing w:after="0"/>
              <w:ind w:left="113" w:right="113"/>
              <w:rPr>
                <w:rFonts w:cs="Calibri"/>
                <w:color w:val="FFFFFF" w:themeColor="background1"/>
                <w:sz w:val="18"/>
                <w:szCs w:val="18"/>
                <w:lang w:eastAsia="en-AU"/>
              </w:rPr>
            </w:pPr>
            <w:r w:rsidRPr="00352011">
              <w:rPr>
                <w:rFonts w:cs="Calibri"/>
                <w:color w:val="FFFFFF" w:themeColor="background1"/>
                <w:sz w:val="18"/>
                <w:szCs w:val="18"/>
                <w:lang w:eastAsia="en-AU"/>
              </w:rPr>
              <w:t>Median annual household income $62,400 - $103,999</w:t>
            </w:r>
          </w:p>
        </w:tc>
        <w:tc>
          <w:tcPr>
            <w:tcW w:w="263" w:type="pct"/>
            <w:shd w:val="clear" w:color="auto" w:fill="000000" w:themeFill="text1"/>
            <w:textDirection w:val="btLr"/>
            <w:vAlign w:val="bottom"/>
            <w:hideMark/>
          </w:tcPr>
          <w:p w:rsidR="00352011" w:rsidRPr="00352011" w:rsidRDefault="00352011" w:rsidP="00352011">
            <w:pPr>
              <w:spacing w:after="0"/>
              <w:ind w:left="113" w:right="113"/>
              <w:rPr>
                <w:rFonts w:cs="Calibri"/>
                <w:color w:val="FFFFFF" w:themeColor="background1"/>
                <w:sz w:val="18"/>
                <w:szCs w:val="18"/>
                <w:lang w:eastAsia="en-AU"/>
              </w:rPr>
            </w:pPr>
            <w:r w:rsidRPr="00352011">
              <w:rPr>
                <w:rFonts w:cs="Calibri"/>
                <w:color w:val="FFFFFF" w:themeColor="background1"/>
                <w:sz w:val="18"/>
                <w:szCs w:val="18"/>
                <w:lang w:eastAsia="en-AU"/>
              </w:rPr>
              <w:t xml:space="preserve">Lone person households  </w:t>
            </w:r>
          </w:p>
        </w:tc>
        <w:tc>
          <w:tcPr>
            <w:tcW w:w="263" w:type="pct"/>
            <w:shd w:val="clear" w:color="auto" w:fill="000000" w:themeFill="text1"/>
            <w:textDirection w:val="btLr"/>
            <w:vAlign w:val="bottom"/>
            <w:hideMark/>
          </w:tcPr>
          <w:p w:rsidR="00352011" w:rsidRPr="00352011" w:rsidRDefault="00352011" w:rsidP="00352011">
            <w:pPr>
              <w:spacing w:after="0"/>
              <w:ind w:left="113" w:right="113"/>
              <w:rPr>
                <w:rFonts w:cs="Calibri"/>
                <w:color w:val="FFFFFF" w:themeColor="background1"/>
                <w:sz w:val="18"/>
                <w:szCs w:val="18"/>
                <w:lang w:eastAsia="en-AU"/>
              </w:rPr>
            </w:pPr>
            <w:r w:rsidRPr="00352011">
              <w:rPr>
                <w:rFonts w:cs="Calibri"/>
                <w:color w:val="FFFFFF" w:themeColor="background1"/>
                <w:sz w:val="18"/>
                <w:szCs w:val="18"/>
                <w:lang w:eastAsia="en-AU"/>
              </w:rPr>
              <w:t>Group households</w:t>
            </w:r>
          </w:p>
        </w:tc>
        <w:tc>
          <w:tcPr>
            <w:tcW w:w="238" w:type="pct"/>
            <w:shd w:val="clear" w:color="auto" w:fill="000000" w:themeFill="text1"/>
            <w:textDirection w:val="btLr"/>
            <w:vAlign w:val="bottom"/>
            <w:hideMark/>
          </w:tcPr>
          <w:p w:rsidR="00352011" w:rsidRPr="00352011" w:rsidRDefault="00352011" w:rsidP="00352011">
            <w:pPr>
              <w:spacing w:after="0"/>
              <w:ind w:left="113" w:right="113"/>
              <w:rPr>
                <w:rFonts w:cs="Calibri"/>
                <w:color w:val="FFFFFF" w:themeColor="background1"/>
                <w:sz w:val="18"/>
                <w:szCs w:val="18"/>
                <w:lang w:eastAsia="en-AU"/>
              </w:rPr>
            </w:pPr>
            <w:r w:rsidRPr="00352011">
              <w:rPr>
                <w:rFonts w:cs="Calibri"/>
                <w:color w:val="FFFFFF" w:themeColor="background1"/>
                <w:sz w:val="18"/>
                <w:szCs w:val="18"/>
                <w:lang w:eastAsia="en-AU"/>
              </w:rPr>
              <w:t xml:space="preserve">Labourers  </w:t>
            </w:r>
          </w:p>
        </w:tc>
        <w:tc>
          <w:tcPr>
            <w:tcW w:w="290" w:type="pct"/>
            <w:shd w:val="clear" w:color="auto" w:fill="000000" w:themeFill="text1"/>
            <w:textDirection w:val="btLr"/>
            <w:vAlign w:val="bottom"/>
            <w:hideMark/>
          </w:tcPr>
          <w:p w:rsidR="00352011" w:rsidRPr="00352011" w:rsidRDefault="00352011" w:rsidP="00352011">
            <w:pPr>
              <w:spacing w:after="0"/>
              <w:ind w:left="113" w:right="113"/>
              <w:rPr>
                <w:rFonts w:cs="Calibri"/>
                <w:color w:val="FFFFFF" w:themeColor="background1"/>
                <w:sz w:val="18"/>
                <w:szCs w:val="18"/>
                <w:lang w:eastAsia="en-AU"/>
              </w:rPr>
            </w:pPr>
            <w:r w:rsidRPr="00352011">
              <w:rPr>
                <w:rFonts w:cs="Calibri"/>
                <w:color w:val="FFFFFF" w:themeColor="background1"/>
                <w:sz w:val="18"/>
                <w:szCs w:val="18"/>
                <w:lang w:eastAsia="en-AU"/>
              </w:rPr>
              <w:t xml:space="preserve">Salesworkers  </w:t>
            </w:r>
          </w:p>
        </w:tc>
        <w:tc>
          <w:tcPr>
            <w:tcW w:w="365" w:type="pct"/>
            <w:shd w:val="clear" w:color="auto" w:fill="000000" w:themeFill="text1"/>
            <w:textDirection w:val="btLr"/>
            <w:vAlign w:val="bottom"/>
            <w:hideMark/>
          </w:tcPr>
          <w:p w:rsidR="00352011" w:rsidRPr="00352011" w:rsidRDefault="00352011" w:rsidP="00352011">
            <w:pPr>
              <w:spacing w:after="0"/>
              <w:ind w:left="113" w:right="113"/>
              <w:rPr>
                <w:rFonts w:cs="Calibri"/>
                <w:color w:val="FFFFFF" w:themeColor="background1"/>
                <w:sz w:val="18"/>
                <w:szCs w:val="18"/>
                <w:lang w:eastAsia="en-AU"/>
              </w:rPr>
            </w:pPr>
            <w:r w:rsidRPr="00352011">
              <w:rPr>
                <w:rFonts w:cs="Calibri"/>
                <w:color w:val="FFFFFF" w:themeColor="background1"/>
                <w:sz w:val="18"/>
                <w:szCs w:val="18"/>
                <w:lang w:eastAsia="en-AU"/>
              </w:rPr>
              <w:t>Machinery operators/drivers</w:t>
            </w:r>
          </w:p>
        </w:tc>
        <w:tc>
          <w:tcPr>
            <w:tcW w:w="418" w:type="pct"/>
            <w:shd w:val="clear" w:color="auto" w:fill="000000" w:themeFill="text1"/>
            <w:textDirection w:val="btLr"/>
            <w:vAlign w:val="bottom"/>
            <w:hideMark/>
          </w:tcPr>
          <w:p w:rsidR="00352011" w:rsidRPr="00352011" w:rsidRDefault="00352011" w:rsidP="00352011">
            <w:pPr>
              <w:spacing w:after="0"/>
              <w:ind w:left="113" w:right="113"/>
              <w:rPr>
                <w:rFonts w:cs="Calibri"/>
                <w:color w:val="FFFFFF" w:themeColor="background1"/>
                <w:sz w:val="18"/>
                <w:szCs w:val="18"/>
                <w:lang w:eastAsia="en-AU"/>
              </w:rPr>
            </w:pPr>
            <w:r w:rsidRPr="00352011">
              <w:rPr>
                <w:rFonts w:cs="Calibri"/>
                <w:color w:val="FFFFFF" w:themeColor="background1"/>
                <w:sz w:val="18"/>
                <w:szCs w:val="18"/>
                <w:lang w:eastAsia="en-AU"/>
              </w:rPr>
              <w:t>Attending tertiary education/university</w:t>
            </w:r>
          </w:p>
        </w:tc>
        <w:tc>
          <w:tcPr>
            <w:tcW w:w="186" w:type="pct"/>
            <w:shd w:val="clear" w:color="auto" w:fill="000000" w:themeFill="text1"/>
            <w:textDirection w:val="btLr"/>
            <w:vAlign w:val="bottom"/>
            <w:hideMark/>
          </w:tcPr>
          <w:p w:rsidR="00352011" w:rsidRPr="00352011" w:rsidRDefault="00352011" w:rsidP="00352011">
            <w:pPr>
              <w:spacing w:after="0"/>
              <w:ind w:left="113" w:right="113"/>
              <w:rPr>
                <w:rFonts w:cs="Calibri"/>
                <w:color w:val="FFFFFF" w:themeColor="background1"/>
                <w:sz w:val="18"/>
                <w:szCs w:val="18"/>
                <w:lang w:eastAsia="en-AU"/>
              </w:rPr>
            </w:pPr>
            <w:r w:rsidRPr="00352011">
              <w:rPr>
                <w:rFonts w:cs="Calibri"/>
                <w:color w:val="FFFFFF" w:themeColor="background1"/>
                <w:sz w:val="18"/>
                <w:szCs w:val="18"/>
                <w:lang w:eastAsia="en-AU"/>
              </w:rPr>
              <w:t xml:space="preserve">Young people aged 15-24  </w:t>
            </w:r>
          </w:p>
        </w:tc>
        <w:tc>
          <w:tcPr>
            <w:tcW w:w="241" w:type="pct"/>
            <w:shd w:val="clear" w:color="auto" w:fill="000000" w:themeFill="text1"/>
            <w:textDirection w:val="btLr"/>
            <w:vAlign w:val="bottom"/>
            <w:hideMark/>
          </w:tcPr>
          <w:p w:rsidR="00352011" w:rsidRPr="00352011" w:rsidRDefault="00352011" w:rsidP="00352011">
            <w:pPr>
              <w:spacing w:after="0"/>
              <w:ind w:left="113" w:right="113"/>
              <w:rPr>
                <w:rFonts w:cs="Calibri"/>
                <w:color w:val="FFFFFF" w:themeColor="background1"/>
                <w:sz w:val="18"/>
                <w:szCs w:val="18"/>
                <w:lang w:eastAsia="en-AU"/>
              </w:rPr>
            </w:pPr>
            <w:r w:rsidRPr="00352011">
              <w:rPr>
                <w:rFonts w:cs="Calibri"/>
                <w:color w:val="FFFFFF" w:themeColor="background1"/>
                <w:sz w:val="18"/>
                <w:szCs w:val="18"/>
                <w:lang w:eastAsia="en-AU"/>
              </w:rPr>
              <w:t xml:space="preserve">Aboriginal and Torres Strait Islanders  </w:t>
            </w:r>
          </w:p>
        </w:tc>
        <w:tc>
          <w:tcPr>
            <w:tcW w:w="233" w:type="pct"/>
            <w:shd w:val="clear" w:color="auto" w:fill="000000" w:themeFill="text1"/>
            <w:textDirection w:val="btLr"/>
            <w:vAlign w:val="bottom"/>
            <w:hideMark/>
          </w:tcPr>
          <w:p w:rsidR="00352011" w:rsidRPr="00352011" w:rsidRDefault="00352011" w:rsidP="00352011">
            <w:pPr>
              <w:spacing w:after="0"/>
              <w:ind w:left="113" w:right="113"/>
              <w:rPr>
                <w:rFonts w:cs="Calibri"/>
                <w:color w:val="FFFFFF" w:themeColor="background1"/>
                <w:sz w:val="18"/>
                <w:szCs w:val="18"/>
                <w:lang w:eastAsia="en-AU"/>
              </w:rPr>
            </w:pPr>
            <w:r w:rsidRPr="00352011">
              <w:rPr>
                <w:rFonts w:cs="Calibri"/>
                <w:color w:val="FFFFFF" w:themeColor="background1"/>
                <w:sz w:val="18"/>
                <w:szCs w:val="18"/>
                <w:lang w:eastAsia="en-AU"/>
              </w:rPr>
              <w:t>Chinese ancenstry (top five)</w:t>
            </w:r>
          </w:p>
        </w:tc>
        <w:tc>
          <w:tcPr>
            <w:tcW w:w="232" w:type="pct"/>
            <w:shd w:val="clear" w:color="auto" w:fill="000000" w:themeFill="text1"/>
            <w:textDirection w:val="btLr"/>
            <w:vAlign w:val="bottom"/>
            <w:hideMark/>
          </w:tcPr>
          <w:p w:rsidR="00352011" w:rsidRPr="00352011" w:rsidRDefault="00352011" w:rsidP="00352011">
            <w:pPr>
              <w:spacing w:after="0"/>
              <w:ind w:left="113" w:right="113"/>
              <w:rPr>
                <w:rFonts w:cs="Calibri"/>
                <w:color w:val="FFFFFF" w:themeColor="background1"/>
                <w:sz w:val="18"/>
                <w:szCs w:val="18"/>
                <w:lang w:eastAsia="en-AU"/>
              </w:rPr>
            </w:pPr>
            <w:r w:rsidRPr="00352011">
              <w:rPr>
                <w:rFonts w:cs="Calibri"/>
                <w:color w:val="FFFFFF" w:themeColor="background1"/>
                <w:sz w:val="18"/>
                <w:szCs w:val="18"/>
                <w:lang w:eastAsia="en-AU"/>
              </w:rPr>
              <w:t xml:space="preserve">People who volunteer  </w:t>
            </w:r>
          </w:p>
        </w:tc>
        <w:tc>
          <w:tcPr>
            <w:tcW w:w="344" w:type="pct"/>
            <w:shd w:val="clear" w:color="auto" w:fill="000000" w:themeFill="text1"/>
            <w:noWrap/>
            <w:textDirection w:val="btLr"/>
            <w:vAlign w:val="bottom"/>
            <w:hideMark/>
          </w:tcPr>
          <w:p w:rsidR="00352011" w:rsidRPr="00352011" w:rsidRDefault="00352011" w:rsidP="00352011">
            <w:pPr>
              <w:spacing w:after="0"/>
              <w:ind w:left="113" w:right="113"/>
              <w:rPr>
                <w:rFonts w:cs="Calibri"/>
                <w:color w:val="FFFFFF" w:themeColor="background1"/>
                <w:sz w:val="18"/>
                <w:szCs w:val="18"/>
                <w:lang w:eastAsia="en-AU"/>
              </w:rPr>
            </w:pPr>
            <w:r w:rsidRPr="00352011">
              <w:rPr>
                <w:rFonts w:cs="Calibri"/>
                <w:color w:val="FFFFFF" w:themeColor="background1"/>
                <w:sz w:val="18"/>
                <w:szCs w:val="18"/>
                <w:lang w:eastAsia="en-AU"/>
              </w:rPr>
              <w:t>/15</w:t>
            </w:r>
          </w:p>
        </w:tc>
      </w:tr>
      <w:tr w:rsidR="00352011" w:rsidRPr="00352011" w:rsidTr="00872BAB">
        <w:trPr>
          <w:trHeight w:val="285"/>
        </w:trPr>
        <w:tc>
          <w:tcPr>
            <w:tcW w:w="560" w:type="pct"/>
            <w:vAlign w:val="bottom"/>
            <w:hideMark/>
          </w:tcPr>
          <w:p w:rsidR="00352011" w:rsidRPr="00352011" w:rsidRDefault="00352011" w:rsidP="00352011">
            <w:pPr>
              <w:spacing w:after="0"/>
              <w:rPr>
                <w:rFonts w:cs="Calibri"/>
                <w:color w:val="000000"/>
                <w:sz w:val="18"/>
                <w:szCs w:val="18"/>
                <w:lang w:eastAsia="en-AU"/>
              </w:rPr>
            </w:pPr>
            <w:r w:rsidRPr="00352011">
              <w:rPr>
                <w:rFonts w:cs="Calibri"/>
                <w:color w:val="000000"/>
                <w:sz w:val="18"/>
                <w:szCs w:val="18"/>
                <w:lang w:eastAsia="en-AU"/>
              </w:rPr>
              <w:t>Melbourne SA2</w:t>
            </w:r>
          </w:p>
        </w:tc>
        <w:tc>
          <w:tcPr>
            <w:tcW w:w="234" w:type="pct"/>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1002</w:t>
            </w:r>
          </w:p>
        </w:tc>
        <w:tc>
          <w:tcPr>
            <w:tcW w:w="267"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7.2</w:t>
            </w:r>
          </w:p>
        </w:tc>
        <w:tc>
          <w:tcPr>
            <w:tcW w:w="267"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39.0</w:t>
            </w:r>
          </w:p>
        </w:tc>
        <w:tc>
          <w:tcPr>
            <w:tcW w:w="295"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10.8</w:t>
            </w:r>
          </w:p>
        </w:tc>
        <w:tc>
          <w:tcPr>
            <w:tcW w:w="304"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 xml:space="preserve"> $54,028. </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40.9</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19.4</w:t>
            </w:r>
          </w:p>
        </w:tc>
        <w:tc>
          <w:tcPr>
            <w:tcW w:w="238"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4.1</w:t>
            </w:r>
          </w:p>
        </w:tc>
        <w:tc>
          <w:tcPr>
            <w:tcW w:w="290"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7.8</w:t>
            </w:r>
          </w:p>
        </w:tc>
        <w:tc>
          <w:tcPr>
            <w:tcW w:w="36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0.9</w:t>
            </w:r>
          </w:p>
        </w:tc>
        <w:tc>
          <w:tcPr>
            <w:tcW w:w="418"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54.5</w:t>
            </w:r>
          </w:p>
        </w:tc>
        <w:tc>
          <w:tcPr>
            <w:tcW w:w="186"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37.9</w:t>
            </w:r>
          </w:p>
        </w:tc>
        <w:tc>
          <w:tcPr>
            <w:tcW w:w="241"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0.2</w:t>
            </w:r>
          </w:p>
        </w:tc>
        <w:tc>
          <w:tcPr>
            <w:tcW w:w="23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30.2</w:t>
            </w:r>
          </w:p>
        </w:tc>
        <w:tc>
          <w:tcPr>
            <w:tcW w:w="232"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13.7</w:t>
            </w:r>
          </w:p>
        </w:tc>
        <w:tc>
          <w:tcPr>
            <w:tcW w:w="34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8</w:t>
            </w:r>
          </w:p>
        </w:tc>
      </w:tr>
      <w:tr w:rsidR="00352011" w:rsidRPr="00352011" w:rsidTr="00872BAB">
        <w:trPr>
          <w:trHeight w:val="285"/>
        </w:trPr>
        <w:tc>
          <w:tcPr>
            <w:tcW w:w="560" w:type="pct"/>
            <w:vAlign w:val="bottom"/>
            <w:hideMark/>
          </w:tcPr>
          <w:p w:rsidR="00352011" w:rsidRPr="00352011" w:rsidRDefault="00352011" w:rsidP="00352011">
            <w:pPr>
              <w:spacing w:after="0"/>
              <w:rPr>
                <w:rFonts w:cs="Calibri"/>
                <w:color w:val="000000"/>
                <w:sz w:val="18"/>
                <w:szCs w:val="18"/>
                <w:lang w:eastAsia="en-AU"/>
              </w:rPr>
            </w:pPr>
            <w:r w:rsidRPr="00352011">
              <w:rPr>
                <w:rFonts w:cs="Calibri"/>
                <w:color w:val="000000"/>
                <w:sz w:val="18"/>
                <w:szCs w:val="18"/>
                <w:lang w:eastAsia="en-AU"/>
              </w:rPr>
              <w:t>Carlton SA2</w:t>
            </w:r>
          </w:p>
        </w:tc>
        <w:tc>
          <w:tcPr>
            <w:tcW w:w="234" w:type="pct"/>
            <w:shd w:val="clear" w:color="000000" w:fill="FF0000"/>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939</w:t>
            </w:r>
          </w:p>
        </w:tc>
        <w:tc>
          <w:tcPr>
            <w:tcW w:w="267"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3.2</w:t>
            </w:r>
          </w:p>
        </w:tc>
        <w:tc>
          <w:tcPr>
            <w:tcW w:w="267"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50.7</w:t>
            </w:r>
          </w:p>
        </w:tc>
        <w:tc>
          <w:tcPr>
            <w:tcW w:w="295"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14.0</w:t>
            </w:r>
          </w:p>
        </w:tc>
        <w:tc>
          <w:tcPr>
            <w:tcW w:w="304"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 xml:space="preserve"> $30,628 </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47.5</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19.9</w:t>
            </w:r>
          </w:p>
        </w:tc>
        <w:tc>
          <w:tcPr>
            <w:tcW w:w="238"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4.3</w:t>
            </w:r>
          </w:p>
        </w:tc>
        <w:tc>
          <w:tcPr>
            <w:tcW w:w="290"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8.2</w:t>
            </w:r>
          </w:p>
        </w:tc>
        <w:tc>
          <w:tcPr>
            <w:tcW w:w="36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1.7</w:t>
            </w:r>
          </w:p>
        </w:tc>
        <w:tc>
          <w:tcPr>
            <w:tcW w:w="418"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61.6</w:t>
            </w:r>
          </w:p>
        </w:tc>
        <w:tc>
          <w:tcPr>
            <w:tcW w:w="186"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41.0</w:t>
            </w:r>
          </w:p>
        </w:tc>
        <w:tc>
          <w:tcPr>
            <w:tcW w:w="241"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0.3</w:t>
            </w:r>
          </w:p>
        </w:tc>
        <w:tc>
          <w:tcPr>
            <w:tcW w:w="23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23.7</w:t>
            </w:r>
          </w:p>
        </w:tc>
        <w:tc>
          <w:tcPr>
            <w:tcW w:w="232"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20.3</w:t>
            </w:r>
          </w:p>
        </w:tc>
        <w:tc>
          <w:tcPr>
            <w:tcW w:w="34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8</w:t>
            </w:r>
          </w:p>
        </w:tc>
      </w:tr>
      <w:tr w:rsidR="00352011" w:rsidRPr="00352011" w:rsidTr="00872BAB">
        <w:trPr>
          <w:trHeight w:val="285"/>
        </w:trPr>
        <w:tc>
          <w:tcPr>
            <w:tcW w:w="560" w:type="pct"/>
            <w:vAlign w:val="bottom"/>
            <w:hideMark/>
          </w:tcPr>
          <w:p w:rsidR="00352011" w:rsidRPr="00352011" w:rsidRDefault="00352011" w:rsidP="00352011">
            <w:pPr>
              <w:spacing w:after="0"/>
              <w:rPr>
                <w:rFonts w:cs="Calibri"/>
                <w:color w:val="000000"/>
                <w:sz w:val="18"/>
                <w:szCs w:val="18"/>
                <w:lang w:eastAsia="en-AU"/>
              </w:rPr>
            </w:pPr>
            <w:r w:rsidRPr="00352011">
              <w:rPr>
                <w:rFonts w:cs="Calibri"/>
                <w:color w:val="000000"/>
                <w:sz w:val="18"/>
                <w:szCs w:val="18"/>
                <w:lang w:eastAsia="en-AU"/>
              </w:rPr>
              <w:t>North Melbourne SA2</w:t>
            </w:r>
          </w:p>
        </w:tc>
        <w:tc>
          <w:tcPr>
            <w:tcW w:w="234" w:type="pct"/>
            <w:shd w:val="clear" w:color="000000" w:fill="FF0000"/>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983</w:t>
            </w:r>
          </w:p>
        </w:tc>
        <w:tc>
          <w:tcPr>
            <w:tcW w:w="267"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5.5</w:t>
            </w:r>
          </w:p>
        </w:tc>
        <w:tc>
          <w:tcPr>
            <w:tcW w:w="267"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25.7</w:t>
            </w:r>
          </w:p>
        </w:tc>
        <w:tc>
          <w:tcPr>
            <w:tcW w:w="295" w:type="pct"/>
            <w:shd w:val="clear" w:color="000000" w:fill="FFC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8.3</w:t>
            </w:r>
          </w:p>
        </w:tc>
        <w:tc>
          <w:tcPr>
            <w:tcW w:w="30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 xml:space="preserve"> $69,576 </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32.8</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17.5</w:t>
            </w:r>
          </w:p>
        </w:tc>
        <w:tc>
          <w:tcPr>
            <w:tcW w:w="238"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4.2</w:t>
            </w:r>
          </w:p>
        </w:tc>
        <w:tc>
          <w:tcPr>
            <w:tcW w:w="290"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7.9</w:t>
            </w:r>
          </w:p>
        </w:tc>
        <w:tc>
          <w:tcPr>
            <w:tcW w:w="36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1.8</w:t>
            </w:r>
          </w:p>
        </w:tc>
        <w:tc>
          <w:tcPr>
            <w:tcW w:w="418"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39.2</w:t>
            </w:r>
          </w:p>
        </w:tc>
        <w:tc>
          <w:tcPr>
            <w:tcW w:w="186"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22.3</w:t>
            </w:r>
          </w:p>
        </w:tc>
        <w:tc>
          <w:tcPr>
            <w:tcW w:w="241"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0.4</w:t>
            </w:r>
          </w:p>
        </w:tc>
        <w:tc>
          <w:tcPr>
            <w:tcW w:w="23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12.8</w:t>
            </w:r>
          </w:p>
        </w:tc>
        <w:tc>
          <w:tcPr>
            <w:tcW w:w="232"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18.2</w:t>
            </w:r>
          </w:p>
        </w:tc>
        <w:tc>
          <w:tcPr>
            <w:tcW w:w="34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8</w:t>
            </w:r>
          </w:p>
        </w:tc>
      </w:tr>
      <w:tr w:rsidR="00352011" w:rsidRPr="00352011" w:rsidTr="00872BAB">
        <w:trPr>
          <w:trHeight w:val="285"/>
        </w:trPr>
        <w:tc>
          <w:tcPr>
            <w:tcW w:w="560" w:type="pct"/>
            <w:vAlign w:val="bottom"/>
            <w:hideMark/>
          </w:tcPr>
          <w:p w:rsidR="00352011" w:rsidRPr="00352011" w:rsidRDefault="00352011" w:rsidP="00352011">
            <w:pPr>
              <w:spacing w:after="0"/>
              <w:rPr>
                <w:rFonts w:cs="Calibri"/>
                <w:color w:val="000000"/>
                <w:sz w:val="18"/>
                <w:szCs w:val="18"/>
                <w:lang w:eastAsia="en-AU"/>
              </w:rPr>
            </w:pPr>
            <w:r w:rsidRPr="00352011">
              <w:rPr>
                <w:rFonts w:cs="Calibri"/>
                <w:color w:val="000000"/>
                <w:sz w:val="18"/>
                <w:szCs w:val="18"/>
                <w:lang w:eastAsia="en-AU"/>
              </w:rPr>
              <w:t>South Melbourne SA2</w:t>
            </w:r>
          </w:p>
        </w:tc>
        <w:tc>
          <w:tcPr>
            <w:tcW w:w="234" w:type="pct"/>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1027</w:t>
            </w:r>
          </w:p>
        </w:tc>
        <w:tc>
          <w:tcPr>
            <w:tcW w:w="267"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7.3</w:t>
            </w:r>
          </w:p>
        </w:tc>
        <w:tc>
          <w:tcPr>
            <w:tcW w:w="267"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15.8</w:t>
            </w:r>
          </w:p>
        </w:tc>
        <w:tc>
          <w:tcPr>
            <w:tcW w:w="29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5.0</w:t>
            </w:r>
          </w:p>
        </w:tc>
        <w:tc>
          <w:tcPr>
            <w:tcW w:w="30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 xml:space="preserve"> $89,388 </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36.2</w:t>
            </w:r>
          </w:p>
        </w:tc>
        <w:tc>
          <w:tcPr>
            <w:tcW w:w="263" w:type="pct"/>
            <w:shd w:val="clear" w:color="000000" w:fill="FFC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8.9</w:t>
            </w:r>
          </w:p>
        </w:tc>
        <w:tc>
          <w:tcPr>
            <w:tcW w:w="238"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2.4</w:t>
            </w:r>
          </w:p>
        </w:tc>
        <w:tc>
          <w:tcPr>
            <w:tcW w:w="290"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7.1</w:t>
            </w:r>
          </w:p>
        </w:tc>
        <w:tc>
          <w:tcPr>
            <w:tcW w:w="36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1.1</w:t>
            </w:r>
          </w:p>
        </w:tc>
        <w:tc>
          <w:tcPr>
            <w:tcW w:w="418"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26.3</w:t>
            </w:r>
          </w:p>
        </w:tc>
        <w:tc>
          <w:tcPr>
            <w:tcW w:w="186"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10.8</w:t>
            </w:r>
          </w:p>
        </w:tc>
        <w:tc>
          <w:tcPr>
            <w:tcW w:w="241" w:type="pct"/>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0.5</w:t>
            </w:r>
          </w:p>
        </w:tc>
        <w:tc>
          <w:tcPr>
            <w:tcW w:w="233" w:type="pct"/>
            <w:shd w:val="clear" w:color="000000" w:fill="FFC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5.9</w:t>
            </w:r>
          </w:p>
        </w:tc>
        <w:tc>
          <w:tcPr>
            <w:tcW w:w="232"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17.8</w:t>
            </w:r>
          </w:p>
        </w:tc>
        <w:tc>
          <w:tcPr>
            <w:tcW w:w="34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4</w:t>
            </w:r>
          </w:p>
        </w:tc>
      </w:tr>
      <w:tr w:rsidR="00352011" w:rsidRPr="00352011" w:rsidTr="00872BAB">
        <w:trPr>
          <w:trHeight w:val="285"/>
        </w:trPr>
        <w:tc>
          <w:tcPr>
            <w:tcW w:w="560" w:type="pct"/>
            <w:vAlign w:val="bottom"/>
            <w:hideMark/>
          </w:tcPr>
          <w:p w:rsidR="00352011" w:rsidRPr="00352011" w:rsidRDefault="00352011" w:rsidP="00352011">
            <w:pPr>
              <w:spacing w:after="0"/>
              <w:rPr>
                <w:rFonts w:cs="Calibri"/>
                <w:color w:val="000000"/>
                <w:sz w:val="18"/>
                <w:szCs w:val="18"/>
                <w:lang w:eastAsia="en-AU"/>
              </w:rPr>
            </w:pPr>
            <w:r w:rsidRPr="00352011">
              <w:rPr>
                <w:rFonts w:cs="Calibri"/>
                <w:color w:val="000000"/>
                <w:sz w:val="18"/>
                <w:szCs w:val="18"/>
                <w:lang w:eastAsia="en-AU"/>
              </w:rPr>
              <w:t>East Melbourne SA2</w:t>
            </w:r>
          </w:p>
        </w:tc>
        <w:tc>
          <w:tcPr>
            <w:tcW w:w="234" w:type="pct"/>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1117</w:t>
            </w:r>
          </w:p>
        </w:tc>
        <w:tc>
          <w:tcPr>
            <w:tcW w:w="267"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7.0</w:t>
            </w:r>
          </w:p>
        </w:tc>
        <w:tc>
          <w:tcPr>
            <w:tcW w:w="267"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15.0</w:t>
            </w:r>
          </w:p>
        </w:tc>
        <w:tc>
          <w:tcPr>
            <w:tcW w:w="29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3.5</w:t>
            </w:r>
          </w:p>
        </w:tc>
        <w:tc>
          <w:tcPr>
            <w:tcW w:w="30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 xml:space="preserve"> $103,84</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41.1</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10.7</w:t>
            </w:r>
          </w:p>
        </w:tc>
        <w:tc>
          <w:tcPr>
            <w:tcW w:w="238"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1.3</w:t>
            </w:r>
          </w:p>
        </w:tc>
        <w:tc>
          <w:tcPr>
            <w:tcW w:w="290"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5.6</w:t>
            </w:r>
          </w:p>
        </w:tc>
        <w:tc>
          <w:tcPr>
            <w:tcW w:w="36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0.6</w:t>
            </w:r>
          </w:p>
        </w:tc>
        <w:tc>
          <w:tcPr>
            <w:tcW w:w="418"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37.0</w:t>
            </w:r>
          </w:p>
        </w:tc>
        <w:tc>
          <w:tcPr>
            <w:tcW w:w="186"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9.8</w:t>
            </w:r>
          </w:p>
        </w:tc>
        <w:tc>
          <w:tcPr>
            <w:tcW w:w="241"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0.2</w:t>
            </w:r>
          </w:p>
        </w:tc>
        <w:tc>
          <w:tcPr>
            <w:tcW w:w="233" w:type="pct"/>
            <w:shd w:val="clear" w:color="000000" w:fill="FFC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4.2</w:t>
            </w:r>
          </w:p>
        </w:tc>
        <w:tc>
          <w:tcPr>
            <w:tcW w:w="232"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22.9</w:t>
            </w:r>
          </w:p>
        </w:tc>
        <w:tc>
          <w:tcPr>
            <w:tcW w:w="34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5</w:t>
            </w:r>
          </w:p>
        </w:tc>
      </w:tr>
      <w:tr w:rsidR="00352011" w:rsidRPr="00352011" w:rsidTr="00872BAB">
        <w:trPr>
          <w:trHeight w:val="285"/>
        </w:trPr>
        <w:tc>
          <w:tcPr>
            <w:tcW w:w="560" w:type="pct"/>
            <w:vAlign w:val="bottom"/>
            <w:hideMark/>
          </w:tcPr>
          <w:p w:rsidR="00352011" w:rsidRPr="00352011" w:rsidRDefault="00352011" w:rsidP="00352011">
            <w:pPr>
              <w:spacing w:after="0"/>
              <w:rPr>
                <w:rFonts w:cs="Calibri"/>
                <w:color w:val="000000"/>
                <w:sz w:val="18"/>
                <w:szCs w:val="18"/>
                <w:lang w:eastAsia="en-AU"/>
              </w:rPr>
            </w:pPr>
            <w:r w:rsidRPr="00352011">
              <w:rPr>
                <w:rFonts w:cs="Calibri"/>
                <w:color w:val="000000"/>
                <w:sz w:val="18"/>
                <w:szCs w:val="18"/>
                <w:lang w:eastAsia="en-AU"/>
              </w:rPr>
              <w:t>West Melbourne SSC</w:t>
            </w:r>
          </w:p>
        </w:tc>
        <w:tc>
          <w:tcPr>
            <w:tcW w:w="234" w:type="pct"/>
            <w:vAlign w:val="bottom"/>
            <w:hideMark/>
          </w:tcPr>
          <w:p w:rsidR="00352011" w:rsidRPr="00352011" w:rsidRDefault="00352011" w:rsidP="00352011">
            <w:pPr>
              <w:spacing w:after="0"/>
              <w:rPr>
                <w:rFonts w:cs="Calibri"/>
                <w:color w:val="000000"/>
                <w:sz w:val="18"/>
                <w:szCs w:val="18"/>
                <w:lang w:eastAsia="en-AU"/>
              </w:rPr>
            </w:pPr>
            <w:r w:rsidRPr="00352011">
              <w:rPr>
                <w:rFonts w:cs="Calibri"/>
                <w:color w:val="000000"/>
                <w:sz w:val="18"/>
                <w:szCs w:val="18"/>
                <w:lang w:eastAsia="en-AU"/>
              </w:rPr>
              <w:t>N/A</w:t>
            </w:r>
          </w:p>
        </w:tc>
        <w:tc>
          <w:tcPr>
            <w:tcW w:w="267"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7.9</w:t>
            </w:r>
          </w:p>
        </w:tc>
        <w:tc>
          <w:tcPr>
            <w:tcW w:w="267"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23.4</w:t>
            </w:r>
          </w:p>
        </w:tc>
        <w:tc>
          <w:tcPr>
            <w:tcW w:w="295" w:type="pct"/>
            <w:shd w:val="clear" w:color="000000" w:fill="FFC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6.1</w:t>
            </w:r>
          </w:p>
        </w:tc>
        <w:tc>
          <w:tcPr>
            <w:tcW w:w="30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 xml:space="preserve"> $88,400</w:t>
            </w:r>
          </w:p>
        </w:tc>
        <w:tc>
          <w:tcPr>
            <w:tcW w:w="263" w:type="pct"/>
            <w:shd w:val="clear" w:color="000000" w:fill="FFC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26.4</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20.2</w:t>
            </w:r>
          </w:p>
        </w:tc>
        <w:tc>
          <w:tcPr>
            <w:tcW w:w="238"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4.0</w:t>
            </w:r>
          </w:p>
        </w:tc>
        <w:tc>
          <w:tcPr>
            <w:tcW w:w="290"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7.6</w:t>
            </w:r>
          </w:p>
        </w:tc>
        <w:tc>
          <w:tcPr>
            <w:tcW w:w="36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0.8</w:t>
            </w:r>
          </w:p>
        </w:tc>
        <w:tc>
          <w:tcPr>
            <w:tcW w:w="418"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31.7</w:t>
            </w:r>
          </w:p>
        </w:tc>
        <w:tc>
          <w:tcPr>
            <w:tcW w:w="186"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20.2</w:t>
            </w:r>
          </w:p>
        </w:tc>
        <w:tc>
          <w:tcPr>
            <w:tcW w:w="241"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0.2</w:t>
            </w:r>
          </w:p>
        </w:tc>
        <w:tc>
          <w:tcPr>
            <w:tcW w:w="23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11.8</w:t>
            </w:r>
          </w:p>
        </w:tc>
        <w:tc>
          <w:tcPr>
            <w:tcW w:w="232"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15.9</w:t>
            </w:r>
          </w:p>
        </w:tc>
        <w:tc>
          <w:tcPr>
            <w:tcW w:w="34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5</w:t>
            </w:r>
          </w:p>
        </w:tc>
      </w:tr>
      <w:tr w:rsidR="00352011" w:rsidRPr="00352011" w:rsidTr="00872BAB">
        <w:trPr>
          <w:trHeight w:val="285"/>
        </w:trPr>
        <w:tc>
          <w:tcPr>
            <w:tcW w:w="560" w:type="pct"/>
            <w:vAlign w:val="bottom"/>
            <w:hideMark/>
          </w:tcPr>
          <w:p w:rsidR="00352011" w:rsidRPr="00352011" w:rsidRDefault="00352011" w:rsidP="00352011">
            <w:pPr>
              <w:spacing w:after="0"/>
              <w:rPr>
                <w:rFonts w:cs="Calibri"/>
                <w:color w:val="000000"/>
                <w:sz w:val="18"/>
                <w:szCs w:val="18"/>
                <w:lang w:eastAsia="en-AU"/>
              </w:rPr>
            </w:pPr>
            <w:r w:rsidRPr="00352011">
              <w:rPr>
                <w:rFonts w:cs="Calibri"/>
                <w:color w:val="000000"/>
                <w:sz w:val="18"/>
                <w:szCs w:val="18"/>
                <w:lang w:eastAsia="en-AU"/>
              </w:rPr>
              <w:t>Port Melbourne SA2</w:t>
            </w:r>
          </w:p>
        </w:tc>
        <w:tc>
          <w:tcPr>
            <w:tcW w:w="234" w:type="pct"/>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1063</w:t>
            </w:r>
          </w:p>
        </w:tc>
        <w:tc>
          <w:tcPr>
            <w:tcW w:w="267"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8.1</w:t>
            </w:r>
          </w:p>
        </w:tc>
        <w:tc>
          <w:tcPr>
            <w:tcW w:w="267"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12.8</w:t>
            </w:r>
          </w:p>
        </w:tc>
        <w:tc>
          <w:tcPr>
            <w:tcW w:w="29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3.8</w:t>
            </w:r>
          </w:p>
        </w:tc>
        <w:tc>
          <w:tcPr>
            <w:tcW w:w="30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 xml:space="preserve"> $103,896 </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35.7</w:t>
            </w:r>
          </w:p>
        </w:tc>
        <w:tc>
          <w:tcPr>
            <w:tcW w:w="263" w:type="pct"/>
            <w:shd w:val="clear" w:color="000000" w:fill="FFC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7.0</w:t>
            </w:r>
          </w:p>
        </w:tc>
        <w:tc>
          <w:tcPr>
            <w:tcW w:w="238"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2.4</w:t>
            </w:r>
          </w:p>
        </w:tc>
        <w:tc>
          <w:tcPr>
            <w:tcW w:w="290"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8.1</w:t>
            </w:r>
          </w:p>
        </w:tc>
        <w:tc>
          <w:tcPr>
            <w:tcW w:w="36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1.5</w:t>
            </w:r>
          </w:p>
        </w:tc>
        <w:tc>
          <w:tcPr>
            <w:tcW w:w="418" w:type="pct"/>
            <w:shd w:val="clear" w:color="000000" w:fill="FFC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18.9</w:t>
            </w:r>
          </w:p>
        </w:tc>
        <w:tc>
          <w:tcPr>
            <w:tcW w:w="186"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7.1</w:t>
            </w:r>
          </w:p>
        </w:tc>
        <w:tc>
          <w:tcPr>
            <w:tcW w:w="241"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0.2</w:t>
            </w:r>
          </w:p>
        </w:tc>
        <w:tc>
          <w:tcPr>
            <w:tcW w:w="233" w:type="pct"/>
            <w:noWrap/>
            <w:vAlign w:val="bottom"/>
            <w:hideMark/>
          </w:tcPr>
          <w:p w:rsidR="00352011" w:rsidRPr="00352011" w:rsidRDefault="00352011" w:rsidP="00352011">
            <w:pPr>
              <w:spacing w:after="0"/>
              <w:rPr>
                <w:rFonts w:cs="Calibri"/>
                <w:color w:val="000000"/>
                <w:sz w:val="18"/>
                <w:szCs w:val="18"/>
                <w:lang w:eastAsia="en-AU"/>
              </w:rPr>
            </w:pPr>
            <w:r w:rsidRPr="00352011">
              <w:rPr>
                <w:rFonts w:cs="Calibri"/>
                <w:color w:val="000000"/>
                <w:sz w:val="18"/>
                <w:szCs w:val="18"/>
                <w:lang w:eastAsia="en-AU"/>
              </w:rPr>
              <w:t>N/A</w:t>
            </w:r>
          </w:p>
        </w:tc>
        <w:tc>
          <w:tcPr>
            <w:tcW w:w="232"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16.9</w:t>
            </w:r>
          </w:p>
        </w:tc>
        <w:tc>
          <w:tcPr>
            <w:tcW w:w="34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w:t>
            </w:r>
          </w:p>
        </w:tc>
      </w:tr>
      <w:tr w:rsidR="00352011" w:rsidRPr="00352011" w:rsidTr="00872BAB">
        <w:trPr>
          <w:trHeight w:val="285"/>
        </w:trPr>
        <w:tc>
          <w:tcPr>
            <w:tcW w:w="560" w:type="pct"/>
            <w:vAlign w:val="bottom"/>
            <w:hideMark/>
          </w:tcPr>
          <w:p w:rsidR="00352011" w:rsidRPr="00352011" w:rsidRDefault="00352011" w:rsidP="00352011">
            <w:pPr>
              <w:spacing w:after="0"/>
              <w:rPr>
                <w:rFonts w:cs="Calibri"/>
                <w:color w:val="000000"/>
                <w:sz w:val="18"/>
                <w:szCs w:val="18"/>
                <w:lang w:eastAsia="en-AU"/>
              </w:rPr>
            </w:pPr>
            <w:r w:rsidRPr="00352011">
              <w:rPr>
                <w:rFonts w:cs="Calibri"/>
                <w:color w:val="000000"/>
                <w:sz w:val="18"/>
                <w:szCs w:val="18"/>
                <w:lang w:eastAsia="en-AU"/>
              </w:rPr>
              <w:t>Flemington SA2</w:t>
            </w:r>
          </w:p>
        </w:tc>
        <w:tc>
          <w:tcPr>
            <w:tcW w:w="234" w:type="pct"/>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1074</w:t>
            </w:r>
          </w:p>
        </w:tc>
        <w:tc>
          <w:tcPr>
            <w:tcW w:w="267"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4.4</w:t>
            </w:r>
          </w:p>
        </w:tc>
        <w:tc>
          <w:tcPr>
            <w:tcW w:w="267"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21.6</w:t>
            </w:r>
          </w:p>
        </w:tc>
        <w:tc>
          <w:tcPr>
            <w:tcW w:w="295" w:type="pct"/>
            <w:shd w:val="clear" w:color="000000" w:fill="FFC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8.3</w:t>
            </w:r>
          </w:p>
        </w:tc>
        <w:tc>
          <w:tcPr>
            <w:tcW w:w="304"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 xml:space="preserve"> $57,460 </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35.2</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10.2</w:t>
            </w:r>
          </w:p>
        </w:tc>
        <w:tc>
          <w:tcPr>
            <w:tcW w:w="238"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6.1</w:t>
            </w:r>
          </w:p>
        </w:tc>
        <w:tc>
          <w:tcPr>
            <w:tcW w:w="290"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6.0</w:t>
            </w:r>
          </w:p>
        </w:tc>
        <w:tc>
          <w:tcPr>
            <w:tcW w:w="36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3.1</w:t>
            </w:r>
          </w:p>
        </w:tc>
        <w:tc>
          <w:tcPr>
            <w:tcW w:w="418"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27.1</w:t>
            </w:r>
          </w:p>
        </w:tc>
        <w:tc>
          <w:tcPr>
            <w:tcW w:w="186" w:type="pct"/>
            <w:shd w:val="clear" w:color="000000" w:fill="FFC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15.7</w:t>
            </w:r>
          </w:p>
        </w:tc>
        <w:tc>
          <w:tcPr>
            <w:tcW w:w="241"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0.6</w:t>
            </w:r>
          </w:p>
        </w:tc>
        <w:tc>
          <w:tcPr>
            <w:tcW w:w="23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9.0</w:t>
            </w:r>
          </w:p>
        </w:tc>
        <w:tc>
          <w:tcPr>
            <w:tcW w:w="232"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16.6</w:t>
            </w:r>
          </w:p>
        </w:tc>
        <w:tc>
          <w:tcPr>
            <w:tcW w:w="34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6</w:t>
            </w:r>
          </w:p>
        </w:tc>
      </w:tr>
      <w:tr w:rsidR="00352011" w:rsidRPr="00352011" w:rsidTr="00872BAB">
        <w:trPr>
          <w:trHeight w:val="285"/>
        </w:trPr>
        <w:tc>
          <w:tcPr>
            <w:tcW w:w="560" w:type="pct"/>
            <w:vAlign w:val="bottom"/>
            <w:hideMark/>
          </w:tcPr>
          <w:p w:rsidR="00352011" w:rsidRPr="00352011" w:rsidRDefault="00352011" w:rsidP="00352011">
            <w:pPr>
              <w:spacing w:after="0"/>
              <w:rPr>
                <w:rFonts w:cs="Calibri"/>
                <w:color w:val="000000"/>
                <w:sz w:val="18"/>
                <w:szCs w:val="18"/>
                <w:lang w:eastAsia="en-AU"/>
              </w:rPr>
            </w:pPr>
            <w:r w:rsidRPr="00352011">
              <w:rPr>
                <w:rFonts w:cs="Calibri"/>
                <w:color w:val="000000"/>
                <w:sz w:val="18"/>
                <w:szCs w:val="18"/>
                <w:lang w:eastAsia="en-AU"/>
              </w:rPr>
              <w:t>Kensington SSC</w:t>
            </w:r>
          </w:p>
        </w:tc>
        <w:tc>
          <w:tcPr>
            <w:tcW w:w="234" w:type="pct"/>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1042</w:t>
            </w:r>
          </w:p>
        </w:tc>
        <w:tc>
          <w:tcPr>
            <w:tcW w:w="267"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8.3</w:t>
            </w:r>
          </w:p>
        </w:tc>
        <w:tc>
          <w:tcPr>
            <w:tcW w:w="267"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13.5</w:t>
            </w:r>
          </w:p>
        </w:tc>
        <w:tc>
          <w:tcPr>
            <w:tcW w:w="29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4.6</w:t>
            </w:r>
          </w:p>
        </w:tc>
        <w:tc>
          <w:tcPr>
            <w:tcW w:w="30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 xml:space="preserve"> $89,440 </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31.1</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12.8</w:t>
            </w:r>
          </w:p>
        </w:tc>
        <w:tc>
          <w:tcPr>
            <w:tcW w:w="238"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3.4</w:t>
            </w:r>
          </w:p>
        </w:tc>
        <w:tc>
          <w:tcPr>
            <w:tcW w:w="290"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6.0</w:t>
            </w:r>
          </w:p>
        </w:tc>
        <w:tc>
          <w:tcPr>
            <w:tcW w:w="36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1.9</w:t>
            </w:r>
          </w:p>
        </w:tc>
        <w:tc>
          <w:tcPr>
            <w:tcW w:w="418"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32.9</w:t>
            </w:r>
          </w:p>
        </w:tc>
        <w:tc>
          <w:tcPr>
            <w:tcW w:w="186"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13.1</w:t>
            </w:r>
          </w:p>
        </w:tc>
        <w:tc>
          <w:tcPr>
            <w:tcW w:w="241"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0.4</w:t>
            </w:r>
          </w:p>
        </w:tc>
        <w:tc>
          <w:tcPr>
            <w:tcW w:w="23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8.3</w:t>
            </w:r>
          </w:p>
        </w:tc>
        <w:tc>
          <w:tcPr>
            <w:tcW w:w="232"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19.4</w:t>
            </w:r>
          </w:p>
        </w:tc>
        <w:tc>
          <w:tcPr>
            <w:tcW w:w="34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6</w:t>
            </w:r>
          </w:p>
        </w:tc>
      </w:tr>
      <w:tr w:rsidR="00352011" w:rsidRPr="00352011" w:rsidTr="00872BAB">
        <w:trPr>
          <w:trHeight w:val="285"/>
        </w:trPr>
        <w:tc>
          <w:tcPr>
            <w:tcW w:w="560" w:type="pct"/>
            <w:vAlign w:val="bottom"/>
            <w:hideMark/>
          </w:tcPr>
          <w:p w:rsidR="00352011" w:rsidRPr="00352011" w:rsidRDefault="00352011" w:rsidP="00352011">
            <w:pPr>
              <w:spacing w:after="0"/>
              <w:rPr>
                <w:rFonts w:cs="Calibri"/>
                <w:color w:val="000000"/>
                <w:sz w:val="18"/>
                <w:szCs w:val="18"/>
                <w:lang w:eastAsia="en-AU"/>
              </w:rPr>
            </w:pPr>
            <w:r w:rsidRPr="00352011">
              <w:rPr>
                <w:rFonts w:cs="Calibri"/>
                <w:color w:val="000000"/>
                <w:sz w:val="18"/>
                <w:szCs w:val="18"/>
                <w:lang w:eastAsia="en-AU"/>
              </w:rPr>
              <w:t>Parkville SA2</w:t>
            </w:r>
          </w:p>
        </w:tc>
        <w:tc>
          <w:tcPr>
            <w:tcW w:w="234" w:type="pct"/>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1053</w:t>
            </w:r>
          </w:p>
        </w:tc>
        <w:tc>
          <w:tcPr>
            <w:tcW w:w="267"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5.1</w:t>
            </w:r>
          </w:p>
        </w:tc>
        <w:tc>
          <w:tcPr>
            <w:tcW w:w="267"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23.3</w:t>
            </w:r>
          </w:p>
        </w:tc>
        <w:tc>
          <w:tcPr>
            <w:tcW w:w="295"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12.3</w:t>
            </w:r>
          </w:p>
        </w:tc>
        <w:tc>
          <w:tcPr>
            <w:tcW w:w="30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 xml:space="preserve"> $77,636 </w:t>
            </w:r>
          </w:p>
        </w:tc>
        <w:tc>
          <w:tcPr>
            <w:tcW w:w="263" w:type="pct"/>
            <w:shd w:val="clear" w:color="000000" w:fill="FFC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27.1</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19.9</w:t>
            </w:r>
          </w:p>
        </w:tc>
        <w:tc>
          <w:tcPr>
            <w:tcW w:w="238"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5.5</w:t>
            </w:r>
          </w:p>
        </w:tc>
        <w:tc>
          <w:tcPr>
            <w:tcW w:w="290"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8.6</w:t>
            </w:r>
          </w:p>
        </w:tc>
        <w:tc>
          <w:tcPr>
            <w:tcW w:w="36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1.1</w:t>
            </w:r>
          </w:p>
        </w:tc>
        <w:tc>
          <w:tcPr>
            <w:tcW w:w="418"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75.0</w:t>
            </w:r>
          </w:p>
        </w:tc>
        <w:tc>
          <w:tcPr>
            <w:tcW w:w="186"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44.2</w:t>
            </w:r>
          </w:p>
        </w:tc>
        <w:tc>
          <w:tcPr>
            <w:tcW w:w="241" w:type="pct"/>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0.5</w:t>
            </w:r>
          </w:p>
        </w:tc>
        <w:tc>
          <w:tcPr>
            <w:tcW w:w="23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11.9</w:t>
            </w:r>
          </w:p>
        </w:tc>
        <w:tc>
          <w:tcPr>
            <w:tcW w:w="232"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33.9</w:t>
            </w:r>
          </w:p>
        </w:tc>
        <w:tc>
          <w:tcPr>
            <w:tcW w:w="34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7</w:t>
            </w:r>
          </w:p>
        </w:tc>
      </w:tr>
      <w:tr w:rsidR="00352011" w:rsidRPr="00352011" w:rsidTr="00872BAB">
        <w:trPr>
          <w:trHeight w:val="285"/>
        </w:trPr>
        <w:tc>
          <w:tcPr>
            <w:tcW w:w="560" w:type="pct"/>
            <w:vAlign w:val="bottom"/>
            <w:hideMark/>
          </w:tcPr>
          <w:p w:rsidR="00352011" w:rsidRPr="00352011" w:rsidRDefault="00352011" w:rsidP="00352011">
            <w:pPr>
              <w:spacing w:after="0"/>
              <w:rPr>
                <w:rFonts w:cs="Calibri"/>
                <w:color w:val="000000"/>
                <w:sz w:val="18"/>
                <w:szCs w:val="18"/>
                <w:lang w:eastAsia="en-AU"/>
              </w:rPr>
            </w:pPr>
            <w:r w:rsidRPr="00352011">
              <w:rPr>
                <w:rFonts w:cs="Calibri"/>
                <w:color w:val="000000"/>
                <w:sz w:val="18"/>
                <w:szCs w:val="18"/>
                <w:lang w:eastAsia="en-AU"/>
              </w:rPr>
              <w:t>South Yarra West SA2</w:t>
            </w:r>
          </w:p>
        </w:tc>
        <w:tc>
          <w:tcPr>
            <w:tcW w:w="234" w:type="pct"/>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1110</w:t>
            </w:r>
          </w:p>
        </w:tc>
        <w:tc>
          <w:tcPr>
            <w:tcW w:w="267"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5.3</w:t>
            </w:r>
          </w:p>
        </w:tc>
        <w:tc>
          <w:tcPr>
            <w:tcW w:w="267"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15.2</w:t>
            </w:r>
          </w:p>
        </w:tc>
        <w:tc>
          <w:tcPr>
            <w:tcW w:w="29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3.9</w:t>
            </w:r>
          </w:p>
        </w:tc>
        <w:tc>
          <w:tcPr>
            <w:tcW w:w="30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 xml:space="preserve"> $97,292 </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41.8</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10.4</w:t>
            </w:r>
          </w:p>
        </w:tc>
        <w:tc>
          <w:tcPr>
            <w:tcW w:w="238"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1.6</w:t>
            </w:r>
          </w:p>
        </w:tc>
        <w:tc>
          <w:tcPr>
            <w:tcW w:w="290"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7.2</w:t>
            </w:r>
          </w:p>
        </w:tc>
        <w:tc>
          <w:tcPr>
            <w:tcW w:w="36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0.5</w:t>
            </w:r>
          </w:p>
        </w:tc>
        <w:tc>
          <w:tcPr>
            <w:tcW w:w="418"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30.6</w:t>
            </w:r>
          </w:p>
        </w:tc>
        <w:tc>
          <w:tcPr>
            <w:tcW w:w="186"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13.7</w:t>
            </w:r>
          </w:p>
        </w:tc>
        <w:tc>
          <w:tcPr>
            <w:tcW w:w="241"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0.2</w:t>
            </w:r>
          </w:p>
        </w:tc>
        <w:tc>
          <w:tcPr>
            <w:tcW w:w="233" w:type="pct"/>
            <w:shd w:val="clear" w:color="000000" w:fill="FFC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4.6</w:t>
            </w:r>
          </w:p>
        </w:tc>
        <w:tc>
          <w:tcPr>
            <w:tcW w:w="232"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22.2</w:t>
            </w:r>
          </w:p>
        </w:tc>
        <w:tc>
          <w:tcPr>
            <w:tcW w:w="34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5</w:t>
            </w:r>
          </w:p>
        </w:tc>
      </w:tr>
      <w:tr w:rsidR="00352011" w:rsidRPr="00352011" w:rsidTr="00872BAB">
        <w:trPr>
          <w:trHeight w:val="285"/>
        </w:trPr>
        <w:tc>
          <w:tcPr>
            <w:tcW w:w="560" w:type="pct"/>
            <w:vAlign w:val="bottom"/>
            <w:hideMark/>
          </w:tcPr>
          <w:p w:rsidR="00352011" w:rsidRPr="00352011" w:rsidRDefault="00352011" w:rsidP="00352011">
            <w:pPr>
              <w:spacing w:after="0"/>
              <w:rPr>
                <w:rFonts w:cs="Calibri"/>
                <w:color w:val="000000"/>
                <w:sz w:val="18"/>
                <w:szCs w:val="18"/>
                <w:lang w:eastAsia="en-AU"/>
              </w:rPr>
            </w:pPr>
            <w:r w:rsidRPr="00352011">
              <w:rPr>
                <w:rFonts w:cs="Calibri"/>
                <w:color w:val="000000"/>
                <w:sz w:val="18"/>
                <w:szCs w:val="18"/>
                <w:lang w:eastAsia="en-AU"/>
              </w:rPr>
              <w:t>Southbank SA2</w:t>
            </w:r>
          </w:p>
        </w:tc>
        <w:tc>
          <w:tcPr>
            <w:tcW w:w="234" w:type="pct"/>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1092</w:t>
            </w:r>
          </w:p>
        </w:tc>
        <w:tc>
          <w:tcPr>
            <w:tcW w:w="267"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8.3</w:t>
            </w:r>
          </w:p>
        </w:tc>
        <w:tc>
          <w:tcPr>
            <w:tcW w:w="267"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22.7</w:t>
            </w:r>
          </w:p>
        </w:tc>
        <w:tc>
          <w:tcPr>
            <w:tcW w:w="295"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5.8</w:t>
            </w:r>
          </w:p>
        </w:tc>
        <w:tc>
          <w:tcPr>
            <w:tcW w:w="30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 xml:space="preserve"> $95,576 </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33.9</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17.1</w:t>
            </w:r>
          </w:p>
        </w:tc>
        <w:tc>
          <w:tcPr>
            <w:tcW w:w="238"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2.2</w:t>
            </w:r>
          </w:p>
        </w:tc>
        <w:tc>
          <w:tcPr>
            <w:tcW w:w="290"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7.2</w:t>
            </w:r>
          </w:p>
        </w:tc>
        <w:tc>
          <w:tcPr>
            <w:tcW w:w="36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0.8</w:t>
            </w:r>
          </w:p>
        </w:tc>
        <w:tc>
          <w:tcPr>
            <w:tcW w:w="418"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7.1</w:t>
            </w:r>
          </w:p>
        </w:tc>
        <w:tc>
          <w:tcPr>
            <w:tcW w:w="186"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23.6</w:t>
            </w:r>
          </w:p>
        </w:tc>
        <w:tc>
          <w:tcPr>
            <w:tcW w:w="241"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0.2</w:t>
            </w:r>
          </w:p>
        </w:tc>
        <w:tc>
          <w:tcPr>
            <w:tcW w:w="23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18.9</w:t>
            </w:r>
          </w:p>
        </w:tc>
        <w:tc>
          <w:tcPr>
            <w:tcW w:w="232"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15.7</w:t>
            </w:r>
          </w:p>
        </w:tc>
        <w:tc>
          <w:tcPr>
            <w:tcW w:w="34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7</w:t>
            </w:r>
          </w:p>
        </w:tc>
      </w:tr>
      <w:tr w:rsidR="00352011" w:rsidRPr="00352011" w:rsidTr="00872BAB">
        <w:trPr>
          <w:trHeight w:val="285"/>
        </w:trPr>
        <w:tc>
          <w:tcPr>
            <w:tcW w:w="560" w:type="pct"/>
            <w:vAlign w:val="bottom"/>
            <w:hideMark/>
          </w:tcPr>
          <w:p w:rsidR="00352011" w:rsidRPr="00352011" w:rsidRDefault="00352011" w:rsidP="00352011">
            <w:pPr>
              <w:spacing w:after="0"/>
              <w:rPr>
                <w:rFonts w:cs="Calibri"/>
                <w:color w:val="000000"/>
                <w:sz w:val="18"/>
                <w:szCs w:val="18"/>
                <w:lang w:eastAsia="en-AU"/>
              </w:rPr>
            </w:pPr>
            <w:r w:rsidRPr="00352011">
              <w:rPr>
                <w:rFonts w:cs="Calibri"/>
                <w:color w:val="000000"/>
                <w:sz w:val="18"/>
                <w:szCs w:val="18"/>
                <w:lang w:eastAsia="en-AU"/>
              </w:rPr>
              <w:t>Docklands SA2</w:t>
            </w:r>
          </w:p>
        </w:tc>
        <w:tc>
          <w:tcPr>
            <w:tcW w:w="234" w:type="pct"/>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1090</w:t>
            </w:r>
          </w:p>
        </w:tc>
        <w:tc>
          <w:tcPr>
            <w:tcW w:w="267"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9.8</w:t>
            </w:r>
          </w:p>
        </w:tc>
        <w:tc>
          <w:tcPr>
            <w:tcW w:w="267"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23.8</w:t>
            </w:r>
          </w:p>
        </w:tc>
        <w:tc>
          <w:tcPr>
            <w:tcW w:w="29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4.7</w:t>
            </w:r>
          </w:p>
        </w:tc>
        <w:tc>
          <w:tcPr>
            <w:tcW w:w="30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 xml:space="preserve"> $98,800 </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35.3</w:t>
            </w:r>
          </w:p>
        </w:tc>
        <w:tc>
          <w:tcPr>
            <w:tcW w:w="26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11.7</w:t>
            </w:r>
          </w:p>
        </w:tc>
        <w:tc>
          <w:tcPr>
            <w:tcW w:w="238"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2.1</w:t>
            </w:r>
          </w:p>
        </w:tc>
        <w:tc>
          <w:tcPr>
            <w:tcW w:w="290"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8.3</w:t>
            </w:r>
          </w:p>
        </w:tc>
        <w:tc>
          <w:tcPr>
            <w:tcW w:w="36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1.3</w:t>
            </w:r>
          </w:p>
        </w:tc>
        <w:tc>
          <w:tcPr>
            <w:tcW w:w="418"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6.5</w:t>
            </w:r>
          </w:p>
        </w:tc>
        <w:tc>
          <w:tcPr>
            <w:tcW w:w="186" w:type="pct"/>
            <w:shd w:val="clear" w:color="000000" w:fill="FFC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16.3</w:t>
            </w:r>
          </w:p>
        </w:tc>
        <w:tc>
          <w:tcPr>
            <w:tcW w:w="241"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0.2</w:t>
            </w:r>
          </w:p>
        </w:tc>
        <w:tc>
          <w:tcPr>
            <w:tcW w:w="233"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14.5</w:t>
            </w:r>
          </w:p>
        </w:tc>
        <w:tc>
          <w:tcPr>
            <w:tcW w:w="232"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12.9</w:t>
            </w:r>
          </w:p>
        </w:tc>
        <w:tc>
          <w:tcPr>
            <w:tcW w:w="34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5</w:t>
            </w:r>
          </w:p>
        </w:tc>
      </w:tr>
      <w:tr w:rsidR="00352011" w:rsidRPr="00352011" w:rsidTr="00872BAB">
        <w:trPr>
          <w:trHeight w:val="285"/>
        </w:trPr>
        <w:tc>
          <w:tcPr>
            <w:tcW w:w="560" w:type="pct"/>
            <w:vAlign w:val="bottom"/>
            <w:hideMark/>
          </w:tcPr>
          <w:p w:rsidR="00352011" w:rsidRPr="00352011" w:rsidRDefault="00352011" w:rsidP="00352011">
            <w:pPr>
              <w:spacing w:after="0"/>
              <w:rPr>
                <w:rFonts w:cs="Calibri"/>
                <w:color w:val="000000"/>
                <w:sz w:val="18"/>
                <w:szCs w:val="18"/>
                <w:lang w:eastAsia="en-AU"/>
              </w:rPr>
            </w:pPr>
            <w:r w:rsidRPr="00352011">
              <w:rPr>
                <w:rFonts w:cs="Calibri"/>
                <w:color w:val="000000"/>
                <w:sz w:val="18"/>
                <w:szCs w:val="18"/>
                <w:lang w:eastAsia="en-AU"/>
              </w:rPr>
              <w:t xml:space="preserve">Greater Melbourne </w:t>
            </w:r>
          </w:p>
        </w:tc>
        <w:tc>
          <w:tcPr>
            <w:tcW w:w="234" w:type="pct"/>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1026</w:t>
            </w:r>
          </w:p>
        </w:tc>
        <w:tc>
          <w:tcPr>
            <w:tcW w:w="267"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11.0</w:t>
            </w:r>
          </w:p>
        </w:tc>
        <w:tc>
          <w:tcPr>
            <w:tcW w:w="267" w:type="pct"/>
            <w:shd w:val="clear" w:color="000000" w:fill="FFC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9.7</w:t>
            </w:r>
          </w:p>
        </w:tc>
        <w:tc>
          <w:tcPr>
            <w:tcW w:w="295" w:type="pct"/>
            <w:shd w:val="clear" w:color="000000" w:fill="FFC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5.5</w:t>
            </w:r>
          </w:p>
        </w:tc>
        <w:tc>
          <w:tcPr>
            <w:tcW w:w="30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 xml:space="preserve"> $69,316 </w:t>
            </w:r>
          </w:p>
        </w:tc>
        <w:tc>
          <w:tcPr>
            <w:tcW w:w="263"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23.3</w:t>
            </w:r>
          </w:p>
        </w:tc>
        <w:tc>
          <w:tcPr>
            <w:tcW w:w="263" w:type="pct"/>
            <w:shd w:val="clear" w:color="000000" w:fill="FFC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4.7</w:t>
            </w:r>
          </w:p>
        </w:tc>
        <w:tc>
          <w:tcPr>
            <w:tcW w:w="238"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8.0</w:t>
            </w:r>
          </w:p>
        </w:tc>
        <w:tc>
          <w:tcPr>
            <w:tcW w:w="290" w:type="pct"/>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9.7</w:t>
            </w:r>
          </w:p>
        </w:tc>
        <w:tc>
          <w:tcPr>
            <w:tcW w:w="365"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5.9</w:t>
            </w:r>
          </w:p>
        </w:tc>
        <w:tc>
          <w:tcPr>
            <w:tcW w:w="418" w:type="pct"/>
            <w:shd w:val="clear" w:color="000000" w:fill="FFC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17.4</w:t>
            </w:r>
          </w:p>
        </w:tc>
        <w:tc>
          <w:tcPr>
            <w:tcW w:w="186" w:type="pct"/>
            <w:shd w:val="clear" w:color="000000" w:fill="FFC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13.8</w:t>
            </w:r>
          </w:p>
        </w:tc>
        <w:tc>
          <w:tcPr>
            <w:tcW w:w="241"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0.5</w:t>
            </w:r>
          </w:p>
        </w:tc>
        <w:tc>
          <w:tcPr>
            <w:tcW w:w="233" w:type="pct"/>
            <w:shd w:val="clear" w:color="000000" w:fill="00B05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2.3</w:t>
            </w:r>
          </w:p>
        </w:tc>
        <w:tc>
          <w:tcPr>
            <w:tcW w:w="232"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15.8</w:t>
            </w:r>
          </w:p>
        </w:tc>
        <w:tc>
          <w:tcPr>
            <w:tcW w:w="34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p>
        </w:tc>
      </w:tr>
      <w:tr w:rsidR="00352011" w:rsidRPr="00352011" w:rsidTr="00872BAB">
        <w:trPr>
          <w:trHeight w:val="285"/>
        </w:trPr>
        <w:tc>
          <w:tcPr>
            <w:tcW w:w="560" w:type="pct"/>
            <w:vAlign w:val="bottom"/>
            <w:hideMark/>
          </w:tcPr>
          <w:p w:rsidR="00352011" w:rsidRPr="00352011" w:rsidRDefault="00352011" w:rsidP="00352011">
            <w:pPr>
              <w:spacing w:after="0"/>
              <w:rPr>
                <w:rFonts w:cs="Calibri"/>
                <w:color w:val="000000"/>
                <w:sz w:val="18"/>
                <w:szCs w:val="18"/>
                <w:lang w:eastAsia="en-AU"/>
              </w:rPr>
            </w:pPr>
            <w:r w:rsidRPr="00352011">
              <w:rPr>
                <w:rFonts w:cs="Calibri"/>
                <w:color w:val="000000"/>
                <w:sz w:val="18"/>
                <w:szCs w:val="18"/>
                <w:lang w:eastAsia="en-AU"/>
              </w:rPr>
              <w:t>Victoria</w:t>
            </w:r>
          </w:p>
        </w:tc>
        <w:tc>
          <w:tcPr>
            <w:tcW w:w="234" w:type="pct"/>
            <w:vAlign w:val="bottom"/>
            <w:hideMark/>
          </w:tcPr>
          <w:p w:rsidR="00352011" w:rsidRPr="00352011" w:rsidRDefault="00352011" w:rsidP="00352011">
            <w:pPr>
              <w:spacing w:after="0"/>
              <w:rPr>
                <w:rFonts w:cs="Calibri"/>
                <w:color w:val="000000"/>
                <w:sz w:val="18"/>
                <w:szCs w:val="18"/>
                <w:lang w:eastAsia="en-AU"/>
              </w:rPr>
            </w:pPr>
          </w:p>
        </w:tc>
        <w:tc>
          <w:tcPr>
            <w:tcW w:w="267" w:type="pct"/>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10.1</w:t>
            </w:r>
          </w:p>
        </w:tc>
        <w:tc>
          <w:tcPr>
            <w:tcW w:w="267" w:type="pct"/>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9.1</w:t>
            </w:r>
          </w:p>
        </w:tc>
        <w:tc>
          <w:tcPr>
            <w:tcW w:w="295" w:type="pct"/>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5.4</w:t>
            </w:r>
          </w:p>
        </w:tc>
        <w:tc>
          <w:tcPr>
            <w:tcW w:w="304" w:type="pct"/>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 xml:space="preserve"> $63,024 </w:t>
            </w:r>
          </w:p>
        </w:tc>
        <w:tc>
          <w:tcPr>
            <w:tcW w:w="263" w:type="pct"/>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24.5</w:t>
            </w:r>
          </w:p>
        </w:tc>
        <w:tc>
          <w:tcPr>
            <w:tcW w:w="263" w:type="pct"/>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4.2</w:t>
            </w:r>
          </w:p>
        </w:tc>
        <w:tc>
          <w:tcPr>
            <w:tcW w:w="238" w:type="pct"/>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9.0</w:t>
            </w:r>
          </w:p>
        </w:tc>
        <w:tc>
          <w:tcPr>
            <w:tcW w:w="290" w:type="pct"/>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9.7</w:t>
            </w:r>
          </w:p>
        </w:tc>
        <w:tc>
          <w:tcPr>
            <w:tcW w:w="365" w:type="pct"/>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6.1</w:t>
            </w:r>
          </w:p>
        </w:tc>
        <w:tc>
          <w:tcPr>
            <w:tcW w:w="418" w:type="pct"/>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15.2</w:t>
            </w:r>
          </w:p>
        </w:tc>
        <w:tc>
          <w:tcPr>
            <w:tcW w:w="186" w:type="pct"/>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13.5</w:t>
            </w:r>
          </w:p>
        </w:tc>
        <w:tc>
          <w:tcPr>
            <w:tcW w:w="241" w:type="pct"/>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0.7</w:t>
            </w:r>
          </w:p>
        </w:tc>
        <w:tc>
          <w:tcPr>
            <w:tcW w:w="233" w:type="pct"/>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3.7</w:t>
            </w:r>
          </w:p>
        </w:tc>
        <w:tc>
          <w:tcPr>
            <w:tcW w:w="232" w:type="pct"/>
            <w:noWrap/>
            <w:vAlign w:val="bottom"/>
            <w:hideMark/>
          </w:tcPr>
          <w:p w:rsidR="00352011" w:rsidRPr="00352011" w:rsidRDefault="00352011" w:rsidP="00352011">
            <w:pPr>
              <w:spacing w:after="0"/>
              <w:jc w:val="right"/>
              <w:rPr>
                <w:rFonts w:cs="Calibri"/>
                <w:color w:val="000000"/>
                <w:sz w:val="18"/>
                <w:szCs w:val="18"/>
                <w:lang w:eastAsia="en-AU"/>
              </w:rPr>
            </w:pPr>
            <w:r w:rsidRPr="00352011">
              <w:rPr>
                <w:rFonts w:cs="Calibri"/>
                <w:color w:val="000000"/>
                <w:sz w:val="18"/>
                <w:szCs w:val="18"/>
                <w:lang w:eastAsia="en-AU"/>
              </w:rPr>
              <w:t>17.7</w:t>
            </w:r>
          </w:p>
        </w:tc>
        <w:tc>
          <w:tcPr>
            <w:tcW w:w="344" w:type="pct"/>
            <w:shd w:val="clear" w:color="000000" w:fill="FF0000"/>
            <w:noWrap/>
            <w:vAlign w:val="bottom"/>
            <w:hideMark/>
          </w:tcPr>
          <w:p w:rsidR="00352011" w:rsidRPr="00352011" w:rsidRDefault="00352011" w:rsidP="00352011">
            <w:pPr>
              <w:spacing w:after="0"/>
              <w:jc w:val="right"/>
              <w:rPr>
                <w:rFonts w:cs="Calibri"/>
                <w:color w:val="000000"/>
                <w:sz w:val="18"/>
                <w:szCs w:val="18"/>
                <w:lang w:eastAsia="en-AU"/>
              </w:rPr>
            </w:pPr>
          </w:p>
        </w:tc>
      </w:tr>
    </w:tbl>
    <w:p w:rsidR="00352011" w:rsidRDefault="00352011" w:rsidP="00352011"/>
    <w:p w:rsidR="00352011" w:rsidRDefault="00352011" w:rsidP="00352011">
      <w:r>
        <w:t>Source: ABS Census of Population and Housing, 2011</w:t>
      </w:r>
    </w:p>
    <w:p w:rsidR="00D9712C" w:rsidRDefault="00D9712C" w:rsidP="00D9712C">
      <w:pPr>
        <w:pStyle w:val="Heading1"/>
        <w:numPr>
          <w:ilvl w:val="0"/>
          <w:numId w:val="0"/>
        </w:numPr>
        <w:sectPr w:rsidR="00D9712C" w:rsidSect="00F27E2F">
          <w:endnotePr>
            <w:numFmt w:val="decimal"/>
          </w:endnotePr>
          <w:pgSz w:w="16838" w:h="11906" w:orient="landscape"/>
          <w:pgMar w:top="1440" w:right="1440" w:bottom="1440" w:left="1440" w:header="708" w:footer="708" w:gutter="0"/>
          <w:cols w:space="708"/>
          <w:titlePg/>
          <w:docGrid w:linePitch="360"/>
        </w:sectPr>
      </w:pPr>
    </w:p>
    <w:p w:rsidR="00D9712C" w:rsidRDefault="00D9712C" w:rsidP="00D9712C">
      <w:pPr>
        <w:pStyle w:val="Heading1"/>
        <w:numPr>
          <w:ilvl w:val="0"/>
          <w:numId w:val="0"/>
        </w:numPr>
      </w:pPr>
      <w:bookmarkStart w:id="152" w:name="_Toc494287786"/>
      <w:r>
        <w:t>A</w:t>
      </w:r>
      <w:r>
        <w:rPr>
          <w:caps w:val="0"/>
        </w:rPr>
        <w:t>ppendix</w:t>
      </w:r>
      <w:r>
        <w:t xml:space="preserve"> 5 – </w:t>
      </w:r>
      <w:r>
        <w:rPr>
          <w:caps w:val="0"/>
        </w:rPr>
        <w:t>Relevant gaming and planning permit decisions, City of Melbourne</w:t>
      </w:r>
      <w:bookmarkEnd w:id="152"/>
    </w:p>
    <w:p w:rsidR="00D9712C" w:rsidRPr="0099464A" w:rsidRDefault="00D9712C" w:rsidP="00D9712C">
      <w:pPr>
        <w:pStyle w:val="Heading4"/>
        <w:rPr>
          <w:rFonts w:asciiTheme="minorHAnsi" w:hAnsiTheme="minorHAnsi" w:cstheme="minorHAnsi"/>
        </w:rPr>
      </w:pPr>
      <w:r w:rsidRPr="0099464A">
        <w:rPr>
          <w:rFonts w:asciiTheme="minorHAnsi" w:hAnsiTheme="minorHAnsi" w:cstheme="minorHAnsi"/>
        </w:rPr>
        <w:t>The Meeting Place</w:t>
      </w:r>
    </w:p>
    <w:p w:rsidR="00D9712C" w:rsidRDefault="00D9712C" w:rsidP="00D9712C">
      <w:pPr>
        <w:rPr>
          <w:rFonts w:cstheme="minorHAnsi"/>
        </w:rPr>
      </w:pPr>
      <w:r>
        <w:rPr>
          <w:rFonts w:cstheme="minorHAnsi"/>
        </w:rPr>
        <w:t>The Meeting Place is located at 315-321 Elizabeth Street, Melbourne.</w:t>
      </w:r>
    </w:p>
    <w:p w:rsidR="00D9712C" w:rsidRPr="0099464A" w:rsidRDefault="00D9712C" w:rsidP="00D9712C">
      <w:pPr>
        <w:rPr>
          <w:rFonts w:cstheme="minorHAnsi"/>
        </w:rPr>
      </w:pPr>
      <w:r w:rsidRPr="0099464A">
        <w:rPr>
          <w:rFonts w:cstheme="minorHAnsi"/>
        </w:rPr>
        <w:t xml:space="preserve">In November 2016 the Commission </w:t>
      </w:r>
      <w:r>
        <w:rPr>
          <w:rFonts w:cstheme="minorHAnsi"/>
        </w:rPr>
        <w:t>granted</w:t>
      </w:r>
      <w:r w:rsidRPr="0099464A">
        <w:rPr>
          <w:rFonts w:cstheme="minorHAnsi"/>
        </w:rPr>
        <w:t xml:space="preserve"> an application by the Doxa Club Inc to increase the number of EGMs at The Meeting Place by 20 from 56 to 76. The basis for the Commission’s decision was that:</w:t>
      </w:r>
    </w:p>
    <w:p w:rsidR="00D9712C" w:rsidRPr="0099464A" w:rsidRDefault="00D9712C" w:rsidP="007D1909">
      <w:pPr>
        <w:pStyle w:val="ListParagraph"/>
        <w:numPr>
          <w:ilvl w:val="0"/>
          <w:numId w:val="43"/>
        </w:numPr>
        <w:spacing w:after="120"/>
        <w:contextualSpacing w:val="0"/>
        <w:rPr>
          <w:rFonts w:cstheme="minorHAnsi"/>
          <w:szCs w:val="22"/>
        </w:rPr>
      </w:pPr>
      <w:r w:rsidRPr="0099464A">
        <w:rPr>
          <w:rFonts w:cstheme="minorHAnsi"/>
          <w:szCs w:val="22"/>
        </w:rPr>
        <w:t xml:space="preserve">the layout and design of the existing premises poses risks of harms from problem gambling </w:t>
      </w:r>
      <w:r>
        <w:rPr>
          <w:rFonts w:cstheme="minorHAnsi"/>
          <w:szCs w:val="22"/>
        </w:rPr>
        <w:t>as the</w:t>
      </w:r>
      <w:r w:rsidRPr="0099464A">
        <w:rPr>
          <w:rFonts w:cstheme="minorHAnsi"/>
          <w:szCs w:val="22"/>
        </w:rPr>
        <w:t xml:space="preserve"> sole focus of th</w:t>
      </w:r>
      <w:r w:rsidR="00CA1D0A">
        <w:rPr>
          <w:rFonts w:cstheme="minorHAnsi"/>
          <w:szCs w:val="22"/>
        </w:rPr>
        <w:t>e existing venue is on gambling</w:t>
      </w:r>
    </w:p>
    <w:p w:rsidR="00D9712C" w:rsidRPr="0099464A" w:rsidRDefault="00D9712C" w:rsidP="007D1909">
      <w:pPr>
        <w:pStyle w:val="ListParagraph"/>
        <w:numPr>
          <w:ilvl w:val="0"/>
          <w:numId w:val="43"/>
        </w:numPr>
        <w:spacing w:after="120"/>
        <w:contextualSpacing w:val="0"/>
        <w:rPr>
          <w:rFonts w:cstheme="minorHAnsi"/>
          <w:szCs w:val="22"/>
        </w:rPr>
      </w:pPr>
      <w:r w:rsidRPr="0099464A">
        <w:rPr>
          <w:rFonts w:cstheme="minorHAnsi"/>
          <w:szCs w:val="22"/>
        </w:rPr>
        <w:t xml:space="preserve">there was no part of the </w:t>
      </w:r>
      <w:r>
        <w:rPr>
          <w:rFonts w:cstheme="minorHAnsi"/>
          <w:szCs w:val="22"/>
        </w:rPr>
        <w:t xml:space="preserve">existing </w:t>
      </w:r>
      <w:r w:rsidRPr="0099464A">
        <w:rPr>
          <w:rFonts w:cstheme="minorHAnsi"/>
          <w:szCs w:val="22"/>
        </w:rPr>
        <w:t>premises where patrons are not exposed to the various gambling products</w:t>
      </w:r>
      <w:r w:rsidR="00CA1D0A">
        <w:rPr>
          <w:rFonts w:cstheme="minorHAnsi"/>
          <w:szCs w:val="22"/>
        </w:rPr>
        <w:t xml:space="preserve"> on offer.</w:t>
      </w:r>
    </w:p>
    <w:p w:rsidR="00D9712C" w:rsidRPr="00AE122A" w:rsidRDefault="00D9712C" w:rsidP="00D9712C">
      <w:pPr>
        <w:rPr>
          <w:rFonts w:cstheme="minorHAnsi"/>
          <w:szCs w:val="22"/>
        </w:rPr>
      </w:pPr>
      <w:bookmarkStart w:id="153" w:name="_Hlk481403073"/>
      <w:r w:rsidRPr="00AE122A">
        <w:rPr>
          <w:rFonts w:cstheme="minorHAnsi"/>
        </w:rPr>
        <w:t xml:space="preserve">The Commission noted that </w:t>
      </w:r>
      <w:r w:rsidRPr="00AE122A">
        <w:rPr>
          <w:rFonts w:cstheme="minorHAnsi"/>
          <w:szCs w:val="22"/>
        </w:rPr>
        <w:t>the venue is located on a highly used pedestrian thoroughfare, adjacent to tram lines and in close proximity to the Melbourne Central retail centre and train station</w:t>
      </w:r>
      <w:r>
        <w:rPr>
          <w:rFonts w:cstheme="minorHAnsi"/>
          <w:szCs w:val="22"/>
        </w:rPr>
        <w:t>. With respect to expenditure and the definition of ‘the community of the City of Melbourne’, the Commission noted the following:</w:t>
      </w:r>
    </w:p>
    <w:p w:rsidR="00D9712C" w:rsidRDefault="00D9712C" w:rsidP="00D9712C">
      <w:pPr>
        <w:ind w:left="720"/>
        <w:rPr>
          <w:rFonts w:cstheme="minorHAnsi"/>
        </w:rPr>
      </w:pPr>
      <w:r w:rsidRPr="0099464A">
        <w:rPr>
          <w:rFonts w:cstheme="minorHAnsi"/>
        </w:rPr>
        <w:t xml:space="preserve">“Statistics showing expenditure and EGM density per adult resident in Melbourne are of very limited utility to the Commission because the community of Melbourne compromises </w:t>
      </w:r>
      <w:bookmarkStart w:id="154" w:name="_Hlk482952389"/>
      <w:r w:rsidRPr="0099464A">
        <w:rPr>
          <w:rFonts w:cstheme="minorHAnsi"/>
        </w:rPr>
        <w:t>residents and city users” (paragraph 31).</w:t>
      </w:r>
      <w:bookmarkEnd w:id="154"/>
    </w:p>
    <w:p w:rsidR="00D9712C" w:rsidRDefault="00D9712C" w:rsidP="00D9712C">
      <w:pPr>
        <w:ind w:left="720"/>
        <w:rPr>
          <w:rFonts w:cstheme="minorHAnsi"/>
        </w:rPr>
      </w:pPr>
      <w:r w:rsidRPr="0099464A">
        <w:rPr>
          <w:rFonts w:cstheme="minorHAnsi"/>
        </w:rPr>
        <w:t>“The Commission accepts that the community of the municipal district in this matter includes the residents of the city and the ‘city users’: workers, students and visitors.” (paragraph 37).</w:t>
      </w:r>
    </w:p>
    <w:p w:rsidR="00D9712C" w:rsidRDefault="00D9712C" w:rsidP="00D9712C">
      <w:pPr>
        <w:rPr>
          <w:rFonts w:cstheme="minorHAnsi"/>
        </w:rPr>
      </w:pPr>
      <w:r>
        <w:rPr>
          <w:rFonts w:cstheme="minorHAnsi"/>
        </w:rPr>
        <w:t>The Commission identified the following with regard to gambling-related harms:</w:t>
      </w:r>
    </w:p>
    <w:p w:rsidR="00D9712C" w:rsidRDefault="00D9712C" w:rsidP="007D1909">
      <w:pPr>
        <w:pStyle w:val="ListParagraph"/>
        <w:numPr>
          <w:ilvl w:val="0"/>
          <w:numId w:val="46"/>
        </w:numPr>
        <w:spacing w:after="120"/>
        <w:contextualSpacing w:val="0"/>
        <w:rPr>
          <w:rFonts w:cstheme="minorHAnsi"/>
        </w:rPr>
      </w:pPr>
      <w:r w:rsidRPr="00AB0DC4">
        <w:rPr>
          <w:rFonts w:cstheme="minorHAnsi"/>
        </w:rPr>
        <w:t>Harms associated with the incidence of problem gambling are wide-ranging and attributable to all categories of gamblers and ac</w:t>
      </w:r>
      <w:r>
        <w:rPr>
          <w:rFonts w:cstheme="minorHAnsi"/>
        </w:rPr>
        <w:t>ross the community more broadly.</w:t>
      </w:r>
    </w:p>
    <w:p w:rsidR="00D9712C" w:rsidRPr="00AB0DC4" w:rsidRDefault="00D9712C" w:rsidP="007D1909">
      <w:pPr>
        <w:pStyle w:val="ListParagraph"/>
        <w:numPr>
          <w:ilvl w:val="0"/>
          <w:numId w:val="46"/>
        </w:numPr>
        <w:spacing w:after="120"/>
        <w:contextualSpacing w:val="0"/>
        <w:rPr>
          <w:rFonts w:cstheme="minorHAnsi"/>
        </w:rPr>
      </w:pPr>
      <w:r w:rsidRPr="00AB0DC4">
        <w:rPr>
          <w:rFonts w:cstheme="minorHAnsi"/>
        </w:rPr>
        <w:t>An increase in accessibility to EGMs is associated with an increased risk of problem gambling which leads to other costs such as adverse health outcomes, family brea</w:t>
      </w:r>
      <w:r>
        <w:rPr>
          <w:rFonts w:cstheme="minorHAnsi"/>
        </w:rPr>
        <w:t>kdowns, and other social costs.</w:t>
      </w:r>
    </w:p>
    <w:p w:rsidR="00D9712C" w:rsidRPr="0099464A" w:rsidRDefault="00D9712C" w:rsidP="007D1909">
      <w:pPr>
        <w:pStyle w:val="ListParagraph"/>
        <w:numPr>
          <w:ilvl w:val="0"/>
          <w:numId w:val="46"/>
        </w:numPr>
        <w:spacing w:after="120"/>
        <w:contextualSpacing w:val="0"/>
        <w:rPr>
          <w:rFonts w:cstheme="minorHAnsi"/>
        </w:rPr>
      </w:pPr>
      <w:r w:rsidRPr="0099464A">
        <w:rPr>
          <w:rFonts w:cstheme="minorHAnsi"/>
        </w:rPr>
        <w:t xml:space="preserve">A portion of new expenditure is attributable to problem gambling and this is considered an economic </w:t>
      </w:r>
      <w:r>
        <w:rPr>
          <w:rFonts w:cstheme="minorHAnsi"/>
        </w:rPr>
        <w:t>disbenefit.</w:t>
      </w:r>
    </w:p>
    <w:p w:rsidR="00D9712C" w:rsidRPr="00AB0DC4" w:rsidRDefault="00D9712C" w:rsidP="007D1909">
      <w:pPr>
        <w:pStyle w:val="ListParagraph"/>
        <w:numPr>
          <w:ilvl w:val="0"/>
          <w:numId w:val="46"/>
        </w:numPr>
        <w:spacing w:after="120"/>
        <w:contextualSpacing w:val="0"/>
        <w:rPr>
          <w:rFonts w:cstheme="minorHAnsi"/>
        </w:rPr>
      </w:pPr>
      <w:r w:rsidRPr="00AB0DC4">
        <w:rPr>
          <w:rFonts w:cstheme="minorHAnsi"/>
        </w:rPr>
        <w:t>Problem gambling has an economic cost relating to the provision of services, the financial losses of gamblers and support services for problem gamblers and family.</w:t>
      </w:r>
    </w:p>
    <w:bookmarkEnd w:id="153"/>
    <w:p w:rsidR="00D9712C" w:rsidRDefault="00D9712C" w:rsidP="00D9712C">
      <w:pPr>
        <w:rPr>
          <w:rFonts w:cstheme="minorHAnsi"/>
        </w:rPr>
      </w:pPr>
      <w:r>
        <w:rPr>
          <w:rFonts w:cstheme="minorHAnsi"/>
        </w:rPr>
        <w:t>The Commission identified the following potential benefits:</w:t>
      </w:r>
    </w:p>
    <w:p w:rsidR="00D9712C" w:rsidRPr="0099464A" w:rsidRDefault="00D9712C" w:rsidP="007D1909">
      <w:pPr>
        <w:pStyle w:val="ListParagraph"/>
        <w:numPr>
          <w:ilvl w:val="0"/>
          <w:numId w:val="46"/>
        </w:numPr>
        <w:spacing w:after="120"/>
        <w:contextualSpacing w:val="0"/>
        <w:rPr>
          <w:rFonts w:cstheme="minorHAnsi"/>
        </w:rPr>
      </w:pPr>
      <w:r w:rsidRPr="0099464A">
        <w:rPr>
          <w:rFonts w:cstheme="minorHAnsi"/>
        </w:rPr>
        <w:t>“To the extent that gaming expenditure is not associated with problem gambling, it has been recognised that such expenditure can be treated as an economic positive. This approach also brings to account the benefit obtained from pure consumption by the lone gambler who does not use EGMs for social reasons” (para</w:t>
      </w:r>
      <w:r>
        <w:rPr>
          <w:rFonts w:cstheme="minorHAnsi"/>
        </w:rPr>
        <w:t>graph</w:t>
      </w:r>
      <w:r w:rsidRPr="0099464A">
        <w:rPr>
          <w:rFonts w:cstheme="minorHAnsi"/>
        </w:rPr>
        <w:t xml:space="preserve"> 38)</w:t>
      </w:r>
    </w:p>
    <w:p w:rsidR="00D9712C" w:rsidRPr="0099464A" w:rsidRDefault="00D9712C" w:rsidP="007D1909">
      <w:pPr>
        <w:pStyle w:val="ListParagraph"/>
        <w:numPr>
          <w:ilvl w:val="0"/>
          <w:numId w:val="46"/>
        </w:numPr>
        <w:spacing w:after="120"/>
        <w:contextualSpacing w:val="0"/>
        <w:rPr>
          <w:rFonts w:cstheme="minorHAnsi"/>
        </w:rPr>
      </w:pPr>
      <w:r w:rsidRPr="0099464A">
        <w:rPr>
          <w:rFonts w:cstheme="minorHAnsi"/>
        </w:rPr>
        <w:t>For those who enjoy gambling as a legitimate recreational activity, an increase in the number of EGMs at the premises improves the variety of EGMs offered and may represent a social benefit (</w:t>
      </w:r>
      <w:r>
        <w:rPr>
          <w:rFonts w:cstheme="minorHAnsi"/>
        </w:rPr>
        <w:t xml:space="preserve">paragraph </w:t>
      </w:r>
      <w:r w:rsidRPr="0099464A">
        <w:rPr>
          <w:rFonts w:cstheme="minorHAnsi"/>
        </w:rPr>
        <w:t>72)</w:t>
      </w:r>
    </w:p>
    <w:p w:rsidR="00D9712C" w:rsidRPr="0099464A" w:rsidRDefault="00D9712C" w:rsidP="00D9712C">
      <w:pPr>
        <w:rPr>
          <w:rFonts w:cstheme="minorHAnsi"/>
        </w:rPr>
      </w:pPr>
      <w:r w:rsidRPr="0099464A">
        <w:rPr>
          <w:rFonts w:cstheme="minorHAnsi"/>
        </w:rPr>
        <w:t>Conditions imposed on the approval related to the removal of the outdoor smoking area adjacent to the EGM gaming lounge, the requirement for the chaplaincy service to be available, the allocation of a cash contribution to a charitable organisation which addresses homelessness in the City of Melbourne and the removal of the Keno facilities while the EGMs are in operation.</w:t>
      </w:r>
    </w:p>
    <w:p w:rsidR="00D9712C" w:rsidRPr="0099464A" w:rsidRDefault="00D9712C" w:rsidP="00D9712C">
      <w:pPr>
        <w:pStyle w:val="Heading4"/>
        <w:rPr>
          <w:rFonts w:asciiTheme="minorHAnsi" w:hAnsiTheme="minorHAnsi" w:cstheme="minorHAnsi"/>
        </w:rPr>
      </w:pPr>
      <w:r w:rsidRPr="0099464A">
        <w:rPr>
          <w:rFonts w:asciiTheme="minorHAnsi" w:hAnsiTheme="minorHAnsi" w:cstheme="minorHAnsi"/>
        </w:rPr>
        <w:t>Exchange Hotel</w:t>
      </w:r>
    </w:p>
    <w:p w:rsidR="00D9712C" w:rsidRPr="0099464A" w:rsidRDefault="00D9712C" w:rsidP="00D9712C">
      <w:pPr>
        <w:rPr>
          <w:rFonts w:cstheme="minorHAnsi"/>
        </w:rPr>
      </w:pPr>
      <w:r>
        <w:rPr>
          <w:rFonts w:cstheme="minorHAnsi"/>
        </w:rPr>
        <w:t xml:space="preserve">The Exchange Hotel is located at </w:t>
      </w:r>
      <w:r w:rsidRPr="0099464A">
        <w:rPr>
          <w:rFonts w:cstheme="minorHAnsi"/>
        </w:rPr>
        <w:t>120 King Street,</w:t>
      </w:r>
      <w:r>
        <w:rPr>
          <w:rFonts w:cstheme="minorHAnsi"/>
        </w:rPr>
        <w:t xml:space="preserve"> Melbourne. The application involved both a planning permit and application for gaming approval to introduce 54 EGMs into an existing hotel. The application for gaming approval was approved by the Commission. Council</w:t>
      </w:r>
      <w:r w:rsidRPr="0099464A">
        <w:rPr>
          <w:rFonts w:cstheme="minorHAnsi"/>
        </w:rPr>
        <w:t xml:space="preserve"> objected to the application for a gaming licence and refused the application for the planning permit.</w:t>
      </w:r>
    </w:p>
    <w:p w:rsidR="00D9712C" w:rsidRPr="0099464A" w:rsidRDefault="00D9712C" w:rsidP="00D9712C">
      <w:pPr>
        <w:rPr>
          <w:rFonts w:cstheme="minorHAnsi"/>
        </w:rPr>
      </w:pPr>
      <w:r w:rsidRPr="0099464A">
        <w:rPr>
          <w:rFonts w:cstheme="minorHAnsi"/>
        </w:rPr>
        <w:t>A joint review of both the gaming and planning decisions was considered by the Tribunal which determined to approve the application for the gaming licence but refuse the application for a planning permit. The key reason for the Tribunal refusing the planning permit application was the potential social and economic impacts on the residents of the adjoining social housing development</w:t>
      </w:r>
      <w:r>
        <w:rPr>
          <w:rFonts w:cstheme="minorHAnsi"/>
        </w:rPr>
        <w:t xml:space="preserve"> and </w:t>
      </w:r>
      <w:r w:rsidRPr="0099464A">
        <w:rPr>
          <w:rFonts w:cstheme="minorHAnsi"/>
        </w:rPr>
        <w:t>proximity to education uses.</w:t>
      </w:r>
    </w:p>
    <w:p w:rsidR="00D9712C" w:rsidRPr="0099464A" w:rsidRDefault="00D9712C" w:rsidP="00D9712C">
      <w:pPr>
        <w:rPr>
          <w:rFonts w:cstheme="minorHAnsi"/>
        </w:rPr>
      </w:pPr>
      <w:r w:rsidRPr="0099464A">
        <w:rPr>
          <w:rFonts w:cstheme="minorHAnsi"/>
        </w:rPr>
        <w:t xml:space="preserve">In this case the Tribunal clearly describes the different considerations under the </w:t>
      </w:r>
      <w:r w:rsidRPr="0099464A">
        <w:rPr>
          <w:rFonts w:cstheme="minorHAnsi"/>
          <w:i/>
        </w:rPr>
        <w:t>Gambling Regulation Act 2003</w:t>
      </w:r>
      <w:r w:rsidRPr="0099464A">
        <w:rPr>
          <w:rFonts w:cstheme="minorHAnsi"/>
        </w:rPr>
        <w:t xml:space="preserve"> and the </w:t>
      </w:r>
      <w:r w:rsidRPr="0099464A">
        <w:rPr>
          <w:rFonts w:cstheme="minorHAnsi"/>
          <w:i/>
        </w:rPr>
        <w:t xml:space="preserve">Planning and Environment Act 1987 </w:t>
      </w:r>
      <w:r w:rsidRPr="0099464A">
        <w:rPr>
          <w:rFonts w:cstheme="minorHAnsi"/>
        </w:rPr>
        <w:t>as follows:</w:t>
      </w:r>
    </w:p>
    <w:p w:rsidR="00D9712C" w:rsidRPr="0099464A" w:rsidRDefault="00D9712C" w:rsidP="00D9712C">
      <w:pPr>
        <w:ind w:left="720"/>
        <w:rPr>
          <w:rFonts w:cstheme="minorHAnsi"/>
        </w:rPr>
      </w:pPr>
      <w:r w:rsidRPr="0099464A">
        <w:rPr>
          <w:rFonts w:cstheme="minorHAnsi"/>
        </w:rPr>
        <w:t xml:space="preserve">“With the gaming approval process involving the balancing of broader considerations about the potential social and economic impacts on the community of this municipality (notably the </w:t>
      </w:r>
      <w:r>
        <w:rPr>
          <w:rFonts w:cstheme="minorHAnsi"/>
        </w:rPr>
        <w:t>Hoddle Grid</w:t>
      </w:r>
      <w:r w:rsidRPr="0099464A">
        <w:rPr>
          <w:rFonts w:cstheme="minorHAnsi"/>
        </w:rPr>
        <w:t xml:space="preserve">), we have found the ‘no net detriment to the wellbeing of this community’ test to be met.  </w:t>
      </w:r>
      <w:bookmarkStart w:id="155" w:name="_Hlk482952640"/>
      <w:r w:rsidRPr="0099464A">
        <w:rPr>
          <w:rFonts w:cstheme="minorHAnsi"/>
        </w:rPr>
        <w:t>However the planning assessment requires a location-specific assessment</w:t>
      </w:r>
      <w:bookmarkEnd w:id="155"/>
      <w:r w:rsidRPr="0099464A">
        <w:rPr>
          <w:rFonts w:cstheme="minorHAnsi"/>
        </w:rPr>
        <w:t>, and we have found the proposal (whilst having various positive features) has compatibility issues with Wintringham’s social housing facility and is an unacceptable planning outc</w:t>
      </w:r>
      <w:r w:rsidR="00CA1D0A">
        <w:rPr>
          <w:rFonts w:cstheme="minorHAnsi"/>
        </w:rPr>
        <w:t>ome in this particular location</w:t>
      </w:r>
      <w:r w:rsidRPr="0099464A">
        <w:rPr>
          <w:rFonts w:cstheme="minorHAnsi"/>
        </w:rPr>
        <w:t>” (paragraph 5)</w:t>
      </w:r>
      <w:r w:rsidR="00CA1D0A">
        <w:rPr>
          <w:rFonts w:cstheme="minorHAnsi"/>
        </w:rPr>
        <w:t>.</w:t>
      </w:r>
    </w:p>
    <w:p w:rsidR="00D9712C" w:rsidRPr="0099464A" w:rsidRDefault="00D9712C" w:rsidP="00D9712C">
      <w:pPr>
        <w:pStyle w:val="Heading4"/>
        <w:rPr>
          <w:rFonts w:asciiTheme="minorHAnsi" w:hAnsiTheme="minorHAnsi" w:cstheme="minorHAnsi"/>
        </w:rPr>
      </w:pPr>
      <w:r w:rsidRPr="0099464A">
        <w:rPr>
          <w:rFonts w:asciiTheme="minorHAnsi" w:hAnsiTheme="minorHAnsi" w:cstheme="minorHAnsi"/>
        </w:rPr>
        <w:t>Francis Hotel</w:t>
      </w:r>
    </w:p>
    <w:p w:rsidR="00D9712C" w:rsidRDefault="00D9712C" w:rsidP="00D9712C">
      <w:pPr>
        <w:rPr>
          <w:rFonts w:cstheme="minorHAnsi"/>
        </w:rPr>
      </w:pPr>
      <w:r>
        <w:rPr>
          <w:rFonts w:cstheme="minorHAnsi"/>
        </w:rPr>
        <w:t xml:space="preserve">The Francis Hotel is located at </w:t>
      </w:r>
      <w:r w:rsidRPr="0099464A">
        <w:rPr>
          <w:rFonts w:cstheme="minorHAnsi"/>
        </w:rPr>
        <w:t>383-387 Lonsdale Street</w:t>
      </w:r>
      <w:r>
        <w:rPr>
          <w:rFonts w:cstheme="minorHAnsi"/>
        </w:rPr>
        <w:t>, Melbourne. The proposal involved both applications for both planning permit and gaming approval to install 34 EGMs into an existing hotel.</w:t>
      </w:r>
    </w:p>
    <w:p w:rsidR="00D9712C" w:rsidRDefault="00D9712C" w:rsidP="00D9712C">
      <w:pPr>
        <w:rPr>
          <w:rFonts w:cstheme="minorHAnsi"/>
        </w:rPr>
      </w:pPr>
      <w:r w:rsidRPr="0099464A">
        <w:rPr>
          <w:rFonts w:cstheme="minorHAnsi"/>
        </w:rPr>
        <w:t>Council</w:t>
      </w:r>
      <w:r>
        <w:rPr>
          <w:rFonts w:cstheme="minorHAnsi"/>
        </w:rPr>
        <w:t xml:space="preserve"> objected to the application for gaming approval as the proposal involved both an increase in the number of EGMs into the municipality and the establishment of </w:t>
      </w:r>
      <w:r w:rsidRPr="0099464A">
        <w:rPr>
          <w:rFonts w:cstheme="minorHAnsi"/>
        </w:rPr>
        <w:t>a new venue.</w:t>
      </w:r>
    </w:p>
    <w:p w:rsidR="00D9712C" w:rsidRDefault="00D9712C" w:rsidP="00D9712C">
      <w:pPr>
        <w:rPr>
          <w:rFonts w:cstheme="minorHAnsi"/>
        </w:rPr>
      </w:pPr>
      <w:r>
        <w:rPr>
          <w:rFonts w:cstheme="minorHAnsi"/>
        </w:rPr>
        <w:t>Despite granting the application for gaming approval, the Commission noted that the proposal site is l</w:t>
      </w:r>
      <w:r w:rsidRPr="0099464A">
        <w:rPr>
          <w:rFonts w:cstheme="minorHAnsi"/>
        </w:rPr>
        <w:t>ocated within 400m of The Celtic Club and the Meeting Place</w:t>
      </w:r>
      <w:r>
        <w:rPr>
          <w:rFonts w:cstheme="minorHAnsi"/>
        </w:rPr>
        <w:t xml:space="preserve"> and in close proximity to</w:t>
      </w:r>
      <w:r w:rsidRPr="0099464A">
        <w:rPr>
          <w:rFonts w:cstheme="minorHAnsi"/>
        </w:rPr>
        <w:t xml:space="preserve"> two community housing developments namely Drill Hall (800m) and the Common Ground (2km).</w:t>
      </w:r>
    </w:p>
    <w:p w:rsidR="00D9712C" w:rsidRPr="0099464A" w:rsidRDefault="00D9712C" w:rsidP="00D9712C">
      <w:pPr>
        <w:ind w:left="720"/>
        <w:rPr>
          <w:rFonts w:cstheme="minorHAnsi"/>
        </w:rPr>
      </w:pPr>
      <w:r w:rsidRPr="0099464A">
        <w:rPr>
          <w:rFonts w:cstheme="minorHAnsi"/>
        </w:rPr>
        <w:t>“The Commission is concerned that approval of the premises will result in the creation of a cluster of gaming venues in the area bounded by Lonsdale, Latrobe, Elizabeth and Queen Streets. I</w:t>
      </w:r>
      <w:r>
        <w:rPr>
          <w:rFonts w:cstheme="minorHAnsi"/>
        </w:rPr>
        <w:t>n</w:t>
      </w:r>
      <w:r w:rsidRPr="0099464A">
        <w:rPr>
          <w:rFonts w:cstheme="minorHAnsi"/>
        </w:rPr>
        <w:t xml:space="preserve"> the Commission’s view, such clusters of electronic gaming venues pose a potential risk to persons, such as problem gamblers, who wish to avoid the temptation posed to them [by] electronic gaming venues. Further, the Commission is concerned that approval of the premises as suitable for gaming will add to the already high density of electronic gaming venues in the central</w:t>
      </w:r>
      <w:r>
        <w:rPr>
          <w:rFonts w:cstheme="minorHAnsi"/>
        </w:rPr>
        <w:t xml:space="preserve"> business district of Melbourne. </w:t>
      </w:r>
      <w:r w:rsidRPr="0099464A">
        <w:rPr>
          <w:rFonts w:cstheme="minorHAnsi"/>
        </w:rPr>
        <w:t>However, as the Commission has noted on previous occasions, the high density of electronic gaming venues in the central business district of Melbourne suggests that the marginal impact on gambling-related harm of any one new venue is likely to [be] small, or indeed, non-existent. This is especially so when the proposed venue is one which will have a small number of EGMs and in which the electronic gaming will be a minor aspect of the overall entertainment offering.” (para</w:t>
      </w:r>
      <w:r>
        <w:rPr>
          <w:rFonts w:cstheme="minorHAnsi"/>
        </w:rPr>
        <w:t>graph</w:t>
      </w:r>
      <w:r w:rsidRPr="0099464A">
        <w:rPr>
          <w:rFonts w:cstheme="minorHAnsi"/>
        </w:rPr>
        <w:t xml:space="preserve"> 42)</w:t>
      </w:r>
      <w:r>
        <w:rPr>
          <w:rFonts w:cstheme="minorHAnsi"/>
        </w:rPr>
        <w:t>.</w:t>
      </w:r>
    </w:p>
    <w:p w:rsidR="00D9712C" w:rsidRPr="0099464A" w:rsidRDefault="00D9712C" w:rsidP="00D9712C">
      <w:pPr>
        <w:rPr>
          <w:rFonts w:cstheme="minorHAnsi"/>
        </w:rPr>
      </w:pPr>
      <w:r w:rsidRPr="0099464A">
        <w:rPr>
          <w:rFonts w:cstheme="minorHAnsi"/>
        </w:rPr>
        <w:t>The Tribunal set aside the Commission’s decision to approve the gaming licence and affirmed Council’s decision to refuse the planning permit application. The key grounds for the Tribunal’s decision</w:t>
      </w:r>
      <w:r>
        <w:rPr>
          <w:rFonts w:cstheme="minorHAnsi"/>
        </w:rPr>
        <w:t xml:space="preserve"> were that</w:t>
      </w:r>
      <w:r w:rsidRPr="0099464A">
        <w:rPr>
          <w:rFonts w:cstheme="minorHAnsi"/>
        </w:rPr>
        <w:t>:</w:t>
      </w:r>
    </w:p>
    <w:p w:rsidR="00D9712C" w:rsidRPr="0099464A" w:rsidRDefault="00D9712C" w:rsidP="007D1909">
      <w:pPr>
        <w:numPr>
          <w:ilvl w:val="0"/>
          <w:numId w:val="44"/>
        </w:numPr>
        <w:rPr>
          <w:rFonts w:cstheme="minorHAnsi"/>
        </w:rPr>
      </w:pPr>
      <w:r w:rsidRPr="0099464A">
        <w:rPr>
          <w:rFonts w:cstheme="minorHAnsi"/>
        </w:rPr>
        <w:t>Approval would result in a ‘functional’ cluster of venues. This would add risk to problem gamblers and have a negative impact on social well-being. It was also contrary to local planning policy and would not provide a satisfactory active street frontage in accordance with the relevant DDO provisions of the Melbourne Planning Scheme.</w:t>
      </w:r>
    </w:p>
    <w:p w:rsidR="00D9712C" w:rsidRPr="0099464A" w:rsidRDefault="00D9712C" w:rsidP="007D1909">
      <w:pPr>
        <w:numPr>
          <w:ilvl w:val="0"/>
          <w:numId w:val="44"/>
        </w:numPr>
        <w:rPr>
          <w:rFonts w:cstheme="minorHAnsi"/>
        </w:rPr>
      </w:pPr>
      <w:r w:rsidRPr="0099464A">
        <w:rPr>
          <w:rFonts w:cstheme="minorHAnsi"/>
        </w:rPr>
        <w:t>The difficulties in securing proposed community contributions by undertakings or conditions of either gaming or planning approval.</w:t>
      </w:r>
    </w:p>
    <w:p w:rsidR="00D9712C" w:rsidRPr="0099464A" w:rsidRDefault="00D9712C" w:rsidP="00D9712C">
      <w:pPr>
        <w:rPr>
          <w:rFonts w:cstheme="minorHAnsi"/>
        </w:rPr>
      </w:pPr>
      <w:r>
        <w:rPr>
          <w:rFonts w:cstheme="minorHAnsi"/>
        </w:rPr>
        <w:t>The Tribunal also noted that the proximity of the venue</w:t>
      </w:r>
      <w:r w:rsidRPr="00F258FF">
        <w:rPr>
          <w:rFonts w:cstheme="minorHAnsi"/>
        </w:rPr>
        <w:t xml:space="preserve"> </w:t>
      </w:r>
      <w:r w:rsidRPr="0099464A">
        <w:rPr>
          <w:rFonts w:cstheme="minorHAnsi"/>
        </w:rPr>
        <w:t xml:space="preserve">to Crown Casino made it difficult for the applicant to predict the revenue. </w:t>
      </w:r>
    </w:p>
    <w:p w:rsidR="00D9712C" w:rsidRPr="0099464A" w:rsidRDefault="00D9712C" w:rsidP="00D9712C">
      <w:pPr>
        <w:pStyle w:val="Heading4"/>
        <w:rPr>
          <w:rFonts w:asciiTheme="minorHAnsi" w:hAnsiTheme="minorHAnsi" w:cstheme="minorHAnsi"/>
        </w:rPr>
      </w:pPr>
      <w:r w:rsidRPr="0099464A">
        <w:rPr>
          <w:rFonts w:asciiTheme="minorHAnsi" w:hAnsiTheme="minorHAnsi" w:cstheme="minorHAnsi"/>
        </w:rPr>
        <w:t>Queensberry Hotel</w:t>
      </w:r>
    </w:p>
    <w:p w:rsidR="00D9712C" w:rsidRDefault="00D9712C" w:rsidP="00D9712C">
      <w:pPr>
        <w:rPr>
          <w:rFonts w:cstheme="minorHAnsi"/>
        </w:rPr>
      </w:pPr>
      <w:r>
        <w:rPr>
          <w:rFonts w:cstheme="minorHAnsi"/>
        </w:rPr>
        <w:t xml:space="preserve">The Queensberry Hotel is located at </w:t>
      </w:r>
      <w:r w:rsidRPr="0099464A">
        <w:rPr>
          <w:rFonts w:cstheme="minorHAnsi"/>
        </w:rPr>
        <w:t>593 Swanston Street Carlton</w:t>
      </w:r>
      <w:r>
        <w:rPr>
          <w:rFonts w:cstheme="minorHAnsi"/>
        </w:rPr>
        <w:t>, on the Carlton United Breweries site. The Minister for Planning and Community Development is the Responsible Authority for the site which is zoned Comprehensive Development Zone and will consist of a large mixed use development incorporating residential, office and commercial premises.</w:t>
      </w:r>
    </w:p>
    <w:p w:rsidR="00D9712C" w:rsidRDefault="00D9712C" w:rsidP="00D9712C">
      <w:pPr>
        <w:rPr>
          <w:rFonts w:cstheme="minorHAnsi"/>
        </w:rPr>
      </w:pPr>
      <w:r>
        <w:rPr>
          <w:rFonts w:cstheme="minorHAnsi"/>
        </w:rPr>
        <w:t>The application involved both a planning permit and gaming approval for the installation of 30 EGMs into an existing hotel. Council objected to the planning permit application and gaming approval on the grounds that the site is located in close proximity to public housing and student accommodation which could lead to convenience gambling among groups at an elevated risk of gambling-related harms.</w:t>
      </w:r>
    </w:p>
    <w:p w:rsidR="00D9712C" w:rsidRPr="0099464A" w:rsidRDefault="00D9712C" w:rsidP="00D9712C">
      <w:pPr>
        <w:rPr>
          <w:rFonts w:cstheme="minorHAnsi"/>
        </w:rPr>
      </w:pPr>
      <w:r w:rsidRPr="0099464A">
        <w:rPr>
          <w:rFonts w:cstheme="minorHAnsi"/>
        </w:rPr>
        <w:t xml:space="preserve">Commission </w:t>
      </w:r>
      <w:r>
        <w:rPr>
          <w:rFonts w:cstheme="minorHAnsi"/>
        </w:rPr>
        <w:t xml:space="preserve">was </w:t>
      </w:r>
      <w:r w:rsidRPr="0099464A">
        <w:rPr>
          <w:rFonts w:cstheme="minorHAnsi"/>
        </w:rPr>
        <w:t>of the view that given the s</w:t>
      </w:r>
      <w:r>
        <w:rPr>
          <w:rFonts w:cstheme="minorHAnsi"/>
        </w:rPr>
        <w:t>pecific context of the City of M</w:t>
      </w:r>
      <w:r w:rsidRPr="0099464A">
        <w:rPr>
          <w:rFonts w:cstheme="minorHAnsi"/>
        </w:rPr>
        <w:t xml:space="preserve">elbourne and its role as a tourist and community hub, EGM expenditure and density figures are less important than in other municipalities (para 30). </w:t>
      </w:r>
      <w:r>
        <w:rPr>
          <w:rFonts w:cstheme="minorHAnsi"/>
        </w:rPr>
        <w:t>They felt that the i</w:t>
      </w:r>
      <w:r w:rsidRPr="0099464A">
        <w:rPr>
          <w:rFonts w:cstheme="minorHAnsi"/>
        </w:rPr>
        <w:t xml:space="preserve">mbalance between those who visit in the </w:t>
      </w:r>
      <w:r>
        <w:rPr>
          <w:rFonts w:cstheme="minorHAnsi"/>
        </w:rPr>
        <w:t>Hoddle Grid</w:t>
      </w:r>
      <w:r w:rsidRPr="0099464A">
        <w:rPr>
          <w:rFonts w:cstheme="minorHAnsi"/>
        </w:rPr>
        <w:t xml:space="preserve"> and those who reside there means that any division of total expenditure by the relatively small number of residents must produce a distorted result</w:t>
      </w:r>
      <w:r>
        <w:rPr>
          <w:rFonts w:cstheme="minorHAnsi"/>
        </w:rPr>
        <w:t>, concluding that a</w:t>
      </w:r>
      <w:r w:rsidRPr="0099464A">
        <w:rPr>
          <w:rFonts w:cstheme="minorHAnsi"/>
        </w:rPr>
        <w:t xml:space="preserve"> large proportion of EGM expenditure</w:t>
      </w:r>
      <w:r>
        <w:rPr>
          <w:rFonts w:cstheme="minorHAnsi"/>
        </w:rPr>
        <w:t xml:space="preserve"> within the Hoddle Grid is expenditure </w:t>
      </w:r>
      <w:r w:rsidRPr="0099464A">
        <w:rPr>
          <w:rFonts w:cstheme="minorHAnsi"/>
        </w:rPr>
        <w:t>by people who do not live there (para 41)</w:t>
      </w:r>
      <w:r>
        <w:rPr>
          <w:rFonts w:cstheme="minorHAnsi"/>
        </w:rPr>
        <w:t>.</w:t>
      </w:r>
    </w:p>
    <w:p w:rsidR="00D9712C" w:rsidRPr="0099464A" w:rsidRDefault="00D9712C" w:rsidP="00D9712C">
      <w:pPr>
        <w:rPr>
          <w:rFonts w:cstheme="minorHAnsi"/>
        </w:rPr>
      </w:pPr>
      <w:r>
        <w:rPr>
          <w:rFonts w:cstheme="minorHAnsi"/>
        </w:rPr>
        <w:t>The Commission granted approval, noting that the considerations were finely balanced. It also noted that the transfer of EGMs</w:t>
      </w:r>
      <w:r w:rsidRPr="0099464A">
        <w:rPr>
          <w:rFonts w:cstheme="minorHAnsi"/>
        </w:rPr>
        <w:t xml:space="preserve"> from area of low to high relative socio-economic disadvantage </w:t>
      </w:r>
      <w:r>
        <w:rPr>
          <w:rFonts w:cstheme="minorHAnsi"/>
        </w:rPr>
        <w:t>is</w:t>
      </w:r>
      <w:r w:rsidRPr="0099464A">
        <w:rPr>
          <w:rFonts w:cstheme="minorHAnsi"/>
        </w:rPr>
        <w:t xml:space="preserve"> more favourable than installation of new EGMs (para</w:t>
      </w:r>
      <w:r>
        <w:rPr>
          <w:rFonts w:cstheme="minorHAnsi"/>
        </w:rPr>
        <w:t>graph</w:t>
      </w:r>
      <w:r w:rsidRPr="0099464A">
        <w:rPr>
          <w:rFonts w:cstheme="minorHAnsi"/>
        </w:rPr>
        <w:t xml:space="preserve"> 38C).</w:t>
      </w:r>
      <w:r>
        <w:rPr>
          <w:rFonts w:cstheme="minorHAnsi"/>
        </w:rPr>
        <w:t xml:space="preserve"> It also noted that the imposition of a </w:t>
      </w:r>
      <w:r w:rsidRPr="0099464A">
        <w:rPr>
          <w:rFonts w:cstheme="minorHAnsi"/>
        </w:rPr>
        <w:t xml:space="preserve">regional cap in Carlton reflects </w:t>
      </w:r>
      <w:r>
        <w:rPr>
          <w:rFonts w:cstheme="minorHAnsi"/>
        </w:rPr>
        <w:t xml:space="preserve">the State’s acknowledgement that Carlton is a </w:t>
      </w:r>
      <w:r w:rsidRPr="0099464A">
        <w:rPr>
          <w:rFonts w:cstheme="minorHAnsi"/>
        </w:rPr>
        <w:t>vulnerable community</w:t>
      </w:r>
      <w:r>
        <w:rPr>
          <w:rFonts w:cstheme="minorHAnsi"/>
        </w:rPr>
        <w:t>. However, the Commission did not consider that students are at an elevated risk of gambling-related harms (paragraph 38F).</w:t>
      </w:r>
    </w:p>
    <w:p w:rsidR="00D9712C" w:rsidRPr="0099464A" w:rsidRDefault="00D9712C" w:rsidP="00D9712C">
      <w:pPr>
        <w:rPr>
          <w:rFonts w:cstheme="minorHAnsi"/>
        </w:rPr>
      </w:pPr>
      <w:r w:rsidRPr="0099464A">
        <w:rPr>
          <w:rFonts w:cstheme="minorHAnsi"/>
        </w:rPr>
        <w:t xml:space="preserve">The Tribunal determined to uphold </w:t>
      </w:r>
      <w:r>
        <w:rPr>
          <w:rFonts w:cstheme="minorHAnsi"/>
        </w:rPr>
        <w:t>the Responsible Authority’s</w:t>
      </w:r>
      <w:r w:rsidRPr="0099464A">
        <w:rPr>
          <w:rFonts w:cstheme="minorHAnsi"/>
        </w:rPr>
        <w:t xml:space="preserve"> decision to refuse the application for the planning permit on the following grounds:</w:t>
      </w:r>
    </w:p>
    <w:p w:rsidR="00D9712C" w:rsidRPr="0099464A" w:rsidRDefault="00D9712C" w:rsidP="007D1909">
      <w:pPr>
        <w:pStyle w:val="ListParagraph"/>
        <w:numPr>
          <w:ilvl w:val="0"/>
          <w:numId w:val="45"/>
        </w:numPr>
        <w:spacing w:after="120"/>
        <w:contextualSpacing w:val="0"/>
        <w:rPr>
          <w:rFonts w:cstheme="minorHAnsi"/>
        </w:rPr>
      </w:pPr>
      <w:r w:rsidRPr="0099464A">
        <w:rPr>
          <w:rFonts w:cstheme="minorHAnsi"/>
        </w:rPr>
        <w:t>The intended uses of the area surrounding the site would include those typically associated with people’s day to day activities with the result that the gaming venue may result in convenience gambling which could contribute to gambling-related harms.</w:t>
      </w:r>
    </w:p>
    <w:p w:rsidR="00D9712C" w:rsidRPr="0099464A" w:rsidRDefault="00D9712C" w:rsidP="007D1909">
      <w:pPr>
        <w:pStyle w:val="ListParagraph"/>
        <w:numPr>
          <w:ilvl w:val="0"/>
          <w:numId w:val="45"/>
        </w:numPr>
        <w:spacing w:after="120"/>
        <w:contextualSpacing w:val="0"/>
        <w:rPr>
          <w:rFonts w:cstheme="minorHAnsi"/>
        </w:rPr>
      </w:pPr>
      <w:r w:rsidRPr="0099464A">
        <w:rPr>
          <w:rFonts w:cstheme="minorHAnsi"/>
        </w:rPr>
        <w:t>The site would be more accessible to social housing developments than other gaming venues in the vicinity due to its location in relation to tram routes.</w:t>
      </w:r>
    </w:p>
    <w:p w:rsidR="00D9712C" w:rsidRPr="0099464A" w:rsidRDefault="00D9712C" w:rsidP="00D9712C">
      <w:pPr>
        <w:pStyle w:val="Heading4"/>
        <w:rPr>
          <w:rFonts w:asciiTheme="minorHAnsi" w:hAnsiTheme="minorHAnsi" w:cstheme="minorHAnsi"/>
        </w:rPr>
      </w:pPr>
      <w:r w:rsidRPr="0099464A">
        <w:rPr>
          <w:rFonts w:asciiTheme="minorHAnsi" w:hAnsiTheme="minorHAnsi" w:cstheme="minorHAnsi"/>
        </w:rPr>
        <w:t>Victoria Hotel</w:t>
      </w:r>
    </w:p>
    <w:p w:rsidR="00D9712C" w:rsidRDefault="00D9712C" w:rsidP="00D9712C">
      <w:pPr>
        <w:rPr>
          <w:rFonts w:cstheme="minorHAnsi"/>
        </w:rPr>
      </w:pPr>
      <w:r>
        <w:rPr>
          <w:rFonts w:cstheme="minorHAnsi"/>
        </w:rPr>
        <w:t xml:space="preserve">The Victoria Hotel is located at </w:t>
      </w:r>
      <w:r w:rsidRPr="0099464A">
        <w:rPr>
          <w:rFonts w:cstheme="minorHAnsi"/>
        </w:rPr>
        <w:t>201 Little Collins Street</w:t>
      </w:r>
      <w:r>
        <w:rPr>
          <w:rFonts w:cstheme="minorHAnsi"/>
        </w:rPr>
        <w:t>, Melbourne. The proposal involved an application for gaming approval to operate 30 EGMs in an existing hotel.</w:t>
      </w:r>
    </w:p>
    <w:p w:rsidR="00D9712C" w:rsidRPr="0099464A" w:rsidRDefault="00D9712C" w:rsidP="00D9712C">
      <w:pPr>
        <w:rPr>
          <w:rFonts w:cstheme="minorHAnsi"/>
        </w:rPr>
      </w:pPr>
      <w:r>
        <w:rPr>
          <w:rFonts w:cstheme="minorHAnsi"/>
        </w:rPr>
        <w:t>The Commission refused the application on the following grounds:</w:t>
      </w:r>
    </w:p>
    <w:p w:rsidR="00D9712C" w:rsidRDefault="00D9712C" w:rsidP="007D1909">
      <w:pPr>
        <w:pStyle w:val="ListParagraph"/>
        <w:numPr>
          <w:ilvl w:val="0"/>
          <w:numId w:val="53"/>
        </w:numPr>
        <w:spacing w:after="120"/>
        <w:contextualSpacing w:val="0"/>
        <w:rPr>
          <w:rFonts w:cstheme="minorHAnsi"/>
        </w:rPr>
      </w:pPr>
      <w:r>
        <w:rPr>
          <w:rFonts w:cstheme="minorHAnsi"/>
        </w:rPr>
        <w:t>p</w:t>
      </w:r>
      <w:r w:rsidRPr="00BD006E">
        <w:rPr>
          <w:rFonts w:cstheme="minorHAnsi"/>
        </w:rPr>
        <w:t>roximity to Urban Seed, a facility for people experiencing health issues and socio-economic disadvantage</w:t>
      </w:r>
      <w:r w:rsidR="00CA1D0A">
        <w:rPr>
          <w:rFonts w:cstheme="minorHAnsi"/>
        </w:rPr>
        <w:t>.</w:t>
      </w:r>
    </w:p>
    <w:p w:rsidR="00D9712C" w:rsidRDefault="00D9712C" w:rsidP="007D1909">
      <w:pPr>
        <w:pStyle w:val="ListParagraph"/>
        <w:numPr>
          <w:ilvl w:val="0"/>
          <w:numId w:val="53"/>
        </w:numPr>
        <w:spacing w:after="120"/>
        <w:contextualSpacing w:val="0"/>
        <w:rPr>
          <w:rFonts w:cstheme="minorHAnsi"/>
        </w:rPr>
      </w:pPr>
      <w:r w:rsidRPr="00BD006E">
        <w:rPr>
          <w:rFonts w:cstheme="minorHAnsi"/>
        </w:rPr>
        <w:t>gaming venue would have a separate entrance and that people would not have to enter the gaming lounge through the hotel itself which offers non-gambling facilities and activities</w:t>
      </w:r>
      <w:r w:rsidR="00CA1D0A">
        <w:rPr>
          <w:rFonts w:cstheme="minorHAnsi"/>
        </w:rPr>
        <w:t>.</w:t>
      </w:r>
    </w:p>
    <w:p w:rsidR="00D9712C" w:rsidRDefault="00D9712C" w:rsidP="007D1909">
      <w:pPr>
        <w:pStyle w:val="ListParagraph"/>
        <w:numPr>
          <w:ilvl w:val="0"/>
          <w:numId w:val="53"/>
        </w:numPr>
        <w:spacing w:after="120"/>
        <w:contextualSpacing w:val="0"/>
        <w:rPr>
          <w:rFonts w:cstheme="minorHAnsi"/>
        </w:rPr>
      </w:pPr>
      <w:r>
        <w:rPr>
          <w:rFonts w:cstheme="minorHAnsi"/>
        </w:rPr>
        <w:t>potential for the proposal to result in a cluster of venues as there are five gaming venues within close proximity to</w:t>
      </w:r>
      <w:r w:rsidR="00CA1D0A">
        <w:rPr>
          <w:rFonts w:cstheme="minorHAnsi"/>
        </w:rPr>
        <w:t xml:space="preserve"> the Victoria Hotel for instance</w:t>
      </w:r>
      <w:r w:rsidRPr="00BD006E">
        <w:rPr>
          <w:rFonts w:cstheme="minorHAnsi"/>
        </w:rPr>
        <w:t xml:space="preserve"> Bourke Hill’s Welcome Stranger, Golden Nugget, S</w:t>
      </w:r>
      <w:r>
        <w:rPr>
          <w:rFonts w:cstheme="minorHAnsi"/>
        </w:rPr>
        <w:t>hanghai Club, Clocks at Flinder</w:t>
      </w:r>
      <w:r w:rsidRPr="00BD006E">
        <w:rPr>
          <w:rFonts w:cstheme="minorHAnsi"/>
        </w:rPr>
        <w:t>s Street Station, Mercure Grand Hotel on Swanston</w:t>
      </w:r>
      <w:r>
        <w:rPr>
          <w:rStyle w:val="FootnoteReference"/>
          <w:rFonts w:cstheme="minorHAnsi"/>
        </w:rPr>
        <w:footnoteReference w:id="269"/>
      </w:r>
    </w:p>
    <w:p w:rsidR="00D9712C" w:rsidRDefault="00D9712C" w:rsidP="007D1909">
      <w:pPr>
        <w:pStyle w:val="ListParagraph"/>
        <w:numPr>
          <w:ilvl w:val="0"/>
          <w:numId w:val="53"/>
        </w:numPr>
        <w:spacing w:after="120"/>
        <w:contextualSpacing w:val="0"/>
        <w:rPr>
          <w:rFonts w:cstheme="minorHAnsi"/>
        </w:rPr>
      </w:pPr>
      <w:r>
        <w:rPr>
          <w:rFonts w:cstheme="minorHAnsi"/>
        </w:rPr>
        <w:t>lack of tangible benefits.</w:t>
      </w:r>
    </w:p>
    <w:p w:rsidR="00D9712C" w:rsidRPr="00BD006E" w:rsidRDefault="00D9712C" w:rsidP="00D9712C">
      <w:pPr>
        <w:rPr>
          <w:rFonts w:cstheme="minorHAnsi"/>
        </w:rPr>
      </w:pPr>
      <w:r>
        <w:rPr>
          <w:rFonts w:cstheme="minorHAnsi"/>
        </w:rPr>
        <w:t>However, the Commission dismissed Council’s concerns regarding the proximity of the venue to a tertiary education facility on the basis that EGMs were not the main form of gambling amongst students and therefore that the application would be unlikely to substantially increase the incidence of gambling-related harms</w:t>
      </w:r>
      <w:r w:rsidRPr="00315D68">
        <w:rPr>
          <w:rFonts w:cstheme="minorHAnsi"/>
        </w:rPr>
        <w:t xml:space="preserve"> </w:t>
      </w:r>
      <w:r>
        <w:rPr>
          <w:rFonts w:cstheme="minorHAnsi"/>
        </w:rPr>
        <w:t>amongst this interest group.</w:t>
      </w:r>
    </w:p>
    <w:p w:rsidR="00D9712C" w:rsidRDefault="00D9712C" w:rsidP="00D9712C"/>
    <w:sectPr w:rsidR="00D9712C" w:rsidSect="00F27E2F">
      <w:endnotePr>
        <w:numFmt w:val="decimal"/>
      </w:endnotePr>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AF8" w:rsidRDefault="003E1AF8" w:rsidP="00375206">
      <w:pPr>
        <w:spacing w:after="0"/>
      </w:pPr>
      <w:r>
        <w:separator/>
      </w:r>
    </w:p>
  </w:endnote>
  <w:endnote w:type="continuationSeparator" w:id="0">
    <w:p w:rsidR="003E1AF8" w:rsidRDefault="003E1AF8" w:rsidP="00375206">
      <w:pPr>
        <w:spacing w:after="0"/>
      </w:pPr>
      <w:r>
        <w:continuationSeparator/>
      </w:r>
    </w:p>
  </w:endnote>
  <w:endnote w:id="1">
    <w:p w:rsidR="0092252C" w:rsidRDefault="0092252C" w:rsidP="00D9712C">
      <w:pPr>
        <w:pStyle w:val="EndnoteText"/>
      </w:pPr>
      <w:r>
        <w:rPr>
          <w:rStyle w:val="EndnoteReference"/>
        </w:rPr>
        <w:endnoteRef/>
      </w:r>
      <w:r>
        <w:t xml:space="preserve"> </w:t>
      </w:r>
      <w:r w:rsidRPr="00076D9E">
        <w:rPr>
          <w:rFonts w:asciiTheme="minorHAnsi" w:hAnsiTheme="minorHAnsi" w:cs="Arial"/>
          <w:color w:val="222222"/>
          <w:sz w:val="18"/>
          <w:szCs w:val="18"/>
          <w:shd w:val="clear" w:color="auto" w:fill="FFFFFF"/>
        </w:rPr>
        <w:t>Hare, S.</w:t>
      </w:r>
      <w:r w:rsidRPr="00946FD8">
        <w:rPr>
          <w:rFonts w:asciiTheme="minorHAnsi" w:hAnsiTheme="minorHAnsi" w:cs="Arial"/>
          <w:i/>
          <w:color w:val="222222"/>
          <w:sz w:val="18"/>
          <w:szCs w:val="18"/>
          <w:shd w:val="clear" w:color="auto" w:fill="FFFFFF"/>
        </w:rPr>
        <w:t xml:space="preserve"> (2015)</w:t>
      </w:r>
      <w:r w:rsidRPr="00946FD8">
        <w:rPr>
          <w:rStyle w:val="apple-converted-space"/>
          <w:rFonts w:asciiTheme="minorHAnsi" w:hAnsiTheme="minorHAnsi" w:cs="Arial"/>
          <w:i/>
          <w:color w:val="222222"/>
          <w:sz w:val="18"/>
          <w:szCs w:val="18"/>
          <w:shd w:val="clear" w:color="auto" w:fill="FFFFFF"/>
        </w:rPr>
        <w:t> </w:t>
      </w:r>
      <w:r w:rsidRPr="00946FD8">
        <w:rPr>
          <w:rStyle w:val="Emphasis"/>
          <w:rFonts w:asciiTheme="minorHAnsi" w:hAnsiTheme="minorHAnsi" w:cs="Arial"/>
          <w:color w:val="222222"/>
          <w:sz w:val="18"/>
          <w:szCs w:val="18"/>
          <w:shd w:val="clear" w:color="auto" w:fill="FFFFFF"/>
        </w:rPr>
        <w:t>Study of Gambling and Health in Victoria: findings from the Victorian prevalence study 2014</w:t>
      </w:r>
      <w:r w:rsidRPr="00946FD8">
        <w:rPr>
          <w:rStyle w:val="apple-converted-space"/>
          <w:rFonts w:asciiTheme="minorHAnsi" w:hAnsiTheme="minorHAnsi" w:cs="Arial"/>
          <w:i/>
          <w:color w:val="222222"/>
          <w:sz w:val="18"/>
          <w:szCs w:val="18"/>
          <w:shd w:val="clear" w:color="auto" w:fill="FFFFFF"/>
        </w:rPr>
        <w:t> </w:t>
      </w:r>
      <w:r w:rsidRPr="00946FD8">
        <w:rPr>
          <w:rFonts w:asciiTheme="minorHAnsi" w:hAnsiTheme="minorHAnsi" w:cs="Arial"/>
          <w:i/>
          <w:color w:val="222222"/>
          <w:sz w:val="18"/>
          <w:szCs w:val="18"/>
          <w:shd w:val="clear" w:color="auto" w:fill="FFFFFF"/>
        </w:rPr>
        <w:t>Victoria, Australia: Victorian Responsible Gambling Foundation and Victorian Department of Justice and Regulation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M">
    <w:altName w:val="Franklin Gothic Medium Cond"/>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ade Gothic LT Std Cn">
    <w:altName w:val="Arial Unicode MS"/>
    <w:panose1 w:val="00000000000000000000"/>
    <w:charset w:val="00"/>
    <w:family w:val="swiss"/>
    <w:notTrueType/>
    <w:pitch w:val="default"/>
    <w:sig w:usb0="00000003" w:usb1="00000000" w:usb2="00000000" w:usb3="00000000" w:csb0="00000001" w:csb1="00000000"/>
  </w:font>
  <w:font w:name="TradeGothicLTStd-Cn18">
    <w:panose1 w:val="00000000000000000000"/>
    <w:charset w:val="00"/>
    <w:family w:val="swiss"/>
    <w:notTrueType/>
    <w:pitch w:val="default"/>
    <w:sig w:usb0="00000003" w:usb1="00000000" w:usb2="00000000" w:usb3="00000000" w:csb0="00000001" w:csb1="00000000"/>
  </w:font>
  <w:font w:name="TradeGothicLTStd-Cn18Ob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dvPAC59">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52C" w:rsidRPr="00932871" w:rsidRDefault="0092252C" w:rsidP="00F27E2F">
    <w:pPr>
      <w:pStyle w:val="Footer"/>
      <w:jc w:val="center"/>
      <w:rPr>
        <w:b/>
        <w:bCs/>
        <w:color w:val="C0504D" w:themeColor="accent2"/>
        <w:sz w:val="16"/>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3585790"/>
      <w:docPartObj>
        <w:docPartGallery w:val="Page Numbers (Bottom of Page)"/>
        <w:docPartUnique/>
      </w:docPartObj>
    </w:sdtPr>
    <w:sdtEndPr>
      <w:rPr>
        <w:noProof/>
      </w:rPr>
    </w:sdtEndPr>
    <w:sdtContent>
      <w:p w:rsidR="0092252C" w:rsidRDefault="0092252C">
        <w:pPr>
          <w:pStyle w:val="Footer"/>
          <w:rPr>
            <w:noProof/>
          </w:rPr>
        </w:pPr>
        <w:r>
          <w:fldChar w:fldCharType="begin"/>
        </w:r>
        <w:r>
          <w:instrText xml:space="preserve"> PAGE   \* MERGEFORMAT </w:instrText>
        </w:r>
        <w:r>
          <w:fldChar w:fldCharType="separate"/>
        </w:r>
        <w:r w:rsidR="00802F28">
          <w:rPr>
            <w:noProof/>
          </w:rPr>
          <w:t>vi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4177232"/>
      <w:docPartObj>
        <w:docPartGallery w:val="Page Numbers (Bottom of Page)"/>
        <w:docPartUnique/>
      </w:docPartObj>
    </w:sdtPr>
    <w:sdtEndPr>
      <w:rPr>
        <w:noProof/>
      </w:rPr>
    </w:sdtEndPr>
    <w:sdtContent>
      <w:p w:rsidR="0092252C" w:rsidRDefault="0092252C">
        <w:pPr>
          <w:pStyle w:val="Footer"/>
        </w:pPr>
        <w:r>
          <w:fldChar w:fldCharType="begin"/>
        </w:r>
        <w:r>
          <w:instrText xml:space="preserve"> PAGE   \* MERGEFORMAT </w:instrText>
        </w:r>
        <w:r>
          <w:fldChar w:fldCharType="separate"/>
        </w:r>
        <w:r w:rsidR="00802F28">
          <w:rPr>
            <w:noProof/>
          </w:rPr>
          <w:t>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972842"/>
      <w:docPartObj>
        <w:docPartGallery w:val="Page Numbers (Bottom of Page)"/>
        <w:docPartUnique/>
      </w:docPartObj>
    </w:sdtPr>
    <w:sdtEndPr>
      <w:rPr>
        <w:noProof/>
      </w:rPr>
    </w:sdtEndPr>
    <w:sdtContent>
      <w:p w:rsidR="0092252C" w:rsidRDefault="0092252C">
        <w:pPr>
          <w:pStyle w:val="Footer"/>
        </w:pPr>
        <w:r>
          <w:fldChar w:fldCharType="begin"/>
        </w:r>
        <w:r>
          <w:instrText xml:space="preserve"> PAGE   \* MERGEFORMAT </w:instrText>
        </w:r>
        <w:r>
          <w:fldChar w:fldCharType="separate"/>
        </w:r>
        <w:r w:rsidR="00802F28">
          <w:rPr>
            <w:noProof/>
          </w:rPr>
          <w:t>18</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9280446"/>
      <w:docPartObj>
        <w:docPartGallery w:val="Page Numbers (Bottom of Page)"/>
        <w:docPartUnique/>
      </w:docPartObj>
    </w:sdtPr>
    <w:sdtEndPr>
      <w:rPr>
        <w:noProof/>
      </w:rPr>
    </w:sdtEndPr>
    <w:sdtContent>
      <w:p w:rsidR="0092252C" w:rsidRDefault="0092252C">
        <w:pPr>
          <w:pStyle w:val="Footer"/>
        </w:pPr>
        <w:r>
          <w:fldChar w:fldCharType="begin"/>
        </w:r>
        <w:r>
          <w:instrText xml:space="preserve"> PAGE   \* MERGEFORMAT </w:instrText>
        </w:r>
        <w:r>
          <w:fldChar w:fldCharType="separate"/>
        </w:r>
        <w:r w:rsidR="00802F28">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AF8" w:rsidRDefault="003E1AF8" w:rsidP="00375206">
      <w:pPr>
        <w:spacing w:after="0"/>
      </w:pPr>
      <w:r>
        <w:separator/>
      </w:r>
    </w:p>
  </w:footnote>
  <w:footnote w:type="continuationSeparator" w:id="0">
    <w:p w:rsidR="003E1AF8" w:rsidRDefault="003E1AF8" w:rsidP="00375206">
      <w:pPr>
        <w:spacing w:after="0"/>
      </w:pPr>
      <w:r>
        <w:continuationSeparator/>
      </w:r>
    </w:p>
  </w:footnote>
  <w:footnote w:id="1">
    <w:p w:rsidR="0092252C" w:rsidRPr="00D171FC" w:rsidRDefault="0092252C" w:rsidP="008525DC">
      <w:pPr>
        <w:pStyle w:val="Para2"/>
        <w:spacing w:after="0" w:line="240" w:lineRule="auto"/>
        <w:ind w:left="0"/>
        <w:rPr>
          <w:rFonts w:asciiTheme="minorHAnsi" w:hAnsiTheme="minorHAnsi" w:cstheme="minorHAnsi"/>
          <w:sz w:val="16"/>
          <w:szCs w:val="16"/>
        </w:rPr>
      </w:pPr>
      <w:r w:rsidRPr="008525DC">
        <w:rPr>
          <w:rStyle w:val="FootnoteReference"/>
          <w:rFonts w:asciiTheme="minorHAnsi" w:hAnsiTheme="minorHAnsi" w:cstheme="minorHAnsi"/>
          <w:sz w:val="16"/>
          <w:szCs w:val="16"/>
        </w:rPr>
        <w:footnoteRef/>
      </w:r>
      <w:r w:rsidRPr="008525DC">
        <w:rPr>
          <w:rFonts w:asciiTheme="minorHAnsi" w:hAnsiTheme="minorHAnsi" w:cstheme="minorHAnsi"/>
          <w:sz w:val="16"/>
          <w:szCs w:val="16"/>
        </w:rPr>
        <w:t xml:space="preserve"> </w:t>
      </w:r>
      <w:r w:rsidRPr="00D171FC">
        <w:rPr>
          <w:rFonts w:asciiTheme="minorHAnsi" w:hAnsiTheme="minorHAnsi" w:cstheme="minorHAnsi"/>
          <w:sz w:val="16"/>
          <w:szCs w:val="16"/>
        </w:rPr>
        <w:t>Francis Hotel Pty Ltd v Melbourne CC (includes Summary) (Red Dot) [2012] VCAT 1896 (12 December 2012)</w:t>
      </w:r>
    </w:p>
  </w:footnote>
  <w:footnote w:id="2">
    <w:p w:rsidR="0092252C" w:rsidRPr="008525DC" w:rsidRDefault="0092252C" w:rsidP="008525DC">
      <w:pPr>
        <w:pStyle w:val="FootnoteText"/>
        <w:rPr>
          <w:rFonts w:asciiTheme="minorHAnsi" w:hAnsiTheme="minorHAnsi" w:cstheme="minorHAnsi"/>
          <w:sz w:val="16"/>
          <w:szCs w:val="16"/>
        </w:rPr>
      </w:pPr>
      <w:r w:rsidRPr="008525DC">
        <w:rPr>
          <w:rStyle w:val="FootnoteReference"/>
          <w:rFonts w:asciiTheme="minorHAnsi" w:hAnsiTheme="minorHAnsi" w:cstheme="minorHAnsi"/>
          <w:sz w:val="16"/>
          <w:szCs w:val="16"/>
        </w:rPr>
        <w:footnoteRef/>
      </w:r>
      <w:r w:rsidRPr="008525DC">
        <w:rPr>
          <w:rFonts w:asciiTheme="minorHAnsi" w:hAnsiTheme="minorHAnsi" w:cstheme="minorHAnsi"/>
          <w:sz w:val="16"/>
          <w:szCs w:val="16"/>
        </w:rPr>
        <w:t xml:space="preserve"> ABS Census of Population and Housing 2011, SEIFA Technical Paper</w:t>
      </w:r>
    </w:p>
  </w:footnote>
  <w:footnote w:id="3">
    <w:p w:rsidR="0092252C" w:rsidRPr="008525DC" w:rsidRDefault="0092252C" w:rsidP="008525DC">
      <w:pPr>
        <w:pStyle w:val="FootnoteText"/>
        <w:rPr>
          <w:rFonts w:asciiTheme="minorHAnsi" w:hAnsiTheme="minorHAnsi" w:cstheme="minorHAnsi"/>
          <w:sz w:val="16"/>
          <w:szCs w:val="16"/>
        </w:rPr>
      </w:pPr>
      <w:r w:rsidRPr="008525DC">
        <w:rPr>
          <w:rStyle w:val="FootnoteReference"/>
          <w:rFonts w:asciiTheme="minorHAnsi" w:hAnsiTheme="minorHAnsi" w:cstheme="minorHAnsi"/>
          <w:sz w:val="16"/>
          <w:szCs w:val="16"/>
        </w:rPr>
        <w:footnoteRef/>
      </w:r>
      <w:r w:rsidRPr="008525DC">
        <w:rPr>
          <w:rFonts w:asciiTheme="minorHAnsi" w:hAnsiTheme="minorHAnsi" w:cstheme="minorHAnsi"/>
          <w:sz w:val="16"/>
          <w:szCs w:val="16"/>
        </w:rPr>
        <w:t xml:space="preserve"> http://www.vcglr.vic.gov.au/utility/about+us/news/gambling+defined+and+offences+consolidated+from+1+july+2015</w:t>
      </w:r>
    </w:p>
  </w:footnote>
  <w:footnote w:id="4">
    <w:p w:rsidR="0092252C" w:rsidRPr="00A10032" w:rsidRDefault="0092252C">
      <w:pPr>
        <w:pStyle w:val="FootnoteText"/>
        <w:rPr>
          <w:sz w:val="16"/>
          <w:szCs w:val="16"/>
        </w:rPr>
      </w:pPr>
      <w:r w:rsidRPr="00A10032">
        <w:rPr>
          <w:rStyle w:val="FootnoteReference"/>
          <w:sz w:val="16"/>
          <w:szCs w:val="16"/>
        </w:rPr>
        <w:footnoteRef/>
      </w:r>
      <w:r w:rsidRPr="00A10032">
        <w:rPr>
          <w:sz w:val="16"/>
          <w:szCs w:val="16"/>
        </w:rPr>
        <w:t xml:space="preserve"> Browne, M, Langham, E, Rawat, V, Greer, N, Li, E, Rose, J, Rockloff, M, Donaldson, P, Thorne, H, Goodwin, B, Bryden, G &amp; Best, T 2016, Assessing gambling-related harm in Victoria: a public health perspective, Victorian Responsible Gambling Foundation, Melbourne.</w:t>
      </w:r>
    </w:p>
  </w:footnote>
  <w:footnote w:id="5">
    <w:p w:rsidR="0092252C" w:rsidRPr="00A10032" w:rsidRDefault="0092252C" w:rsidP="00B73347">
      <w:pPr>
        <w:pStyle w:val="FootnoteText"/>
        <w:rPr>
          <w:rFonts w:cs="Arial"/>
          <w:sz w:val="16"/>
          <w:szCs w:val="16"/>
        </w:rPr>
      </w:pPr>
      <w:r w:rsidRPr="00A10032">
        <w:rPr>
          <w:rStyle w:val="FootnoteReference"/>
          <w:rFonts w:cs="Arial"/>
          <w:sz w:val="16"/>
          <w:szCs w:val="16"/>
        </w:rPr>
        <w:footnoteRef/>
      </w:r>
      <w:r w:rsidRPr="00A10032">
        <w:rPr>
          <w:rFonts w:cs="Arial"/>
          <w:sz w:val="16"/>
          <w:szCs w:val="16"/>
        </w:rPr>
        <w:t xml:space="preserve"> Productivity Commission (2010)</w:t>
      </w:r>
    </w:p>
  </w:footnote>
  <w:footnote w:id="6">
    <w:p w:rsidR="0092252C" w:rsidRPr="00A10032" w:rsidRDefault="0092252C" w:rsidP="00B73347">
      <w:pPr>
        <w:pStyle w:val="FootnoteText"/>
        <w:rPr>
          <w:sz w:val="16"/>
          <w:szCs w:val="16"/>
        </w:rPr>
      </w:pPr>
      <w:r w:rsidRPr="00A10032">
        <w:rPr>
          <w:rStyle w:val="FootnoteReference"/>
          <w:sz w:val="16"/>
          <w:szCs w:val="16"/>
        </w:rPr>
        <w:footnoteRef/>
      </w:r>
      <w:r w:rsidRPr="00A10032">
        <w:rPr>
          <w:sz w:val="16"/>
          <w:szCs w:val="16"/>
        </w:rPr>
        <w:t xml:space="preserve"> Casino Control Act 1991 S3(1)</w:t>
      </w:r>
    </w:p>
  </w:footnote>
  <w:footnote w:id="7">
    <w:p w:rsidR="0092252C" w:rsidRPr="0066463D" w:rsidRDefault="0092252C" w:rsidP="00B73347">
      <w:pPr>
        <w:pStyle w:val="FootnoteText"/>
        <w:rPr>
          <w:sz w:val="16"/>
        </w:rPr>
      </w:pPr>
      <w:r w:rsidRPr="0066463D">
        <w:rPr>
          <w:rStyle w:val="FootnoteReference"/>
          <w:sz w:val="16"/>
        </w:rPr>
        <w:footnoteRef/>
      </w:r>
      <w:r w:rsidRPr="0066463D">
        <w:rPr>
          <w:sz w:val="16"/>
        </w:rPr>
        <w:t xml:space="preserve"> Tobacco Act 1987</w:t>
      </w:r>
    </w:p>
  </w:footnote>
  <w:footnote w:id="8">
    <w:p w:rsidR="0092252C" w:rsidRPr="0066463D" w:rsidRDefault="0092252C" w:rsidP="00B73347">
      <w:pPr>
        <w:pStyle w:val="FootnoteText"/>
        <w:rPr>
          <w:sz w:val="16"/>
        </w:rPr>
      </w:pPr>
      <w:r w:rsidRPr="0066463D">
        <w:rPr>
          <w:rStyle w:val="FootnoteReference"/>
          <w:sz w:val="16"/>
        </w:rPr>
        <w:footnoteRef/>
      </w:r>
      <w:r w:rsidRPr="0066463D">
        <w:rPr>
          <w:sz w:val="16"/>
        </w:rPr>
        <w:t xml:space="preserve"> Tobacco Act 1987</w:t>
      </w:r>
    </w:p>
  </w:footnote>
  <w:footnote w:id="9">
    <w:p w:rsidR="0092252C" w:rsidRPr="006C6059" w:rsidRDefault="0092252C" w:rsidP="00B73347">
      <w:pPr>
        <w:pStyle w:val="FootnoteText"/>
        <w:rPr>
          <w:rFonts w:cs="Arial"/>
          <w:sz w:val="16"/>
          <w:szCs w:val="16"/>
        </w:rPr>
      </w:pPr>
      <w:r w:rsidRPr="006C6059">
        <w:rPr>
          <w:rStyle w:val="FootnoteReference"/>
          <w:rFonts w:cs="Arial"/>
          <w:sz w:val="16"/>
          <w:szCs w:val="16"/>
        </w:rPr>
        <w:footnoteRef/>
      </w:r>
      <w:r w:rsidRPr="006C6059">
        <w:rPr>
          <w:rFonts w:cs="Arial"/>
          <w:sz w:val="16"/>
          <w:szCs w:val="16"/>
        </w:rPr>
        <w:t xml:space="preserve"> South Australian Centre for Economic Studies (2005) </w:t>
      </w:r>
      <w:r w:rsidRPr="006C6059">
        <w:rPr>
          <w:rFonts w:cs="Arial"/>
          <w:i/>
          <w:sz w:val="16"/>
          <w:szCs w:val="16"/>
        </w:rPr>
        <w:t xml:space="preserve">Problem Gambling and Harm: Towards a National Definition </w:t>
      </w:r>
      <w:r w:rsidRPr="006C6059">
        <w:rPr>
          <w:rFonts w:cs="Arial"/>
          <w:sz w:val="16"/>
          <w:szCs w:val="16"/>
        </w:rPr>
        <w:t>Office of Gaming and Racing, Victorian Government Department of Justice, Melbourne, Victoria</w:t>
      </w:r>
    </w:p>
  </w:footnote>
  <w:footnote w:id="10">
    <w:p w:rsidR="0092252C" w:rsidRDefault="0092252C">
      <w:pPr>
        <w:pStyle w:val="FootnoteText"/>
      </w:pPr>
      <w:r w:rsidRPr="00D171FC">
        <w:rPr>
          <w:rStyle w:val="FootnoteReference"/>
          <w:sz w:val="16"/>
        </w:rPr>
        <w:footnoteRef/>
      </w:r>
      <w:r w:rsidRPr="00D171FC">
        <w:rPr>
          <w:sz w:val="16"/>
        </w:rPr>
        <w:t xml:space="preserve"> https://www.ahuri.edu.au/research/glossary</w:t>
      </w:r>
    </w:p>
  </w:footnote>
  <w:footnote w:id="11">
    <w:p w:rsidR="0092252C" w:rsidRPr="007823FB" w:rsidRDefault="0092252C">
      <w:pPr>
        <w:pStyle w:val="FootnoteText"/>
        <w:rPr>
          <w:sz w:val="18"/>
        </w:rPr>
      </w:pPr>
      <w:r w:rsidRPr="007823FB">
        <w:rPr>
          <w:rStyle w:val="FootnoteReference"/>
          <w:sz w:val="18"/>
        </w:rPr>
        <w:footnoteRef/>
      </w:r>
      <w:r w:rsidRPr="007823FB">
        <w:rPr>
          <w:sz w:val="18"/>
        </w:rPr>
        <w:t xml:space="preserve"> Clause 21.02-1 Melbourne Planning Scheme</w:t>
      </w:r>
    </w:p>
  </w:footnote>
  <w:footnote w:id="12">
    <w:p w:rsidR="0092252C" w:rsidRPr="007823FB" w:rsidRDefault="0092252C" w:rsidP="00706330">
      <w:pPr>
        <w:pStyle w:val="FootnoteText"/>
        <w:rPr>
          <w:sz w:val="18"/>
        </w:rPr>
      </w:pPr>
      <w:r w:rsidRPr="007823FB">
        <w:rPr>
          <w:rStyle w:val="FootnoteReference"/>
          <w:sz w:val="18"/>
        </w:rPr>
        <w:footnoteRef/>
      </w:r>
      <w:r w:rsidRPr="007823FB">
        <w:rPr>
          <w:sz w:val="18"/>
        </w:rPr>
        <w:t xml:space="preserve"> http://melbournepopulation.geografia.com.au/</w:t>
      </w:r>
    </w:p>
  </w:footnote>
  <w:footnote w:id="13">
    <w:p w:rsidR="0092252C" w:rsidRPr="007823FB" w:rsidRDefault="0092252C">
      <w:pPr>
        <w:pStyle w:val="FootnoteText"/>
        <w:rPr>
          <w:sz w:val="16"/>
        </w:rPr>
      </w:pPr>
      <w:r w:rsidRPr="007823FB">
        <w:rPr>
          <w:rStyle w:val="FootnoteReference"/>
          <w:sz w:val="16"/>
        </w:rPr>
        <w:footnoteRef/>
      </w:r>
      <w:r w:rsidRPr="007823FB">
        <w:rPr>
          <w:sz w:val="16"/>
        </w:rPr>
        <w:t xml:space="preserve"> City of Melbourne Population Daily Population Estimates and Forecasts, October 2015</w:t>
      </w:r>
    </w:p>
  </w:footnote>
  <w:footnote w:id="14">
    <w:p w:rsidR="0092252C" w:rsidRDefault="0092252C">
      <w:pPr>
        <w:pStyle w:val="FootnoteText"/>
      </w:pPr>
      <w:r w:rsidRPr="008E7994">
        <w:rPr>
          <w:rStyle w:val="FootnoteReference"/>
          <w:sz w:val="18"/>
        </w:rPr>
        <w:footnoteRef/>
      </w:r>
      <w:r w:rsidRPr="008E7994">
        <w:rPr>
          <w:sz w:val="18"/>
        </w:rPr>
        <w:t xml:space="preserve"> Refer to Glossary for an explanation of the deciles.</w:t>
      </w:r>
    </w:p>
  </w:footnote>
  <w:footnote w:id="15">
    <w:p w:rsidR="0092252C" w:rsidRPr="00E74A70" w:rsidRDefault="0092252C" w:rsidP="00706330">
      <w:pPr>
        <w:pStyle w:val="FootnoteText"/>
        <w:rPr>
          <w:sz w:val="18"/>
        </w:rPr>
      </w:pPr>
      <w:r w:rsidRPr="00E74A70">
        <w:rPr>
          <w:rStyle w:val="FootnoteReference"/>
          <w:sz w:val="18"/>
        </w:rPr>
        <w:footnoteRef/>
      </w:r>
      <w:r w:rsidRPr="00E74A70">
        <w:rPr>
          <w:sz w:val="18"/>
        </w:rPr>
        <w:t xml:space="preserve"> http://www.responsiblegambling.vic.gov.au/information-and-resources/victorias-gambling-environment/gambling-venues/crown-melbourne</w:t>
      </w:r>
    </w:p>
  </w:footnote>
  <w:footnote w:id="16">
    <w:p w:rsidR="0092252C" w:rsidRDefault="0092252C" w:rsidP="00706330">
      <w:pPr>
        <w:pStyle w:val="FootnoteText"/>
      </w:pPr>
      <w:r w:rsidRPr="00E74A70">
        <w:rPr>
          <w:rStyle w:val="FootnoteReference"/>
          <w:sz w:val="18"/>
        </w:rPr>
        <w:footnoteRef/>
      </w:r>
      <w:r w:rsidRPr="00E74A70">
        <w:rPr>
          <w:sz w:val="18"/>
        </w:rPr>
        <w:t xml:space="preserve"> </w:t>
      </w:r>
      <w:hyperlink r:id="rId1" w:history="1">
        <w:r w:rsidRPr="00E74A70">
          <w:rPr>
            <w:rStyle w:val="Hyperlink"/>
            <w:sz w:val="18"/>
          </w:rPr>
          <w:t>https://www.crownmelbourne.com.au/crown-rewards/about</w:t>
        </w:r>
      </w:hyperlink>
      <w:r>
        <w:t xml:space="preserve"> </w:t>
      </w:r>
    </w:p>
  </w:footnote>
  <w:footnote w:id="17">
    <w:p w:rsidR="0092252C" w:rsidRDefault="0092252C">
      <w:pPr>
        <w:pStyle w:val="FootnoteText"/>
      </w:pPr>
      <w:r w:rsidRPr="00BF5EBD">
        <w:rPr>
          <w:rStyle w:val="FootnoteReference"/>
          <w:sz w:val="18"/>
        </w:rPr>
        <w:footnoteRef/>
      </w:r>
      <w:r w:rsidRPr="00BF5EBD">
        <w:rPr>
          <w:sz w:val="18"/>
        </w:rPr>
        <w:t xml:space="preserve"> Relevant decision-making principles that will be incorporated in the revised Local Planning Policy for Gaming are discussed in Section 7.</w:t>
      </w:r>
    </w:p>
  </w:footnote>
  <w:footnote w:id="18">
    <w:p w:rsidR="0092252C" w:rsidRPr="003F04AF" w:rsidRDefault="0092252C">
      <w:pPr>
        <w:pStyle w:val="FootnoteText"/>
        <w:rPr>
          <w:rFonts w:cs="Calibri"/>
          <w:sz w:val="16"/>
          <w:szCs w:val="16"/>
        </w:rPr>
      </w:pPr>
      <w:r w:rsidRPr="003F04AF">
        <w:rPr>
          <w:rStyle w:val="FootnoteReference"/>
          <w:rFonts w:cs="Calibri"/>
          <w:sz w:val="16"/>
          <w:szCs w:val="16"/>
        </w:rPr>
        <w:footnoteRef/>
      </w:r>
      <w:r w:rsidRPr="003F04AF">
        <w:rPr>
          <w:rFonts w:cs="Calibri"/>
          <w:sz w:val="16"/>
          <w:szCs w:val="16"/>
        </w:rPr>
        <w:t xml:space="preserve"> There is an outstanding application for 24 hour gaming at this venue, source: VCGLR</w:t>
      </w:r>
    </w:p>
    <w:p w:rsidR="0092252C" w:rsidRPr="003F04AF" w:rsidRDefault="0092252C">
      <w:pPr>
        <w:pStyle w:val="FootnoteText"/>
        <w:rPr>
          <w:rFonts w:cs="Calibri"/>
          <w:sz w:val="16"/>
          <w:szCs w:val="16"/>
        </w:rPr>
      </w:pPr>
      <w:r w:rsidRPr="003F04AF">
        <w:rPr>
          <w:rStyle w:val="FootnoteReference"/>
          <w:rFonts w:cs="Calibri"/>
          <w:sz w:val="16"/>
          <w:szCs w:val="16"/>
        </w:rPr>
        <w:footnoteRef/>
      </w:r>
      <w:r w:rsidRPr="003F04AF">
        <w:rPr>
          <w:rFonts w:cs="Calibri"/>
          <w:sz w:val="16"/>
          <w:szCs w:val="16"/>
        </w:rPr>
        <w:t xml:space="preserve"> Council noted that the venue was located within 500m of the proposal site. A typical walking distance, and therefore catchment threshold, is 400m.</w:t>
      </w:r>
    </w:p>
    <w:p w:rsidR="0092252C" w:rsidRPr="003F04AF" w:rsidRDefault="0092252C" w:rsidP="00706330">
      <w:pPr>
        <w:pStyle w:val="FootnoteText"/>
        <w:rPr>
          <w:rFonts w:cs="Calibri"/>
          <w:sz w:val="16"/>
          <w:szCs w:val="16"/>
        </w:rPr>
      </w:pPr>
      <w:r w:rsidRPr="003F04AF">
        <w:rPr>
          <w:rStyle w:val="FootnoteReference"/>
          <w:rFonts w:cs="Calibri"/>
          <w:sz w:val="16"/>
          <w:szCs w:val="16"/>
        </w:rPr>
        <w:footnoteRef/>
      </w:r>
      <w:r w:rsidRPr="003F04AF">
        <w:rPr>
          <w:rFonts w:cs="Calibri"/>
          <w:sz w:val="16"/>
          <w:szCs w:val="16"/>
        </w:rPr>
        <w:t xml:space="preserve"> Wyndham Planning Panel Report, Amendment C174</w:t>
      </w:r>
    </w:p>
    <w:p w:rsidR="0092252C" w:rsidRPr="003F04AF" w:rsidRDefault="0092252C" w:rsidP="00706330">
      <w:pPr>
        <w:pStyle w:val="FootnoteText"/>
        <w:rPr>
          <w:rFonts w:cs="Calibri"/>
          <w:sz w:val="16"/>
          <w:szCs w:val="16"/>
        </w:rPr>
      </w:pPr>
      <w:r w:rsidRPr="003F04AF">
        <w:rPr>
          <w:rStyle w:val="FootnoteReference"/>
          <w:rFonts w:cs="Calibri"/>
          <w:sz w:val="16"/>
          <w:szCs w:val="16"/>
        </w:rPr>
        <w:footnoteRef/>
      </w:r>
      <w:r w:rsidRPr="003F04AF">
        <w:rPr>
          <w:rFonts w:cs="Calibri"/>
          <w:sz w:val="16"/>
          <w:szCs w:val="16"/>
        </w:rPr>
        <w:t xml:space="preserve"> </w:t>
      </w:r>
      <w:r w:rsidRPr="003F04AF">
        <w:rPr>
          <w:rFonts w:eastAsiaTheme="minorHAnsi" w:cs="Calibri"/>
          <w:sz w:val="16"/>
          <w:szCs w:val="16"/>
        </w:rPr>
        <w:t>Romsey Hotel Pty Ltd v Victorian Commission for Gambling Regulation (Occupational and Business Regulation) [2007] VCAT 1</w:t>
      </w:r>
    </w:p>
    <w:p w:rsidR="0092252C" w:rsidRPr="003F04AF" w:rsidRDefault="0092252C" w:rsidP="00706330">
      <w:pPr>
        <w:pStyle w:val="FootnoteText"/>
        <w:rPr>
          <w:rFonts w:cs="Calibri"/>
          <w:sz w:val="16"/>
          <w:szCs w:val="16"/>
        </w:rPr>
      </w:pPr>
      <w:r w:rsidRPr="003F04AF">
        <w:rPr>
          <w:rStyle w:val="FootnoteReference"/>
          <w:rFonts w:cs="Calibri"/>
          <w:sz w:val="16"/>
          <w:szCs w:val="16"/>
        </w:rPr>
        <w:footnoteRef/>
      </w:r>
      <w:r w:rsidRPr="003F04AF">
        <w:rPr>
          <w:rFonts w:cs="Calibri"/>
          <w:sz w:val="16"/>
          <w:szCs w:val="16"/>
        </w:rPr>
        <w:t xml:space="preserve"> Commission decision, Glenroy RSL </w:t>
      </w:r>
    </w:p>
    <w:p w:rsidR="0092252C" w:rsidRPr="003F04AF" w:rsidRDefault="0092252C" w:rsidP="00F218DE">
      <w:pPr>
        <w:pStyle w:val="TitlePagetext"/>
        <w:spacing w:before="0" w:after="0"/>
        <w:rPr>
          <w:rFonts w:ascii="Calibri" w:hAnsi="Calibri" w:cs="Calibri"/>
          <w:sz w:val="16"/>
          <w:szCs w:val="16"/>
          <w:lang w:val="en-GB"/>
        </w:rPr>
      </w:pPr>
      <w:r w:rsidRPr="003F04AF">
        <w:rPr>
          <w:rStyle w:val="FootnoteReference"/>
          <w:rFonts w:ascii="Calibri" w:hAnsi="Calibri" w:cs="Calibri"/>
          <w:sz w:val="16"/>
          <w:szCs w:val="16"/>
        </w:rPr>
        <w:footnoteRef/>
      </w:r>
      <w:r w:rsidRPr="003F04AF">
        <w:rPr>
          <w:rFonts w:ascii="Calibri" w:hAnsi="Calibri" w:cs="Calibri"/>
          <w:sz w:val="16"/>
          <w:szCs w:val="16"/>
        </w:rPr>
        <w:t xml:space="preserve"> Commission decision, Glenroy RSL and </w:t>
      </w:r>
      <w:r w:rsidRPr="003F04AF">
        <w:rPr>
          <w:rFonts w:ascii="Calibri" w:hAnsi="Calibri" w:cs="Calibri"/>
          <w:noProof/>
          <w:sz w:val="16"/>
          <w:szCs w:val="16"/>
        </w:rPr>
        <w:t xml:space="preserve">Glenroy RSL Sub Branch </w:t>
      </w:r>
    </w:p>
  </w:footnote>
  <w:footnote w:id="19">
    <w:p w:rsidR="0092252C" w:rsidRPr="00EF4516" w:rsidRDefault="0092252C" w:rsidP="00F218DE">
      <w:pPr>
        <w:pStyle w:val="TitlePagetext"/>
        <w:spacing w:before="0" w:after="0"/>
        <w:rPr>
          <w:rFonts w:asciiTheme="minorHAnsi" w:hAnsiTheme="minorHAnsi" w:cstheme="minorHAnsi"/>
          <w:sz w:val="16"/>
          <w:szCs w:val="16"/>
          <w:lang w:val="en-GB"/>
        </w:rPr>
      </w:pPr>
      <w:r w:rsidRPr="00EF4516">
        <w:rPr>
          <w:rStyle w:val="FootnoteReference"/>
          <w:rFonts w:asciiTheme="minorHAnsi" w:hAnsiTheme="minorHAnsi" w:cstheme="minorHAnsi"/>
          <w:sz w:val="16"/>
          <w:szCs w:val="16"/>
        </w:rPr>
        <w:footnoteRef/>
      </w:r>
      <w:r w:rsidRPr="00EF4516">
        <w:rPr>
          <w:rFonts w:asciiTheme="minorHAnsi" w:hAnsiTheme="minorHAnsi" w:cstheme="minorHAnsi"/>
          <w:sz w:val="16"/>
          <w:szCs w:val="16"/>
        </w:rPr>
        <w:t xml:space="preserve"> </w:t>
      </w:r>
      <w:r w:rsidRPr="00EF4516">
        <w:rPr>
          <w:rFonts w:asciiTheme="minorHAnsi" w:hAnsiTheme="minorHAnsi" w:cstheme="minorHAnsi"/>
          <w:noProof/>
          <w:sz w:val="16"/>
          <w:szCs w:val="16"/>
        </w:rPr>
        <w:t>Pakenham Racing Club Inc v Cardinia SC [2017] VCAT 72 paragraph 18.</w:t>
      </w:r>
    </w:p>
  </w:footnote>
  <w:footnote w:id="20">
    <w:p w:rsidR="0092252C" w:rsidRPr="00B73000" w:rsidRDefault="0092252C" w:rsidP="00F218DE">
      <w:pPr>
        <w:pStyle w:val="FootnoteText"/>
        <w:rPr>
          <w:rFonts w:cs="Calibri"/>
          <w:sz w:val="16"/>
          <w:szCs w:val="16"/>
        </w:rPr>
      </w:pPr>
      <w:r w:rsidRPr="00B73000">
        <w:rPr>
          <w:rStyle w:val="FootnoteReference"/>
          <w:rFonts w:cs="Calibri"/>
          <w:sz w:val="16"/>
          <w:szCs w:val="16"/>
        </w:rPr>
        <w:footnoteRef/>
      </w:r>
      <w:r w:rsidRPr="00B73000">
        <w:rPr>
          <w:rFonts w:cs="Calibri"/>
          <w:sz w:val="16"/>
          <w:szCs w:val="16"/>
        </w:rPr>
        <w:t xml:space="preserve"> Commission decision, Glenroy RSL and </w:t>
      </w:r>
      <w:r w:rsidRPr="00B73000">
        <w:rPr>
          <w:rFonts w:cs="Calibri"/>
          <w:noProof/>
          <w:sz w:val="16"/>
          <w:szCs w:val="16"/>
        </w:rPr>
        <w:t>Glenroy RSL Sub Branch Inc v Moreland CC [2017] VCAT 531</w:t>
      </w:r>
    </w:p>
  </w:footnote>
  <w:footnote w:id="21">
    <w:p w:rsidR="0092252C" w:rsidRPr="00EF4516" w:rsidRDefault="0092252C" w:rsidP="000D7CF1">
      <w:pPr>
        <w:spacing w:after="0"/>
        <w:jc w:val="both"/>
        <w:rPr>
          <w:rFonts w:cstheme="minorHAnsi"/>
          <w:sz w:val="16"/>
          <w:szCs w:val="16"/>
        </w:rPr>
      </w:pPr>
      <w:r w:rsidRPr="00EF4516">
        <w:rPr>
          <w:rStyle w:val="FootnoteReference"/>
          <w:rFonts w:cstheme="minorHAnsi"/>
          <w:sz w:val="16"/>
          <w:szCs w:val="16"/>
        </w:rPr>
        <w:footnoteRef/>
      </w:r>
      <w:r w:rsidRPr="00EF4516">
        <w:rPr>
          <w:rFonts w:cstheme="minorHAnsi"/>
          <w:sz w:val="16"/>
          <w:szCs w:val="16"/>
        </w:rPr>
        <w:t xml:space="preserve"> </w:t>
      </w:r>
      <w:r w:rsidRPr="00EF4516">
        <w:rPr>
          <w:rFonts w:cstheme="minorHAnsi"/>
          <w:noProof/>
          <w:sz w:val="16"/>
          <w:szCs w:val="16"/>
        </w:rPr>
        <w:t>Glenroy RSL Sub Branch Inc v Moreland CC [2017] VCAT 531</w:t>
      </w:r>
    </w:p>
    <w:p w:rsidR="0092252C" w:rsidRDefault="0092252C" w:rsidP="000D7CF1">
      <w:pPr>
        <w:pStyle w:val="FootnoteText"/>
      </w:pPr>
    </w:p>
  </w:footnote>
  <w:footnote w:id="22">
    <w:p w:rsidR="0092252C" w:rsidRPr="00D705BD" w:rsidRDefault="0092252C">
      <w:pPr>
        <w:pStyle w:val="FootnoteText"/>
        <w:rPr>
          <w:sz w:val="16"/>
          <w:szCs w:val="16"/>
        </w:rPr>
      </w:pPr>
      <w:r w:rsidRPr="00D705BD">
        <w:rPr>
          <w:rStyle w:val="FootnoteReference"/>
          <w:sz w:val="16"/>
          <w:szCs w:val="16"/>
        </w:rPr>
        <w:footnoteRef/>
      </w:r>
      <w:r w:rsidRPr="00D705BD">
        <w:rPr>
          <w:sz w:val="16"/>
          <w:szCs w:val="16"/>
        </w:rPr>
        <w:t xml:space="preserve"> Canadian Public Health Association (2000) in https://www.adelaide.edu.au/saces/docs/problemgamblingandharmtowardnationaldefinition.pdf</w:t>
      </w:r>
    </w:p>
  </w:footnote>
  <w:footnote w:id="23">
    <w:p w:rsidR="0092252C" w:rsidRPr="00D705BD" w:rsidRDefault="0092252C" w:rsidP="00226FCE">
      <w:pPr>
        <w:pStyle w:val="FootnoteText"/>
        <w:rPr>
          <w:sz w:val="16"/>
          <w:szCs w:val="16"/>
        </w:rPr>
      </w:pPr>
      <w:r w:rsidRPr="00D705BD">
        <w:rPr>
          <w:rStyle w:val="FootnoteReference"/>
          <w:sz w:val="16"/>
          <w:szCs w:val="16"/>
        </w:rPr>
        <w:footnoteRef/>
      </w:r>
      <w:r w:rsidRPr="00D705BD">
        <w:rPr>
          <w:sz w:val="16"/>
          <w:szCs w:val="16"/>
        </w:rPr>
        <w:t xml:space="preserve"> https://www.dss.gov.au/communities-and-vulnerable-people/programmes-services/gambling</w:t>
      </w:r>
    </w:p>
  </w:footnote>
  <w:footnote w:id="24">
    <w:p w:rsidR="0092252C" w:rsidRPr="00D705BD" w:rsidRDefault="0092252C" w:rsidP="00226FCE">
      <w:pPr>
        <w:pStyle w:val="FootnoteText"/>
        <w:rPr>
          <w:sz w:val="16"/>
          <w:szCs w:val="16"/>
        </w:rPr>
      </w:pPr>
      <w:r w:rsidRPr="00D705BD">
        <w:rPr>
          <w:rStyle w:val="FootnoteReference"/>
          <w:sz w:val="16"/>
          <w:szCs w:val="16"/>
        </w:rPr>
        <w:footnoteRef/>
      </w:r>
      <w:r w:rsidRPr="00D705BD">
        <w:rPr>
          <w:sz w:val="16"/>
          <w:szCs w:val="16"/>
        </w:rPr>
        <w:t xml:space="preserve"> https://www.responsiblegambling.vic.gov.au/getting-help/understanding-gambling/types-of-gambling/online-and-social-media</w:t>
      </w:r>
    </w:p>
  </w:footnote>
  <w:footnote w:id="25">
    <w:p w:rsidR="0092252C" w:rsidRDefault="0092252C" w:rsidP="00226FCE">
      <w:pPr>
        <w:pStyle w:val="FootnoteText"/>
      </w:pPr>
      <w:r w:rsidRPr="00FF2AC9">
        <w:rPr>
          <w:rStyle w:val="FootnoteReference"/>
          <w:sz w:val="16"/>
        </w:rPr>
        <w:footnoteRef/>
      </w:r>
      <w:r w:rsidRPr="00FF2AC9">
        <w:rPr>
          <w:sz w:val="16"/>
        </w:rPr>
        <w:t xml:space="preserve"> https://www.responsiblegambling.vic.gov.au/getting-help/understanding-gambling/types-of-gambling/online-and-social-media</w:t>
      </w:r>
    </w:p>
  </w:footnote>
  <w:footnote w:id="26">
    <w:p w:rsidR="0092252C" w:rsidRDefault="0092252C">
      <w:pPr>
        <w:pStyle w:val="FootnoteText"/>
      </w:pPr>
      <w:r w:rsidRPr="00D705BD">
        <w:rPr>
          <w:rStyle w:val="FootnoteReference"/>
          <w:sz w:val="16"/>
          <w:szCs w:val="16"/>
        </w:rPr>
        <w:footnoteRef/>
      </w:r>
      <w:r w:rsidRPr="00D705BD">
        <w:rPr>
          <w:sz w:val="16"/>
          <w:szCs w:val="16"/>
        </w:rPr>
        <w:t xml:space="preserve"> </w:t>
      </w:r>
      <w:hyperlink r:id="rId2" w:history="1">
        <w:r w:rsidRPr="00D705BD">
          <w:rPr>
            <w:rStyle w:val="Hyperlink"/>
            <w:sz w:val="16"/>
            <w:szCs w:val="16"/>
          </w:rPr>
          <w:t>https://www.mhs.gov.au/media-releases/2017-04-28-ministers-agree-tackle-major-online-gambling-reform</w:t>
        </w:r>
      </w:hyperlink>
    </w:p>
  </w:footnote>
  <w:footnote w:id="27">
    <w:p w:rsidR="0092252C" w:rsidRDefault="0092252C">
      <w:pPr>
        <w:pStyle w:val="FootnoteText"/>
      </w:pPr>
      <w:r>
        <w:rPr>
          <w:rStyle w:val="FootnoteReference"/>
        </w:rPr>
        <w:footnoteRef/>
      </w:r>
      <w:r>
        <w:t xml:space="preserve"> </w:t>
      </w:r>
      <w:hyperlink r:id="rId3" w:history="1">
        <w:r w:rsidRPr="00B21235">
          <w:rPr>
            <w:rStyle w:val="Hyperlink"/>
          </w:rPr>
          <w:t>https://www.communications.gov.au/what-we-do/television/broadcast-and-content-reform-package</w:t>
        </w:r>
      </w:hyperlink>
    </w:p>
  </w:footnote>
  <w:footnote w:id="28">
    <w:p w:rsidR="0092252C" w:rsidRDefault="0092252C">
      <w:pPr>
        <w:pStyle w:val="FootnoteText"/>
      </w:pPr>
      <w:r w:rsidRPr="00E217B4">
        <w:rPr>
          <w:rFonts w:asciiTheme="minorHAnsi" w:hAnsiTheme="minorHAnsi" w:cstheme="minorHAnsi"/>
          <w:sz w:val="18"/>
          <w:szCs w:val="18"/>
        </w:rPr>
        <w:t>b, 2016</w:t>
      </w:r>
    </w:p>
    <w:p w:rsidR="0092252C" w:rsidRPr="00CE2BA4" w:rsidRDefault="0092252C" w:rsidP="00706330">
      <w:pPr>
        <w:pStyle w:val="FootnoteText"/>
        <w:rPr>
          <w:rFonts w:asciiTheme="minorHAnsi" w:hAnsiTheme="minorHAnsi" w:cstheme="minorHAnsi"/>
          <w:sz w:val="18"/>
          <w:szCs w:val="18"/>
        </w:rPr>
      </w:pPr>
      <w:r w:rsidRPr="00CE2BA4">
        <w:rPr>
          <w:rStyle w:val="FootnoteReference"/>
          <w:rFonts w:asciiTheme="minorHAnsi" w:hAnsiTheme="minorHAnsi" w:cstheme="minorHAnsi"/>
          <w:sz w:val="18"/>
          <w:szCs w:val="18"/>
        </w:rPr>
        <w:footnoteRef/>
      </w:r>
      <w:r w:rsidRPr="00E217B4">
        <w:rPr>
          <w:rFonts w:asciiTheme="minorHAnsi" w:hAnsiTheme="minorHAnsi" w:cstheme="minorHAnsi"/>
          <w:sz w:val="18"/>
          <w:szCs w:val="18"/>
        </w:rPr>
        <w:t>Commission Decision, Doxa Club, 2016</w:t>
      </w:r>
      <w:r>
        <w:rPr>
          <w:rFonts w:asciiTheme="minorHAnsi" w:hAnsiTheme="minorHAnsi" w:cstheme="minorHAnsi"/>
          <w:sz w:val="18"/>
          <w:szCs w:val="18"/>
        </w:rPr>
        <w:t xml:space="preserve">, </w:t>
      </w:r>
      <w:r w:rsidRPr="00CE2BA4">
        <w:rPr>
          <w:sz w:val="18"/>
          <w:szCs w:val="18"/>
        </w:rPr>
        <w:t>Mt Alexander Shire Council v Victorian Commission for Gambling and Liquor Regulation Ltd (Red Dot) [2013] VCAT 10 1</w:t>
      </w:r>
      <w:r w:rsidRPr="00CE2BA4">
        <w:rPr>
          <w:rFonts w:asciiTheme="minorHAnsi" w:hAnsiTheme="minorHAnsi" w:cstheme="minorHAnsi"/>
          <w:sz w:val="18"/>
          <w:szCs w:val="18"/>
        </w:rPr>
        <w:t>and Commission Decis</w:t>
      </w:r>
    </w:p>
  </w:footnote>
  <w:footnote w:id="29">
    <w:p w:rsidR="0092252C" w:rsidRPr="00CE2BA4" w:rsidRDefault="0092252C" w:rsidP="00706330">
      <w:pPr>
        <w:pStyle w:val="FootnoteText"/>
        <w:rPr>
          <w:rFonts w:asciiTheme="minorHAnsi" w:hAnsiTheme="minorHAnsi" w:cstheme="minorHAnsi"/>
          <w:sz w:val="18"/>
          <w:szCs w:val="18"/>
        </w:rPr>
      </w:pPr>
      <w:r w:rsidRPr="00CE2BA4">
        <w:rPr>
          <w:rFonts w:asciiTheme="minorHAnsi" w:hAnsiTheme="minorHAnsi" w:cstheme="minorHAnsi"/>
          <w:sz w:val="18"/>
          <w:szCs w:val="18"/>
        </w:rPr>
        <w:t>ion, Coach and Horses, 2013</w:t>
      </w:r>
    </w:p>
    <w:p w:rsidR="0092252C" w:rsidRPr="00E217B4" w:rsidRDefault="0092252C" w:rsidP="0066673B">
      <w:pPr>
        <w:spacing w:after="0"/>
        <w:rPr>
          <w:rFonts w:cstheme="minorHAnsi"/>
          <w:sz w:val="18"/>
          <w:szCs w:val="18"/>
        </w:rPr>
      </w:pPr>
      <w:r w:rsidRPr="00E217B4">
        <w:rPr>
          <w:rStyle w:val="FootnoteReference"/>
          <w:rFonts w:cstheme="minorHAnsi"/>
          <w:sz w:val="18"/>
          <w:szCs w:val="18"/>
        </w:rPr>
        <w:footnoteRef/>
      </w:r>
      <w:r w:rsidRPr="00E217B4">
        <w:rPr>
          <w:rFonts w:cstheme="minorHAnsi"/>
          <w:sz w:val="18"/>
          <w:szCs w:val="18"/>
        </w:rPr>
        <w:t xml:space="preserve"> </w:t>
      </w:r>
      <w:r w:rsidRPr="00E217B4">
        <w:rPr>
          <w:rFonts w:cstheme="minorHAnsi"/>
          <w:noProof/>
          <w:sz w:val="18"/>
          <w:szCs w:val="18"/>
        </w:rPr>
        <w:t>Glenroy RSL Sub Branch Inc v Moreland CC [2017] VCAT 531</w:t>
      </w:r>
    </w:p>
    <w:p w:rsidR="0092252C" w:rsidRPr="00E217B4" w:rsidRDefault="0092252C" w:rsidP="0066673B">
      <w:pPr>
        <w:spacing w:after="0"/>
        <w:rPr>
          <w:rFonts w:cstheme="minorHAnsi"/>
          <w:sz w:val="18"/>
          <w:szCs w:val="18"/>
        </w:rPr>
      </w:pPr>
      <w:r w:rsidRPr="00E217B4">
        <w:rPr>
          <w:rStyle w:val="FootnoteReference"/>
          <w:rFonts w:cstheme="minorHAnsi"/>
          <w:sz w:val="18"/>
          <w:szCs w:val="18"/>
        </w:rPr>
        <w:footnoteRef/>
      </w:r>
      <w:r w:rsidRPr="00E217B4">
        <w:rPr>
          <w:rFonts w:cstheme="minorHAnsi"/>
          <w:sz w:val="18"/>
          <w:szCs w:val="18"/>
        </w:rPr>
        <w:t xml:space="preserve"> </w:t>
      </w:r>
      <w:r w:rsidRPr="00E217B4">
        <w:rPr>
          <w:rFonts w:cstheme="minorHAnsi"/>
          <w:noProof/>
          <w:sz w:val="18"/>
          <w:szCs w:val="18"/>
        </w:rPr>
        <w:t>Glenroy RSL Sub Branch Inc v Moreland CC [2017] VCAT 531</w:t>
      </w:r>
    </w:p>
    <w:p w:rsidR="0092252C" w:rsidRPr="00E217B4" w:rsidRDefault="0092252C" w:rsidP="0066673B">
      <w:pPr>
        <w:spacing w:after="0"/>
        <w:rPr>
          <w:rFonts w:cstheme="minorHAnsi"/>
          <w:sz w:val="18"/>
          <w:szCs w:val="18"/>
        </w:rPr>
      </w:pPr>
      <w:r w:rsidRPr="00E217B4">
        <w:rPr>
          <w:rStyle w:val="FootnoteReference"/>
          <w:rFonts w:cstheme="minorHAnsi"/>
          <w:sz w:val="18"/>
          <w:szCs w:val="18"/>
        </w:rPr>
        <w:footnoteRef/>
      </w:r>
      <w:r w:rsidRPr="00E217B4">
        <w:rPr>
          <w:rFonts w:cstheme="minorHAnsi"/>
          <w:sz w:val="18"/>
          <w:szCs w:val="18"/>
        </w:rPr>
        <w:t xml:space="preserve"> </w:t>
      </w:r>
      <w:r w:rsidRPr="00E217B4">
        <w:rPr>
          <w:rFonts w:cstheme="minorHAnsi"/>
          <w:noProof/>
          <w:sz w:val="18"/>
          <w:szCs w:val="18"/>
        </w:rPr>
        <w:t>Glenroy RSL Sub Branch Inc v Moreland CC [2017] VCAT 531</w:t>
      </w:r>
    </w:p>
    <w:p w:rsidR="0092252C" w:rsidRPr="00E217B4" w:rsidRDefault="0092252C" w:rsidP="0066673B">
      <w:pPr>
        <w:pStyle w:val="FootnoteText"/>
        <w:rPr>
          <w:rFonts w:asciiTheme="minorHAnsi" w:hAnsiTheme="minorHAnsi" w:cstheme="minorHAnsi"/>
          <w:sz w:val="18"/>
          <w:szCs w:val="18"/>
        </w:rPr>
      </w:pPr>
      <w:r w:rsidRPr="00E217B4">
        <w:rPr>
          <w:rStyle w:val="FootnoteReference"/>
          <w:rFonts w:asciiTheme="minorHAnsi" w:hAnsiTheme="minorHAnsi" w:cstheme="minorHAnsi"/>
          <w:sz w:val="18"/>
          <w:szCs w:val="18"/>
        </w:rPr>
        <w:footnoteRef/>
      </w:r>
      <w:r w:rsidRPr="00E217B4">
        <w:rPr>
          <w:rFonts w:asciiTheme="minorHAnsi" w:hAnsiTheme="minorHAnsi" w:cstheme="minorHAnsi"/>
          <w:sz w:val="18"/>
          <w:szCs w:val="18"/>
        </w:rPr>
        <w:t xml:space="preserve"> Commission Decision, Commercial Hotel</w:t>
      </w:r>
    </w:p>
    <w:p w:rsidR="0092252C" w:rsidRPr="00E217B4" w:rsidRDefault="0092252C" w:rsidP="0066673B">
      <w:pPr>
        <w:pStyle w:val="FootnoteText"/>
        <w:rPr>
          <w:rFonts w:asciiTheme="minorHAnsi" w:hAnsiTheme="minorHAnsi" w:cstheme="minorHAnsi"/>
          <w:sz w:val="18"/>
          <w:szCs w:val="18"/>
        </w:rPr>
      </w:pPr>
      <w:r w:rsidRPr="00E217B4">
        <w:rPr>
          <w:rStyle w:val="FootnoteReference"/>
          <w:rFonts w:asciiTheme="minorHAnsi" w:hAnsiTheme="minorHAnsi" w:cstheme="minorHAnsi"/>
          <w:sz w:val="18"/>
          <w:szCs w:val="18"/>
        </w:rPr>
        <w:footnoteRef/>
      </w:r>
      <w:r w:rsidRPr="00E217B4">
        <w:rPr>
          <w:rFonts w:asciiTheme="minorHAnsi" w:hAnsiTheme="minorHAnsi" w:cstheme="minorHAnsi"/>
          <w:sz w:val="18"/>
          <w:szCs w:val="18"/>
        </w:rPr>
        <w:t xml:space="preserve"> Co</w:t>
      </w:r>
    </w:p>
  </w:footnote>
  <w:footnote w:id="30">
    <w:p w:rsidR="0092252C" w:rsidRPr="00E217B4" w:rsidRDefault="0092252C" w:rsidP="0066673B">
      <w:pPr>
        <w:pStyle w:val="FootnoteText"/>
        <w:rPr>
          <w:rFonts w:asciiTheme="minorHAnsi" w:hAnsiTheme="minorHAnsi" w:cstheme="minorHAnsi"/>
          <w:sz w:val="18"/>
          <w:szCs w:val="18"/>
        </w:rPr>
      </w:pPr>
      <w:r w:rsidRPr="00E217B4">
        <w:rPr>
          <w:rFonts w:asciiTheme="minorHAnsi" w:hAnsiTheme="minorHAnsi" w:cstheme="minorHAnsi"/>
          <w:sz w:val="18"/>
          <w:szCs w:val="18"/>
        </w:rPr>
        <w:t>mmission Decision, Commercial Hotel</w:t>
      </w:r>
    </w:p>
    <w:p w:rsidR="0092252C" w:rsidRPr="006C2DA2" w:rsidRDefault="0092252C" w:rsidP="0063624D">
      <w:pPr>
        <w:pStyle w:val="FootnoteText"/>
        <w:rPr>
          <w:sz w:val="18"/>
        </w:rPr>
      </w:pPr>
      <w:r w:rsidRPr="00E217B4">
        <w:rPr>
          <w:rStyle w:val="FootnoteReference"/>
          <w:rFonts w:asciiTheme="minorHAnsi" w:hAnsiTheme="minorHAnsi" w:cstheme="minorHAnsi"/>
          <w:sz w:val="18"/>
          <w:szCs w:val="18"/>
        </w:rPr>
        <w:footnoteRef/>
      </w:r>
    </w:p>
  </w:footnote>
  <w:footnote w:id="31">
    <w:p w:rsidR="0092252C" w:rsidRPr="006C2DA2" w:rsidRDefault="0092252C" w:rsidP="0063624D">
      <w:pPr>
        <w:pStyle w:val="FootnoteText"/>
        <w:rPr>
          <w:sz w:val="18"/>
        </w:rPr>
      </w:pPr>
      <w:r w:rsidRPr="006C2DA2">
        <w:rPr>
          <w:rStyle w:val="FootnoteReference"/>
          <w:sz w:val="18"/>
        </w:rPr>
        <w:footnoteRef/>
      </w:r>
      <w:r w:rsidRPr="006C2DA2">
        <w:rPr>
          <w:sz w:val="18"/>
        </w:rPr>
        <w:t xml:space="preserve"> There is an outstanding application for 24 hour gaming at this venue, source: VCGLR</w:t>
      </w:r>
    </w:p>
  </w:footnote>
  <w:footnote w:id="32">
    <w:p w:rsidR="0092252C" w:rsidRPr="00B73000" w:rsidRDefault="0092252C" w:rsidP="0063624D">
      <w:pPr>
        <w:pStyle w:val="FootnoteText"/>
        <w:rPr>
          <w:rFonts w:cs="Calibri"/>
          <w:sz w:val="16"/>
          <w:szCs w:val="16"/>
        </w:rPr>
      </w:pPr>
      <w:r w:rsidRPr="00B73000">
        <w:rPr>
          <w:rStyle w:val="FootnoteReference"/>
          <w:rFonts w:cs="Calibri"/>
          <w:sz w:val="16"/>
          <w:szCs w:val="16"/>
        </w:rPr>
        <w:footnoteRef/>
      </w:r>
      <w:r w:rsidRPr="00B73000">
        <w:rPr>
          <w:rFonts w:cs="Calibri"/>
          <w:sz w:val="16"/>
          <w:szCs w:val="16"/>
        </w:rPr>
        <w:t xml:space="preserve"> Wyndham Planning Panel Report, Amendment C174:</w:t>
      </w:r>
    </w:p>
  </w:footnote>
  <w:footnote w:id="33">
    <w:p w:rsidR="0092252C" w:rsidRPr="00B73000" w:rsidRDefault="0092252C" w:rsidP="0063624D">
      <w:pPr>
        <w:pStyle w:val="FootnoteText"/>
        <w:rPr>
          <w:rFonts w:cs="Calibri"/>
          <w:sz w:val="16"/>
          <w:szCs w:val="16"/>
        </w:rPr>
      </w:pPr>
      <w:r w:rsidRPr="00B73000">
        <w:rPr>
          <w:rStyle w:val="FootnoteReference"/>
          <w:rFonts w:cs="Calibri"/>
          <w:sz w:val="16"/>
          <w:szCs w:val="16"/>
        </w:rPr>
        <w:footnoteRef/>
      </w:r>
      <w:r w:rsidRPr="00B73000">
        <w:rPr>
          <w:rFonts w:cs="Calibri"/>
          <w:sz w:val="16"/>
          <w:szCs w:val="16"/>
        </w:rPr>
        <w:t xml:space="preserve"> </w:t>
      </w:r>
      <w:r w:rsidRPr="00B73000">
        <w:rPr>
          <w:rFonts w:eastAsiaTheme="minorHAnsi" w:cs="Calibri"/>
          <w:sz w:val="16"/>
          <w:szCs w:val="16"/>
        </w:rPr>
        <w:t>Romsey Hotel Pty Ltd v Victorian Commission for Gambling Regulation (Occupational and Business Regulation) [2007] VCAT 1</w:t>
      </w:r>
    </w:p>
  </w:footnote>
  <w:footnote w:id="34">
    <w:p w:rsidR="0092252C" w:rsidRPr="00B73000" w:rsidRDefault="0092252C" w:rsidP="0063624D">
      <w:pPr>
        <w:pStyle w:val="FootnoteText"/>
        <w:rPr>
          <w:rFonts w:cs="Calibri"/>
          <w:sz w:val="16"/>
          <w:szCs w:val="16"/>
        </w:rPr>
      </w:pPr>
      <w:r w:rsidRPr="00B73000">
        <w:rPr>
          <w:rStyle w:val="FootnoteReference"/>
          <w:rFonts w:cs="Calibri"/>
          <w:sz w:val="16"/>
          <w:szCs w:val="16"/>
        </w:rPr>
        <w:footnoteRef/>
      </w:r>
      <w:r w:rsidRPr="00B73000">
        <w:rPr>
          <w:rFonts w:cs="Calibri"/>
          <w:sz w:val="16"/>
          <w:szCs w:val="16"/>
        </w:rPr>
        <w:t xml:space="preserve"> Commission decision, Glenroy RSL </w:t>
      </w:r>
    </w:p>
  </w:footnote>
  <w:footnote w:id="35">
    <w:p w:rsidR="0092252C" w:rsidRPr="00E217B4" w:rsidRDefault="0092252C" w:rsidP="0063624D">
      <w:pPr>
        <w:pStyle w:val="FootnoteText"/>
        <w:rPr>
          <w:rFonts w:asciiTheme="minorHAnsi" w:hAnsiTheme="minorHAnsi" w:cstheme="minorHAnsi"/>
          <w:sz w:val="18"/>
          <w:szCs w:val="18"/>
        </w:rPr>
      </w:pPr>
      <w:r w:rsidRPr="00E217B4">
        <w:rPr>
          <w:rStyle w:val="FootnoteReference"/>
          <w:rFonts w:asciiTheme="minorHAnsi" w:hAnsiTheme="minorHAnsi" w:cstheme="minorHAnsi"/>
          <w:sz w:val="18"/>
          <w:szCs w:val="18"/>
        </w:rPr>
        <w:footnoteRef/>
      </w:r>
      <w:r w:rsidRPr="00E217B4">
        <w:rPr>
          <w:rFonts w:asciiTheme="minorHAnsi" w:hAnsiTheme="minorHAnsi" w:cstheme="minorHAnsi"/>
          <w:sz w:val="18"/>
          <w:szCs w:val="18"/>
        </w:rPr>
        <w:t xml:space="preserve"> Commission Decision, Glenroy RSL</w:t>
      </w:r>
      <w:r>
        <w:rPr>
          <w:rFonts w:asciiTheme="minorHAnsi" w:hAnsiTheme="minorHAnsi" w:cstheme="minorHAnsi"/>
          <w:sz w:val="18"/>
          <w:szCs w:val="18"/>
        </w:rPr>
        <w:t xml:space="preserve"> 2016</w:t>
      </w:r>
    </w:p>
  </w:footnote>
  <w:footnote w:id="36">
    <w:p w:rsidR="0092252C" w:rsidRPr="00E217B4" w:rsidRDefault="0092252C" w:rsidP="0063624D">
      <w:pPr>
        <w:spacing w:after="0"/>
        <w:rPr>
          <w:rFonts w:asciiTheme="minorHAnsi" w:hAnsiTheme="minorHAnsi" w:cstheme="minorHAnsi"/>
          <w:sz w:val="18"/>
          <w:szCs w:val="18"/>
        </w:rPr>
      </w:pPr>
      <w:r w:rsidRPr="00E217B4">
        <w:rPr>
          <w:rStyle w:val="FootnoteReference"/>
          <w:rFonts w:asciiTheme="minorHAnsi" w:hAnsiTheme="minorHAnsi" w:cstheme="minorHAnsi"/>
          <w:sz w:val="18"/>
          <w:szCs w:val="18"/>
        </w:rPr>
        <w:footnoteRef/>
      </w:r>
      <w:r w:rsidRPr="00E217B4">
        <w:rPr>
          <w:rFonts w:asciiTheme="minorHAnsi" w:hAnsiTheme="minorHAnsi" w:cstheme="minorHAnsi"/>
          <w:sz w:val="18"/>
          <w:szCs w:val="18"/>
        </w:rPr>
        <w:t xml:space="preserve"> Commission Decision, Victoria Hotel and Queensberry Hotel Pty Ltd v Minister for Planning and Community Development [2013] VCAT 444)</w:t>
      </w:r>
    </w:p>
  </w:footnote>
  <w:footnote w:id="37">
    <w:p w:rsidR="0092252C" w:rsidRPr="00E217B4" w:rsidRDefault="0092252C" w:rsidP="0063624D">
      <w:pPr>
        <w:pStyle w:val="FootnoteText"/>
        <w:rPr>
          <w:rFonts w:asciiTheme="minorHAnsi" w:hAnsiTheme="minorHAnsi" w:cstheme="minorHAnsi"/>
          <w:sz w:val="18"/>
          <w:szCs w:val="18"/>
        </w:rPr>
      </w:pPr>
      <w:r w:rsidRPr="005E18B6">
        <w:rPr>
          <w:rStyle w:val="FootnoteReference"/>
          <w:rFonts w:asciiTheme="minorHAnsi" w:hAnsiTheme="minorHAnsi" w:cstheme="minorHAnsi"/>
          <w:sz w:val="18"/>
          <w:szCs w:val="18"/>
        </w:rPr>
        <w:footnoteRef/>
      </w:r>
      <w:r w:rsidRPr="005E18B6">
        <w:rPr>
          <w:rFonts w:asciiTheme="minorHAnsi" w:hAnsiTheme="minorHAnsi" w:cstheme="minorHAnsi"/>
          <w:sz w:val="18"/>
          <w:szCs w:val="18"/>
        </w:rPr>
        <w:t xml:space="preserve"> Commission Decision Braybrook Hotel</w:t>
      </w:r>
    </w:p>
  </w:footnote>
  <w:footnote w:id="38">
    <w:p w:rsidR="0092252C" w:rsidRPr="00E217B4" w:rsidRDefault="0092252C" w:rsidP="0063624D">
      <w:pPr>
        <w:spacing w:after="0"/>
        <w:rPr>
          <w:rFonts w:asciiTheme="minorHAnsi" w:hAnsiTheme="minorHAnsi" w:cstheme="minorHAnsi"/>
          <w:sz w:val="18"/>
          <w:szCs w:val="18"/>
        </w:rPr>
      </w:pPr>
      <w:r w:rsidRPr="00E217B4">
        <w:rPr>
          <w:rStyle w:val="FootnoteReference"/>
          <w:rFonts w:asciiTheme="minorHAnsi" w:hAnsiTheme="minorHAnsi" w:cstheme="minorHAnsi"/>
          <w:sz w:val="18"/>
          <w:szCs w:val="18"/>
        </w:rPr>
        <w:footnoteRef/>
      </w:r>
      <w:r w:rsidRPr="00E217B4">
        <w:rPr>
          <w:rFonts w:asciiTheme="minorHAnsi" w:hAnsiTheme="minorHAnsi" w:cstheme="minorHAnsi"/>
          <w:sz w:val="18"/>
          <w:szCs w:val="18"/>
        </w:rPr>
        <w:t xml:space="preserve"> Darebin CC v Victorian Commission for Gambling and Liquor Regulation &amp; Anor</w:t>
      </w:r>
    </w:p>
  </w:footnote>
  <w:footnote w:id="39">
    <w:p w:rsidR="0092252C" w:rsidRPr="00EB0AEE" w:rsidRDefault="0092252C">
      <w:pPr>
        <w:pStyle w:val="FootnoteText"/>
        <w:rPr>
          <w:sz w:val="16"/>
          <w:szCs w:val="16"/>
        </w:rPr>
      </w:pPr>
      <w:r w:rsidRPr="00EB0AEE">
        <w:rPr>
          <w:rStyle w:val="FootnoteReference"/>
          <w:sz w:val="16"/>
          <w:szCs w:val="16"/>
        </w:rPr>
        <w:footnoteRef/>
      </w:r>
      <w:r w:rsidRPr="00EB0AEE">
        <w:rPr>
          <w:sz w:val="16"/>
          <w:szCs w:val="16"/>
        </w:rPr>
        <w:t xml:space="preserve"> Commission Decision Noble Park Football Club 2017</w:t>
      </w:r>
    </w:p>
  </w:footnote>
  <w:footnote w:id="40">
    <w:p w:rsidR="0092252C" w:rsidRPr="00EB0AEE" w:rsidRDefault="0092252C" w:rsidP="00274F9E">
      <w:pPr>
        <w:spacing w:after="0"/>
        <w:rPr>
          <w:rFonts w:cstheme="minorHAnsi"/>
          <w:sz w:val="16"/>
          <w:szCs w:val="16"/>
        </w:rPr>
      </w:pPr>
      <w:r w:rsidRPr="00EB0AEE">
        <w:rPr>
          <w:rStyle w:val="FootnoteReference"/>
          <w:rFonts w:cstheme="minorHAnsi"/>
          <w:sz w:val="16"/>
          <w:szCs w:val="16"/>
        </w:rPr>
        <w:footnoteRef/>
      </w:r>
      <w:r w:rsidRPr="00EB0AEE">
        <w:rPr>
          <w:rFonts w:cstheme="minorHAnsi"/>
          <w:sz w:val="16"/>
          <w:szCs w:val="16"/>
        </w:rPr>
        <w:t xml:space="preserve"> </w:t>
      </w:r>
      <w:r w:rsidRPr="00EB0AEE">
        <w:rPr>
          <w:rFonts w:cstheme="minorHAnsi"/>
          <w:noProof/>
          <w:sz w:val="16"/>
          <w:szCs w:val="16"/>
        </w:rPr>
        <w:t>Glenroy RSL Sub Branch Inc v Moreland CC [2017] VCAT 531</w:t>
      </w:r>
    </w:p>
  </w:footnote>
  <w:footnote w:id="41">
    <w:p w:rsidR="0092252C" w:rsidRPr="00EB0AEE" w:rsidRDefault="0092252C" w:rsidP="00274F9E">
      <w:pPr>
        <w:spacing w:after="0"/>
        <w:rPr>
          <w:rFonts w:cstheme="minorHAnsi"/>
          <w:sz w:val="16"/>
          <w:szCs w:val="16"/>
        </w:rPr>
      </w:pPr>
      <w:r w:rsidRPr="00EB0AEE">
        <w:rPr>
          <w:rStyle w:val="FootnoteReference"/>
          <w:rFonts w:cstheme="minorHAnsi"/>
          <w:sz w:val="16"/>
          <w:szCs w:val="16"/>
        </w:rPr>
        <w:footnoteRef/>
      </w:r>
      <w:r w:rsidRPr="00EB0AEE">
        <w:rPr>
          <w:rFonts w:cstheme="minorHAnsi"/>
          <w:sz w:val="16"/>
          <w:szCs w:val="16"/>
        </w:rPr>
        <w:t xml:space="preserve"> </w:t>
      </w:r>
      <w:r w:rsidRPr="00EB0AEE">
        <w:rPr>
          <w:rFonts w:cstheme="minorHAnsi"/>
          <w:noProof/>
          <w:sz w:val="16"/>
          <w:szCs w:val="16"/>
        </w:rPr>
        <w:t>Glenroy RSL Sub Branch Inc v Moreland CC [2017] VCAT 531</w:t>
      </w:r>
    </w:p>
  </w:footnote>
  <w:footnote w:id="42">
    <w:p w:rsidR="0092252C" w:rsidRPr="00EB0AEE" w:rsidRDefault="0092252C" w:rsidP="00274F9E">
      <w:pPr>
        <w:spacing w:after="0"/>
        <w:rPr>
          <w:rFonts w:cstheme="minorHAnsi"/>
          <w:sz w:val="16"/>
          <w:szCs w:val="16"/>
        </w:rPr>
      </w:pPr>
      <w:r w:rsidRPr="00EB0AEE">
        <w:rPr>
          <w:rStyle w:val="FootnoteReference"/>
          <w:rFonts w:cstheme="minorHAnsi"/>
          <w:sz w:val="16"/>
          <w:szCs w:val="16"/>
        </w:rPr>
        <w:footnoteRef/>
      </w:r>
      <w:r w:rsidRPr="00EB0AEE">
        <w:rPr>
          <w:rFonts w:cstheme="minorHAnsi"/>
          <w:sz w:val="16"/>
          <w:szCs w:val="16"/>
        </w:rPr>
        <w:t xml:space="preserve"> </w:t>
      </w:r>
      <w:r w:rsidRPr="00EB0AEE">
        <w:rPr>
          <w:rFonts w:cstheme="minorHAnsi"/>
          <w:noProof/>
          <w:sz w:val="16"/>
          <w:szCs w:val="16"/>
        </w:rPr>
        <w:t>Glenroy RSL Sub Branch Inc v Moreland CC [2017] VCAT 531</w:t>
      </w:r>
    </w:p>
  </w:footnote>
  <w:footnote w:id="43">
    <w:p w:rsidR="0092252C" w:rsidRPr="00EB0AEE" w:rsidRDefault="0092252C" w:rsidP="00274F9E">
      <w:pPr>
        <w:pStyle w:val="FootnoteText"/>
        <w:rPr>
          <w:rFonts w:asciiTheme="minorHAnsi" w:hAnsiTheme="minorHAnsi" w:cstheme="minorHAnsi"/>
          <w:sz w:val="16"/>
          <w:szCs w:val="16"/>
        </w:rPr>
      </w:pPr>
      <w:r w:rsidRPr="00EB0AEE">
        <w:rPr>
          <w:rStyle w:val="FootnoteReference"/>
          <w:rFonts w:asciiTheme="minorHAnsi" w:hAnsiTheme="minorHAnsi" w:cstheme="minorHAnsi"/>
          <w:sz w:val="16"/>
          <w:szCs w:val="16"/>
        </w:rPr>
        <w:footnoteRef/>
      </w:r>
      <w:r w:rsidRPr="00EB0AEE">
        <w:rPr>
          <w:rFonts w:asciiTheme="minorHAnsi" w:hAnsiTheme="minorHAnsi" w:cstheme="minorHAnsi"/>
          <w:sz w:val="16"/>
          <w:szCs w:val="16"/>
        </w:rPr>
        <w:t xml:space="preserve"> Commission Decision, Commercial Hotel</w:t>
      </w:r>
    </w:p>
  </w:footnote>
  <w:footnote w:id="44">
    <w:p w:rsidR="0092252C" w:rsidRPr="00EB0AEE" w:rsidRDefault="0092252C" w:rsidP="00274F9E">
      <w:pPr>
        <w:pStyle w:val="FootnoteText"/>
        <w:rPr>
          <w:rFonts w:asciiTheme="minorHAnsi" w:hAnsiTheme="minorHAnsi" w:cstheme="minorHAnsi"/>
          <w:sz w:val="16"/>
          <w:szCs w:val="16"/>
        </w:rPr>
      </w:pPr>
      <w:r w:rsidRPr="00EB0AEE">
        <w:rPr>
          <w:rStyle w:val="FootnoteReference"/>
          <w:rFonts w:asciiTheme="minorHAnsi" w:hAnsiTheme="minorHAnsi" w:cstheme="minorHAnsi"/>
          <w:sz w:val="16"/>
          <w:szCs w:val="16"/>
        </w:rPr>
        <w:footnoteRef/>
      </w:r>
      <w:r w:rsidRPr="00EB0AEE">
        <w:rPr>
          <w:rFonts w:asciiTheme="minorHAnsi" w:hAnsiTheme="minorHAnsi" w:cstheme="minorHAnsi"/>
          <w:sz w:val="16"/>
          <w:szCs w:val="16"/>
        </w:rPr>
        <w:t xml:space="preserve"> Commission Decision, Commercial Hotel</w:t>
      </w:r>
    </w:p>
  </w:footnote>
  <w:footnote w:id="45">
    <w:p w:rsidR="0092252C" w:rsidRPr="00EB0AEE" w:rsidRDefault="0092252C" w:rsidP="00274F9E">
      <w:pPr>
        <w:pStyle w:val="FootnoteText"/>
        <w:rPr>
          <w:rFonts w:asciiTheme="minorHAnsi" w:hAnsiTheme="minorHAnsi" w:cstheme="minorHAnsi"/>
          <w:sz w:val="16"/>
          <w:szCs w:val="16"/>
        </w:rPr>
      </w:pPr>
      <w:r w:rsidRPr="00EB0AEE">
        <w:rPr>
          <w:rStyle w:val="FootnoteReference"/>
          <w:rFonts w:asciiTheme="minorHAnsi" w:hAnsiTheme="minorHAnsi" w:cstheme="minorHAnsi"/>
          <w:sz w:val="16"/>
          <w:szCs w:val="16"/>
        </w:rPr>
        <w:footnoteRef/>
      </w:r>
      <w:r w:rsidRPr="00EB0AEE">
        <w:rPr>
          <w:rFonts w:asciiTheme="minorHAnsi" w:hAnsiTheme="minorHAnsi" w:cstheme="minorHAnsi"/>
          <w:sz w:val="16"/>
          <w:szCs w:val="16"/>
        </w:rPr>
        <w:t xml:space="preserve"> Commission Decision, Commercial Hotel</w:t>
      </w:r>
    </w:p>
  </w:footnote>
  <w:footnote w:id="46">
    <w:p w:rsidR="0092252C" w:rsidRPr="00EB0AEE" w:rsidRDefault="0092252C" w:rsidP="00274F9E">
      <w:pPr>
        <w:pStyle w:val="FootnoteText"/>
        <w:rPr>
          <w:rFonts w:asciiTheme="minorHAnsi" w:hAnsiTheme="minorHAnsi" w:cstheme="minorHAnsi"/>
          <w:sz w:val="16"/>
          <w:szCs w:val="16"/>
        </w:rPr>
      </w:pPr>
      <w:r w:rsidRPr="00EB0AEE">
        <w:rPr>
          <w:rStyle w:val="FootnoteReference"/>
          <w:rFonts w:asciiTheme="minorHAnsi" w:hAnsiTheme="minorHAnsi" w:cstheme="minorHAnsi"/>
          <w:sz w:val="16"/>
          <w:szCs w:val="16"/>
        </w:rPr>
        <w:footnoteRef/>
      </w:r>
      <w:r w:rsidRPr="00EB0AEE">
        <w:rPr>
          <w:rFonts w:asciiTheme="minorHAnsi" w:hAnsiTheme="minorHAnsi" w:cstheme="minorHAnsi"/>
          <w:sz w:val="16"/>
          <w:szCs w:val="16"/>
        </w:rPr>
        <w:t xml:space="preserve"> Commission Decision, Commercial Hotel</w:t>
      </w:r>
    </w:p>
  </w:footnote>
  <w:footnote w:id="47">
    <w:p w:rsidR="0092252C" w:rsidRPr="00EB0AEE" w:rsidRDefault="0092252C" w:rsidP="00274F9E">
      <w:pPr>
        <w:pStyle w:val="FootnoteText"/>
        <w:rPr>
          <w:rFonts w:asciiTheme="minorHAnsi" w:hAnsiTheme="minorHAnsi" w:cstheme="minorHAnsi"/>
          <w:sz w:val="16"/>
          <w:szCs w:val="16"/>
        </w:rPr>
      </w:pPr>
      <w:r w:rsidRPr="00EB0AEE">
        <w:rPr>
          <w:rStyle w:val="FootnoteReference"/>
          <w:rFonts w:asciiTheme="minorHAnsi" w:hAnsiTheme="minorHAnsi" w:cstheme="minorHAnsi"/>
          <w:sz w:val="16"/>
          <w:szCs w:val="16"/>
        </w:rPr>
        <w:footnoteRef/>
      </w:r>
      <w:r w:rsidRPr="00EB0AEE">
        <w:rPr>
          <w:rFonts w:asciiTheme="minorHAnsi" w:hAnsiTheme="minorHAnsi" w:cstheme="minorHAnsi"/>
          <w:sz w:val="16"/>
          <w:szCs w:val="16"/>
        </w:rPr>
        <w:t xml:space="preserve"> Commission Decision, Braybrook Hotel, Commission Decision, Commercial Hotel</w:t>
      </w:r>
    </w:p>
  </w:footnote>
  <w:footnote w:id="48">
    <w:p w:rsidR="0092252C" w:rsidRPr="00EB0AEE" w:rsidRDefault="0092252C" w:rsidP="00274F9E">
      <w:pPr>
        <w:pStyle w:val="FootnoteText"/>
        <w:rPr>
          <w:rFonts w:asciiTheme="minorHAnsi" w:hAnsiTheme="minorHAnsi" w:cstheme="minorHAnsi"/>
          <w:sz w:val="16"/>
          <w:szCs w:val="16"/>
        </w:rPr>
      </w:pPr>
      <w:r w:rsidRPr="00EB0AEE">
        <w:rPr>
          <w:rStyle w:val="FootnoteReference"/>
          <w:rFonts w:asciiTheme="minorHAnsi" w:hAnsiTheme="minorHAnsi" w:cstheme="minorHAnsi"/>
          <w:sz w:val="16"/>
          <w:szCs w:val="16"/>
        </w:rPr>
        <w:footnoteRef/>
      </w:r>
      <w:r w:rsidRPr="00EB0AEE">
        <w:rPr>
          <w:rFonts w:asciiTheme="minorHAnsi" w:hAnsiTheme="minorHAnsi" w:cstheme="minorHAnsi"/>
          <w:sz w:val="16"/>
          <w:szCs w:val="16"/>
        </w:rPr>
        <w:t xml:space="preserve"> Commission Decision, Braybrook Hotel</w:t>
      </w:r>
    </w:p>
  </w:footnote>
  <w:footnote w:id="49">
    <w:p w:rsidR="0092252C" w:rsidRPr="00EB0AEE" w:rsidRDefault="0092252C" w:rsidP="00274F9E">
      <w:pPr>
        <w:spacing w:after="0"/>
        <w:rPr>
          <w:rFonts w:cstheme="minorHAnsi"/>
          <w:sz w:val="16"/>
          <w:szCs w:val="16"/>
        </w:rPr>
      </w:pPr>
      <w:r w:rsidRPr="00EB0AEE">
        <w:rPr>
          <w:rStyle w:val="FootnoteReference"/>
          <w:rFonts w:cstheme="minorHAnsi"/>
          <w:sz w:val="16"/>
          <w:szCs w:val="16"/>
        </w:rPr>
        <w:footnoteRef/>
      </w:r>
      <w:r w:rsidRPr="00EB0AEE">
        <w:rPr>
          <w:rFonts w:cstheme="minorHAnsi"/>
          <w:sz w:val="16"/>
          <w:szCs w:val="16"/>
        </w:rPr>
        <w:t xml:space="preserve">  </w:t>
      </w:r>
      <w:r w:rsidRPr="00EB0AEE">
        <w:rPr>
          <w:rFonts w:cstheme="minorHAnsi"/>
          <w:noProof/>
          <w:sz w:val="16"/>
          <w:szCs w:val="16"/>
        </w:rPr>
        <w:t>Glenroy RSL Sub Branch Inc v Moreland CC [2017] VCAT 531</w:t>
      </w:r>
    </w:p>
  </w:footnote>
  <w:footnote w:id="50">
    <w:p w:rsidR="0092252C" w:rsidRPr="00EB0AEE" w:rsidRDefault="0092252C" w:rsidP="0063624D">
      <w:pPr>
        <w:pStyle w:val="FootnoteText"/>
        <w:rPr>
          <w:sz w:val="16"/>
          <w:szCs w:val="16"/>
        </w:rPr>
      </w:pPr>
      <w:r w:rsidRPr="00EB0AEE">
        <w:rPr>
          <w:rStyle w:val="FootnoteReference"/>
          <w:sz w:val="16"/>
          <w:szCs w:val="16"/>
        </w:rPr>
        <w:footnoteRef/>
      </w:r>
      <w:r w:rsidRPr="00EB0AEE">
        <w:rPr>
          <w:sz w:val="16"/>
          <w:szCs w:val="16"/>
        </w:rPr>
        <w:t xml:space="preserve"> </w:t>
      </w:r>
      <w:r w:rsidRPr="00EB0AEE">
        <w:rPr>
          <w:rFonts w:asciiTheme="minorHAnsi" w:hAnsiTheme="minorHAnsi" w:cstheme="minorHAnsi"/>
          <w:sz w:val="16"/>
          <w:szCs w:val="16"/>
        </w:rPr>
        <w:t>Commission Decision, Doxa Club, 2016</w:t>
      </w:r>
    </w:p>
  </w:footnote>
  <w:footnote w:id="51">
    <w:p w:rsidR="0092252C" w:rsidRPr="00EB0AEE" w:rsidRDefault="0092252C" w:rsidP="00595237">
      <w:pPr>
        <w:pStyle w:val="FootnoteText"/>
        <w:rPr>
          <w:rFonts w:asciiTheme="minorHAnsi" w:hAnsiTheme="minorHAnsi" w:cstheme="minorHAnsi"/>
          <w:sz w:val="16"/>
          <w:szCs w:val="16"/>
        </w:rPr>
      </w:pPr>
      <w:r w:rsidRPr="00EB0AEE">
        <w:rPr>
          <w:rStyle w:val="FootnoteReference"/>
          <w:rFonts w:asciiTheme="minorHAnsi" w:hAnsiTheme="minorHAnsi" w:cstheme="minorHAnsi"/>
          <w:sz w:val="16"/>
          <w:szCs w:val="16"/>
        </w:rPr>
        <w:footnoteRef/>
      </w:r>
      <w:r w:rsidRPr="00EB0AEE">
        <w:rPr>
          <w:rFonts w:asciiTheme="minorHAnsi" w:hAnsiTheme="minorHAnsi" w:cstheme="minorHAnsi"/>
          <w:sz w:val="16"/>
          <w:szCs w:val="16"/>
        </w:rPr>
        <w:t xml:space="preserve">Commission Decision, Doxa Club, 2016, </w:t>
      </w:r>
      <w:r w:rsidRPr="00EB0AEE">
        <w:rPr>
          <w:sz w:val="16"/>
          <w:szCs w:val="16"/>
        </w:rPr>
        <w:t>Mt Alexander Shire Council v Victorian Commission for Gambling and Liquor Regulation Ltd (Red Dot) [2013] VCAT 10 1</w:t>
      </w:r>
      <w:r w:rsidRPr="00EB0AEE">
        <w:rPr>
          <w:rFonts w:asciiTheme="minorHAnsi" w:hAnsiTheme="minorHAnsi" w:cstheme="minorHAnsi"/>
          <w:sz w:val="16"/>
          <w:szCs w:val="16"/>
        </w:rPr>
        <w:t>and Commission Decision, Coach and Horses, 2013</w:t>
      </w:r>
    </w:p>
  </w:footnote>
  <w:footnote w:id="52">
    <w:p w:rsidR="0092252C" w:rsidRPr="00EB0AEE" w:rsidRDefault="0092252C" w:rsidP="0063624D">
      <w:pPr>
        <w:spacing w:after="0"/>
        <w:rPr>
          <w:rFonts w:asciiTheme="minorHAnsi" w:hAnsiTheme="minorHAnsi" w:cstheme="minorHAnsi"/>
          <w:sz w:val="16"/>
          <w:szCs w:val="16"/>
        </w:rPr>
      </w:pPr>
      <w:r w:rsidRPr="00EB0AEE">
        <w:rPr>
          <w:rStyle w:val="FootnoteReference"/>
          <w:rFonts w:asciiTheme="minorHAnsi" w:hAnsiTheme="minorHAnsi" w:cstheme="minorHAnsi"/>
          <w:sz w:val="16"/>
          <w:szCs w:val="16"/>
        </w:rPr>
        <w:footnoteRef/>
      </w:r>
      <w:r w:rsidRPr="00EB0AEE">
        <w:rPr>
          <w:rFonts w:asciiTheme="minorHAnsi" w:hAnsiTheme="minorHAnsi" w:cstheme="minorHAnsi"/>
          <w:sz w:val="16"/>
          <w:szCs w:val="16"/>
        </w:rPr>
        <w:t xml:space="preserve"> Darebin CC v Victorian Commission for Gambling and Liquor Regulation &amp; Anor </w:t>
      </w:r>
    </w:p>
  </w:footnote>
  <w:footnote w:id="53">
    <w:p w:rsidR="0092252C" w:rsidRPr="00EB0AEE" w:rsidRDefault="0092252C" w:rsidP="00274F9E">
      <w:pPr>
        <w:pStyle w:val="FootnoteText"/>
        <w:rPr>
          <w:rFonts w:asciiTheme="minorHAnsi" w:hAnsiTheme="minorHAnsi" w:cstheme="minorHAnsi"/>
          <w:sz w:val="16"/>
          <w:szCs w:val="16"/>
        </w:rPr>
      </w:pPr>
      <w:r w:rsidRPr="00EB0AEE">
        <w:rPr>
          <w:rStyle w:val="FootnoteReference"/>
          <w:rFonts w:asciiTheme="minorHAnsi" w:hAnsiTheme="minorHAnsi" w:cstheme="minorHAnsi"/>
          <w:sz w:val="16"/>
          <w:szCs w:val="16"/>
        </w:rPr>
        <w:footnoteRef/>
      </w:r>
      <w:r w:rsidRPr="00EB0AEE">
        <w:rPr>
          <w:rFonts w:asciiTheme="minorHAnsi" w:hAnsiTheme="minorHAnsi" w:cstheme="minorHAnsi"/>
          <w:sz w:val="16"/>
          <w:szCs w:val="16"/>
        </w:rPr>
        <w:t xml:space="preserve"> Planning Panels Victoria, Wyndham Planning Panel Report, Amendment C174:</w:t>
      </w:r>
    </w:p>
  </w:footnote>
  <w:footnote w:id="54">
    <w:p w:rsidR="0092252C" w:rsidRPr="00EB0AEE" w:rsidRDefault="0092252C" w:rsidP="0066673B">
      <w:pPr>
        <w:pStyle w:val="FootnoteText"/>
        <w:rPr>
          <w:rFonts w:asciiTheme="minorHAnsi" w:hAnsiTheme="minorHAnsi" w:cstheme="minorHAnsi"/>
          <w:sz w:val="16"/>
          <w:szCs w:val="16"/>
        </w:rPr>
      </w:pPr>
      <w:r w:rsidRPr="00EB0AEE">
        <w:rPr>
          <w:rStyle w:val="FootnoteReference"/>
          <w:rFonts w:asciiTheme="minorHAnsi" w:hAnsiTheme="minorHAnsi" w:cstheme="minorHAnsi"/>
          <w:sz w:val="16"/>
          <w:szCs w:val="16"/>
        </w:rPr>
        <w:footnoteRef/>
      </w:r>
      <w:r w:rsidRPr="00EB0AEE">
        <w:rPr>
          <w:rFonts w:asciiTheme="minorHAnsi" w:hAnsiTheme="minorHAnsi" w:cstheme="minorHAnsi"/>
          <w:sz w:val="16"/>
          <w:szCs w:val="16"/>
        </w:rPr>
        <w:t xml:space="preserve"> Commission Decision, Braybrook Hotel, Commission Decision, Com</w:t>
      </w:r>
    </w:p>
  </w:footnote>
  <w:footnote w:id="55">
    <w:p w:rsidR="0092252C" w:rsidRPr="00EB0AEE" w:rsidRDefault="0092252C" w:rsidP="0066673B">
      <w:pPr>
        <w:pStyle w:val="FootnoteText"/>
        <w:rPr>
          <w:rFonts w:asciiTheme="minorHAnsi" w:hAnsiTheme="minorHAnsi" w:cstheme="minorHAnsi"/>
          <w:sz w:val="16"/>
          <w:szCs w:val="16"/>
        </w:rPr>
      </w:pPr>
      <w:r w:rsidRPr="00EB0AEE">
        <w:rPr>
          <w:rFonts w:asciiTheme="minorHAnsi" w:hAnsiTheme="minorHAnsi" w:cstheme="minorHAnsi"/>
          <w:sz w:val="16"/>
          <w:szCs w:val="16"/>
        </w:rPr>
        <w:t>mercial Hotel</w:t>
      </w:r>
    </w:p>
    <w:p w:rsidR="0092252C" w:rsidRPr="00EB0AEE" w:rsidRDefault="0092252C" w:rsidP="0066673B">
      <w:pPr>
        <w:pStyle w:val="FootnoteText"/>
        <w:rPr>
          <w:rFonts w:asciiTheme="minorHAnsi" w:hAnsiTheme="minorHAnsi" w:cstheme="minorHAnsi"/>
          <w:sz w:val="16"/>
          <w:szCs w:val="16"/>
        </w:rPr>
      </w:pPr>
      <w:r w:rsidRPr="00EB0AEE">
        <w:rPr>
          <w:rStyle w:val="FootnoteReference"/>
          <w:rFonts w:asciiTheme="minorHAnsi" w:hAnsiTheme="minorHAnsi" w:cstheme="minorHAnsi"/>
          <w:sz w:val="16"/>
          <w:szCs w:val="16"/>
        </w:rPr>
        <w:footnoteRef/>
      </w:r>
      <w:r w:rsidRPr="00EB0AEE">
        <w:rPr>
          <w:rFonts w:asciiTheme="minorHAnsi" w:hAnsiTheme="minorHAnsi" w:cstheme="minorHAnsi"/>
          <w:sz w:val="16"/>
          <w:szCs w:val="16"/>
        </w:rPr>
        <w:t xml:space="preserve"> Commission Decision, Braybrook Hotel</w:t>
      </w:r>
    </w:p>
    <w:p w:rsidR="0092252C" w:rsidRPr="00EB0AEE" w:rsidRDefault="0092252C" w:rsidP="0066673B">
      <w:pPr>
        <w:spacing w:after="0"/>
        <w:rPr>
          <w:rFonts w:cstheme="minorHAnsi"/>
          <w:sz w:val="16"/>
          <w:szCs w:val="16"/>
        </w:rPr>
      </w:pPr>
      <w:r w:rsidRPr="00EB0AEE">
        <w:rPr>
          <w:rStyle w:val="FootnoteReference"/>
          <w:rFonts w:cstheme="minorHAnsi"/>
          <w:sz w:val="16"/>
          <w:szCs w:val="16"/>
        </w:rPr>
        <w:footnoteRef/>
      </w:r>
      <w:r w:rsidRPr="00EB0AEE">
        <w:rPr>
          <w:rFonts w:cstheme="minorHAnsi"/>
          <w:sz w:val="16"/>
          <w:szCs w:val="16"/>
        </w:rPr>
        <w:t xml:space="preserve">  </w:t>
      </w:r>
      <w:r w:rsidRPr="00EB0AEE">
        <w:rPr>
          <w:rFonts w:cstheme="minorHAnsi"/>
          <w:noProof/>
          <w:sz w:val="16"/>
          <w:szCs w:val="16"/>
        </w:rPr>
        <w:t>Glenroy RSL Sub Branch Inc v Moreland CC [2017] VCAT 531</w:t>
      </w:r>
    </w:p>
    <w:p w:rsidR="0092252C" w:rsidRPr="00EB0AEE" w:rsidRDefault="0092252C" w:rsidP="00EB0AEE">
      <w:pPr>
        <w:spacing w:after="0"/>
        <w:rPr>
          <w:sz w:val="16"/>
          <w:szCs w:val="16"/>
        </w:rPr>
      </w:pPr>
      <w:r w:rsidRPr="00EB0AEE">
        <w:rPr>
          <w:rStyle w:val="FootnoteReference"/>
          <w:rFonts w:asciiTheme="minorHAnsi" w:hAnsiTheme="minorHAnsi" w:cstheme="minorHAnsi"/>
          <w:sz w:val="16"/>
          <w:szCs w:val="16"/>
        </w:rPr>
        <w:footnoteRef/>
      </w:r>
      <w:r w:rsidRPr="00EB0AEE">
        <w:rPr>
          <w:rFonts w:asciiTheme="minorHAnsi" w:hAnsiTheme="minorHAnsi" w:cstheme="minorHAnsi"/>
          <w:sz w:val="16"/>
          <w:szCs w:val="16"/>
        </w:rPr>
        <w:t xml:space="preserve"> Darebin CC v Victorian Commission for Gambling and Liquor Regulation &amp; Anor </w:t>
      </w:r>
    </w:p>
  </w:footnote>
  <w:footnote w:id="56">
    <w:p w:rsidR="0092252C" w:rsidRPr="00EB0AEE" w:rsidRDefault="0092252C" w:rsidP="003D1F93">
      <w:pPr>
        <w:pStyle w:val="FootnoteText"/>
        <w:rPr>
          <w:sz w:val="16"/>
          <w:szCs w:val="16"/>
        </w:rPr>
      </w:pPr>
      <w:r w:rsidRPr="00EB0AEE">
        <w:rPr>
          <w:rStyle w:val="FootnoteReference"/>
          <w:sz w:val="16"/>
          <w:szCs w:val="16"/>
        </w:rPr>
        <w:footnoteRef/>
      </w:r>
      <w:r w:rsidRPr="00EB0AEE">
        <w:rPr>
          <w:sz w:val="16"/>
          <w:szCs w:val="16"/>
        </w:rPr>
        <w:t xml:space="preserve"> </w:t>
      </w:r>
      <w:r w:rsidRPr="00EB0AEE">
        <w:rPr>
          <w:rFonts w:cs="Arial"/>
          <w:sz w:val="16"/>
          <w:szCs w:val="16"/>
        </w:rPr>
        <w:t xml:space="preserve">Purdie, N. et al 2011 </w:t>
      </w:r>
      <w:r w:rsidRPr="00EB0AEE">
        <w:rPr>
          <w:rFonts w:cs="Arial"/>
          <w:i/>
          <w:sz w:val="16"/>
          <w:szCs w:val="16"/>
        </w:rPr>
        <w:t xml:space="preserve">Gambling and Young People in Australia </w:t>
      </w:r>
      <w:r w:rsidRPr="00EB0AEE">
        <w:rPr>
          <w:rFonts w:cs="Arial"/>
          <w:sz w:val="16"/>
          <w:szCs w:val="16"/>
        </w:rPr>
        <w:t>Australian Council for Educational Research</w:t>
      </w:r>
    </w:p>
  </w:footnote>
  <w:footnote w:id="57">
    <w:p w:rsidR="0092252C" w:rsidRPr="00EB0AEE" w:rsidRDefault="0092252C" w:rsidP="00E217B4">
      <w:pPr>
        <w:pStyle w:val="FootnoteText"/>
        <w:rPr>
          <w:sz w:val="16"/>
          <w:szCs w:val="16"/>
        </w:rPr>
      </w:pPr>
      <w:r w:rsidRPr="00EB0AEE">
        <w:rPr>
          <w:rStyle w:val="FootnoteReference"/>
          <w:sz w:val="16"/>
          <w:szCs w:val="16"/>
        </w:rPr>
        <w:footnoteRef/>
      </w:r>
      <w:r w:rsidRPr="00EB0AEE">
        <w:rPr>
          <w:sz w:val="16"/>
          <w:szCs w:val="16"/>
        </w:rPr>
        <w:t xml:space="preserve"> </w:t>
      </w:r>
      <w:r w:rsidRPr="00EB0AEE">
        <w:rPr>
          <w:rFonts w:cs="Arial"/>
          <w:sz w:val="16"/>
          <w:szCs w:val="16"/>
        </w:rPr>
        <w:t xml:space="preserve">Purdie, N. et al 2011 </w:t>
      </w:r>
      <w:r w:rsidRPr="00EB0AEE">
        <w:rPr>
          <w:rFonts w:cs="Arial"/>
          <w:i/>
          <w:sz w:val="16"/>
          <w:szCs w:val="16"/>
        </w:rPr>
        <w:t xml:space="preserve">Gambling and Young People in Australia </w:t>
      </w:r>
      <w:r w:rsidRPr="00EB0AEE">
        <w:rPr>
          <w:rFonts w:cs="Arial"/>
          <w:sz w:val="16"/>
          <w:szCs w:val="16"/>
        </w:rPr>
        <w:t>Australian Council for Educational Research</w:t>
      </w:r>
    </w:p>
  </w:footnote>
  <w:footnote w:id="58">
    <w:p w:rsidR="0092252C" w:rsidRPr="002468AF" w:rsidRDefault="0092252C" w:rsidP="003D1F93">
      <w:pPr>
        <w:pStyle w:val="FootnoteText"/>
        <w:rPr>
          <w:sz w:val="16"/>
          <w:szCs w:val="16"/>
        </w:rPr>
      </w:pPr>
      <w:r w:rsidRPr="002468AF">
        <w:rPr>
          <w:rStyle w:val="FootnoteReference"/>
          <w:sz w:val="16"/>
          <w:szCs w:val="16"/>
        </w:rPr>
        <w:footnoteRef/>
      </w:r>
      <w:r w:rsidRPr="002468AF">
        <w:rPr>
          <w:sz w:val="16"/>
          <w:szCs w:val="16"/>
        </w:rPr>
        <w:t xml:space="preserve"> Victorian Responsible Gambling Foundation (2015) </w:t>
      </w:r>
      <w:r w:rsidRPr="002468AF">
        <w:rPr>
          <w:i/>
          <w:sz w:val="16"/>
          <w:szCs w:val="16"/>
        </w:rPr>
        <w:t>Study of Gambling and Health in Victoria. Findings from the Victorian Prevalence Study 2014</w:t>
      </w:r>
    </w:p>
  </w:footnote>
  <w:footnote w:id="59">
    <w:p w:rsidR="0092252C" w:rsidRPr="002468AF" w:rsidRDefault="0092252C" w:rsidP="003D1F93">
      <w:pPr>
        <w:pStyle w:val="FootnoteText"/>
        <w:rPr>
          <w:sz w:val="16"/>
          <w:szCs w:val="16"/>
        </w:rPr>
      </w:pPr>
      <w:r w:rsidRPr="002468AF">
        <w:rPr>
          <w:rStyle w:val="FootnoteReference"/>
          <w:sz w:val="16"/>
          <w:szCs w:val="16"/>
        </w:rPr>
        <w:footnoteRef/>
      </w:r>
      <w:r w:rsidRPr="002468AF">
        <w:rPr>
          <w:sz w:val="16"/>
          <w:szCs w:val="16"/>
        </w:rPr>
        <w:t xml:space="preserve"> Victorian Responsible Gambling Foundation (2015) </w:t>
      </w:r>
      <w:r w:rsidRPr="002468AF">
        <w:rPr>
          <w:i/>
          <w:sz w:val="16"/>
          <w:szCs w:val="16"/>
        </w:rPr>
        <w:t>Study of Gambling and Health in Victoria. Findings from the Victorian Prevalence Study 2014</w:t>
      </w:r>
    </w:p>
  </w:footnote>
  <w:footnote w:id="60">
    <w:p w:rsidR="0092252C" w:rsidRPr="00413EF2" w:rsidRDefault="0092252C" w:rsidP="003D1F93">
      <w:pPr>
        <w:spacing w:after="0"/>
        <w:rPr>
          <w:sz w:val="16"/>
          <w:szCs w:val="16"/>
        </w:rPr>
      </w:pPr>
      <w:r w:rsidRPr="00413EF2">
        <w:rPr>
          <w:rStyle w:val="FootnoteReference"/>
          <w:sz w:val="16"/>
          <w:szCs w:val="16"/>
        </w:rPr>
        <w:footnoteRef/>
      </w:r>
      <w:r w:rsidRPr="00413EF2">
        <w:rPr>
          <w:sz w:val="16"/>
          <w:szCs w:val="16"/>
        </w:rPr>
        <w:t xml:space="preserve"> </w:t>
      </w:r>
      <w:r w:rsidRPr="00413EF2">
        <w:rPr>
          <w:rFonts w:cs="Arial"/>
          <w:sz w:val="16"/>
          <w:szCs w:val="16"/>
        </w:rPr>
        <w:t xml:space="preserve">Purdie, N. et al 2011 </w:t>
      </w:r>
      <w:r w:rsidRPr="00413EF2">
        <w:rPr>
          <w:rFonts w:cs="Arial"/>
          <w:i/>
          <w:sz w:val="16"/>
          <w:szCs w:val="16"/>
        </w:rPr>
        <w:t xml:space="preserve">Gambling and Young People in Australia </w:t>
      </w:r>
      <w:r w:rsidRPr="00413EF2">
        <w:rPr>
          <w:rFonts w:cs="Arial"/>
          <w:sz w:val="16"/>
          <w:szCs w:val="16"/>
        </w:rPr>
        <w:t>Australian Council for Educational Research</w:t>
      </w:r>
    </w:p>
  </w:footnote>
  <w:footnote w:id="61">
    <w:p w:rsidR="0092252C" w:rsidRPr="00413EF2" w:rsidRDefault="0092252C" w:rsidP="003D1F93">
      <w:pPr>
        <w:pStyle w:val="FootnoteText"/>
        <w:rPr>
          <w:sz w:val="16"/>
          <w:szCs w:val="16"/>
        </w:rPr>
      </w:pPr>
      <w:r w:rsidRPr="00413EF2">
        <w:rPr>
          <w:rStyle w:val="FootnoteReference"/>
          <w:sz w:val="16"/>
          <w:szCs w:val="16"/>
        </w:rPr>
        <w:footnoteRef/>
      </w:r>
      <w:r w:rsidRPr="00413EF2">
        <w:rPr>
          <w:sz w:val="16"/>
          <w:szCs w:val="16"/>
        </w:rPr>
        <w:t xml:space="preserve"> </w:t>
      </w:r>
      <w:r w:rsidRPr="00413EF2">
        <w:rPr>
          <w:rFonts w:cs="Arial"/>
          <w:sz w:val="16"/>
          <w:szCs w:val="16"/>
        </w:rPr>
        <w:t xml:space="preserve">Purdie, N. et al 2011 </w:t>
      </w:r>
      <w:r w:rsidRPr="00413EF2">
        <w:rPr>
          <w:rFonts w:cs="Arial"/>
          <w:i/>
          <w:sz w:val="16"/>
          <w:szCs w:val="16"/>
        </w:rPr>
        <w:t xml:space="preserve">Gambling and Young People in Australia </w:t>
      </w:r>
      <w:r w:rsidRPr="00413EF2">
        <w:rPr>
          <w:rFonts w:cs="Arial"/>
          <w:sz w:val="16"/>
          <w:szCs w:val="16"/>
        </w:rPr>
        <w:t>Australian Council for Educational Research</w:t>
      </w:r>
    </w:p>
  </w:footnote>
  <w:footnote w:id="62">
    <w:p w:rsidR="0092252C" w:rsidRPr="00413EF2" w:rsidRDefault="0092252C" w:rsidP="003D1F93">
      <w:pPr>
        <w:pStyle w:val="FootnoteText"/>
        <w:rPr>
          <w:sz w:val="16"/>
          <w:szCs w:val="16"/>
        </w:rPr>
      </w:pPr>
      <w:r w:rsidRPr="00413EF2">
        <w:rPr>
          <w:rStyle w:val="FootnoteReference"/>
          <w:sz w:val="16"/>
          <w:szCs w:val="16"/>
        </w:rPr>
        <w:footnoteRef/>
      </w:r>
      <w:r w:rsidRPr="00413EF2">
        <w:rPr>
          <w:sz w:val="16"/>
          <w:szCs w:val="16"/>
        </w:rPr>
        <w:t xml:space="preserve"> </w:t>
      </w:r>
      <w:r w:rsidRPr="00413EF2">
        <w:rPr>
          <w:rFonts w:cs="Arial"/>
          <w:sz w:val="16"/>
          <w:szCs w:val="16"/>
        </w:rPr>
        <w:t xml:space="preserve">Purdie, N. et al 2011 </w:t>
      </w:r>
      <w:r w:rsidRPr="00413EF2">
        <w:rPr>
          <w:rFonts w:cs="Arial"/>
          <w:i/>
          <w:sz w:val="16"/>
          <w:szCs w:val="16"/>
        </w:rPr>
        <w:t xml:space="preserve">Gambling and Young People in Australia </w:t>
      </w:r>
      <w:r w:rsidRPr="00413EF2">
        <w:rPr>
          <w:rFonts w:cs="Arial"/>
          <w:sz w:val="16"/>
          <w:szCs w:val="16"/>
        </w:rPr>
        <w:t>Australian Council for Educational Research</w:t>
      </w:r>
    </w:p>
  </w:footnote>
  <w:footnote w:id="63">
    <w:p w:rsidR="0092252C" w:rsidRPr="008A552C" w:rsidRDefault="0092252C" w:rsidP="003D1F93">
      <w:pPr>
        <w:autoSpaceDE w:val="0"/>
        <w:autoSpaceDN w:val="0"/>
        <w:adjustRightInd w:val="0"/>
        <w:spacing w:after="0"/>
        <w:rPr>
          <w:sz w:val="16"/>
          <w:szCs w:val="16"/>
        </w:rPr>
      </w:pPr>
      <w:r w:rsidRPr="008A552C">
        <w:rPr>
          <w:rStyle w:val="FootnoteReference"/>
          <w:sz w:val="16"/>
          <w:szCs w:val="16"/>
        </w:rPr>
        <w:footnoteRef/>
      </w:r>
      <w:r w:rsidRPr="008A552C">
        <w:rPr>
          <w:sz w:val="16"/>
          <w:szCs w:val="16"/>
        </w:rPr>
        <w:t xml:space="preserve"> </w:t>
      </w:r>
      <w:r w:rsidRPr="008A552C">
        <w:rPr>
          <w:rFonts w:asciiTheme="minorHAnsi" w:eastAsiaTheme="minorHAnsi" w:hAnsiTheme="minorHAnsi"/>
          <w:sz w:val="16"/>
          <w:szCs w:val="16"/>
        </w:rPr>
        <w:t>Gainsbury, S., Russell, A., Blaszczynski, A., &amp; Hing, N. (published online March 7 2015). Greater</w:t>
      </w:r>
      <w:r>
        <w:rPr>
          <w:rFonts w:asciiTheme="minorHAnsi" w:eastAsiaTheme="minorHAnsi" w:hAnsiTheme="minorHAnsi"/>
          <w:sz w:val="16"/>
          <w:szCs w:val="16"/>
        </w:rPr>
        <w:t xml:space="preserve"> </w:t>
      </w:r>
      <w:r w:rsidRPr="008A552C">
        <w:rPr>
          <w:rFonts w:asciiTheme="minorHAnsi" w:eastAsiaTheme="minorHAnsi" w:hAnsiTheme="minorHAnsi"/>
          <w:sz w:val="16"/>
          <w:szCs w:val="16"/>
        </w:rPr>
        <w:t xml:space="preserve">involvement and diversity of Internet gambling as a risk factor for problem gambling. </w:t>
      </w:r>
      <w:r w:rsidRPr="008A552C">
        <w:rPr>
          <w:rFonts w:asciiTheme="minorHAnsi" w:eastAsiaTheme="minorHAnsi" w:hAnsiTheme="minorHAnsi"/>
          <w:i/>
          <w:iCs/>
          <w:sz w:val="16"/>
          <w:szCs w:val="16"/>
        </w:rPr>
        <w:t>European</w:t>
      </w:r>
      <w:r>
        <w:rPr>
          <w:rFonts w:asciiTheme="minorHAnsi" w:eastAsiaTheme="minorHAnsi" w:hAnsiTheme="minorHAnsi"/>
          <w:i/>
          <w:iCs/>
          <w:sz w:val="16"/>
          <w:szCs w:val="16"/>
        </w:rPr>
        <w:t xml:space="preserve"> </w:t>
      </w:r>
      <w:r w:rsidRPr="008A552C">
        <w:rPr>
          <w:rFonts w:asciiTheme="minorHAnsi" w:eastAsiaTheme="minorHAnsi" w:hAnsiTheme="minorHAnsi"/>
          <w:i/>
          <w:iCs/>
          <w:sz w:val="16"/>
          <w:szCs w:val="16"/>
        </w:rPr>
        <w:t xml:space="preserve">Journal of Public Health. </w:t>
      </w:r>
      <w:r w:rsidRPr="008A552C">
        <w:rPr>
          <w:rFonts w:asciiTheme="minorHAnsi" w:eastAsiaTheme="minorHAnsi" w:hAnsiTheme="minorHAnsi"/>
          <w:sz w:val="16"/>
          <w:szCs w:val="16"/>
        </w:rPr>
        <w:t>DOI: 10.1093/eurpub/ckv006</w:t>
      </w:r>
    </w:p>
  </w:footnote>
  <w:footnote w:id="64">
    <w:p w:rsidR="0092252C" w:rsidRPr="008A552C" w:rsidRDefault="0092252C" w:rsidP="003D1F93">
      <w:pPr>
        <w:tabs>
          <w:tab w:val="left" w:pos="7464"/>
        </w:tabs>
        <w:spacing w:after="0"/>
        <w:rPr>
          <w:sz w:val="16"/>
          <w:szCs w:val="16"/>
        </w:rPr>
      </w:pPr>
      <w:r w:rsidRPr="008A552C">
        <w:rPr>
          <w:rStyle w:val="FootnoteReference"/>
          <w:sz w:val="16"/>
          <w:szCs w:val="16"/>
        </w:rPr>
        <w:footnoteRef/>
      </w:r>
      <w:r w:rsidRPr="008A552C">
        <w:rPr>
          <w:sz w:val="16"/>
          <w:szCs w:val="16"/>
        </w:rPr>
        <w:t xml:space="preserve"> </w:t>
      </w:r>
      <w:r w:rsidRPr="008A552C">
        <w:rPr>
          <w:rFonts w:cs="Arial"/>
          <w:i/>
          <w:sz w:val="16"/>
          <w:szCs w:val="16"/>
        </w:rPr>
        <w:t xml:space="preserve">The Responsible Gambling Guide </w:t>
      </w:r>
      <w:r w:rsidRPr="008A552C">
        <w:rPr>
          <w:rFonts w:cs="Arial"/>
          <w:sz w:val="16"/>
          <w:szCs w:val="16"/>
        </w:rPr>
        <w:t xml:space="preserve">2012 Victorian Responsible Gambling Foundation </w:t>
      </w:r>
      <w:r w:rsidRPr="008A552C">
        <w:rPr>
          <w:rFonts w:cs="Arial"/>
          <w:sz w:val="16"/>
          <w:szCs w:val="16"/>
        </w:rPr>
        <w:tab/>
      </w:r>
    </w:p>
  </w:footnote>
  <w:footnote w:id="65">
    <w:p w:rsidR="0092252C" w:rsidRPr="002806A3" w:rsidRDefault="0092252C" w:rsidP="003D1F93">
      <w:pPr>
        <w:pStyle w:val="FootnoteText"/>
        <w:rPr>
          <w:sz w:val="16"/>
          <w:szCs w:val="16"/>
        </w:rPr>
      </w:pPr>
      <w:r w:rsidRPr="002806A3">
        <w:rPr>
          <w:rStyle w:val="FootnoteReference"/>
          <w:sz w:val="16"/>
          <w:szCs w:val="16"/>
        </w:rPr>
        <w:footnoteRef/>
      </w:r>
      <w:r w:rsidRPr="002806A3">
        <w:rPr>
          <w:sz w:val="16"/>
          <w:szCs w:val="16"/>
        </w:rPr>
        <w:t xml:space="preserve"> </w:t>
      </w:r>
      <w:r w:rsidRPr="002806A3">
        <w:rPr>
          <w:rFonts w:cs="Arial"/>
          <w:i/>
          <w:sz w:val="16"/>
          <w:szCs w:val="16"/>
        </w:rPr>
        <w:t xml:space="preserve">The Responsible Gambling Guide </w:t>
      </w:r>
      <w:r w:rsidRPr="002806A3">
        <w:rPr>
          <w:rFonts w:cs="Arial"/>
          <w:sz w:val="16"/>
          <w:szCs w:val="16"/>
        </w:rPr>
        <w:t>2012 Victorian Responsible Gambling Foundation</w:t>
      </w:r>
    </w:p>
  </w:footnote>
  <w:footnote w:id="66">
    <w:p w:rsidR="0092252C" w:rsidRPr="002806A3" w:rsidRDefault="0092252C" w:rsidP="003D1F93">
      <w:pPr>
        <w:pStyle w:val="FootnoteText"/>
        <w:rPr>
          <w:sz w:val="16"/>
          <w:szCs w:val="16"/>
        </w:rPr>
      </w:pPr>
      <w:r w:rsidRPr="002806A3">
        <w:rPr>
          <w:rStyle w:val="FootnoteReference"/>
          <w:sz w:val="16"/>
          <w:szCs w:val="16"/>
        </w:rPr>
        <w:footnoteRef/>
      </w:r>
      <w:r w:rsidRPr="002806A3">
        <w:rPr>
          <w:sz w:val="16"/>
          <w:szCs w:val="16"/>
        </w:rPr>
        <w:t xml:space="preserve"> Australian Clearing House for Youth Studies</w:t>
      </w:r>
    </w:p>
  </w:footnote>
  <w:footnote w:id="67">
    <w:p w:rsidR="0092252C" w:rsidRPr="002806A3" w:rsidRDefault="0092252C" w:rsidP="003D1F93">
      <w:pPr>
        <w:pStyle w:val="FootnoteText"/>
        <w:rPr>
          <w:sz w:val="16"/>
          <w:szCs w:val="16"/>
        </w:rPr>
      </w:pPr>
      <w:r w:rsidRPr="002806A3">
        <w:rPr>
          <w:rStyle w:val="FootnoteReference"/>
          <w:sz w:val="16"/>
          <w:szCs w:val="16"/>
        </w:rPr>
        <w:footnoteRef/>
      </w:r>
      <w:r w:rsidRPr="002806A3">
        <w:rPr>
          <w:sz w:val="16"/>
          <w:szCs w:val="16"/>
        </w:rPr>
        <w:t xml:space="preserve"> State Government of Victoria (2009) A study of gambling in Victoria.</w:t>
      </w:r>
    </w:p>
  </w:footnote>
  <w:footnote w:id="68">
    <w:p w:rsidR="0092252C" w:rsidRPr="002806A3" w:rsidRDefault="0092252C" w:rsidP="00C22F61">
      <w:pPr>
        <w:pStyle w:val="FootnoteText"/>
        <w:rPr>
          <w:i/>
          <w:sz w:val="16"/>
          <w:szCs w:val="16"/>
        </w:rPr>
      </w:pPr>
      <w:r w:rsidRPr="002806A3">
        <w:rPr>
          <w:rStyle w:val="FootnoteReference"/>
          <w:sz w:val="16"/>
          <w:szCs w:val="16"/>
        </w:rPr>
        <w:footnoteRef/>
      </w:r>
      <w:r w:rsidRPr="002806A3">
        <w:rPr>
          <w:sz w:val="16"/>
          <w:szCs w:val="16"/>
        </w:rPr>
        <w:t xml:space="preserve"> VRGF (2014) </w:t>
      </w:r>
      <w:r w:rsidRPr="002806A3">
        <w:rPr>
          <w:i/>
          <w:sz w:val="16"/>
          <w:szCs w:val="16"/>
        </w:rPr>
        <w:t>Study of gambling and health in Victoria</w:t>
      </w:r>
    </w:p>
  </w:footnote>
  <w:footnote w:id="69">
    <w:p w:rsidR="0092252C" w:rsidRPr="002806A3" w:rsidRDefault="0092252C" w:rsidP="00402322">
      <w:pPr>
        <w:pStyle w:val="FootnoteText"/>
        <w:rPr>
          <w:sz w:val="16"/>
          <w:szCs w:val="16"/>
        </w:rPr>
      </w:pPr>
      <w:r w:rsidRPr="002806A3">
        <w:rPr>
          <w:rStyle w:val="FootnoteReference"/>
          <w:sz w:val="16"/>
          <w:szCs w:val="16"/>
        </w:rPr>
        <w:footnoteRef/>
      </w:r>
      <w:r w:rsidRPr="002806A3">
        <w:rPr>
          <w:sz w:val="16"/>
          <w:szCs w:val="16"/>
        </w:rPr>
        <w:t xml:space="preserve"> State Government of Victoria (2009) A study of gambling in Victoria.</w:t>
      </w:r>
    </w:p>
  </w:footnote>
  <w:footnote w:id="70">
    <w:p w:rsidR="0092252C" w:rsidRPr="002806A3" w:rsidRDefault="0092252C" w:rsidP="003D1F93">
      <w:pPr>
        <w:pStyle w:val="FootnoteText"/>
        <w:rPr>
          <w:rFonts w:cs="Arial"/>
          <w:sz w:val="16"/>
          <w:szCs w:val="16"/>
        </w:rPr>
      </w:pPr>
      <w:r w:rsidRPr="002806A3">
        <w:rPr>
          <w:rStyle w:val="FootnoteReference"/>
          <w:rFonts w:cs="Arial"/>
          <w:sz w:val="16"/>
          <w:szCs w:val="16"/>
        </w:rPr>
        <w:footnoteRef/>
      </w:r>
      <w:r w:rsidRPr="002806A3">
        <w:rPr>
          <w:rFonts w:cs="Arial"/>
          <w:sz w:val="16"/>
          <w:szCs w:val="16"/>
        </w:rPr>
        <w:t xml:space="preserve"> Australian Government Productivity Commission (2010) p5.22</w:t>
      </w:r>
    </w:p>
  </w:footnote>
  <w:footnote w:id="71">
    <w:p w:rsidR="0092252C" w:rsidRPr="002806A3" w:rsidRDefault="0092252C" w:rsidP="003D1F93">
      <w:pPr>
        <w:pStyle w:val="FootnoteText"/>
        <w:rPr>
          <w:rFonts w:cs="Arial"/>
          <w:sz w:val="16"/>
          <w:szCs w:val="16"/>
        </w:rPr>
      </w:pPr>
      <w:r w:rsidRPr="002806A3">
        <w:rPr>
          <w:rStyle w:val="FootnoteReference"/>
          <w:rFonts w:cs="Arial"/>
          <w:sz w:val="16"/>
          <w:szCs w:val="16"/>
        </w:rPr>
        <w:footnoteRef/>
      </w:r>
      <w:r w:rsidRPr="002806A3">
        <w:rPr>
          <w:rFonts w:cs="Arial"/>
          <w:sz w:val="16"/>
          <w:szCs w:val="16"/>
        </w:rPr>
        <w:t xml:space="preserve"> Australian Government Productivity Commission (2010) p5.26</w:t>
      </w:r>
    </w:p>
  </w:footnote>
  <w:footnote w:id="72">
    <w:p w:rsidR="0092252C" w:rsidRPr="002806A3" w:rsidRDefault="0092252C" w:rsidP="003D1F93">
      <w:pPr>
        <w:pStyle w:val="FootnoteText"/>
        <w:rPr>
          <w:sz w:val="16"/>
          <w:szCs w:val="16"/>
        </w:rPr>
      </w:pPr>
      <w:r w:rsidRPr="002806A3">
        <w:rPr>
          <w:rStyle w:val="FootnoteReference"/>
          <w:sz w:val="16"/>
          <w:szCs w:val="16"/>
        </w:rPr>
        <w:footnoteRef/>
      </w:r>
      <w:r w:rsidRPr="002806A3">
        <w:rPr>
          <w:sz w:val="16"/>
          <w:szCs w:val="16"/>
        </w:rPr>
        <w:t xml:space="preserve"> Hare, S. (2015) </w:t>
      </w:r>
      <w:r w:rsidRPr="002806A3">
        <w:rPr>
          <w:i/>
          <w:sz w:val="16"/>
          <w:szCs w:val="16"/>
        </w:rPr>
        <w:t xml:space="preserve">Study of gambling and health in Victoria </w:t>
      </w:r>
      <w:r w:rsidRPr="002806A3">
        <w:rPr>
          <w:sz w:val="16"/>
          <w:szCs w:val="16"/>
        </w:rPr>
        <w:t>Victoria Responsible Gambling Foundation and Victorian Department of Justice and Regulation, Melbourne</w:t>
      </w:r>
    </w:p>
  </w:footnote>
  <w:footnote w:id="73">
    <w:p w:rsidR="0092252C" w:rsidRPr="002806A3" w:rsidRDefault="0092252C" w:rsidP="003D1F93">
      <w:pPr>
        <w:pStyle w:val="FootnoteText"/>
        <w:rPr>
          <w:sz w:val="16"/>
          <w:szCs w:val="16"/>
        </w:rPr>
      </w:pPr>
      <w:r w:rsidRPr="002806A3">
        <w:rPr>
          <w:rStyle w:val="FootnoteReference"/>
          <w:sz w:val="16"/>
          <w:szCs w:val="16"/>
        </w:rPr>
        <w:footnoteRef/>
      </w:r>
      <w:r w:rsidRPr="002806A3">
        <w:rPr>
          <w:sz w:val="16"/>
          <w:szCs w:val="16"/>
        </w:rPr>
        <w:t xml:space="preserve"> http://www.problemgambling.gov.au/facts/</w:t>
      </w:r>
    </w:p>
  </w:footnote>
  <w:footnote w:id="74">
    <w:p w:rsidR="0092252C" w:rsidRPr="002806A3" w:rsidRDefault="0092252C" w:rsidP="003D1F93">
      <w:pPr>
        <w:pStyle w:val="FootnoteText"/>
        <w:rPr>
          <w:sz w:val="16"/>
          <w:szCs w:val="16"/>
        </w:rPr>
      </w:pPr>
      <w:r w:rsidRPr="002806A3">
        <w:rPr>
          <w:rStyle w:val="FootnoteReference"/>
          <w:sz w:val="16"/>
          <w:szCs w:val="16"/>
        </w:rPr>
        <w:footnoteRef/>
      </w:r>
      <w:r w:rsidRPr="002806A3">
        <w:rPr>
          <w:sz w:val="16"/>
          <w:szCs w:val="16"/>
        </w:rPr>
        <w:t xml:space="preserve"> http://www.problemgambling.gov.au/facts/</w:t>
      </w:r>
    </w:p>
  </w:footnote>
  <w:footnote w:id="75">
    <w:p w:rsidR="0092252C" w:rsidRPr="002806A3" w:rsidRDefault="0092252C" w:rsidP="003D1F93">
      <w:pPr>
        <w:pStyle w:val="FootnoteText"/>
        <w:rPr>
          <w:sz w:val="16"/>
          <w:szCs w:val="16"/>
        </w:rPr>
      </w:pPr>
      <w:r w:rsidRPr="002806A3">
        <w:rPr>
          <w:rStyle w:val="FootnoteReference"/>
          <w:sz w:val="16"/>
          <w:szCs w:val="16"/>
        </w:rPr>
        <w:footnoteRef/>
      </w:r>
      <w:r w:rsidRPr="002806A3">
        <w:rPr>
          <w:sz w:val="16"/>
          <w:szCs w:val="16"/>
        </w:rPr>
        <w:t xml:space="preserve"> Storer, J, Abbot, M and Stubbs, J (2009) ‘Access or adaptation? A meta-analysis of surveys of problem gambling prevalence in Australian and New Zealand with respect to concentration of electronic gaming machines’ </w:t>
      </w:r>
      <w:r w:rsidRPr="002806A3">
        <w:rPr>
          <w:i/>
          <w:sz w:val="16"/>
          <w:szCs w:val="16"/>
        </w:rPr>
        <w:t xml:space="preserve">International Gambling Studies </w:t>
      </w:r>
      <w:r w:rsidRPr="002806A3">
        <w:rPr>
          <w:sz w:val="16"/>
          <w:szCs w:val="16"/>
        </w:rPr>
        <w:t>Volume. 9, No. 3, December 2009, p238</w:t>
      </w:r>
    </w:p>
  </w:footnote>
  <w:footnote w:id="76">
    <w:p w:rsidR="0092252C" w:rsidRPr="00AB46BB" w:rsidRDefault="0092252C" w:rsidP="003D1F93">
      <w:pPr>
        <w:pStyle w:val="FootnoteText"/>
        <w:rPr>
          <w:sz w:val="16"/>
          <w:szCs w:val="16"/>
        </w:rPr>
      </w:pPr>
      <w:r w:rsidRPr="00AB46BB">
        <w:rPr>
          <w:rStyle w:val="FootnoteReference"/>
          <w:sz w:val="16"/>
          <w:szCs w:val="16"/>
        </w:rPr>
        <w:footnoteRef/>
      </w:r>
      <w:r w:rsidRPr="00AB46BB">
        <w:rPr>
          <w:sz w:val="16"/>
          <w:szCs w:val="16"/>
        </w:rPr>
        <w:t xml:space="preserve"> </w:t>
      </w:r>
      <w:r w:rsidRPr="00AB46BB">
        <w:rPr>
          <w:rFonts w:cs="Arial"/>
          <w:sz w:val="16"/>
          <w:szCs w:val="16"/>
        </w:rPr>
        <w:t>Australian Government Productivity Commission (2010) p5.1</w:t>
      </w:r>
    </w:p>
  </w:footnote>
  <w:footnote w:id="77">
    <w:p w:rsidR="0092252C" w:rsidRPr="00AB46BB" w:rsidRDefault="0092252C" w:rsidP="003D1F93">
      <w:pPr>
        <w:pStyle w:val="FootnoteText"/>
        <w:rPr>
          <w:sz w:val="16"/>
          <w:szCs w:val="16"/>
        </w:rPr>
      </w:pPr>
      <w:r w:rsidRPr="00AB46BB">
        <w:rPr>
          <w:rStyle w:val="FootnoteReference"/>
          <w:sz w:val="16"/>
          <w:szCs w:val="16"/>
        </w:rPr>
        <w:footnoteRef/>
      </w:r>
      <w:r w:rsidRPr="00AB46BB">
        <w:rPr>
          <w:sz w:val="16"/>
          <w:szCs w:val="16"/>
        </w:rPr>
        <w:t xml:space="preserve"> http://www.problemgambling.gov.au/facts/</w:t>
      </w:r>
    </w:p>
  </w:footnote>
  <w:footnote w:id="78">
    <w:p w:rsidR="0092252C" w:rsidRPr="00AB46BB" w:rsidRDefault="0092252C" w:rsidP="003D1F93">
      <w:pPr>
        <w:pStyle w:val="FootnoteText"/>
        <w:rPr>
          <w:rFonts w:cs="Arial"/>
          <w:sz w:val="16"/>
          <w:szCs w:val="16"/>
        </w:rPr>
      </w:pPr>
      <w:r w:rsidRPr="00AB46BB">
        <w:rPr>
          <w:rStyle w:val="FootnoteReference"/>
          <w:rFonts w:cs="Arial"/>
          <w:sz w:val="16"/>
          <w:szCs w:val="16"/>
        </w:rPr>
        <w:footnoteRef/>
      </w:r>
      <w:r w:rsidRPr="00AB46BB">
        <w:rPr>
          <w:rFonts w:cs="Arial"/>
          <w:sz w:val="16"/>
          <w:szCs w:val="16"/>
        </w:rPr>
        <w:t xml:space="preserve"> Australian Government Productivity Commission (2010) p5.15</w:t>
      </w:r>
    </w:p>
  </w:footnote>
  <w:footnote w:id="79">
    <w:p w:rsidR="0092252C" w:rsidRPr="00AB46BB" w:rsidRDefault="0092252C" w:rsidP="003D1F93">
      <w:pPr>
        <w:pStyle w:val="FootnoteText"/>
        <w:rPr>
          <w:sz w:val="16"/>
          <w:szCs w:val="16"/>
        </w:rPr>
      </w:pPr>
      <w:r w:rsidRPr="00AB46BB">
        <w:rPr>
          <w:rStyle w:val="FootnoteReference"/>
          <w:sz w:val="16"/>
          <w:szCs w:val="16"/>
        </w:rPr>
        <w:footnoteRef/>
      </w:r>
      <w:r w:rsidRPr="00AB46BB">
        <w:rPr>
          <w:sz w:val="16"/>
          <w:szCs w:val="16"/>
        </w:rPr>
        <w:t xml:space="preserve"> Australian Government Productivity Commission (2010) p1.4</w:t>
      </w:r>
    </w:p>
  </w:footnote>
  <w:footnote w:id="80">
    <w:p w:rsidR="0092252C" w:rsidRPr="00AB46BB" w:rsidRDefault="0092252C" w:rsidP="003D1F93">
      <w:pPr>
        <w:pStyle w:val="FootnoteText"/>
        <w:rPr>
          <w:rFonts w:cs="Arial"/>
          <w:sz w:val="16"/>
          <w:szCs w:val="16"/>
        </w:rPr>
      </w:pPr>
      <w:r w:rsidRPr="00AB46BB">
        <w:rPr>
          <w:rStyle w:val="FootnoteReference"/>
          <w:rFonts w:cs="Arial"/>
          <w:sz w:val="16"/>
          <w:szCs w:val="16"/>
        </w:rPr>
        <w:footnoteRef/>
      </w:r>
      <w:r w:rsidRPr="00AB46BB">
        <w:rPr>
          <w:rFonts w:cs="Arial"/>
          <w:sz w:val="16"/>
          <w:szCs w:val="16"/>
        </w:rPr>
        <w:t xml:space="preserve"> Australian Government Productivity Commission (2010) p13</w:t>
      </w:r>
    </w:p>
  </w:footnote>
  <w:footnote w:id="81">
    <w:p w:rsidR="0092252C" w:rsidRPr="00AB46BB" w:rsidRDefault="0092252C" w:rsidP="003D1F93">
      <w:pPr>
        <w:pStyle w:val="FootnoteText"/>
        <w:rPr>
          <w:rFonts w:cs="Arial"/>
          <w:sz w:val="16"/>
          <w:szCs w:val="16"/>
        </w:rPr>
      </w:pPr>
      <w:r w:rsidRPr="00AB46BB">
        <w:rPr>
          <w:rStyle w:val="FootnoteReference"/>
          <w:rFonts w:cs="Arial"/>
          <w:sz w:val="16"/>
          <w:szCs w:val="16"/>
        </w:rPr>
        <w:footnoteRef/>
      </w:r>
      <w:r w:rsidRPr="00AB46BB">
        <w:rPr>
          <w:rFonts w:cs="Arial"/>
          <w:sz w:val="16"/>
          <w:szCs w:val="16"/>
        </w:rPr>
        <w:t xml:space="preserve"> Australian Government Productivity Commission (2010) p14</w:t>
      </w:r>
    </w:p>
  </w:footnote>
  <w:footnote w:id="82">
    <w:p w:rsidR="0092252C" w:rsidRPr="00AB46BB" w:rsidRDefault="0092252C" w:rsidP="003D1F93">
      <w:pPr>
        <w:pStyle w:val="FootnoteText"/>
        <w:rPr>
          <w:rFonts w:cs="Arial"/>
          <w:sz w:val="16"/>
          <w:szCs w:val="16"/>
        </w:rPr>
      </w:pPr>
      <w:r w:rsidRPr="00AB46BB">
        <w:rPr>
          <w:rStyle w:val="FootnoteReference"/>
          <w:rFonts w:cs="Arial"/>
          <w:sz w:val="16"/>
          <w:szCs w:val="16"/>
        </w:rPr>
        <w:footnoteRef/>
      </w:r>
      <w:r w:rsidRPr="00AB46BB">
        <w:rPr>
          <w:rFonts w:cs="Arial"/>
          <w:sz w:val="16"/>
          <w:szCs w:val="16"/>
        </w:rPr>
        <w:t xml:space="preserve"> Australian Government Productivity Commission (2010) p14</w:t>
      </w:r>
    </w:p>
  </w:footnote>
  <w:footnote w:id="83">
    <w:p w:rsidR="0092252C" w:rsidRPr="005C72D0" w:rsidRDefault="0092252C" w:rsidP="003D1F93">
      <w:pPr>
        <w:pStyle w:val="FootnoteText"/>
        <w:rPr>
          <w:sz w:val="16"/>
        </w:rPr>
      </w:pPr>
      <w:r w:rsidRPr="005C72D0">
        <w:rPr>
          <w:rStyle w:val="FootnoteReference"/>
          <w:sz w:val="16"/>
        </w:rPr>
        <w:footnoteRef/>
      </w:r>
      <w:r w:rsidRPr="005C72D0">
        <w:rPr>
          <w:sz w:val="16"/>
        </w:rPr>
        <w:t xml:space="preserve"> Thomas, A., Sullivan, G. and Allen, F. (2009) “A theoretical Model of EGM Problem Gambling: More than a Cognitive Escape” </w:t>
      </w:r>
      <w:r w:rsidRPr="005C72D0">
        <w:rPr>
          <w:i/>
          <w:sz w:val="16"/>
        </w:rPr>
        <w:t xml:space="preserve">International Journal of Mental Health and Addiction </w:t>
      </w:r>
      <w:r w:rsidRPr="005C72D0">
        <w:rPr>
          <w:sz w:val="16"/>
        </w:rPr>
        <w:t>7:97-107</w:t>
      </w:r>
    </w:p>
  </w:footnote>
  <w:footnote w:id="84">
    <w:p w:rsidR="0092252C" w:rsidRPr="00B15290" w:rsidRDefault="0092252C" w:rsidP="003D1F93">
      <w:pPr>
        <w:pStyle w:val="FootnoteText"/>
        <w:rPr>
          <w:sz w:val="16"/>
          <w:szCs w:val="16"/>
        </w:rPr>
      </w:pPr>
      <w:r w:rsidRPr="00B15290">
        <w:rPr>
          <w:rStyle w:val="FootnoteReference"/>
          <w:sz w:val="16"/>
          <w:szCs w:val="16"/>
        </w:rPr>
        <w:footnoteRef/>
      </w:r>
      <w:r w:rsidRPr="00B15290">
        <w:rPr>
          <w:sz w:val="16"/>
          <w:szCs w:val="16"/>
        </w:rPr>
        <w:t xml:space="preserve"> Department of Justice (2008)</w:t>
      </w:r>
    </w:p>
  </w:footnote>
  <w:footnote w:id="85">
    <w:p w:rsidR="0092252C" w:rsidRPr="000415F5" w:rsidRDefault="0092252C" w:rsidP="003D1F93">
      <w:pPr>
        <w:pStyle w:val="FootnoteText"/>
        <w:rPr>
          <w:sz w:val="16"/>
          <w:szCs w:val="16"/>
        </w:rPr>
      </w:pPr>
      <w:r w:rsidRPr="000415F5">
        <w:rPr>
          <w:rStyle w:val="FootnoteReference"/>
          <w:sz w:val="16"/>
          <w:szCs w:val="16"/>
        </w:rPr>
        <w:footnoteRef/>
      </w:r>
      <w:r w:rsidRPr="000415F5">
        <w:rPr>
          <w:sz w:val="16"/>
          <w:szCs w:val="16"/>
        </w:rPr>
        <w:t xml:space="preserve"> </w:t>
      </w:r>
      <w:r w:rsidRPr="000415F5">
        <w:rPr>
          <w:rFonts w:cs="Arial"/>
          <w:sz w:val="16"/>
          <w:szCs w:val="16"/>
        </w:rPr>
        <w:t>Productivity Commission (20</w:t>
      </w:r>
      <w:r>
        <w:rPr>
          <w:rFonts w:cs="Arial"/>
          <w:sz w:val="16"/>
          <w:szCs w:val="16"/>
        </w:rPr>
        <w:t>10</w:t>
      </w:r>
      <w:r w:rsidRPr="000415F5">
        <w:rPr>
          <w:rFonts w:cs="Arial"/>
          <w:sz w:val="16"/>
          <w:szCs w:val="16"/>
        </w:rPr>
        <w:t>) p14.1</w:t>
      </w:r>
    </w:p>
  </w:footnote>
  <w:footnote w:id="86">
    <w:p w:rsidR="0092252C" w:rsidRPr="005452E3" w:rsidRDefault="0092252C" w:rsidP="003D1F93">
      <w:pPr>
        <w:pStyle w:val="FootnoteText"/>
        <w:rPr>
          <w:sz w:val="16"/>
          <w:szCs w:val="16"/>
        </w:rPr>
      </w:pPr>
      <w:r w:rsidRPr="005452E3">
        <w:rPr>
          <w:rStyle w:val="FootnoteReference"/>
          <w:sz w:val="16"/>
          <w:szCs w:val="16"/>
        </w:rPr>
        <w:footnoteRef/>
      </w:r>
      <w:r w:rsidRPr="005452E3">
        <w:rPr>
          <w:sz w:val="16"/>
          <w:szCs w:val="16"/>
        </w:rPr>
        <w:t xml:space="preserve"> </w:t>
      </w:r>
      <w:r w:rsidRPr="005452E3">
        <w:rPr>
          <w:rFonts w:cs="Arial"/>
          <w:sz w:val="16"/>
          <w:szCs w:val="16"/>
        </w:rPr>
        <w:t>State Government of Victoria (2008) P1</w:t>
      </w:r>
    </w:p>
  </w:footnote>
  <w:footnote w:id="87">
    <w:p w:rsidR="0092252C" w:rsidRPr="005452E3" w:rsidRDefault="0092252C" w:rsidP="003D1F93">
      <w:pPr>
        <w:pStyle w:val="FootnoteText"/>
        <w:rPr>
          <w:rFonts w:cs="Arial"/>
          <w:sz w:val="16"/>
          <w:szCs w:val="16"/>
        </w:rPr>
      </w:pPr>
      <w:r w:rsidRPr="005452E3">
        <w:rPr>
          <w:rStyle w:val="FootnoteReference"/>
          <w:rFonts w:cs="Arial"/>
          <w:sz w:val="16"/>
          <w:szCs w:val="16"/>
        </w:rPr>
        <w:footnoteRef/>
      </w:r>
      <w:r w:rsidRPr="005452E3">
        <w:rPr>
          <w:rFonts w:cs="Arial"/>
          <w:sz w:val="16"/>
          <w:szCs w:val="16"/>
        </w:rPr>
        <w:t>State Government of Victoria (2008) P6</w:t>
      </w:r>
    </w:p>
  </w:footnote>
  <w:footnote w:id="88">
    <w:p w:rsidR="0092252C" w:rsidRPr="005452E3" w:rsidRDefault="0092252C" w:rsidP="003D1F93">
      <w:pPr>
        <w:spacing w:after="0"/>
        <w:rPr>
          <w:sz w:val="16"/>
          <w:szCs w:val="16"/>
        </w:rPr>
      </w:pPr>
      <w:r w:rsidRPr="005452E3">
        <w:rPr>
          <w:rStyle w:val="FootnoteReference"/>
          <w:sz w:val="16"/>
          <w:szCs w:val="16"/>
        </w:rPr>
        <w:footnoteRef/>
      </w:r>
      <w:r w:rsidRPr="005452E3">
        <w:rPr>
          <w:sz w:val="16"/>
          <w:szCs w:val="16"/>
        </w:rPr>
        <w:t xml:space="preserve"> </w:t>
      </w:r>
      <w:r w:rsidRPr="005452E3">
        <w:rPr>
          <w:rFonts w:cs="Arial"/>
          <w:sz w:val="16"/>
          <w:szCs w:val="16"/>
        </w:rPr>
        <w:t>Australian Government Productivity Commission (2010) p14.5</w:t>
      </w:r>
    </w:p>
  </w:footnote>
  <w:footnote w:id="89">
    <w:p w:rsidR="0092252C" w:rsidRPr="00AD1B72" w:rsidRDefault="0092252C" w:rsidP="003D1F93">
      <w:pPr>
        <w:pStyle w:val="TitlePagetext"/>
        <w:spacing w:before="0" w:after="0"/>
        <w:rPr>
          <w:rFonts w:asciiTheme="minorHAnsi" w:hAnsiTheme="minorHAnsi"/>
          <w:sz w:val="16"/>
          <w:szCs w:val="16"/>
        </w:rPr>
      </w:pPr>
      <w:r w:rsidRPr="00AD1B72">
        <w:rPr>
          <w:rStyle w:val="FootnoteReference"/>
          <w:rFonts w:asciiTheme="minorHAnsi" w:hAnsiTheme="minorHAnsi"/>
          <w:sz w:val="16"/>
          <w:szCs w:val="16"/>
        </w:rPr>
        <w:footnoteRef/>
      </w:r>
      <w:r w:rsidRPr="00AD1B72">
        <w:rPr>
          <w:rFonts w:asciiTheme="minorHAnsi" w:hAnsiTheme="minorHAnsi"/>
          <w:sz w:val="16"/>
          <w:szCs w:val="16"/>
        </w:rPr>
        <w:t xml:space="preserve"> </w:t>
      </w:r>
      <w:r w:rsidRPr="007969EA">
        <w:rPr>
          <w:rStyle w:val="HTMLCite"/>
          <w:rFonts w:asciiTheme="minorHAnsi" w:hAnsiTheme="minorHAnsi"/>
          <w:sz w:val="16"/>
          <w:szCs w:val="16"/>
        </w:rPr>
        <w:t xml:space="preserve">Darebin CC v Victorian Commission for Gambling and Liquor Regulation &amp; Anor (Includes Summary) (Red Dot) [2013] </w:t>
      </w:r>
      <w:r>
        <w:rPr>
          <w:rStyle w:val="HTMLCite"/>
          <w:rFonts w:asciiTheme="minorHAnsi" w:hAnsiTheme="minorHAnsi"/>
          <w:sz w:val="16"/>
          <w:szCs w:val="16"/>
        </w:rPr>
        <w:t>VCAT</w:t>
      </w:r>
      <w:r w:rsidRPr="007969EA">
        <w:rPr>
          <w:rStyle w:val="HTMLCite"/>
          <w:rFonts w:asciiTheme="minorHAnsi" w:hAnsiTheme="minorHAnsi"/>
          <w:sz w:val="16"/>
          <w:szCs w:val="16"/>
        </w:rPr>
        <w:t xml:space="preserve"> 1389</w:t>
      </w:r>
      <w:r>
        <w:rPr>
          <w:rStyle w:val="HTMLCite"/>
          <w:rFonts w:asciiTheme="minorHAnsi" w:hAnsiTheme="minorHAnsi"/>
          <w:sz w:val="16"/>
          <w:szCs w:val="16"/>
        </w:rPr>
        <w:t xml:space="preserve"> </w:t>
      </w:r>
      <w:r w:rsidRPr="00AD1B72">
        <w:rPr>
          <w:rFonts w:asciiTheme="minorHAnsi" w:hAnsiTheme="minorHAnsi"/>
          <w:sz w:val="16"/>
          <w:szCs w:val="16"/>
        </w:rPr>
        <w:t xml:space="preserve">para 77 </w:t>
      </w:r>
    </w:p>
  </w:footnote>
  <w:footnote w:id="90">
    <w:p w:rsidR="0092252C" w:rsidRPr="00612FF0" w:rsidRDefault="0092252C" w:rsidP="00E95B6B">
      <w:pPr>
        <w:pStyle w:val="TitlePagetext"/>
        <w:spacing w:before="0" w:after="0"/>
        <w:rPr>
          <w:rFonts w:asciiTheme="minorHAnsi" w:hAnsiTheme="minorHAnsi"/>
          <w:szCs w:val="16"/>
        </w:rPr>
      </w:pPr>
      <w:r w:rsidRPr="00612FF0">
        <w:rPr>
          <w:rStyle w:val="FootnoteReference"/>
          <w:rFonts w:asciiTheme="minorHAnsi" w:hAnsiTheme="minorHAnsi"/>
          <w:sz w:val="16"/>
          <w:szCs w:val="16"/>
        </w:rPr>
        <w:footnoteRef/>
      </w:r>
      <w:r w:rsidRPr="00612FF0">
        <w:rPr>
          <w:rFonts w:asciiTheme="minorHAnsi" w:hAnsiTheme="minorHAnsi"/>
          <w:sz w:val="16"/>
          <w:szCs w:val="16"/>
        </w:rPr>
        <w:t xml:space="preserve"> Melbourne CC v Kingfish Victoria Pty Ltd &amp; Anor (Includes Summary) (Red Dot) [2013] VCAT 1130 </w:t>
      </w:r>
    </w:p>
  </w:footnote>
  <w:footnote w:id="91">
    <w:p w:rsidR="0092252C" w:rsidRPr="00612FF0" w:rsidRDefault="0092252C" w:rsidP="00E95B6B">
      <w:pPr>
        <w:pStyle w:val="TitlePage3"/>
        <w:spacing w:before="0"/>
        <w:jc w:val="left"/>
        <w:rPr>
          <w:rFonts w:asciiTheme="minorHAnsi" w:hAnsiTheme="minorHAnsi"/>
          <w:szCs w:val="16"/>
        </w:rPr>
      </w:pPr>
      <w:r w:rsidRPr="00612FF0">
        <w:rPr>
          <w:rStyle w:val="FootnoteReference"/>
          <w:rFonts w:asciiTheme="minorHAnsi" w:hAnsiTheme="minorHAnsi"/>
          <w:szCs w:val="16"/>
        </w:rPr>
        <w:footnoteRef/>
      </w:r>
      <w:r w:rsidRPr="00612FF0">
        <w:rPr>
          <w:rFonts w:asciiTheme="minorHAnsi" w:hAnsiTheme="minorHAnsi"/>
          <w:szCs w:val="16"/>
        </w:rPr>
        <w:t xml:space="preserve"> </w:t>
      </w:r>
      <w:r w:rsidRPr="00612FF0">
        <w:rPr>
          <w:rStyle w:val="HTMLCite"/>
          <w:rFonts w:asciiTheme="minorHAnsi" w:hAnsiTheme="minorHAnsi"/>
          <w:caps w:val="0"/>
          <w:szCs w:val="16"/>
        </w:rPr>
        <w:t xml:space="preserve">Darebin Cc V Victorian Commission For Gambling And Liquor Regulation &amp; Anor (Includes Summary) (Red Dot) [2013] </w:t>
      </w:r>
      <w:r w:rsidRPr="00612FF0">
        <w:rPr>
          <w:rStyle w:val="HTMLCite"/>
          <w:rFonts w:asciiTheme="minorHAnsi" w:hAnsiTheme="minorHAnsi"/>
          <w:szCs w:val="16"/>
        </w:rPr>
        <w:t>VCAT 1389</w:t>
      </w:r>
    </w:p>
  </w:footnote>
  <w:footnote w:id="92">
    <w:p w:rsidR="0092252C" w:rsidRPr="00612FF0" w:rsidRDefault="0092252C" w:rsidP="00E95B6B">
      <w:pPr>
        <w:pStyle w:val="FootnoteText"/>
        <w:rPr>
          <w:rFonts w:asciiTheme="minorHAnsi" w:hAnsiTheme="minorHAnsi"/>
          <w:sz w:val="16"/>
          <w:szCs w:val="16"/>
        </w:rPr>
      </w:pPr>
      <w:r w:rsidRPr="00612FF0">
        <w:rPr>
          <w:rStyle w:val="FootnoteReference"/>
          <w:rFonts w:asciiTheme="minorHAnsi" w:hAnsiTheme="minorHAnsi"/>
          <w:sz w:val="16"/>
          <w:szCs w:val="16"/>
        </w:rPr>
        <w:footnoteRef/>
      </w:r>
      <w:r w:rsidRPr="00612FF0">
        <w:rPr>
          <w:rFonts w:asciiTheme="minorHAnsi" w:hAnsiTheme="minorHAnsi"/>
          <w:sz w:val="16"/>
          <w:szCs w:val="16"/>
        </w:rPr>
        <w:t xml:space="preserve"> Bayside LPP</w:t>
      </w:r>
    </w:p>
  </w:footnote>
  <w:footnote w:id="93">
    <w:p w:rsidR="0092252C" w:rsidRPr="00967AF1" w:rsidRDefault="0092252C" w:rsidP="00E95B6B">
      <w:pPr>
        <w:pStyle w:val="TitlePagetext"/>
        <w:spacing w:before="0" w:after="0"/>
        <w:rPr>
          <w:rFonts w:asciiTheme="minorHAnsi" w:hAnsiTheme="minorHAnsi"/>
          <w:sz w:val="16"/>
          <w:szCs w:val="16"/>
        </w:rPr>
      </w:pPr>
      <w:r w:rsidRPr="00967AF1">
        <w:rPr>
          <w:rStyle w:val="FootnoteReference"/>
          <w:rFonts w:asciiTheme="minorHAnsi" w:hAnsiTheme="minorHAnsi"/>
          <w:sz w:val="16"/>
          <w:szCs w:val="16"/>
        </w:rPr>
        <w:footnoteRef/>
      </w:r>
      <w:r w:rsidRPr="00967AF1">
        <w:rPr>
          <w:rFonts w:asciiTheme="minorHAnsi" w:hAnsiTheme="minorHAnsi"/>
          <w:sz w:val="16"/>
          <w:szCs w:val="16"/>
        </w:rPr>
        <w:t xml:space="preserve"> </w:t>
      </w:r>
      <w:r w:rsidRPr="00967AF1">
        <w:rPr>
          <w:rStyle w:val="HTMLCite"/>
          <w:rFonts w:asciiTheme="minorHAnsi" w:hAnsiTheme="minorHAnsi"/>
          <w:i w:val="0"/>
          <w:sz w:val="16"/>
          <w:szCs w:val="16"/>
        </w:rPr>
        <w:t>Darebin Cc V Victorian Commission For Gambling And Liquor Regulation &amp; Anor (Includes Summary) (Red Dot) [2013] VCAT 1389,</w:t>
      </w:r>
      <w:r w:rsidRPr="00967AF1">
        <w:t xml:space="preserve"> </w:t>
      </w:r>
      <w:r w:rsidRPr="00967AF1">
        <w:rPr>
          <w:rFonts w:asciiTheme="minorHAnsi" w:hAnsiTheme="minorHAnsi"/>
          <w:sz w:val="16"/>
          <w:szCs w:val="16"/>
        </w:rPr>
        <w:t xml:space="preserve">Melbourne Cc V Kingfish Victoria Pty Ltd &amp; Anor (Includes Summary) (Red Dot) [2013] VCAT 1130 (25 June 2013) </w:t>
      </w:r>
    </w:p>
  </w:footnote>
  <w:footnote w:id="94">
    <w:p w:rsidR="0092252C" w:rsidRPr="00612FF0" w:rsidRDefault="0092252C" w:rsidP="00E95B6B">
      <w:pPr>
        <w:pStyle w:val="TitlePage3"/>
        <w:spacing w:before="0"/>
        <w:jc w:val="left"/>
        <w:rPr>
          <w:rFonts w:asciiTheme="minorHAnsi" w:hAnsiTheme="minorHAnsi"/>
          <w:i/>
          <w:szCs w:val="16"/>
        </w:rPr>
      </w:pPr>
      <w:r w:rsidRPr="00612FF0">
        <w:rPr>
          <w:rStyle w:val="FootnoteReference"/>
          <w:rFonts w:asciiTheme="minorHAnsi" w:hAnsiTheme="minorHAnsi"/>
          <w:i/>
          <w:szCs w:val="16"/>
        </w:rPr>
        <w:footnoteRef/>
      </w:r>
      <w:r w:rsidRPr="00612FF0">
        <w:rPr>
          <w:rFonts w:asciiTheme="minorHAnsi" w:hAnsiTheme="minorHAnsi"/>
          <w:i/>
          <w:caps w:val="0"/>
          <w:szCs w:val="16"/>
        </w:rPr>
        <w:t xml:space="preserve"> </w:t>
      </w:r>
      <w:r w:rsidRPr="00612FF0">
        <w:rPr>
          <w:rStyle w:val="HTMLCite"/>
          <w:rFonts w:asciiTheme="minorHAnsi" w:hAnsiTheme="minorHAnsi"/>
          <w:i w:val="0"/>
          <w:caps w:val="0"/>
          <w:szCs w:val="16"/>
        </w:rPr>
        <w:t>Darebin Cc V Victorian Commission For Gambling And Liquor Regulation &amp; Anor (Includes Summary) (Red Dot) [2013] VCAT1389</w:t>
      </w:r>
    </w:p>
  </w:footnote>
  <w:footnote w:id="95">
    <w:p w:rsidR="0092252C" w:rsidRPr="00612FF0" w:rsidRDefault="0092252C" w:rsidP="00E95B6B">
      <w:pPr>
        <w:pStyle w:val="TitlePagetext"/>
        <w:spacing w:before="0" w:after="0"/>
        <w:rPr>
          <w:rFonts w:asciiTheme="minorHAnsi" w:hAnsiTheme="minorHAnsi"/>
          <w:sz w:val="16"/>
          <w:szCs w:val="16"/>
        </w:rPr>
      </w:pPr>
      <w:r w:rsidRPr="00612FF0">
        <w:rPr>
          <w:rStyle w:val="FootnoteReference"/>
          <w:rFonts w:asciiTheme="minorHAnsi" w:hAnsiTheme="minorHAnsi"/>
          <w:sz w:val="16"/>
          <w:szCs w:val="16"/>
        </w:rPr>
        <w:footnoteRef/>
      </w:r>
      <w:r w:rsidRPr="00612FF0">
        <w:rPr>
          <w:rFonts w:asciiTheme="minorHAnsi" w:hAnsiTheme="minorHAnsi"/>
          <w:sz w:val="16"/>
          <w:szCs w:val="16"/>
        </w:rPr>
        <w:t xml:space="preserve"> Melbourne CC v Kingfish Victoria Pty Ltd &amp; Anor (Includes Summary) (Red Dot) [2013] VCAT 1130 (25 June 2013) Para 172 </w:t>
      </w:r>
    </w:p>
  </w:footnote>
  <w:footnote w:id="96">
    <w:p w:rsidR="0092252C" w:rsidRPr="00612FF0" w:rsidRDefault="0092252C" w:rsidP="00E95B6B">
      <w:pPr>
        <w:pStyle w:val="TitlePage3"/>
        <w:spacing w:before="0"/>
        <w:jc w:val="left"/>
        <w:rPr>
          <w:rFonts w:asciiTheme="minorHAnsi" w:hAnsiTheme="minorHAnsi"/>
          <w:i/>
          <w:szCs w:val="16"/>
        </w:rPr>
      </w:pPr>
      <w:r w:rsidRPr="00612FF0">
        <w:rPr>
          <w:rStyle w:val="FootnoteReference"/>
          <w:rFonts w:asciiTheme="minorHAnsi" w:hAnsiTheme="minorHAnsi"/>
          <w:i/>
          <w:szCs w:val="16"/>
        </w:rPr>
        <w:footnoteRef/>
      </w:r>
      <w:r w:rsidRPr="00612FF0">
        <w:rPr>
          <w:rFonts w:asciiTheme="minorHAnsi" w:hAnsiTheme="minorHAnsi"/>
          <w:i/>
          <w:szCs w:val="16"/>
        </w:rPr>
        <w:t xml:space="preserve"> </w:t>
      </w:r>
      <w:r w:rsidRPr="00612FF0">
        <w:rPr>
          <w:rStyle w:val="HTMLCite"/>
          <w:rFonts w:asciiTheme="minorHAnsi" w:hAnsiTheme="minorHAnsi"/>
          <w:i w:val="0"/>
          <w:caps w:val="0"/>
          <w:szCs w:val="16"/>
        </w:rPr>
        <w:t xml:space="preserve">Darebin Cc V Victorian Commission For Gambling And Liquor Regulation &amp; Anor (Includes Summary) (Red Dot) [2013] </w:t>
      </w:r>
      <w:r w:rsidRPr="00612FF0">
        <w:rPr>
          <w:rStyle w:val="HTMLCite"/>
          <w:rFonts w:asciiTheme="minorHAnsi" w:hAnsiTheme="minorHAnsi"/>
          <w:i w:val="0"/>
          <w:szCs w:val="16"/>
        </w:rPr>
        <w:t>VCAT 1389</w:t>
      </w:r>
    </w:p>
  </w:footnote>
  <w:footnote w:id="97">
    <w:p w:rsidR="0092252C" w:rsidRPr="00612FF0" w:rsidRDefault="0092252C" w:rsidP="00E95B6B">
      <w:pPr>
        <w:pStyle w:val="FootnoteText"/>
        <w:rPr>
          <w:rFonts w:asciiTheme="minorHAnsi" w:hAnsiTheme="minorHAnsi"/>
          <w:sz w:val="16"/>
          <w:szCs w:val="16"/>
        </w:rPr>
      </w:pPr>
      <w:r w:rsidRPr="00612FF0">
        <w:rPr>
          <w:rStyle w:val="FootnoteReference"/>
          <w:rFonts w:asciiTheme="minorHAnsi" w:hAnsiTheme="minorHAnsi"/>
          <w:sz w:val="16"/>
          <w:szCs w:val="16"/>
        </w:rPr>
        <w:footnoteRef/>
      </w:r>
      <w:r w:rsidRPr="00612FF0">
        <w:rPr>
          <w:rFonts w:asciiTheme="minorHAnsi" w:hAnsiTheme="minorHAnsi"/>
          <w:sz w:val="16"/>
          <w:szCs w:val="16"/>
        </w:rPr>
        <w:t xml:space="preserve"> Mt Alexander Shire Council v Victorian Commission for Gambling and Liquor Regulation Ltd (Red Dot) [2013] VCAT 101</w:t>
      </w:r>
    </w:p>
  </w:footnote>
  <w:footnote w:id="98">
    <w:p w:rsidR="0092252C" w:rsidRPr="00612FF0" w:rsidRDefault="0092252C" w:rsidP="00E95B6B">
      <w:pPr>
        <w:pStyle w:val="TitlePage3"/>
        <w:spacing w:before="0"/>
        <w:jc w:val="left"/>
        <w:rPr>
          <w:rFonts w:asciiTheme="minorHAnsi" w:hAnsiTheme="minorHAnsi"/>
          <w:i/>
          <w:szCs w:val="16"/>
        </w:rPr>
      </w:pPr>
      <w:r w:rsidRPr="00612FF0">
        <w:rPr>
          <w:rStyle w:val="FootnoteReference"/>
          <w:rFonts w:asciiTheme="minorHAnsi" w:hAnsiTheme="minorHAnsi"/>
          <w:i/>
          <w:szCs w:val="16"/>
        </w:rPr>
        <w:footnoteRef/>
      </w:r>
      <w:r w:rsidRPr="00612FF0">
        <w:rPr>
          <w:rFonts w:asciiTheme="minorHAnsi" w:hAnsiTheme="minorHAnsi"/>
          <w:i/>
          <w:szCs w:val="16"/>
        </w:rPr>
        <w:t xml:space="preserve"> </w:t>
      </w:r>
      <w:r w:rsidRPr="00612FF0">
        <w:rPr>
          <w:rStyle w:val="HTMLCite"/>
          <w:rFonts w:asciiTheme="minorHAnsi" w:hAnsiTheme="minorHAnsi"/>
          <w:i w:val="0"/>
          <w:caps w:val="0"/>
          <w:szCs w:val="16"/>
        </w:rPr>
        <w:t xml:space="preserve">Darebin Cc V Victorian Commission For Gambling And Liquor Regulation &amp; Anor (Includes Summary) (Red Dot) [2013] VCAT1389 </w:t>
      </w:r>
    </w:p>
  </w:footnote>
  <w:footnote w:id="99">
    <w:p w:rsidR="0092252C" w:rsidRPr="00612FF0" w:rsidRDefault="0092252C" w:rsidP="00E95B6B">
      <w:pPr>
        <w:pStyle w:val="FootnoteText"/>
        <w:rPr>
          <w:sz w:val="16"/>
          <w:szCs w:val="16"/>
        </w:rPr>
      </w:pPr>
      <w:r w:rsidRPr="00612FF0">
        <w:rPr>
          <w:rStyle w:val="FootnoteReference"/>
          <w:sz w:val="16"/>
          <w:szCs w:val="16"/>
        </w:rPr>
        <w:footnoteRef/>
      </w:r>
      <w:r w:rsidRPr="00612FF0">
        <w:rPr>
          <w:sz w:val="16"/>
          <w:szCs w:val="16"/>
        </w:rPr>
        <w:t xml:space="preserve"> Port Phillip and Yarra Ranges LPP</w:t>
      </w:r>
    </w:p>
  </w:footnote>
  <w:footnote w:id="100">
    <w:p w:rsidR="0092252C" w:rsidRPr="003804EC" w:rsidRDefault="0092252C" w:rsidP="003D1F93">
      <w:pPr>
        <w:pStyle w:val="FootnoteText"/>
        <w:rPr>
          <w:sz w:val="16"/>
          <w:szCs w:val="16"/>
        </w:rPr>
      </w:pPr>
      <w:r w:rsidRPr="003804EC">
        <w:rPr>
          <w:rStyle w:val="FootnoteReference"/>
          <w:sz w:val="16"/>
          <w:szCs w:val="16"/>
        </w:rPr>
        <w:footnoteRef/>
      </w:r>
      <w:r w:rsidRPr="003804EC">
        <w:rPr>
          <w:sz w:val="16"/>
          <w:szCs w:val="16"/>
        </w:rPr>
        <w:t xml:space="preserve"> Prizac Investments Pty Ltd &amp; Ors v Maribyrnong CC &amp; Ors (includes Summary) (Red Dot) [2009] VCAT 2616 (15 December 2009)</w:t>
      </w:r>
    </w:p>
  </w:footnote>
  <w:footnote w:id="101">
    <w:p w:rsidR="0092252C" w:rsidRPr="003056BE" w:rsidRDefault="0092252C" w:rsidP="003D1F93">
      <w:pPr>
        <w:pStyle w:val="FootnoteText"/>
        <w:rPr>
          <w:sz w:val="16"/>
          <w:szCs w:val="16"/>
        </w:rPr>
      </w:pPr>
      <w:r w:rsidRPr="003056BE">
        <w:rPr>
          <w:rStyle w:val="FootnoteReference"/>
          <w:sz w:val="16"/>
          <w:szCs w:val="16"/>
        </w:rPr>
        <w:footnoteRef/>
      </w:r>
      <w:r w:rsidRPr="003056BE">
        <w:rPr>
          <w:sz w:val="16"/>
          <w:szCs w:val="16"/>
        </w:rPr>
        <w:t xml:space="preserve"> Abbott, M, Binde, P, Hodgins, D, Korn, D, Pereira, A, Volberg, R &amp; Williams, R (2013), </w:t>
      </w:r>
      <w:r w:rsidRPr="003056BE">
        <w:rPr>
          <w:i/>
          <w:sz w:val="16"/>
          <w:szCs w:val="16"/>
        </w:rPr>
        <w:t>Conceptual framework of harmful gambling: an international collaboration</w:t>
      </w:r>
      <w:r w:rsidRPr="003056BE">
        <w:rPr>
          <w:sz w:val="16"/>
          <w:szCs w:val="16"/>
        </w:rPr>
        <w:t>, the Ontario Problem Gambling Research Centre (OPGRC),</w:t>
      </w:r>
    </w:p>
  </w:footnote>
  <w:footnote w:id="102">
    <w:p w:rsidR="0092252C" w:rsidRPr="003056BE" w:rsidRDefault="0092252C" w:rsidP="003D1F93">
      <w:pPr>
        <w:pStyle w:val="FootnoteText"/>
        <w:rPr>
          <w:sz w:val="16"/>
          <w:szCs w:val="16"/>
        </w:rPr>
      </w:pPr>
      <w:r w:rsidRPr="003056BE">
        <w:rPr>
          <w:rStyle w:val="FootnoteReference"/>
          <w:sz w:val="16"/>
          <w:szCs w:val="16"/>
        </w:rPr>
        <w:footnoteRef/>
      </w:r>
      <w:r w:rsidRPr="003056BE">
        <w:rPr>
          <w:sz w:val="16"/>
          <w:szCs w:val="16"/>
        </w:rPr>
        <w:t xml:space="preserve"> Responsible Gambling Foundation (2015) </w:t>
      </w:r>
      <w:r w:rsidRPr="003056BE">
        <w:rPr>
          <w:i/>
          <w:sz w:val="16"/>
          <w:szCs w:val="16"/>
        </w:rPr>
        <w:t xml:space="preserve">Background Paper. Risk factors for problem gambling: Environmental, geographic, social, cultural, demographic, socio-economic, family and household </w:t>
      </w:r>
    </w:p>
  </w:footnote>
  <w:footnote w:id="103">
    <w:p w:rsidR="0092252C" w:rsidRPr="0085203F" w:rsidRDefault="0092252C" w:rsidP="003D1F93">
      <w:pPr>
        <w:pStyle w:val="FootnoteText"/>
        <w:rPr>
          <w:sz w:val="16"/>
        </w:rPr>
      </w:pPr>
      <w:r w:rsidRPr="0085203F">
        <w:rPr>
          <w:rStyle w:val="FootnoteReference"/>
          <w:sz w:val="16"/>
        </w:rPr>
        <w:footnoteRef/>
      </w:r>
      <w:r w:rsidRPr="0085203F">
        <w:rPr>
          <w:sz w:val="16"/>
        </w:rPr>
        <w:t xml:space="preserve"> Panel Report, Mount Alexander Shire Local Planning Policy, Amendment C72</w:t>
      </w:r>
    </w:p>
  </w:footnote>
  <w:footnote w:id="104">
    <w:p w:rsidR="0092252C" w:rsidRPr="0023415B" w:rsidRDefault="0092252C" w:rsidP="003D1F93">
      <w:pPr>
        <w:pStyle w:val="FootnoteText"/>
        <w:rPr>
          <w:sz w:val="16"/>
          <w:szCs w:val="16"/>
        </w:rPr>
      </w:pPr>
      <w:r w:rsidRPr="0023415B">
        <w:rPr>
          <w:rStyle w:val="FootnoteReference"/>
          <w:i/>
          <w:sz w:val="16"/>
          <w:szCs w:val="16"/>
        </w:rPr>
        <w:footnoteRef/>
      </w:r>
      <w:r w:rsidRPr="0023415B">
        <w:rPr>
          <w:i/>
          <w:sz w:val="16"/>
          <w:szCs w:val="16"/>
        </w:rPr>
        <w:t xml:space="preserve"> </w:t>
      </w:r>
      <w:r w:rsidRPr="0023415B">
        <w:rPr>
          <w:sz w:val="16"/>
          <w:szCs w:val="16"/>
        </w:rPr>
        <w:t>Prizac Investments Pty Ltd &amp; Ors v Maribyrnong CC &amp; Ors (includes Summary) (Red Dot) [2009] VCAT 2616 (15 December 2009)</w:t>
      </w:r>
    </w:p>
  </w:footnote>
  <w:footnote w:id="105">
    <w:p w:rsidR="0092252C" w:rsidRPr="0023415B" w:rsidRDefault="0092252C" w:rsidP="003D1F93">
      <w:pPr>
        <w:autoSpaceDE w:val="0"/>
        <w:autoSpaceDN w:val="0"/>
        <w:adjustRightInd w:val="0"/>
        <w:spacing w:after="0"/>
        <w:rPr>
          <w:sz w:val="16"/>
          <w:szCs w:val="16"/>
        </w:rPr>
      </w:pPr>
      <w:r w:rsidRPr="0023415B">
        <w:rPr>
          <w:rStyle w:val="FootnoteReference"/>
          <w:rFonts w:asciiTheme="minorHAnsi" w:hAnsiTheme="minorHAnsi"/>
          <w:sz w:val="16"/>
          <w:szCs w:val="16"/>
        </w:rPr>
        <w:footnoteRef/>
      </w:r>
      <w:r w:rsidRPr="0023415B">
        <w:rPr>
          <w:rFonts w:asciiTheme="minorHAnsi" w:hAnsiTheme="minorHAnsi"/>
          <w:sz w:val="16"/>
          <w:szCs w:val="16"/>
        </w:rPr>
        <w:t xml:space="preserve"> </w:t>
      </w:r>
      <w:r w:rsidRPr="0023415B">
        <w:rPr>
          <w:rFonts w:asciiTheme="minorHAnsi" w:eastAsiaTheme="minorHAnsi" w:hAnsiTheme="minorHAnsi" w:cs="TradeGothicLTStd-Cn18"/>
          <w:sz w:val="16"/>
          <w:szCs w:val="16"/>
        </w:rPr>
        <w:t xml:space="preserve">O’Mahony, B &amp; Ohtsuka, K (2015), ‘Responsible gambling: sympathy, empathy or telepathy?’, </w:t>
      </w:r>
      <w:r w:rsidRPr="0023415B">
        <w:rPr>
          <w:rFonts w:asciiTheme="minorHAnsi" w:eastAsiaTheme="minorHAnsi" w:hAnsiTheme="minorHAnsi" w:cs="TradeGothicLTStd-Cn18Obl"/>
          <w:i/>
          <w:iCs/>
          <w:sz w:val="16"/>
          <w:szCs w:val="16"/>
        </w:rPr>
        <w:t>Journal of Business Research</w:t>
      </w:r>
      <w:r w:rsidRPr="0023415B">
        <w:rPr>
          <w:rFonts w:asciiTheme="minorHAnsi" w:eastAsiaTheme="minorHAnsi" w:hAnsiTheme="minorHAnsi" w:cs="TradeGothicLTStd-Cn18"/>
          <w:sz w:val="16"/>
          <w:szCs w:val="16"/>
        </w:rPr>
        <w:t>, online 23 March 2015.</w:t>
      </w:r>
    </w:p>
  </w:footnote>
  <w:footnote w:id="106">
    <w:p w:rsidR="0092252C" w:rsidRPr="005C72D0" w:rsidRDefault="0092252C" w:rsidP="003D1F93">
      <w:pPr>
        <w:spacing w:after="0"/>
        <w:rPr>
          <w:sz w:val="16"/>
          <w:szCs w:val="16"/>
        </w:rPr>
      </w:pPr>
      <w:r w:rsidRPr="005C72D0">
        <w:rPr>
          <w:rStyle w:val="FootnoteReference"/>
          <w:sz w:val="16"/>
          <w:szCs w:val="16"/>
        </w:rPr>
        <w:footnoteRef/>
      </w:r>
      <w:r w:rsidRPr="005C72D0">
        <w:rPr>
          <w:sz w:val="16"/>
          <w:szCs w:val="16"/>
        </w:rPr>
        <w:t xml:space="preserve">Centre for Gambling Research, Australian National University (2004) </w:t>
      </w:r>
      <w:r w:rsidRPr="005C72D0">
        <w:rPr>
          <w:i/>
          <w:sz w:val="16"/>
          <w:szCs w:val="16"/>
        </w:rPr>
        <w:t xml:space="preserve">2003 Victorian Longitudinal Community Attitudes Survey </w:t>
      </w:r>
      <w:r w:rsidRPr="005C72D0">
        <w:rPr>
          <w:sz w:val="16"/>
          <w:szCs w:val="16"/>
        </w:rPr>
        <w:t>Gambling Research Panel, Report No 6</w:t>
      </w:r>
    </w:p>
  </w:footnote>
  <w:footnote w:id="107">
    <w:p w:rsidR="0092252C" w:rsidRPr="005C72D0" w:rsidRDefault="0092252C" w:rsidP="003D1F93">
      <w:pPr>
        <w:pStyle w:val="FootnoteText"/>
        <w:rPr>
          <w:sz w:val="16"/>
          <w:szCs w:val="16"/>
        </w:rPr>
      </w:pPr>
      <w:r w:rsidRPr="005C72D0">
        <w:rPr>
          <w:rStyle w:val="FootnoteReference"/>
          <w:sz w:val="16"/>
          <w:szCs w:val="16"/>
        </w:rPr>
        <w:footnoteRef/>
      </w:r>
      <w:r w:rsidRPr="005C72D0">
        <w:rPr>
          <w:sz w:val="16"/>
          <w:szCs w:val="16"/>
        </w:rPr>
        <w:t xml:space="preserve"> Barratt M.J., Livingston M., Matthews S. (2015). Problem Gambling In Victoria: Identifying local area community and gaming industry risk and protective factors. Fitzroy, Victoria: Turning Point</w:t>
      </w:r>
    </w:p>
  </w:footnote>
  <w:footnote w:id="108">
    <w:p w:rsidR="0092252C" w:rsidRPr="005C72D0" w:rsidRDefault="0092252C" w:rsidP="003D1F93">
      <w:pPr>
        <w:pStyle w:val="FootnoteText"/>
        <w:rPr>
          <w:sz w:val="16"/>
          <w:szCs w:val="16"/>
        </w:rPr>
      </w:pPr>
      <w:r w:rsidRPr="005C72D0">
        <w:rPr>
          <w:rStyle w:val="FootnoteReference"/>
          <w:sz w:val="16"/>
          <w:szCs w:val="16"/>
        </w:rPr>
        <w:footnoteRef/>
      </w:r>
      <w:r w:rsidRPr="005C72D0">
        <w:rPr>
          <w:sz w:val="16"/>
          <w:szCs w:val="16"/>
        </w:rPr>
        <w:t xml:space="preserve"> South Australian Centre for Economic Studies (2005)</w:t>
      </w:r>
    </w:p>
  </w:footnote>
  <w:footnote w:id="109">
    <w:p w:rsidR="0092252C" w:rsidRPr="005C72D0" w:rsidRDefault="0092252C" w:rsidP="003D1F93">
      <w:pPr>
        <w:pStyle w:val="TitlePage3"/>
        <w:spacing w:before="0"/>
        <w:jc w:val="left"/>
        <w:rPr>
          <w:rFonts w:asciiTheme="minorHAnsi" w:hAnsiTheme="minorHAnsi"/>
          <w:szCs w:val="16"/>
        </w:rPr>
      </w:pPr>
      <w:r w:rsidRPr="005C72D0">
        <w:rPr>
          <w:rStyle w:val="FootnoteReference"/>
          <w:rFonts w:asciiTheme="minorHAnsi" w:hAnsiTheme="minorHAnsi"/>
          <w:szCs w:val="16"/>
        </w:rPr>
        <w:footnoteRef/>
      </w:r>
      <w:r w:rsidRPr="005C72D0">
        <w:rPr>
          <w:rFonts w:asciiTheme="minorHAnsi" w:hAnsiTheme="minorHAnsi"/>
          <w:szCs w:val="16"/>
        </w:rPr>
        <w:t xml:space="preserve"> </w:t>
      </w:r>
      <w:r>
        <w:rPr>
          <w:rFonts w:asciiTheme="minorHAnsi" w:hAnsiTheme="minorHAnsi" w:cs="Arial"/>
          <w:caps w:val="0"/>
          <w:szCs w:val="16"/>
          <w:lang w:val="en-US"/>
        </w:rPr>
        <w:t xml:space="preserve">Monash Cc V L'unico Pty Ltd </w:t>
      </w:r>
      <w:r w:rsidRPr="005C72D0">
        <w:rPr>
          <w:rFonts w:asciiTheme="minorHAnsi" w:hAnsiTheme="minorHAnsi" w:cs="Arial"/>
          <w:caps w:val="0"/>
          <w:szCs w:val="16"/>
          <w:lang w:val="en-US"/>
        </w:rPr>
        <w:t xml:space="preserve">(Review And Regulation) [2013] </w:t>
      </w:r>
      <w:r w:rsidRPr="005C72D0">
        <w:rPr>
          <w:rFonts w:asciiTheme="minorHAnsi" w:hAnsiTheme="minorHAnsi" w:cs="Arial"/>
          <w:szCs w:val="16"/>
          <w:lang w:val="en-US"/>
        </w:rPr>
        <w:t xml:space="preserve">VCAT 1545 </w:t>
      </w:r>
    </w:p>
  </w:footnote>
  <w:footnote w:id="110">
    <w:p w:rsidR="0092252C" w:rsidRPr="00907125" w:rsidRDefault="0092252C" w:rsidP="003D1F93">
      <w:pPr>
        <w:pStyle w:val="FootnoteText"/>
        <w:rPr>
          <w:rFonts w:asciiTheme="minorHAnsi" w:hAnsiTheme="minorHAnsi"/>
          <w:sz w:val="16"/>
          <w:szCs w:val="16"/>
        </w:rPr>
      </w:pPr>
      <w:r w:rsidRPr="00907125">
        <w:rPr>
          <w:rStyle w:val="FootnoteReference"/>
          <w:rFonts w:asciiTheme="minorHAnsi" w:hAnsiTheme="minorHAnsi"/>
          <w:sz w:val="16"/>
          <w:szCs w:val="16"/>
        </w:rPr>
        <w:footnoteRef/>
      </w:r>
      <w:r w:rsidRPr="00907125">
        <w:rPr>
          <w:rFonts w:asciiTheme="minorHAnsi" w:hAnsiTheme="minorHAnsi"/>
          <w:sz w:val="16"/>
          <w:szCs w:val="16"/>
        </w:rPr>
        <w:t xml:space="preserve"> </w:t>
      </w:r>
      <w:r w:rsidRPr="00907125">
        <w:rPr>
          <w:rFonts w:asciiTheme="minorHAnsi" w:hAnsiTheme="minorHAnsi" w:cs="Arial"/>
          <w:sz w:val="16"/>
          <w:szCs w:val="16"/>
          <w:lang w:val="en-US"/>
        </w:rPr>
        <w:t>Rennie v Darebin CC [2010] VCAT 1719</w:t>
      </w:r>
    </w:p>
  </w:footnote>
  <w:footnote w:id="111">
    <w:p w:rsidR="0092252C" w:rsidRPr="00907125" w:rsidRDefault="0092252C" w:rsidP="003D1F93">
      <w:pPr>
        <w:pStyle w:val="FootnoteText"/>
        <w:rPr>
          <w:rFonts w:asciiTheme="minorHAnsi" w:hAnsiTheme="minorHAnsi"/>
          <w:sz w:val="16"/>
          <w:szCs w:val="16"/>
        </w:rPr>
      </w:pPr>
      <w:r w:rsidRPr="00907125">
        <w:rPr>
          <w:rStyle w:val="FootnoteReference"/>
          <w:rFonts w:asciiTheme="minorHAnsi" w:hAnsiTheme="minorHAnsi"/>
          <w:sz w:val="16"/>
          <w:szCs w:val="16"/>
        </w:rPr>
        <w:footnoteRef/>
      </w:r>
      <w:r w:rsidRPr="00907125">
        <w:rPr>
          <w:rFonts w:asciiTheme="minorHAnsi" w:hAnsiTheme="minorHAnsi"/>
          <w:sz w:val="16"/>
          <w:szCs w:val="16"/>
        </w:rPr>
        <w:t xml:space="preserve"> </w:t>
      </w:r>
      <w:r w:rsidRPr="00907125">
        <w:rPr>
          <w:rFonts w:asciiTheme="minorHAnsi" w:hAnsiTheme="minorHAnsi" w:cs="Arial"/>
          <w:sz w:val="16"/>
          <w:szCs w:val="16"/>
        </w:rPr>
        <w:t>State Government of Victoria (2009) Fact Sheet 8</w:t>
      </w:r>
    </w:p>
  </w:footnote>
  <w:footnote w:id="112">
    <w:p w:rsidR="0092252C" w:rsidRPr="00907125" w:rsidRDefault="0092252C" w:rsidP="003D1F93">
      <w:pPr>
        <w:pStyle w:val="Para2"/>
        <w:spacing w:after="0" w:line="240" w:lineRule="auto"/>
        <w:ind w:left="0"/>
        <w:rPr>
          <w:rFonts w:asciiTheme="minorHAnsi" w:hAnsiTheme="minorHAnsi"/>
          <w:sz w:val="16"/>
          <w:szCs w:val="16"/>
        </w:rPr>
      </w:pPr>
      <w:r w:rsidRPr="00907125">
        <w:rPr>
          <w:rStyle w:val="FootnoteReference"/>
          <w:rFonts w:asciiTheme="minorHAnsi" w:hAnsiTheme="minorHAnsi"/>
          <w:sz w:val="16"/>
          <w:szCs w:val="16"/>
        </w:rPr>
        <w:footnoteRef/>
      </w:r>
      <w:r w:rsidRPr="00907125">
        <w:rPr>
          <w:rFonts w:asciiTheme="minorHAnsi" w:hAnsiTheme="minorHAnsi"/>
          <w:sz w:val="16"/>
          <w:szCs w:val="16"/>
        </w:rPr>
        <w:t xml:space="preserve"> Francis Hotel Pty Ltd v Melbourne CC (includes Summary) (Red Dot) [2012] VCAT 1896</w:t>
      </w:r>
    </w:p>
  </w:footnote>
  <w:footnote w:id="113">
    <w:p w:rsidR="0092252C" w:rsidRPr="00907125" w:rsidRDefault="0092252C" w:rsidP="003D1F93">
      <w:pPr>
        <w:pStyle w:val="FootnoteText"/>
        <w:rPr>
          <w:rFonts w:asciiTheme="minorHAnsi" w:hAnsiTheme="minorHAnsi"/>
          <w:sz w:val="16"/>
          <w:szCs w:val="16"/>
        </w:rPr>
      </w:pPr>
      <w:r w:rsidRPr="00907125">
        <w:rPr>
          <w:rStyle w:val="FootnoteReference"/>
          <w:rFonts w:asciiTheme="minorHAnsi" w:hAnsiTheme="minorHAnsi"/>
          <w:sz w:val="16"/>
          <w:szCs w:val="16"/>
        </w:rPr>
        <w:footnoteRef/>
      </w:r>
      <w:r w:rsidRPr="00907125">
        <w:rPr>
          <w:rFonts w:asciiTheme="minorHAnsi" w:hAnsiTheme="minorHAnsi"/>
          <w:sz w:val="16"/>
          <w:szCs w:val="16"/>
        </w:rPr>
        <w:t xml:space="preserve"> Panel Report, Wyndham Local Planning Policy Amendment C174</w:t>
      </w:r>
    </w:p>
  </w:footnote>
  <w:footnote w:id="114">
    <w:p w:rsidR="0092252C" w:rsidRPr="00907125" w:rsidRDefault="0092252C" w:rsidP="003D1F93">
      <w:pPr>
        <w:pStyle w:val="FootnoteText"/>
        <w:rPr>
          <w:rFonts w:asciiTheme="minorHAnsi" w:hAnsiTheme="minorHAnsi"/>
          <w:sz w:val="16"/>
          <w:szCs w:val="16"/>
        </w:rPr>
      </w:pPr>
      <w:r w:rsidRPr="00907125">
        <w:rPr>
          <w:rStyle w:val="FootnoteReference"/>
          <w:rFonts w:asciiTheme="minorHAnsi" w:hAnsiTheme="minorHAnsi"/>
          <w:sz w:val="16"/>
          <w:szCs w:val="16"/>
        </w:rPr>
        <w:footnoteRef/>
      </w:r>
      <w:r w:rsidRPr="00907125">
        <w:rPr>
          <w:rFonts w:asciiTheme="minorHAnsi" w:hAnsiTheme="minorHAnsi"/>
          <w:sz w:val="16"/>
          <w:szCs w:val="16"/>
        </w:rPr>
        <w:t xml:space="preserve"> Panel Report, Wyndham Local Planning Policy Amendment C174</w:t>
      </w:r>
    </w:p>
  </w:footnote>
  <w:footnote w:id="115">
    <w:p w:rsidR="0092252C" w:rsidRPr="00907125" w:rsidRDefault="0092252C" w:rsidP="003D1F93">
      <w:pPr>
        <w:pStyle w:val="FootnoteText"/>
        <w:rPr>
          <w:rFonts w:cs="Arial"/>
          <w:sz w:val="16"/>
          <w:szCs w:val="16"/>
        </w:rPr>
      </w:pPr>
      <w:r w:rsidRPr="00907125">
        <w:rPr>
          <w:rStyle w:val="FootnoteReference"/>
          <w:rFonts w:cs="Arial"/>
          <w:sz w:val="16"/>
          <w:szCs w:val="16"/>
        </w:rPr>
        <w:footnoteRef/>
      </w:r>
      <w:r w:rsidRPr="00907125">
        <w:rPr>
          <w:rFonts w:cs="Arial"/>
          <w:sz w:val="16"/>
          <w:szCs w:val="16"/>
        </w:rPr>
        <w:t xml:space="preserve"> Australian Government Productivity Commission (2010) p8.1</w:t>
      </w:r>
    </w:p>
  </w:footnote>
  <w:footnote w:id="116">
    <w:p w:rsidR="0092252C" w:rsidRPr="00907125" w:rsidRDefault="0092252C" w:rsidP="003D1F93">
      <w:pPr>
        <w:pStyle w:val="FootnoteText"/>
        <w:rPr>
          <w:sz w:val="16"/>
          <w:szCs w:val="16"/>
        </w:rPr>
      </w:pPr>
      <w:r w:rsidRPr="00907125">
        <w:rPr>
          <w:rStyle w:val="FootnoteReference"/>
          <w:sz w:val="16"/>
          <w:szCs w:val="16"/>
        </w:rPr>
        <w:footnoteRef/>
      </w:r>
      <w:r w:rsidRPr="00907125">
        <w:rPr>
          <w:sz w:val="16"/>
          <w:szCs w:val="16"/>
        </w:rPr>
        <w:t xml:space="preserve"> The Facts About Gambling and Young People </w:t>
      </w:r>
      <w:hyperlink r:id="rId4" w:history="1">
        <w:r w:rsidRPr="00907125">
          <w:rPr>
            <w:rStyle w:val="Hyperlink"/>
            <w:color w:val="auto"/>
            <w:sz w:val="16"/>
            <w:szCs w:val="16"/>
          </w:rPr>
          <w:t>http://kidbet.com.au/parents/</w:t>
        </w:r>
      </w:hyperlink>
      <w:r w:rsidRPr="00907125">
        <w:rPr>
          <w:sz w:val="16"/>
          <w:szCs w:val="16"/>
        </w:rPr>
        <w:t xml:space="preserve"> </w:t>
      </w:r>
    </w:p>
  </w:footnote>
  <w:footnote w:id="117">
    <w:p w:rsidR="0092252C" w:rsidRPr="00907125" w:rsidRDefault="0092252C" w:rsidP="003D1F93">
      <w:pPr>
        <w:autoSpaceDE w:val="0"/>
        <w:autoSpaceDN w:val="0"/>
        <w:adjustRightInd w:val="0"/>
        <w:spacing w:after="0"/>
        <w:rPr>
          <w:sz w:val="16"/>
          <w:szCs w:val="16"/>
        </w:rPr>
      </w:pPr>
      <w:r w:rsidRPr="00907125">
        <w:rPr>
          <w:rStyle w:val="FootnoteReference"/>
          <w:sz w:val="16"/>
          <w:szCs w:val="16"/>
        </w:rPr>
        <w:footnoteRef/>
      </w:r>
      <w:r w:rsidRPr="00907125">
        <w:rPr>
          <w:sz w:val="16"/>
          <w:szCs w:val="16"/>
        </w:rPr>
        <w:t xml:space="preserve"> </w:t>
      </w:r>
      <w:r w:rsidRPr="00907125">
        <w:rPr>
          <w:rFonts w:asciiTheme="minorHAnsi" w:eastAsiaTheme="minorHAnsi" w:hAnsiTheme="minorHAnsi"/>
          <w:sz w:val="16"/>
          <w:szCs w:val="16"/>
        </w:rPr>
        <w:t xml:space="preserve">Monaghan, S. Derevensky, J. and Sklar, (2008) A </w:t>
      </w:r>
      <w:r w:rsidRPr="00907125">
        <w:rPr>
          <w:rFonts w:asciiTheme="minorHAnsi" w:eastAsiaTheme="minorHAnsi" w:hAnsiTheme="minorHAnsi" w:cs="Arial"/>
          <w:i/>
          <w:iCs/>
          <w:sz w:val="16"/>
          <w:szCs w:val="16"/>
        </w:rPr>
        <w:t xml:space="preserve">Journal of Gambling Issues: </w:t>
      </w:r>
      <w:r w:rsidRPr="00907125">
        <w:rPr>
          <w:rFonts w:asciiTheme="minorHAnsi" w:eastAsiaTheme="minorHAnsi" w:hAnsiTheme="minorHAnsi"/>
          <w:sz w:val="16"/>
          <w:szCs w:val="16"/>
        </w:rPr>
        <w:t>“Impact of gambling advertisements and marketing on children and adolescents: Policy recommendations to minimise harm”</w:t>
      </w:r>
      <w:r>
        <w:rPr>
          <w:rFonts w:asciiTheme="minorHAnsi" w:eastAsiaTheme="minorHAnsi" w:hAnsiTheme="minorHAnsi"/>
          <w:sz w:val="16"/>
          <w:szCs w:val="16"/>
        </w:rPr>
        <w:t xml:space="preserve"> </w:t>
      </w:r>
      <w:r w:rsidRPr="00907125">
        <w:rPr>
          <w:rFonts w:asciiTheme="minorHAnsi" w:eastAsiaTheme="minorHAnsi" w:hAnsiTheme="minorHAnsi" w:cs="Arial"/>
          <w:iCs/>
          <w:sz w:val="16"/>
          <w:szCs w:val="16"/>
        </w:rPr>
        <w:t>Issue 22, December 2008</w:t>
      </w:r>
    </w:p>
  </w:footnote>
  <w:footnote w:id="118">
    <w:p w:rsidR="0092252C" w:rsidRPr="00907125" w:rsidRDefault="0092252C" w:rsidP="003D1F93">
      <w:pPr>
        <w:pStyle w:val="FootnoteText"/>
        <w:rPr>
          <w:sz w:val="16"/>
          <w:szCs w:val="16"/>
        </w:rPr>
      </w:pPr>
      <w:r w:rsidRPr="00907125">
        <w:rPr>
          <w:rStyle w:val="FootnoteReference"/>
          <w:sz w:val="16"/>
          <w:szCs w:val="16"/>
        </w:rPr>
        <w:footnoteRef/>
      </w:r>
      <w:r w:rsidRPr="00907125">
        <w:rPr>
          <w:sz w:val="16"/>
          <w:szCs w:val="16"/>
        </w:rPr>
        <w:t xml:space="preserve"> </w:t>
      </w:r>
      <w:hyperlink r:id="rId5" w:history="1">
        <w:r w:rsidRPr="00907125">
          <w:rPr>
            <w:rStyle w:val="Hyperlink"/>
            <w:color w:val="auto"/>
            <w:sz w:val="16"/>
            <w:szCs w:val="16"/>
          </w:rPr>
          <w:t>https://www.vcgr.vic.gov.au/CA25783200814C9F/towards2012/492888CCB00D6A47CA2578690009C905?OpenDocument</w:t>
        </w:r>
      </w:hyperlink>
      <w:r w:rsidRPr="00907125">
        <w:rPr>
          <w:sz w:val="16"/>
          <w:szCs w:val="16"/>
        </w:rPr>
        <w:t xml:space="preserve"> </w:t>
      </w:r>
    </w:p>
  </w:footnote>
  <w:footnote w:id="119">
    <w:p w:rsidR="0092252C" w:rsidRPr="005452E3" w:rsidRDefault="0092252C" w:rsidP="003D1F93">
      <w:pPr>
        <w:pStyle w:val="FootnoteText"/>
        <w:rPr>
          <w:rFonts w:cs="Arial"/>
          <w:sz w:val="16"/>
          <w:szCs w:val="16"/>
        </w:rPr>
      </w:pPr>
      <w:r w:rsidRPr="005452E3">
        <w:rPr>
          <w:rStyle w:val="FootnoteReference"/>
          <w:rFonts w:cs="Arial"/>
          <w:sz w:val="16"/>
          <w:szCs w:val="16"/>
        </w:rPr>
        <w:footnoteRef/>
      </w:r>
      <w:r w:rsidRPr="005452E3">
        <w:rPr>
          <w:rFonts w:cs="Arial"/>
          <w:sz w:val="16"/>
          <w:szCs w:val="16"/>
        </w:rPr>
        <w:t xml:space="preserve"> Australian Government Productivity Commission (2010) p12.45</w:t>
      </w:r>
    </w:p>
  </w:footnote>
  <w:footnote w:id="120">
    <w:p w:rsidR="0092252C" w:rsidRPr="005452E3" w:rsidRDefault="0092252C" w:rsidP="003D1F93">
      <w:pPr>
        <w:pStyle w:val="FootnoteText"/>
        <w:rPr>
          <w:rFonts w:cs="Arial"/>
          <w:sz w:val="16"/>
          <w:szCs w:val="16"/>
        </w:rPr>
      </w:pPr>
      <w:r w:rsidRPr="005452E3">
        <w:rPr>
          <w:rStyle w:val="FootnoteReference"/>
          <w:rFonts w:cs="Arial"/>
          <w:sz w:val="16"/>
          <w:szCs w:val="16"/>
        </w:rPr>
        <w:footnoteRef/>
      </w:r>
      <w:r w:rsidRPr="005452E3">
        <w:rPr>
          <w:rFonts w:cs="Arial"/>
          <w:sz w:val="16"/>
          <w:szCs w:val="16"/>
        </w:rPr>
        <w:t xml:space="preserve"> Australian Government Productivity Commission (2010) p12.1</w:t>
      </w:r>
    </w:p>
  </w:footnote>
  <w:footnote w:id="121">
    <w:p w:rsidR="0092252C" w:rsidRPr="0086675F" w:rsidRDefault="0092252C" w:rsidP="003D1F93">
      <w:pPr>
        <w:pStyle w:val="FootnoteText"/>
        <w:rPr>
          <w:sz w:val="16"/>
          <w:szCs w:val="16"/>
        </w:rPr>
      </w:pPr>
      <w:r w:rsidRPr="0086675F">
        <w:rPr>
          <w:rStyle w:val="FootnoteReference"/>
          <w:sz w:val="16"/>
          <w:szCs w:val="16"/>
        </w:rPr>
        <w:footnoteRef/>
      </w:r>
      <w:r w:rsidRPr="0086675F">
        <w:rPr>
          <w:sz w:val="16"/>
          <w:szCs w:val="16"/>
        </w:rPr>
        <w:t xml:space="preserve"> Bestman, A, Thomas, SL, Randle, M, Pitt, H, Daube, M &amp; Pettigrew, S 2015, ‘Shaping pathways to gambling consumption? An analysis of the promotion of gambling and non-gambling activities from gambling venues’, Addiction Research &amp; Theory, Online, 15 October 2015.</w:t>
      </w:r>
    </w:p>
  </w:footnote>
  <w:footnote w:id="122">
    <w:p w:rsidR="0092252C" w:rsidRPr="0086675F" w:rsidRDefault="0092252C" w:rsidP="003D1F93">
      <w:pPr>
        <w:spacing w:after="0"/>
        <w:rPr>
          <w:sz w:val="16"/>
          <w:szCs w:val="16"/>
        </w:rPr>
      </w:pPr>
      <w:r w:rsidRPr="0086675F">
        <w:rPr>
          <w:rStyle w:val="FootnoteReference"/>
          <w:sz w:val="16"/>
          <w:szCs w:val="16"/>
        </w:rPr>
        <w:footnoteRef/>
      </w:r>
      <w:r w:rsidRPr="0086675F">
        <w:rPr>
          <w:sz w:val="16"/>
          <w:szCs w:val="16"/>
        </w:rPr>
        <w:t xml:space="preserve"> Hing, N. and Haw, J. (2010) </w:t>
      </w:r>
      <w:r w:rsidRPr="0086675F">
        <w:rPr>
          <w:i/>
          <w:sz w:val="16"/>
          <w:szCs w:val="16"/>
        </w:rPr>
        <w:t xml:space="preserve">The Influence of Venue Characteristics on a Player’s Decision to Attend a Gambling Venue </w:t>
      </w:r>
      <w:r w:rsidRPr="0086675F">
        <w:rPr>
          <w:sz w:val="16"/>
          <w:szCs w:val="16"/>
        </w:rPr>
        <w:t>Gambling Research Australia</w:t>
      </w:r>
    </w:p>
  </w:footnote>
  <w:footnote w:id="123">
    <w:p w:rsidR="0092252C" w:rsidRPr="0086675F" w:rsidRDefault="0092252C" w:rsidP="003D1F93">
      <w:pPr>
        <w:pStyle w:val="FootnoteText"/>
        <w:rPr>
          <w:rFonts w:cs="Arial"/>
          <w:sz w:val="16"/>
          <w:szCs w:val="16"/>
        </w:rPr>
      </w:pPr>
      <w:r w:rsidRPr="0086675F">
        <w:rPr>
          <w:rStyle w:val="FootnoteReference"/>
          <w:rFonts w:cs="Arial"/>
          <w:sz w:val="16"/>
          <w:szCs w:val="16"/>
        </w:rPr>
        <w:footnoteRef/>
      </w:r>
      <w:r w:rsidRPr="0086675F">
        <w:rPr>
          <w:rFonts w:cs="Arial"/>
          <w:sz w:val="16"/>
          <w:szCs w:val="16"/>
        </w:rPr>
        <w:t xml:space="preserve"> Thomas, A. Et al (2010), pxiii</w:t>
      </w:r>
    </w:p>
  </w:footnote>
  <w:footnote w:id="124">
    <w:p w:rsidR="0092252C" w:rsidRPr="0086675F" w:rsidRDefault="0092252C" w:rsidP="003D1F93">
      <w:pPr>
        <w:spacing w:after="0"/>
        <w:rPr>
          <w:sz w:val="16"/>
          <w:szCs w:val="16"/>
        </w:rPr>
      </w:pPr>
      <w:r w:rsidRPr="0086675F">
        <w:rPr>
          <w:rStyle w:val="FootnoteReference"/>
          <w:sz w:val="16"/>
          <w:szCs w:val="16"/>
        </w:rPr>
        <w:footnoteRef/>
      </w:r>
      <w:r w:rsidRPr="0086675F">
        <w:rPr>
          <w:sz w:val="16"/>
          <w:szCs w:val="16"/>
        </w:rPr>
        <w:t xml:space="preserve"> Hing, N. and Haw, J. (2010) </w:t>
      </w:r>
      <w:r w:rsidRPr="0086675F">
        <w:rPr>
          <w:i/>
          <w:sz w:val="16"/>
          <w:szCs w:val="16"/>
        </w:rPr>
        <w:t xml:space="preserve">The Influence of Venue Characteristics on a Player’s Decision to Attend a Gambling Venue </w:t>
      </w:r>
      <w:r w:rsidRPr="0086675F">
        <w:rPr>
          <w:sz w:val="16"/>
          <w:szCs w:val="16"/>
        </w:rPr>
        <w:t>Gambling Research Australia pxviii</w:t>
      </w:r>
    </w:p>
  </w:footnote>
  <w:footnote w:id="125">
    <w:p w:rsidR="0092252C" w:rsidRPr="0086675F" w:rsidRDefault="0092252C" w:rsidP="003D1F93">
      <w:pPr>
        <w:pStyle w:val="FootnoteText"/>
        <w:rPr>
          <w:sz w:val="16"/>
          <w:szCs w:val="16"/>
        </w:rPr>
      </w:pPr>
      <w:r w:rsidRPr="0086675F">
        <w:rPr>
          <w:rStyle w:val="FootnoteReference"/>
          <w:sz w:val="16"/>
          <w:szCs w:val="16"/>
        </w:rPr>
        <w:footnoteRef/>
      </w:r>
      <w:r w:rsidRPr="0086675F">
        <w:rPr>
          <w:sz w:val="16"/>
          <w:szCs w:val="16"/>
        </w:rPr>
        <w:t xml:space="preserve"> Productivity Commission (2010)</w:t>
      </w:r>
    </w:p>
  </w:footnote>
  <w:footnote w:id="126">
    <w:p w:rsidR="0092252C" w:rsidRPr="00A27A3D" w:rsidRDefault="0092252C" w:rsidP="00A27A3D">
      <w:pPr>
        <w:pStyle w:val="FootnoteText"/>
        <w:rPr>
          <w:rFonts w:asciiTheme="minorHAnsi" w:hAnsiTheme="minorHAnsi"/>
          <w:sz w:val="16"/>
          <w:szCs w:val="16"/>
        </w:rPr>
      </w:pPr>
      <w:r w:rsidRPr="00A27A3D">
        <w:rPr>
          <w:rStyle w:val="FootnoteReference"/>
          <w:rFonts w:asciiTheme="minorHAnsi" w:hAnsiTheme="minorHAnsi"/>
          <w:sz w:val="16"/>
          <w:szCs w:val="16"/>
        </w:rPr>
        <w:footnoteRef/>
      </w:r>
      <w:r w:rsidRPr="00A27A3D">
        <w:rPr>
          <w:rFonts w:asciiTheme="minorHAnsi" w:hAnsiTheme="minorHAnsi"/>
          <w:sz w:val="16"/>
          <w:szCs w:val="16"/>
        </w:rPr>
        <w:t xml:space="preserve"> </w:t>
      </w:r>
      <w:r w:rsidRPr="00A27A3D">
        <w:rPr>
          <w:rFonts w:asciiTheme="minorHAnsi" w:hAnsiTheme="minorHAnsi"/>
          <w:sz w:val="16"/>
          <w:szCs w:val="16"/>
          <w:lang w:val="en"/>
        </w:rPr>
        <w:t xml:space="preserve">Young, M., Markham, F., &amp; Doran, B. (2012). “Gambling harm by venue type, NT. Placing bets: Gambling venues and the distribution of harm”. </w:t>
      </w:r>
      <w:r w:rsidRPr="00A27A3D">
        <w:rPr>
          <w:rFonts w:asciiTheme="minorHAnsi" w:hAnsiTheme="minorHAnsi"/>
          <w:i/>
          <w:sz w:val="16"/>
          <w:szCs w:val="16"/>
          <w:lang w:val="en"/>
        </w:rPr>
        <w:t>Australian Geographer,</w:t>
      </w:r>
      <w:r w:rsidRPr="00A27A3D">
        <w:rPr>
          <w:rFonts w:asciiTheme="minorHAnsi" w:hAnsiTheme="minorHAnsi"/>
          <w:sz w:val="16"/>
          <w:szCs w:val="16"/>
          <w:lang w:val="en"/>
        </w:rPr>
        <w:t xml:space="preserve"> 43(4), 425–444. </w:t>
      </w:r>
    </w:p>
  </w:footnote>
  <w:footnote w:id="127">
    <w:p w:rsidR="0092252C" w:rsidRPr="00A27A3D" w:rsidRDefault="0092252C" w:rsidP="00A27A3D">
      <w:pPr>
        <w:pStyle w:val="FootnoteText"/>
        <w:rPr>
          <w:sz w:val="16"/>
          <w:szCs w:val="16"/>
        </w:rPr>
      </w:pPr>
      <w:r w:rsidRPr="00A27A3D">
        <w:rPr>
          <w:rStyle w:val="FootnoteReference"/>
          <w:sz w:val="16"/>
          <w:szCs w:val="16"/>
        </w:rPr>
        <w:footnoteRef/>
      </w:r>
      <w:r w:rsidRPr="00A27A3D">
        <w:rPr>
          <w:sz w:val="16"/>
          <w:szCs w:val="16"/>
        </w:rPr>
        <w:t xml:space="preserve"> </w:t>
      </w:r>
      <w:r w:rsidRPr="00A27A3D">
        <w:rPr>
          <w:rFonts w:asciiTheme="minorHAnsi" w:eastAsiaTheme="minorHAnsi" w:hAnsiTheme="minorHAnsi" w:cstheme="minorHAnsi"/>
          <w:sz w:val="16"/>
          <w:szCs w:val="16"/>
        </w:rPr>
        <w:t xml:space="preserve">Rockloff, M, Thorne, H, Goodwin, B, Moskovsky, N, Langham, E, Browne, M, Donaldson, P, Li, E &amp; Rose, J (2015), </w:t>
      </w:r>
      <w:r w:rsidRPr="00A27A3D">
        <w:rPr>
          <w:rFonts w:asciiTheme="minorHAnsi" w:eastAsiaTheme="minorHAnsi" w:hAnsiTheme="minorHAnsi" w:cstheme="minorHAnsi"/>
          <w:i/>
          <w:iCs/>
          <w:sz w:val="16"/>
          <w:szCs w:val="16"/>
        </w:rPr>
        <w:t>EGM environments that contribute to excess consumption and harm</w:t>
      </w:r>
      <w:r w:rsidRPr="00A27A3D">
        <w:rPr>
          <w:rFonts w:asciiTheme="minorHAnsi" w:eastAsiaTheme="minorHAnsi" w:hAnsiTheme="minorHAnsi" w:cstheme="minorHAnsi"/>
          <w:sz w:val="16"/>
          <w:szCs w:val="16"/>
        </w:rPr>
        <w:t>, Victorian Responsible Gambling Foundation, Melbourne</w:t>
      </w:r>
    </w:p>
  </w:footnote>
  <w:footnote w:id="128">
    <w:p w:rsidR="0092252C" w:rsidRPr="00A27A3D" w:rsidRDefault="0092252C" w:rsidP="00A27A3D">
      <w:pPr>
        <w:spacing w:after="0"/>
        <w:rPr>
          <w:sz w:val="16"/>
          <w:szCs w:val="16"/>
        </w:rPr>
      </w:pPr>
      <w:r w:rsidRPr="00A27A3D">
        <w:rPr>
          <w:rStyle w:val="FootnoteReference"/>
          <w:sz w:val="16"/>
          <w:szCs w:val="16"/>
        </w:rPr>
        <w:footnoteRef/>
      </w:r>
      <w:r w:rsidRPr="00A27A3D">
        <w:rPr>
          <w:sz w:val="16"/>
          <w:szCs w:val="16"/>
        </w:rPr>
        <w:t xml:space="preserve"> Hing, N. and Haw, J (2010) </w:t>
      </w:r>
      <w:r w:rsidRPr="00A27A3D">
        <w:rPr>
          <w:i/>
          <w:sz w:val="16"/>
          <w:szCs w:val="16"/>
        </w:rPr>
        <w:t xml:space="preserve">The Influence of Venue Characteristics on a Player’s Decision to Attend a Gambling Venue </w:t>
      </w:r>
      <w:r w:rsidRPr="00A27A3D">
        <w:rPr>
          <w:sz w:val="16"/>
          <w:szCs w:val="16"/>
        </w:rPr>
        <w:t xml:space="preserve">Centre for Gambling Education and Research </w:t>
      </w:r>
    </w:p>
  </w:footnote>
  <w:footnote w:id="129">
    <w:p w:rsidR="0092252C" w:rsidRPr="00A27A3D" w:rsidRDefault="0092252C" w:rsidP="00A27A3D">
      <w:pPr>
        <w:pStyle w:val="FootnoteText"/>
        <w:rPr>
          <w:sz w:val="16"/>
          <w:szCs w:val="16"/>
        </w:rPr>
      </w:pPr>
      <w:r w:rsidRPr="00A27A3D">
        <w:rPr>
          <w:rStyle w:val="FootnoteReference"/>
          <w:sz w:val="16"/>
          <w:szCs w:val="16"/>
        </w:rPr>
        <w:footnoteRef/>
      </w:r>
      <w:r w:rsidRPr="00A27A3D">
        <w:rPr>
          <w:sz w:val="16"/>
          <w:szCs w:val="16"/>
        </w:rPr>
        <w:t xml:space="preserve"> </w:t>
      </w:r>
      <w:r w:rsidRPr="00A27A3D">
        <w:rPr>
          <w:iCs/>
          <w:sz w:val="16"/>
          <w:szCs w:val="16"/>
        </w:rPr>
        <w:t xml:space="preserve">Rockloff, M (2010) </w:t>
      </w:r>
      <w:r w:rsidRPr="00A27A3D">
        <w:rPr>
          <w:i/>
          <w:iCs/>
          <w:sz w:val="16"/>
          <w:szCs w:val="16"/>
        </w:rPr>
        <w:t xml:space="preserve">The impact of an audience and venue size on poker machine gambling </w:t>
      </w:r>
      <w:r w:rsidRPr="00A27A3D">
        <w:rPr>
          <w:iCs/>
          <w:sz w:val="16"/>
          <w:szCs w:val="16"/>
        </w:rPr>
        <w:t>Central Queensland University Institute of Health and Social Science Research,</w:t>
      </w:r>
    </w:p>
  </w:footnote>
  <w:footnote w:id="130">
    <w:p w:rsidR="0092252C" w:rsidRPr="00A27A3D" w:rsidRDefault="0092252C" w:rsidP="00A27A3D">
      <w:pPr>
        <w:pStyle w:val="FootnoteText"/>
        <w:rPr>
          <w:sz w:val="16"/>
          <w:szCs w:val="16"/>
        </w:rPr>
      </w:pPr>
      <w:r w:rsidRPr="00A27A3D">
        <w:rPr>
          <w:rStyle w:val="FootnoteReference"/>
          <w:sz w:val="16"/>
          <w:szCs w:val="16"/>
        </w:rPr>
        <w:footnoteRef/>
      </w:r>
      <w:r w:rsidRPr="00A27A3D">
        <w:rPr>
          <w:sz w:val="16"/>
          <w:szCs w:val="16"/>
        </w:rPr>
        <w:t xml:space="preserve"> McMillen, J and Pitt, S (2005) </w:t>
      </w:r>
      <w:r w:rsidRPr="00A27A3D">
        <w:rPr>
          <w:i/>
          <w:sz w:val="16"/>
          <w:szCs w:val="16"/>
        </w:rPr>
        <w:t xml:space="preserve">Review of the ACT Government’s Harm Minimisation Measures </w:t>
      </w:r>
      <w:r w:rsidRPr="00A27A3D">
        <w:rPr>
          <w:sz w:val="16"/>
          <w:szCs w:val="16"/>
        </w:rPr>
        <w:t>Centre for Gambling Research, ANU</w:t>
      </w:r>
    </w:p>
  </w:footnote>
  <w:footnote w:id="131">
    <w:p w:rsidR="0092252C" w:rsidRPr="00A27A3D" w:rsidRDefault="0092252C" w:rsidP="00A27A3D">
      <w:pPr>
        <w:pStyle w:val="FootnoteText"/>
        <w:rPr>
          <w:sz w:val="16"/>
          <w:szCs w:val="16"/>
        </w:rPr>
      </w:pPr>
      <w:r w:rsidRPr="00A27A3D">
        <w:rPr>
          <w:rStyle w:val="FootnoteReference"/>
          <w:sz w:val="16"/>
          <w:szCs w:val="16"/>
        </w:rPr>
        <w:footnoteRef/>
      </w:r>
      <w:r w:rsidRPr="00A27A3D">
        <w:rPr>
          <w:sz w:val="16"/>
          <w:szCs w:val="16"/>
        </w:rPr>
        <w:t xml:space="preserve"> Blaszczynski, A et al (2001) </w:t>
      </w:r>
      <w:r w:rsidRPr="00A27A3D">
        <w:rPr>
          <w:i/>
          <w:sz w:val="16"/>
          <w:szCs w:val="16"/>
        </w:rPr>
        <w:t xml:space="preserve">The Assessment of the Impact of the Reconfiguration on Electronic Gaming Machines as Harm Minimisation Strategies for Problem gambling </w:t>
      </w:r>
      <w:r w:rsidRPr="00A27A3D">
        <w:rPr>
          <w:sz w:val="16"/>
          <w:szCs w:val="16"/>
        </w:rPr>
        <w:t>University of Sydney Gambling Research Unit p17</w:t>
      </w:r>
    </w:p>
  </w:footnote>
  <w:footnote w:id="132">
    <w:p w:rsidR="0092252C" w:rsidRPr="00A27A3D" w:rsidRDefault="0092252C" w:rsidP="00A27A3D">
      <w:pPr>
        <w:spacing w:after="0"/>
        <w:rPr>
          <w:sz w:val="16"/>
          <w:szCs w:val="16"/>
        </w:rPr>
      </w:pPr>
      <w:r w:rsidRPr="00A27A3D">
        <w:rPr>
          <w:rStyle w:val="FootnoteReference"/>
          <w:sz w:val="16"/>
          <w:szCs w:val="16"/>
        </w:rPr>
        <w:footnoteRef/>
      </w:r>
      <w:r w:rsidRPr="00A27A3D">
        <w:rPr>
          <w:sz w:val="16"/>
          <w:szCs w:val="16"/>
        </w:rPr>
        <w:t xml:space="preserve"> </w:t>
      </w:r>
      <w:r w:rsidRPr="00A27A3D">
        <w:rPr>
          <w:iCs/>
          <w:sz w:val="16"/>
          <w:szCs w:val="16"/>
        </w:rPr>
        <w:t xml:space="preserve">Rockloff, M; Greer, N and Evans, L (2012) “The Effect of Mere Presence on Electronic Gaming Machine Gambling” </w:t>
      </w:r>
      <w:r w:rsidRPr="00A27A3D">
        <w:rPr>
          <w:i/>
          <w:iCs/>
          <w:sz w:val="16"/>
          <w:szCs w:val="16"/>
        </w:rPr>
        <w:t xml:space="preserve">Journal of Gambling Studies, </w:t>
      </w:r>
      <w:r w:rsidRPr="00A27A3D">
        <w:rPr>
          <w:iCs/>
          <w:sz w:val="16"/>
          <w:szCs w:val="16"/>
        </w:rPr>
        <w:t>October 2012, Issue 27</w:t>
      </w:r>
    </w:p>
  </w:footnote>
  <w:footnote w:id="133">
    <w:p w:rsidR="0092252C" w:rsidRPr="00A27A3D" w:rsidRDefault="0092252C" w:rsidP="00A27A3D">
      <w:pPr>
        <w:pStyle w:val="FootnoteText"/>
        <w:rPr>
          <w:sz w:val="16"/>
          <w:szCs w:val="16"/>
        </w:rPr>
      </w:pPr>
      <w:r w:rsidRPr="00A27A3D">
        <w:rPr>
          <w:rStyle w:val="FootnoteReference"/>
          <w:sz w:val="16"/>
          <w:szCs w:val="16"/>
        </w:rPr>
        <w:footnoteRef/>
      </w:r>
      <w:r w:rsidRPr="00A27A3D">
        <w:rPr>
          <w:sz w:val="16"/>
          <w:szCs w:val="16"/>
        </w:rPr>
        <w:t xml:space="preserve"> Rennie V Darebin CC [2010] VCAT 1719</w:t>
      </w:r>
    </w:p>
  </w:footnote>
  <w:footnote w:id="134">
    <w:p w:rsidR="0092252C" w:rsidRPr="00A27A3D" w:rsidRDefault="0092252C" w:rsidP="00A27A3D">
      <w:pPr>
        <w:pStyle w:val="FootnoteText"/>
        <w:rPr>
          <w:sz w:val="16"/>
          <w:szCs w:val="16"/>
        </w:rPr>
      </w:pPr>
      <w:r w:rsidRPr="00A27A3D">
        <w:rPr>
          <w:rStyle w:val="FootnoteReference"/>
          <w:sz w:val="16"/>
          <w:szCs w:val="16"/>
        </w:rPr>
        <w:footnoteRef/>
      </w:r>
      <w:r w:rsidRPr="00A27A3D">
        <w:rPr>
          <w:sz w:val="16"/>
          <w:szCs w:val="16"/>
        </w:rPr>
        <w:t xml:space="preserve"> Markham, F., Young, M. and Doran, B. (2014) “Gambling expenditure predicts harm: evidence from a venue-level study” </w:t>
      </w:r>
      <w:r w:rsidRPr="00A27A3D">
        <w:rPr>
          <w:i/>
          <w:sz w:val="16"/>
          <w:szCs w:val="16"/>
        </w:rPr>
        <w:t>Addiction,</w:t>
      </w:r>
      <w:r w:rsidRPr="00A27A3D">
        <w:rPr>
          <w:sz w:val="16"/>
          <w:szCs w:val="16"/>
        </w:rPr>
        <w:t xml:space="preserve"> 109, 1509-1516</w:t>
      </w:r>
    </w:p>
  </w:footnote>
  <w:footnote w:id="135">
    <w:p w:rsidR="0092252C" w:rsidRPr="00CB2454" w:rsidRDefault="0092252C" w:rsidP="003D1F93">
      <w:pPr>
        <w:pStyle w:val="FootnoteText"/>
        <w:rPr>
          <w:sz w:val="16"/>
          <w:szCs w:val="16"/>
        </w:rPr>
      </w:pPr>
      <w:r w:rsidRPr="00CB2454">
        <w:rPr>
          <w:rStyle w:val="FootnoteReference"/>
          <w:sz w:val="16"/>
          <w:szCs w:val="16"/>
        </w:rPr>
        <w:footnoteRef/>
      </w:r>
      <w:r w:rsidRPr="00CB2454">
        <w:rPr>
          <w:sz w:val="16"/>
          <w:szCs w:val="16"/>
        </w:rPr>
        <w:t xml:space="preserve"> </w:t>
      </w:r>
      <w:r w:rsidRPr="00CB2454">
        <w:rPr>
          <w:rFonts w:cs="Arial"/>
          <w:sz w:val="16"/>
          <w:szCs w:val="16"/>
        </w:rPr>
        <w:t>Australian Government Productivity Commission (2010) p14.35</w:t>
      </w:r>
    </w:p>
  </w:footnote>
  <w:footnote w:id="136">
    <w:p w:rsidR="0092252C" w:rsidRPr="00CB2454" w:rsidRDefault="0092252C" w:rsidP="003D1F93">
      <w:pPr>
        <w:spacing w:after="0"/>
        <w:rPr>
          <w:sz w:val="16"/>
          <w:szCs w:val="16"/>
        </w:rPr>
      </w:pPr>
      <w:r w:rsidRPr="00CB2454">
        <w:rPr>
          <w:rStyle w:val="FootnoteReference"/>
          <w:sz w:val="16"/>
          <w:szCs w:val="16"/>
        </w:rPr>
        <w:footnoteRef/>
      </w:r>
      <w:r w:rsidRPr="00CB2454">
        <w:rPr>
          <w:sz w:val="16"/>
          <w:szCs w:val="16"/>
        </w:rPr>
        <w:t xml:space="preserve"> Tuffin, A and Parr, V (2008) </w:t>
      </w:r>
      <w:r w:rsidRPr="00CB2454">
        <w:rPr>
          <w:i/>
          <w:sz w:val="16"/>
          <w:szCs w:val="16"/>
        </w:rPr>
        <w:t xml:space="preserve">Evaluation of the 6 hour shutdown of electronic gaming machines in NSW. </w:t>
      </w:r>
      <w:r w:rsidRPr="00CB2454">
        <w:rPr>
          <w:sz w:val="16"/>
          <w:szCs w:val="16"/>
        </w:rPr>
        <w:t>NSW Office of Liquor, gaming and Racing p37</w:t>
      </w:r>
    </w:p>
  </w:footnote>
  <w:footnote w:id="137">
    <w:p w:rsidR="0092252C" w:rsidRPr="00CB2454" w:rsidRDefault="0092252C" w:rsidP="003D1F93">
      <w:pPr>
        <w:spacing w:after="0"/>
        <w:rPr>
          <w:sz w:val="16"/>
          <w:szCs w:val="16"/>
        </w:rPr>
      </w:pPr>
      <w:r w:rsidRPr="00CB2454">
        <w:rPr>
          <w:rStyle w:val="FootnoteReference"/>
          <w:sz w:val="16"/>
          <w:szCs w:val="16"/>
        </w:rPr>
        <w:footnoteRef/>
      </w:r>
      <w:r w:rsidRPr="00CB2454">
        <w:rPr>
          <w:sz w:val="16"/>
          <w:szCs w:val="16"/>
        </w:rPr>
        <w:t xml:space="preserve"> Tuffin, A and Parr, V (2008) </w:t>
      </w:r>
      <w:r w:rsidRPr="00CB2454">
        <w:rPr>
          <w:i/>
          <w:sz w:val="16"/>
          <w:szCs w:val="16"/>
        </w:rPr>
        <w:t xml:space="preserve">Evaluation of the 6 hour shutdown of electronic gaming machines in NSW. </w:t>
      </w:r>
      <w:r w:rsidRPr="00CB2454">
        <w:rPr>
          <w:sz w:val="16"/>
          <w:szCs w:val="16"/>
        </w:rPr>
        <w:t>NSW Office of Liquor, gaming and Racing p42</w:t>
      </w:r>
    </w:p>
  </w:footnote>
  <w:footnote w:id="138">
    <w:p w:rsidR="0092252C" w:rsidRPr="00470343" w:rsidRDefault="0092252C" w:rsidP="003D1F93">
      <w:pPr>
        <w:pStyle w:val="FootnoteText"/>
        <w:rPr>
          <w:sz w:val="16"/>
          <w:szCs w:val="16"/>
        </w:rPr>
      </w:pPr>
      <w:r w:rsidRPr="00470343">
        <w:rPr>
          <w:rStyle w:val="FootnoteReference"/>
          <w:sz w:val="16"/>
          <w:szCs w:val="16"/>
        </w:rPr>
        <w:footnoteRef/>
      </w:r>
      <w:r w:rsidRPr="00470343">
        <w:rPr>
          <w:sz w:val="16"/>
          <w:szCs w:val="16"/>
        </w:rPr>
        <w:t xml:space="preserve"> Hing, N. and Haw, J (2010) </w:t>
      </w:r>
      <w:r w:rsidRPr="00470343">
        <w:rPr>
          <w:i/>
          <w:sz w:val="16"/>
          <w:szCs w:val="16"/>
        </w:rPr>
        <w:t xml:space="preserve">The Influence of Venue Characteristics on a Player’s Decision to Attend a Gambling Venue </w:t>
      </w:r>
      <w:r w:rsidRPr="00470343">
        <w:rPr>
          <w:sz w:val="16"/>
          <w:szCs w:val="16"/>
        </w:rPr>
        <w:t>Centre for Gambling Education and Research</w:t>
      </w:r>
    </w:p>
  </w:footnote>
  <w:footnote w:id="139">
    <w:p w:rsidR="0092252C" w:rsidRPr="00470343" w:rsidRDefault="0092252C" w:rsidP="003D1F93">
      <w:pPr>
        <w:spacing w:after="0"/>
        <w:rPr>
          <w:sz w:val="16"/>
          <w:szCs w:val="16"/>
        </w:rPr>
      </w:pPr>
      <w:r w:rsidRPr="00470343">
        <w:rPr>
          <w:rStyle w:val="FootnoteReference"/>
          <w:sz w:val="16"/>
          <w:szCs w:val="16"/>
        </w:rPr>
        <w:footnoteRef/>
      </w:r>
      <w:r w:rsidRPr="00470343">
        <w:rPr>
          <w:sz w:val="16"/>
          <w:szCs w:val="16"/>
        </w:rPr>
        <w:t xml:space="preserve"> </w:t>
      </w:r>
      <w:r w:rsidRPr="00470343">
        <w:rPr>
          <w:rFonts w:asciiTheme="minorHAnsi" w:hAnsiTheme="minorHAnsi" w:cs="Arial"/>
          <w:color w:val="000000"/>
          <w:sz w:val="16"/>
          <w:szCs w:val="16"/>
        </w:rPr>
        <w:t xml:space="preserve">Hing, N (2014) “The efficacy of responsible gambling measures in NSW Clubs: The Gamblers’ Perspective” </w:t>
      </w:r>
      <w:r w:rsidRPr="00470343">
        <w:rPr>
          <w:rFonts w:asciiTheme="minorHAnsi" w:hAnsiTheme="minorHAnsi" w:cs="Arial"/>
          <w:i/>
          <w:color w:val="000000"/>
          <w:sz w:val="16"/>
          <w:szCs w:val="16"/>
        </w:rPr>
        <w:t xml:space="preserve">Gambling Research </w:t>
      </w:r>
      <w:r w:rsidRPr="00470343">
        <w:rPr>
          <w:rFonts w:asciiTheme="minorHAnsi" w:hAnsiTheme="minorHAnsi" w:cs="Arial"/>
          <w:color w:val="000000"/>
          <w:sz w:val="16"/>
          <w:szCs w:val="16"/>
        </w:rPr>
        <w:t>16(1), p33</w:t>
      </w:r>
    </w:p>
  </w:footnote>
  <w:footnote w:id="140">
    <w:p w:rsidR="0092252C" w:rsidRDefault="0092252C" w:rsidP="003D1F93">
      <w:pPr>
        <w:spacing w:after="0"/>
      </w:pPr>
      <w:r>
        <w:rPr>
          <w:rStyle w:val="FootnoteReference"/>
        </w:rPr>
        <w:footnoteRef/>
      </w:r>
      <w:r>
        <w:t xml:space="preserve"> </w:t>
      </w:r>
      <w:r w:rsidRPr="00470343">
        <w:rPr>
          <w:sz w:val="16"/>
          <w:szCs w:val="16"/>
        </w:rPr>
        <w:t xml:space="preserve">Tuffin, A and Parr, V (2008) </w:t>
      </w:r>
      <w:r w:rsidRPr="00470343">
        <w:rPr>
          <w:i/>
          <w:sz w:val="16"/>
          <w:szCs w:val="16"/>
        </w:rPr>
        <w:t xml:space="preserve">Evaluation of the 6 hour shutdown of electronic gaming machines in NSW. </w:t>
      </w:r>
      <w:r w:rsidRPr="00470343">
        <w:rPr>
          <w:sz w:val="16"/>
          <w:szCs w:val="16"/>
        </w:rPr>
        <w:t>NSW Offi</w:t>
      </w:r>
      <w:r>
        <w:rPr>
          <w:sz w:val="16"/>
          <w:szCs w:val="16"/>
        </w:rPr>
        <w:t>ce of Liquor, gaming and Racing</w:t>
      </w:r>
    </w:p>
  </w:footnote>
  <w:footnote w:id="141">
    <w:p w:rsidR="0092252C" w:rsidRPr="00470343" w:rsidRDefault="0092252C" w:rsidP="003D1F93">
      <w:pPr>
        <w:spacing w:after="0"/>
        <w:rPr>
          <w:sz w:val="16"/>
          <w:szCs w:val="16"/>
        </w:rPr>
      </w:pPr>
      <w:r w:rsidRPr="00470343">
        <w:rPr>
          <w:rStyle w:val="FootnoteReference"/>
          <w:sz w:val="16"/>
          <w:szCs w:val="16"/>
        </w:rPr>
        <w:footnoteRef/>
      </w:r>
      <w:r w:rsidRPr="00470343">
        <w:rPr>
          <w:sz w:val="16"/>
          <w:szCs w:val="16"/>
        </w:rPr>
        <w:t xml:space="preserve"> Tuffin, A and Parr, V (2008) </w:t>
      </w:r>
      <w:r w:rsidRPr="00470343">
        <w:rPr>
          <w:i/>
          <w:sz w:val="16"/>
          <w:szCs w:val="16"/>
        </w:rPr>
        <w:t xml:space="preserve">Evaluation of the 6 hour shutdown of electronic gaming machines in NSW. </w:t>
      </w:r>
      <w:r w:rsidRPr="00470343">
        <w:rPr>
          <w:sz w:val="16"/>
          <w:szCs w:val="16"/>
        </w:rPr>
        <w:t>NSW Office of Liquor, gaming and Racing p42</w:t>
      </w:r>
    </w:p>
  </w:footnote>
  <w:footnote w:id="142">
    <w:p w:rsidR="0092252C" w:rsidRDefault="0092252C" w:rsidP="003D1F93">
      <w:pPr>
        <w:spacing w:after="0"/>
      </w:pPr>
      <w:r w:rsidRPr="00470343">
        <w:rPr>
          <w:rStyle w:val="FootnoteReference"/>
          <w:sz w:val="16"/>
          <w:szCs w:val="16"/>
        </w:rPr>
        <w:footnoteRef/>
      </w:r>
      <w:r w:rsidRPr="00470343">
        <w:rPr>
          <w:sz w:val="16"/>
          <w:szCs w:val="16"/>
        </w:rPr>
        <w:t xml:space="preserve"> Tuffin, A and Parr, V (2008) </w:t>
      </w:r>
      <w:r w:rsidRPr="00470343">
        <w:rPr>
          <w:i/>
          <w:sz w:val="16"/>
          <w:szCs w:val="16"/>
        </w:rPr>
        <w:t xml:space="preserve">Evaluation of the 6 hour shutdown of electronic gaming machines in NSW. </w:t>
      </w:r>
      <w:r w:rsidRPr="00470343">
        <w:rPr>
          <w:sz w:val="16"/>
          <w:szCs w:val="16"/>
        </w:rPr>
        <w:t>NSW Office of Liquor, gaming and Racing p41</w:t>
      </w:r>
    </w:p>
  </w:footnote>
  <w:footnote w:id="143">
    <w:p w:rsidR="0092252C" w:rsidRDefault="0092252C" w:rsidP="003D1F93">
      <w:pPr>
        <w:spacing w:after="0"/>
      </w:pPr>
      <w:r w:rsidRPr="00DA7FA5">
        <w:rPr>
          <w:rStyle w:val="FootnoteReference"/>
          <w:sz w:val="16"/>
        </w:rPr>
        <w:footnoteRef/>
      </w:r>
      <w:r>
        <w:t xml:space="preserve"> </w:t>
      </w:r>
      <w:r w:rsidRPr="00470343">
        <w:rPr>
          <w:sz w:val="16"/>
          <w:szCs w:val="16"/>
        </w:rPr>
        <w:t xml:space="preserve">Tuffin, A and Parr, V (2008) </w:t>
      </w:r>
      <w:r w:rsidRPr="00470343">
        <w:rPr>
          <w:i/>
          <w:sz w:val="16"/>
          <w:szCs w:val="16"/>
        </w:rPr>
        <w:t xml:space="preserve">Evaluation of the 6 hour shutdown of electronic gaming machines in NSW. </w:t>
      </w:r>
      <w:r w:rsidRPr="00470343">
        <w:rPr>
          <w:sz w:val="16"/>
          <w:szCs w:val="16"/>
        </w:rPr>
        <w:t xml:space="preserve">NSW Office of Liquor, gaming and Racing </w:t>
      </w:r>
      <w:r>
        <w:rPr>
          <w:sz w:val="16"/>
          <w:szCs w:val="16"/>
        </w:rPr>
        <w:t>p33</w:t>
      </w:r>
    </w:p>
  </w:footnote>
  <w:footnote w:id="144">
    <w:p w:rsidR="0092252C" w:rsidRDefault="0092252C" w:rsidP="003D1F93">
      <w:pPr>
        <w:spacing w:after="0"/>
      </w:pPr>
      <w:r w:rsidRPr="00470343">
        <w:rPr>
          <w:rStyle w:val="FootnoteReference"/>
          <w:sz w:val="16"/>
          <w:szCs w:val="16"/>
        </w:rPr>
        <w:footnoteRef/>
      </w:r>
      <w:r w:rsidRPr="00470343">
        <w:rPr>
          <w:sz w:val="16"/>
          <w:szCs w:val="16"/>
        </w:rPr>
        <w:t xml:space="preserve"> Tuffin, A and Parr, V (2008) </w:t>
      </w:r>
      <w:r w:rsidRPr="00470343">
        <w:rPr>
          <w:i/>
          <w:sz w:val="16"/>
          <w:szCs w:val="16"/>
        </w:rPr>
        <w:t xml:space="preserve">Evaluation of the 6 hour shutdown of electronic gaming machines in NSW. </w:t>
      </w:r>
      <w:r w:rsidRPr="00470343">
        <w:rPr>
          <w:sz w:val="16"/>
          <w:szCs w:val="16"/>
        </w:rPr>
        <w:t>NSW Office of Liquor, gaming and Racing p41</w:t>
      </w:r>
    </w:p>
  </w:footnote>
  <w:footnote w:id="145">
    <w:p w:rsidR="0092252C" w:rsidRPr="00352011" w:rsidRDefault="0092252C" w:rsidP="00352011">
      <w:pPr>
        <w:spacing w:after="0"/>
        <w:rPr>
          <w:rFonts w:asciiTheme="minorHAnsi" w:hAnsiTheme="minorHAnsi" w:cstheme="minorHAnsi"/>
          <w:sz w:val="16"/>
          <w:szCs w:val="16"/>
        </w:rPr>
      </w:pPr>
      <w:r w:rsidRPr="00352011">
        <w:rPr>
          <w:rStyle w:val="FootnoteReference"/>
          <w:rFonts w:asciiTheme="minorHAnsi" w:hAnsiTheme="minorHAnsi" w:cstheme="minorHAnsi"/>
          <w:sz w:val="16"/>
          <w:szCs w:val="16"/>
        </w:rPr>
        <w:footnoteRef/>
      </w:r>
      <w:r w:rsidRPr="00352011">
        <w:rPr>
          <w:rFonts w:asciiTheme="minorHAnsi" w:hAnsiTheme="minorHAnsi" w:cstheme="minorHAnsi"/>
          <w:sz w:val="16"/>
          <w:szCs w:val="16"/>
        </w:rPr>
        <w:t xml:space="preserve"> Tuffin, A and Parr, V (2008) </w:t>
      </w:r>
      <w:r w:rsidRPr="00352011">
        <w:rPr>
          <w:rFonts w:asciiTheme="minorHAnsi" w:hAnsiTheme="minorHAnsi" w:cstheme="minorHAnsi"/>
          <w:i/>
          <w:sz w:val="16"/>
          <w:szCs w:val="16"/>
        </w:rPr>
        <w:t xml:space="preserve">Evaluation of the 6 hour shutdown of electronic gaming machines in NSW. </w:t>
      </w:r>
      <w:r w:rsidRPr="00352011">
        <w:rPr>
          <w:rFonts w:asciiTheme="minorHAnsi" w:hAnsiTheme="minorHAnsi" w:cstheme="minorHAnsi"/>
          <w:sz w:val="16"/>
          <w:szCs w:val="16"/>
        </w:rPr>
        <w:t>NSW Office of Liquor, gaming and Racing p18</w:t>
      </w:r>
    </w:p>
  </w:footnote>
  <w:footnote w:id="146">
    <w:p w:rsidR="0092252C" w:rsidRPr="00352011" w:rsidRDefault="0092252C" w:rsidP="00352011">
      <w:pPr>
        <w:spacing w:after="0"/>
        <w:rPr>
          <w:rFonts w:asciiTheme="minorHAnsi" w:hAnsiTheme="minorHAnsi" w:cstheme="minorHAnsi"/>
          <w:sz w:val="16"/>
          <w:szCs w:val="16"/>
        </w:rPr>
      </w:pPr>
      <w:r w:rsidRPr="00352011">
        <w:rPr>
          <w:rStyle w:val="FootnoteReference"/>
          <w:rFonts w:asciiTheme="minorHAnsi" w:hAnsiTheme="minorHAnsi" w:cstheme="minorHAnsi"/>
          <w:sz w:val="16"/>
          <w:szCs w:val="16"/>
        </w:rPr>
        <w:footnoteRef/>
      </w:r>
      <w:r w:rsidRPr="00352011">
        <w:rPr>
          <w:rFonts w:asciiTheme="minorHAnsi" w:hAnsiTheme="minorHAnsi" w:cstheme="minorHAnsi"/>
          <w:sz w:val="16"/>
          <w:szCs w:val="16"/>
        </w:rPr>
        <w:t xml:space="preserve"> </w:t>
      </w:r>
      <w:r w:rsidRPr="00352011">
        <w:rPr>
          <w:rFonts w:asciiTheme="minorHAnsi" w:hAnsiTheme="minorHAnsi" w:cstheme="minorHAnsi"/>
          <w:color w:val="000000"/>
          <w:sz w:val="16"/>
          <w:szCs w:val="16"/>
        </w:rPr>
        <w:t>Livingstone C. Rintoul A. &amp; Francis L. (2014) </w:t>
      </w:r>
      <w:r w:rsidRPr="00352011">
        <w:rPr>
          <w:rFonts w:asciiTheme="minorHAnsi" w:hAnsiTheme="minorHAnsi" w:cstheme="minorHAnsi"/>
          <w:i/>
          <w:iCs/>
          <w:color w:val="000000"/>
          <w:sz w:val="16"/>
          <w:szCs w:val="16"/>
        </w:rPr>
        <w:t xml:space="preserve">What is the evidence for harm minimisation measures in gambling venues? </w:t>
      </w:r>
      <w:r w:rsidRPr="00352011">
        <w:rPr>
          <w:rFonts w:asciiTheme="minorHAnsi" w:hAnsiTheme="minorHAnsi" w:cstheme="minorHAnsi"/>
          <w:color w:val="000000"/>
          <w:sz w:val="16"/>
          <w:szCs w:val="16"/>
        </w:rPr>
        <w:t>Evidence Base 2: 1-24 ( </w:t>
      </w:r>
      <w:hyperlink r:id="rId6" w:history="1">
        <w:r w:rsidRPr="00352011">
          <w:rPr>
            <w:rStyle w:val="Hyperlink"/>
            <w:rFonts w:asciiTheme="minorHAnsi" w:eastAsiaTheme="majorEastAsia" w:hAnsiTheme="minorHAnsi" w:cstheme="minorHAnsi"/>
            <w:sz w:val="16"/>
            <w:szCs w:val="16"/>
          </w:rPr>
          <w:t>https://journal.anzsog.edu.au/publications</w:t>
        </w:r>
      </w:hyperlink>
      <w:r w:rsidRPr="00352011">
        <w:rPr>
          <w:rFonts w:asciiTheme="minorHAnsi" w:hAnsiTheme="minorHAnsi" w:cstheme="minorHAnsi"/>
          <w:color w:val="000000"/>
          <w:sz w:val="16"/>
          <w:szCs w:val="16"/>
        </w:rPr>
        <w:t>) p2</w:t>
      </w:r>
    </w:p>
  </w:footnote>
  <w:footnote w:id="147">
    <w:p w:rsidR="0092252C" w:rsidRPr="00352011" w:rsidRDefault="0092252C" w:rsidP="00352011">
      <w:pPr>
        <w:pStyle w:val="FootnoteText"/>
        <w:rPr>
          <w:rFonts w:asciiTheme="minorHAnsi" w:hAnsiTheme="minorHAnsi" w:cstheme="minorHAnsi"/>
          <w:sz w:val="16"/>
          <w:szCs w:val="16"/>
        </w:rPr>
      </w:pPr>
      <w:r w:rsidRPr="00352011">
        <w:rPr>
          <w:rStyle w:val="FootnoteReference"/>
          <w:rFonts w:asciiTheme="minorHAnsi" w:hAnsiTheme="minorHAnsi" w:cstheme="minorHAnsi"/>
          <w:sz w:val="16"/>
          <w:szCs w:val="16"/>
        </w:rPr>
        <w:footnoteRef/>
      </w:r>
      <w:r w:rsidRPr="00352011">
        <w:rPr>
          <w:rFonts w:asciiTheme="minorHAnsi" w:hAnsiTheme="minorHAnsi" w:cstheme="minorHAnsi"/>
          <w:sz w:val="16"/>
          <w:szCs w:val="16"/>
        </w:rPr>
        <w:t xml:space="preserve"> Productivity Commission (2010) p2</w:t>
      </w:r>
    </w:p>
  </w:footnote>
  <w:footnote w:id="148">
    <w:p w:rsidR="0092252C" w:rsidRPr="00352011" w:rsidRDefault="0092252C" w:rsidP="00352011">
      <w:pPr>
        <w:spacing w:after="0"/>
        <w:rPr>
          <w:rFonts w:asciiTheme="minorHAnsi" w:hAnsiTheme="minorHAnsi" w:cstheme="minorHAnsi"/>
          <w:sz w:val="16"/>
          <w:szCs w:val="16"/>
        </w:rPr>
      </w:pPr>
      <w:r w:rsidRPr="00352011">
        <w:rPr>
          <w:rStyle w:val="FootnoteReference"/>
          <w:rFonts w:asciiTheme="minorHAnsi" w:hAnsiTheme="minorHAnsi" w:cstheme="minorHAnsi"/>
          <w:sz w:val="16"/>
          <w:szCs w:val="16"/>
        </w:rPr>
        <w:footnoteRef/>
      </w:r>
      <w:r w:rsidRPr="00352011">
        <w:rPr>
          <w:rFonts w:asciiTheme="minorHAnsi" w:hAnsiTheme="minorHAnsi" w:cstheme="minorHAnsi"/>
          <w:sz w:val="16"/>
          <w:szCs w:val="16"/>
        </w:rPr>
        <w:t xml:space="preserve"> </w:t>
      </w:r>
      <w:r w:rsidRPr="00352011">
        <w:rPr>
          <w:rFonts w:asciiTheme="minorHAnsi" w:hAnsiTheme="minorHAnsi" w:cstheme="minorHAnsi"/>
          <w:color w:val="000000"/>
          <w:sz w:val="16"/>
          <w:szCs w:val="16"/>
        </w:rPr>
        <w:t>Livingstone C. Rintoul A. &amp; Francis L. (2014) </w:t>
      </w:r>
      <w:r w:rsidRPr="00352011">
        <w:rPr>
          <w:rFonts w:asciiTheme="minorHAnsi" w:hAnsiTheme="minorHAnsi" w:cstheme="minorHAnsi"/>
          <w:i/>
          <w:iCs/>
          <w:color w:val="000000"/>
          <w:sz w:val="16"/>
          <w:szCs w:val="16"/>
        </w:rPr>
        <w:t xml:space="preserve">What is the evidence for harm minimisation measures in gambling venues? </w:t>
      </w:r>
      <w:r w:rsidRPr="00352011">
        <w:rPr>
          <w:rFonts w:asciiTheme="minorHAnsi" w:hAnsiTheme="minorHAnsi" w:cstheme="minorHAnsi"/>
          <w:color w:val="000000"/>
          <w:sz w:val="16"/>
          <w:szCs w:val="16"/>
        </w:rPr>
        <w:t>Evidence Base 2: 1-24 ( </w:t>
      </w:r>
      <w:hyperlink r:id="rId7" w:history="1">
        <w:r w:rsidRPr="00352011">
          <w:rPr>
            <w:rStyle w:val="Hyperlink"/>
            <w:rFonts w:asciiTheme="minorHAnsi" w:eastAsiaTheme="majorEastAsia" w:hAnsiTheme="minorHAnsi" w:cstheme="minorHAnsi"/>
            <w:sz w:val="16"/>
            <w:szCs w:val="16"/>
          </w:rPr>
          <w:t>https://journal.anzsog.edu.au/publications</w:t>
        </w:r>
      </w:hyperlink>
      <w:r w:rsidRPr="00352011">
        <w:rPr>
          <w:rFonts w:asciiTheme="minorHAnsi" w:hAnsiTheme="minorHAnsi" w:cstheme="minorHAnsi"/>
          <w:color w:val="000000"/>
          <w:sz w:val="16"/>
          <w:szCs w:val="16"/>
        </w:rPr>
        <w:t>)</w:t>
      </w:r>
    </w:p>
  </w:footnote>
  <w:footnote w:id="149">
    <w:p w:rsidR="0092252C" w:rsidRPr="00352011" w:rsidRDefault="0092252C" w:rsidP="00352011">
      <w:pPr>
        <w:spacing w:after="0"/>
        <w:rPr>
          <w:rFonts w:asciiTheme="minorHAnsi" w:hAnsiTheme="minorHAnsi" w:cstheme="minorHAnsi"/>
          <w:sz w:val="16"/>
          <w:szCs w:val="16"/>
        </w:rPr>
      </w:pPr>
      <w:r w:rsidRPr="00352011">
        <w:rPr>
          <w:rStyle w:val="FootnoteReference"/>
          <w:rFonts w:asciiTheme="minorHAnsi" w:hAnsiTheme="minorHAnsi" w:cstheme="minorHAnsi"/>
          <w:sz w:val="16"/>
          <w:szCs w:val="16"/>
        </w:rPr>
        <w:footnoteRef/>
      </w:r>
      <w:r w:rsidRPr="00352011">
        <w:rPr>
          <w:rFonts w:asciiTheme="minorHAnsi" w:hAnsiTheme="minorHAnsi" w:cstheme="minorHAnsi"/>
          <w:sz w:val="16"/>
          <w:szCs w:val="16"/>
        </w:rPr>
        <w:t xml:space="preserve"> </w:t>
      </w:r>
      <w:r w:rsidRPr="00352011">
        <w:rPr>
          <w:rFonts w:asciiTheme="minorHAnsi" w:hAnsiTheme="minorHAnsi" w:cstheme="minorHAnsi"/>
          <w:color w:val="000000"/>
          <w:sz w:val="16"/>
          <w:szCs w:val="16"/>
        </w:rPr>
        <w:t>Livingstone C. Rintoul A. &amp; Francis L. (2014) </w:t>
      </w:r>
      <w:r w:rsidRPr="00352011">
        <w:rPr>
          <w:rFonts w:asciiTheme="minorHAnsi" w:hAnsiTheme="minorHAnsi" w:cstheme="minorHAnsi"/>
          <w:i/>
          <w:iCs/>
          <w:color w:val="000000"/>
          <w:sz w:val="16"/>
          <w:szCs w:val="16"/>
        </w:rPr>
        <w:t xml:space="preserve">What is the evidence for harm minimisation measures in gambling venues? </w:t>
      </w:r>
      <w:r w:rsidRPr="00352011">
        <w:rPr>
          <w:rFonts w:asciiTheme="minorHAnsi" w:hAnsiTheme="minorHAnsi" w:cstheme="minorHAnsi"/>
          <w:color w:val="000000"/>
          <w:sz w:val="16"/>
          <w:szCs w:val="16"/>
        </w:rPr>
        <w:t>Evidence Base 2: 1-24 ( </w:t>
      </w:r>
      <w:hyperlink r:id="rId8" w:history="1">
        <w:r w:rsidRPr="00352011">
          <w:rPr>
            <w:rStyle w:val="Hyperlink"/>
            <w:rFonts w:asciiTheme="minorHAnsi" w:eastAsiaTheme="majorEastAsia" w:hAnsiTheme="minorHAnsi" w:cstheme="minorHAnsi"/>
            <w:sz w:val="16"/>
            <w:szCs w:val="16"/>
          </w:rPr>
          <w:t>https://journal.anzsog.edu.au/publications</w:t>
        </w:r>
      </w:hyperlink>
      <w:r w:rsidRPr="00352011">
        <w:rPr>
          <w:rFonts w:asciiTheme="minorHAnsi" w:hAnsiTheme="minorHAnsi" w:cstheme="minorHAnsi"/>
          <w:color w:val="000000"/>
          <w:sz w:val="16"/>
          <w:szCs w:val="16"/>
        </w:rPr>
        <w:t xml:space="preserve"> ) p17</w:t>
      </w:r>
    </w:p>
  </w:footnote>
  <w:footnote w:id="150">
    <w:p w:rsidR="0092252C" w:rsidRPr="00352011" w:rsidRDefault="0092252C" w:rsidP="00352011">
      <w:pPr>
        <w:spacing w:after="0"/>
        <w:rPr>
          <w:rFonts w:asciiTheme="minorHAnsi" w:hAnsiTheme="minorHAnsi" w:cstheme="minorHAnsi"/>
          <w:sz w:val="16"/>
          <w:szCs w:val="16"/>
        </w:rPr>
      </w:pPr>
      <w:r w:rsidRPr="00352011">
        <w:rPr>
          <w:rStyle w:val="FootnoteReference"/>
          <w:rFonts w:asciiTheme="minorHAnsi" w:hAnsiTheme="minorHAnsi" w:cstheme="minorHAnsi"/>
          <w:sz w:val="16"/>
          <w:szCs w:val="16"/>
        </w:rPr>
        <w:footnoteRef/>
      </w:r>
      <w:r w:rsidRPr="00352011">
        <w:rPr>
          <w:rFonts w:asciiTheme="minorHAnsi" w:hAnsiTheme="minorHAnsi" w:cstheme="minorHAnsi"/>
          <w:sz w:val="16"/>
          <w:szCs w:val="16"/>
        </w:rPr>
        <w:t xml:space="preserve"> </w:t>
      </w:r>
      <w:r w:rsidRPr="00352011">
        <w:rPr>
          <w:rFonts w:asciiTheme="minorHAnsi" w:hAnsiTheme="minorHAnsi" w:cstheme="minorHAnsi"/>
          <w:color w:val="000000"/>
          <w:sz w:val="16"/>
          <w:szCs w:val="16"/>
        </w:rPr>
        <w:t>Livingstone C. Rintoul A. &amp; Francis L. (2014) </w:t>
      </w:r>
      <w:r w:rsidRPr="00352011">
        <w:rPr>
          <w:rFonts w:asciiTheme="minorHAnsi" w:hAnsiTheme="minorHAnsi" w:cstheme="minorHAnsi"/>
          <w:i/>
          <w:iCs/>
          <w:color w:val="000000"/>
          <w:sz w:val="16"/>
          <w:szCs w:val="16"/>
        </w:rPr>
        <w:t xml:space="preserve">What is the evidence for harm minimisation measures in gambling venues? </w:t>
      </w:r>
      <w:r w:rsidRPr="00352011">
        <w:rPr>
          <w:rFonts w:asciiTheme="minorHAnsi" w:hAnsiTheme="minorHAnsi" w:cstheme="minorHAnsi"/>
          <w:color w:val="000000"/>
          <w:sz w:val="16"/>
          <w:szCs w:val="16"/>
        </w:rPr>
        <w:t>Evidence Base 2: 1-24 ( </w:t>
      </w:r>
      <w:hyperlink r:id="rId9" w:history="1">
        <w:r w:rsidRPr="00352011">
          <w:rPr>
            <w:rStyle w:val="Hyperlink"/>
            <w:rFonts w:asciiTheme="minorHAnsi" w:eastAsiaTheme="majorEastAsia" w:hAnsiTheme="minorHAnsi" w:cstheme="minorHAnsi"/>
            <w:sz w:val="16"/>
            <w:szCs w:val="16"/>
          </w:rPr>
          <w:t>https://journal.anzsog.edu.au/publications</w:t>
        </w:r>
      </w:hyperlink>
      <w:r w:rsidRPr="00352011">
        <w:rPr>
          <w:rFonts w:asciiTheme="minorHAnsi" w:hAnsiTheme="minorHAnsi" w:cstheme="minorHAnsi"/>
          <w:color w:val="000000"/>
          <w:sz w:val="16"/>
          <w:szCs w:val="16"/>
        </w:rPr>
        <w:t>) p3</w:t>
      </w:r>
    </w:p>
  </w:footnote>
  <w:footnote w:id="151">
    <w:p w:rsidR="0092252C" w:rsidRPr="00352011" w:rsidRDefault="0092252C" w:rsidP="00352011">
      <w:pPr>
        <w:spacing w:after="0"/>
        <w:rPr>
          <w:rFonts w:asciiTheme="minorHAnsi" w:hAnsiTheme="minorHAnsi" w:cstheme="minorHAnsi"/>
          <w:sz w:val="16"/>
          <w:szCs w:val="16"/>
        </w:rPr>
      </w:pPr>
      <w:r w:rsidRPr="00352011">
        <w:rPr>
          <w:rStyle w:val="FootnoteReference"/>
          <w:rFonts w:asciiTheme="minorHAnsi" w:hAnsiTheme="minorHAnsi" w:cstheme="minorHAnsi"/>
          <w:sz w:val="16"/>
          <w:szCs w:val="16"/>
        </w:rPr>
        <w:footnoteRef/>
      </w:r>
      <w:r w:rsidRPr="00352011">
        <w:rPr>
          <w:rFonts w:asciiTheme="minorHAnsi" w:hAnsiTheme="minorHAnsi" w:cstheme="minorHAnsi"/>
          <w:sz w:val="16"/>
          <w:szCs w:val="16"/>
        </w:rPr>
        <w:t xml:space="preserve"> </w:t>
      </w:r>
      <w:r w:rsidRPr="00352011">
        <w:rPr>
          <w:rFonts w:asciiTheme="minorHAnsi" w:hAnsiTheme="minorHAnsi" w:cstheme="minorHAnsi"/>
          <w:color w:val="000000"/>
          <w:sz w:val="16"/>
          <w:szCs w:val="16"/>
        </w:rPr>
        <w:t xml:space="preserve">Hing, N (2014) “The efficacy of responsible gambling measures in NSW Clubs: The Gamblers’ Perspective” </w:t>
      </w:r>
      <w:r w:rsidRPr="00352011">
        <w:rPr>
          <w:rFonts w:asciiTheme="minorHAnsi" w:hAnsiTheme="minorHAnsi" w:cstheme="minorHAnsi"/>
          <w:i/>
          <w:color w:val="000000"/>
          <w:sz w:val="16"/>
          <w:szCs w:val="16"/>
        </w:rPr>
        <w:t xml:space="preserve">Gambling Research </w:t>
      </w:r>
      <w:r w:rsidRPr="00352011">
        <w:rPr>
          <w:rFonts w:asciiTheme="minorHAnsi" w:hAnsiTheme="minorHAnsi" w:cstheme="minorHAnsi"/>
          <w:color w:val="000000"/>
          <w:sz w:val="16"/>
          <w:szCs w:val="16"/>
        </w:rPr>
        <w:t xml:space="preserve">16(1), p32 </w:t>
      </w:r>
    </w:p>
  </w:footnote>
  <w:footnote w:id="152">
    <w:p w:rsidR="0092252C" w:rsidRPr="00352011" w:rsidRDefault="0092252C" w:rsidP="00352011">
      <w:pPr>
        <w:pStyle w:val="TitlePage3"/>
        <w:spacing w:before="0"/>
        <w:jc w:val="left"/>
        <w:rPr>
          <w:rFonts w:asciiTheme="minorHAnsi" w:hAnsiTheme="minorHAnsi" w:cstheme="minorHAnsi"/>
          <w:szCs w:val="16"/>
        </w:rPr>
      </w:pPr>
      <w:r w:rsidRPr="00352011">
        <w:rPr>
          <w:rStyle w:val="FootnoteReference"/>
          <w:rFonts w:asciiTheme="minorHAnsi" w:hAnsiTheme="minorHAnsi" w:cstheme="minorHAnsi"/>
          <w:szCs w:val="16"/>
        </w:rPr>
        <w:footnoteRef/>
      </w:r>
      <w:r w:rsidRPr="00352011">
        <w:rPr>
          <w:rFonts w:asciiTheme="minorHAnsi" w:hAnsiTheme="minorHAnsi" w:cstheme="minorHAnsi"/>
          <w:szCs w:val="16"/>
        </w:rPr>
        <w:t xml:space="preserve"> </w:t>
      </w:r>
      <w:bookmarkStart w:id="122" w:name="_Hlk484100536"/>
      <w:r w:rsidRPr="00352011">
        <w:rPr>
          <w:rFonts w:asciiTheme="minorHAnsi" w:hAnsiTheme="minorHAnsi" w:cstheme="minorHAnsi"/>
          <w:caps w:val="0"/>
          <w:szCs w:val="16"/>
        </w:rPr>
        <w:t xml:space="preserve">Melbourne City Council V Kingfish Victoria Pty Ltd (2013) VCAT 371 </w:t>
      </w:r>
      <w:bookmarkEnd w:id="122"/>
      <w:r w:rsidRPr="00352011">
        <w:rPr>
          <w:rFonts w:asciiTheme="minorHAnsi" w:hAnsiTheme="minorHAnsi" w:cstheme="minorHAnsi"/>
          <w:caps w:val="0"/>
          <w:szCs w:val="16"/>
        </w:rPr>
        <w:t xml:space="preserve">Para 170 </w:t>
      </w:r>
    </w:p>
  </w:footnote>
  <w:footnote w:id="153">
    <w:p w:rsidR="0092252C" w:rsidRPr="00352011" w:rsidRDefault="0092252C" w:rsidP="00352011">
      <w:pPr>
        <w:pStyle w:val="Para2"/>
        <w:spacing w:after="0" w:line="240" w:lineRule="auto"/>
        <w:ind w:left="0"/>
        <w:rPr>
          <w:rFonts w:asciiTheme="minorHAnsi" w:hAnsiTheme="minorHAnsi" w:cstheme="minorHAnsi"/>
          <w:sz w:val="16"/>
          <w:szCs w:val="16"/>
        </w:rPr>
      </w:pPr>
      <w:r w:rsidRPr="00352011">
        <w:rPr>
          <w:rStyle w:val="FootnoteReference"/>
          <w:rFonts w:asciiTheme="minorHAnsi" w:hAnsiTheme="minorHAnsi" w:cstheme="minorHAnsi"/>
          <w:sz w:val="16"/>
          <w:szCs w:val="16"/>
        </w:rPr>
        <w:footnoteRef/>
      </w:r>
      <w:r w:rsidRPr="00352011">
        <w:rPr>
          <w:rFonts w:asciiTheme="minorHAnsi" w:hAnsiTheme="minorHAnsi" w:cstheme="minorHAnsi"/>
          <w:sz w:val="16"/>
          <w:szCs w:val="16"/>
        </w:rPr>
        <w:t xml:space="preserve"> </w:t>
      </w:r>
      <w:bookmarkStart w:id="123" w:name="_Hlk484100490"/>
      <w:r w:rsidRPr="00352011">
        <w:rPr>
          <w:rFonts w:asciiTheme="minorHAnsi" w:hAnsiTheme="minorHAnsi" w:cstheme="minorHAnsi"/>
          <w:sz w:val="16"/>
          <w:szCs w:val="16"/>
        </w:rPr>
        <w:t>Mt Alexander Shire Council v Victorian Commission for Gambling and Liquor Regulation Ltd (Red Dot) [2013] VCAT 101(14 February 2013)</w:t>
      </w:r>
      <w:bookmarkEnd w:id="123"/>
      <w:r w:rsidRPr="00352011">
        <w:rPr>
          <w:rFonts w:asciiTheme="minorHAnsi" w:hAnsiTheme="minorHAnsi" w:cstheme="minorHAnsi"/>
          <w:sz w:val="16"/>
          <w:szCs w:val="16"/>
        </w:rPr>
        <w:t xml:space="preserve"> Para 81 </w:t>
      </w:r>
    </w:p>
  </w:footnote>
  <w:footnote w:id="154">
    <w:p w:rsidR="0092252C" w:rsidRPr="00352011" w:rsidRDefault="0092252C" w:rsidP="00352011">
      <w:pPr>
        <w:pStyle w:val="TitlePage3"/>
        <w:spacing w:before="0"/>
        <w:jc w:val="left"/>
        <w:rPr>
          <w:rFonts w:asciiTheme="minorHAnsi" w:hAnsiTheme="minorHAnsi" w:cstheme="minorHAnsi"/>
          <w:szCs w:val="16"/>
        </w:rPr>
      </w:pPr>
      <w:r w:rsidRPr="00352011">
        <w:rPr>
          <w:rStyle w:val="FootnoteReference"/>
          <w:rFonts w:asciiTheme="minorHAnsi" w:hAnsiTheme="minorHAnsi" w:cstheme="minorHAnsi"/>
          <w:szCs w:val="16"/>
        </w:rPr>
        <w:footnoteRef/>
      </w:r>
      <w:r w:rsidRPr="00352011">
        <w:rPr>
          <w:rFonts w:asciiTheme="minorHAnsi" w:hAnsiTheme="minorHAnsi" w:cstheme="minorHAnsi"/>
          <w:caps w:val="0"/>
          <w:szCs w:val="16"/>
        </w:rPr>
        <w:t xml:space="preserve"> Melbourne City Council V Kingfish Victoria Pty Ltd (2013) VCAT 371 Para 170 Para 170</w:t>
      </w:r>
    </w:p>
  </w:footnote>
  <w:footnote w:id="155">
    <w:p w:rsidR="0092252C" w:rsidRPr="00352011" w:rsidRDefault="0092252C" w:rsidP="00352011">
      <w:pPr>
        <w:spacing w:after="0"/>
        <w:rPr>
          <w:rFonts w:asciiTheme="minorHAnsi" w:hAnsiTheme="minorHAnsi" w:cstheme="minorHAnsi"/>
          <w:sz w:val="16"/>
          <w:szCs w:val="16"/>
        </w:rPr>
      </w:pPr>
      <w:r w:rsidRPr="00352011">
        <w:rPr>
          <w:rStyle w:val="FootnoteReference"/>
          <w:rFonts w:asciiTheme="minorHAnsi" w:hAnsiTheme="minorHAnsi" w:cstheme="minorHAnsi"/>
          <w:sz w:val="16"/>
          <w:szCs w:val="16"/>
        </w:rPr>
        <w:footnoteRef/>
      </w:r>
      <w:r w:rsidRPr="00352011">
        <w:rPr>
          <w:rFonts w:asciiTheme="minorHAnsi" w:hAnsiTheme="minorHAnsi" w:cstheme="minorHAnsi"/>
          <w:caps/>
          <w:sz w:val="16"/>
          <w:szCs w:val="16"/>
        </w:rPr>
        <w:t xml:space="preserve"> </w:t>
      </w:r>
      <w:bookmarkStart w:id="124" w:name="_Hlk482954736"/>
      <w:r w:rsidRPr="00352011">
        <w:rPr>
          <w:rFonts w:asciiTheme="minorHAnsi" w:hAnsiTheme="minorHAnsi" w:cstheme="minorHAnsi"/>
          <w:sz w:val="16"/>
          <w:szCs w:val="16"/>
        </w:rPr>
        <w:t>Darebin CC v Victorian Commission for Gambling and Liquor Regulation &amp; Anor</w:t>
      </w:r>
      <w:bookmarkEnd w:id="124"/>
      <w:r w:rsidRPr="00352011">
        <w:rPr>
          <w:rFonts w:asciiTheme="minorHAnsi" w:hAnsiTheme="minorHAnsi" w:cstheme="minorHAnsi"/>
          <w:sz w:val="16"/>
          <w:szCs w:val="16"/>
        </w:rPr>
        <w:t xml:space="preserve"> Paras </w:t>
      </w:r>
      <w:r w:rsidRPr="00352011">
        <w:rPr>
          <w:rFonts w:asciiTheme="minorHAnsi" w:hAnsiTheme="minorHAnsi" w:cstheme="minorHAnsi"/>
          <w:caps/>
          <w:sz w:val="16"/>
          <w:szCs w:val="16"/>
        </w:rPr>
        <w:t xml:space="preserve">28 And 33 </w:t>
      </w:r>
    </w:p>
  </w:footnote>
  <w:footnote w:id="156">
    <w:p w:rsidR="0092252C" w:rsidRPr="00352011" w:rsidRDefault="0092252C" w:rsidP="00352011">
      <w:pPr>
        <w:pStyle w:val="FootnoteText"/>
        <w:rPr>
          <w:rFonts w:asciiTheme="minorHAnsi" w:hAnsiTheme="minorHAnsi" w:cstheme="minorHAnsi"/>
          <w:sz w:val="16"/>
          <w:szCs w:val="16"/>
        </w:rPr>
      </w:pPr>
      <w:r w:rsidRPr="00352011">
        <w:rPr>
          <w:rStyle w:val="FootnoteReference"/>
          <w:rFonts w:asciiTheme="minorHAnsi" w:hAnsiTheme="minorHAnsi" w:cstheme="minorHAnsi"/>
          <w:sz w:val="16"/>
          <w:szCs w:val="16"/>
        </w:rPr>
        <w:footnoteRef/>
      </w:r>
      <w:r w:rsidRPr="00352011">
        <w:rPr>
          <w:rFonts w:asciiTheme="minorHAnsi" w:hAnsiTheme="minorHAnsi" w:cstheme="minorHAnsi"/>
          <w:sz w:val="16"/>
          <w:szCs w:val="16"/>
        </w:rPr>
        <w:t xml:space="preserve"> </w:t>
      </w:r>
      <w:r w:rsidRPr="00352011">
        <w:rPr>
          <w:rFonts w:asciiTheme="minorHAnsi" w:hAnsiTheme="minorHAnsi" w:cstheme="minorHAnsi"/>
          <w:color w:val="000000"/>
          <w:sz w:val="16"/>
          <w:szCs w:val="16"/>
        </w:rPr>
        <w:t>Livingstone C. Rintoul A. &amp; Francis L. (2014) </w:t>
      </w:r>
      <w:r w:rsidRPr="00352011">
        <w:rPr>
          <w:rFonts w:asciiTheme="minorHAnsi" w:hAnsiTheme="minorHAnsi" w:cstheme="minorHAnsi"/>
          <w:i/>
          <w:iCs/>
          <w:color w:val="000000"/>
          <w:sz w:val="16"/>
          <w:szCs w:val="16"/>
        </w:rPr>
        <w:t xml:space="preserve">What is the evidence for harm minimisation measures in gambling venues? </w:t>
      </w:r>
      <w:r w:rsidRPr="00352011">
        <w:rPr>
          <w:rFonts w:asciiTheme="minorHAnsi" w:hAnsiTheme="minorHAnsi" w:cstheme="minorHAnsi"/>
          <w:color w:val="000000"/>
          <w:sz w:val="16"/>
          <w:szCs w:val="16"/>
        </w:rPr>
        <w:t>Evidence Base 2: 1-24 ( </w:t>
      </w:r>
      <w:hyperlink r:id="rId10" w:history="1">
        <w:r w:rsidRPr="00352011">
          <w:rPr>
            <w:rStyle w:val="Hyperlink"/>
            <w:rFonts w:asciiTheme="minorHAnsi" w:eastAsiaTheme="majorEastAsia" w:hAnsiTheme="minorHAnsi" w:cstheme="minorHAnsi"/>
            <w:sz w:val="16"/>
            <w:szCs w:val="16"/>
          </w:rPr>
          <w:t>https://journal.anzsog.edu.au/publications</w:t>
        </w:r>
      </w:hyperlink>
      <w:r w:rsidRPr="00352011">
        <w:rPr>
          <w:rFonts w:asciiTheme="minorHAnsi" w:hAnsiTheme="minorHAnsi" w:cstheme="minorHAnsi"/>
          <w:color w:val="000000"/>
          <w:sz w:val="16"/>
          <w:szCs w:val="16"/>
        </w:rPr>
        <w:t>)</w:t>
      </w:r>
    </w:p>
  </w:footnote>
  <w:footnote w:id="157">
    <w:p w:rsidR="0092252C" w:rsidRPr="0094277E" w:rsidRDefault="0092252C" w:rsidP="003D1F93">
      <w:pPr>
        <w:pStyle w:val="FootnoteText"/>
        <w:rPr>
          <w:sz w:val="16"/>
          <w:szCs w:val="16"/>
        </w:rPr>
      </w:pPr>
      <w:r w:rsidRPr="0094277E">
        <w:rPr>
          <w:rStyle w:val="FootnoteReference"/>
          <w:sz w:val="16"/>
          <w:szCs w:val="16"/>
        </w:rPr>
        <w:footnoteRef/>
      </w:r>
      <w:r w:rsidRPr="0094277E">
        <w:rPr>
          <w:sz w:val="16"/>
          <w:szCs w:val="16"/>
        </w:rPr>
        <w:t xml:space="preserve"> </w:t>
      </w:r>
      <w:r w:rsidRPr="0094277E">
        <w:rPr>
          <w:rFonts w:asciiTheme="minorHAnsi" w:hAnsiTheme="minorHAnsi" w:cs="Arial"/>
          <w:color w:val="000000"/>
          <w:sz w:val="16"/>
          <w:szCs w:val="16"/>
        </w:rPr>
        <w:t>Livingstone C. Rintoul A. &amp; Francis L. (2014) </w:t>
      </w:r>
      <w:r w:rsidRPr="0094277E">
        <w:rPr>
          <w:rFonts w:asciiTheme="minorHAnsi" w:hAnsiTheme="minorHAnsi" w:cs="Arial"/>
          <w:i/>
          <w:iCs/>
          <w:color w:val="000000"/>
          <w:sz w:val="16"/>
          <w:szCs w:val="16"/>
        </w:rPr>
        <w:t xml:space="preserve">What is the evidence for harm minimisation measures in gambling venues? </w:t>
      </w:r>
      <w:r w:rsidRPr="0094277E">
        <w:rPr>
          <w:rFonts w:asciiTheme="minorHAnsi" w:hAnsiTheme="minorHAnsi" w:cs="Arial"/>
          <w:color w:val="000000"/>
          <w:sz w:val="16"/>
          <w:szCs w:val="16"/>
        </w:rPr>
        <w:t>Evidence Base 2: 1-24 ( </w:t>
      </w:r>
      <w:hyperlink r:id="rId11" w:history="1">
        <w:r w:rsidRPr="0094277E">
          <w:rPr>
            <w:rStyle w:val="Hyperlink"/>
            <w:rFonts w:asciiTheme="minorHAnsi" w:eastAsiaTheme="majorEastAsia" w:hAnsiTheme="minorHAnsi" w:cs="Arial"/>
            <w:sz w:val="16"/>
            <w:szCs w:val="16"/>
          </w:rPr>
          <w:t>https://journal.anzsog.edu.au/publications</w:t>
        </w:r>
      </w:hyperlink>
      <w:r w:rsidRPr="0094277E">
        <w:rPr>
          <w:rFonts w:asciiTheme="minorHAnsi" w:hAnsiTheme="minorHAnsi" w:cs="Arial"/>
          <w:color w:val="000000"/>
          <w:sz w:val="16"/>
          <w:szCs w:val="16"/>
        </w:rPr>
        <w:t>)</w:t>
      </w:r>
    </w:p>
  </w:footnote>
  <w:footnote w:id="158">
    <w:p w:rsidR="0092252C" w:rsidRDefault="0092252C" w:rsidP="003D1F93">
      <w:pPr>
        <w:spacing w:after="0"/>
      </w:pPr>
      <w:r w:rsidRPr="0094277E">
        <w:rPr>
          <w:rStyle w:val="FootnoteReference"/>
          <w:sz w:val="16"/>
          <w:szCs w:val="16"/>
        </w:rPr>
        <w:footnoteRef/>
      </w:r>
      <w:r w:rsidRPr="0094277E">
        <w:rPr>
          <w:sz w:val="16"/>
          <w:szCs w:val="16"/>
        </w:rPr>
        <w:t xml:space="preserve"> Parke, J and Rigbye, J (2014) </w:t>
      </w:r>
      <w:r w:rsidRPr="0094277E">
        <w:rPr>
          <w:i/>
          <w:sz w:val="16"/>
          <w:szCs w:val="16"/>
        </w:rPr>
        <w:t xml:space="preserve">Self-Exclusion as a Gambling Harm Minimisation Measure in Great Britain </w:t>
      </w:r>
      <w:r w:rsidRPr="0094277E">
        <w:rPr>
          <w:sz w:val="16"/>
          <w:szCs w:val="16"/>
        </w:rPr>
        <w:t>The Responsible Gambling Trust</w:t>
      </w:r>
    </w:p>
  </w:footnote>
  <w:footnote w:id="159">
    <w:p w:rsidR="0092252C" w:rsidRPr="001F2ADA" w:rsidRDefault="0092252C" w:rsidP="003D1F93">
      <w:pPr>
        <w:spacing w:after="0"/>
        <w:rPr>
          <w:rFonts w:asciiTheme="minorHAnsi" w:hAnsiTheme="minorHAnsi"/>
          <w:sz w:val="16"/>
          <w:szCs w:val="16"/>
        </w:rPr>
      </w:pPr>
      <w:r w:rsidRPr="001F2ADA">
        <w:rPr>
          <w:rStyle w:val="FootnoteReference"/>
          <w:rFonts w:asciiTheme="minorHAnsi" w:hAnsiTheme="minorHAnsi"/>
          <w:sz w:val="16"/>
          <w:szCs w:val="16"/>
        </w:rPr>
        <w:footnoteRef/>
      </w:r>
      <w:r w:rsidRPr="001F2ADA">
        <w:rPr>
          <w:rFonts w:asciiTheme="minorHAnsi" w:hAnsiTheme="minorHAnsi"/>
          <w:sz w:val="16"/>
          <w:szCs w:val="16"/>
        </w:rPr>
        <w:t xml:space="preserve"> </w:t>
      </w:r>
      <w:r w:rsidRPr="001F2ADA">
        <w:rPr>
          <w:rFonts w:asciiTheme="minorHAnsi" w:hAnsiTheme="minorHAnsi" w:cs="Arial"/>
          <w:color w:val="000000"/>
          <w:sz w:val="16"/>
          <w:szCs w:val="16"/>
        </w:rPr>
        <w:t>Livingstone C. Rintoul A. &amp; Francis L. (2014) </w:t>
      </w:r>
      <w:r w:rsidRPr="001F2ADA">
        <w:rPr>
          <w:rFonts w:asciiTheme="minorHAnsi" w:hAnsiTheme="minorHAnsi" w:cs="Arial"/>
          <w:i/>
          <w:iCs/>
          <w:color w:val="000000"/>
          <w:sz w:val="16"/>
          <w:szCs w:val="16"/>
        </w:rPr>
        <w:t xml:space="preserve">What is the evidence for harm minimisation measures in gambling venues? </w:t>
      </w:r>
      <w:r w:rsidRPr="001F2ADA">
        <w:rPr>
          <w:rFonts w:asciiTheme="minorHAnsi" w:hAnsiTheme="minorHAnsi" w:cs="Arial"/>
          <w:color w:val="000000"/>
          <w:sz w:val="16"/>
          <w:szCs w:val="16"/>
        </w:rPr>
        <w:t>Evidence Base 2: 1-24 ( </w:t>
      </w:r>
      <w:hyperlink r:id="rId12" w:history="1">
        <w:r w:rsidRPr="001F2ADA">
          <w:rPr>
            <w:rStyle w:val="Hyperlink"/>
            <w:rFonts w:asciiTheme="minorHAnsi" w:eastAsiaTheme="majorEastAsia" w:hAnsiTheme="minorHAnsi" w:cs="Arial"/>
            <w:sz w:val="16"/>
            <w:szCs w:val="16"/>
          </w:rPr>
          <w:t>https://journal.anzsog.edu.au/publications</w:t>
        </w:r>
      </w:hyperlink>
      <w:r w:rsidRPr="001F2ADA">
        <w:rPr>
          <w:rFonts w:asciiTheme="minorHAnsi" w:hAnsiTheme="minorHAnsi" w:cs="Arial"/>
          <w:color w:val="000000"/>
          <w:sz w:val="16"/>
          <w:szCs w:val="16"/>
        </w:rPr>
        <w:t>) p10</w:t>
      </w:r>
    </w:p>
  </w:footnote>
  <w:footnote w:id="160">
    <w:p w:rsidR="0092252C" w:rsidRPr="001F2ADA" w:rsidRDefault="0092252C" w:rsidP="003D1F93">
      <w:pPr>
        <w:pStyle w:val="FootnoteText"/>
        <w:rPr>
          <w:sz w:val="16"/>
          <w:szCs w:val="16"/>
        </w:rPr>
      </w:pPr>
      <w:r w:rsidRPr="001F2ADA">
        <w:rPr>
          <w:rStyle w:val="FootnoteReference"/>
          <w:sz w:val="16"/>
          <w:szCs w:val="16"/>
        </w:rPr>
        <w:footnoteRef/>
      </w:r>
      <w:r w:rsidRPr="001F2ADA">
        <w:rPr>
          <w:sz w:val="16"/>
          <w:szCs w:val="16"/>
        </w:rPr>
        <w:t xml:space="preserve"> Productivity Commission (2010) p12.42)</w:t>
      </w:r>
    </w:p>
  </w:footnote>
  <w:footnote w:id="161">
    <w:p w:rsidR="0092252C" w:rsidRPr="001F2ADA" w:rsidRDefault="0092252C" w:rsidP="003D1F93">
      <w:pPr>
        <w:pStyle w:val="FootnoteText"/>
        <w:rPr>
          <w:sz w:val="16"/>
          <w:szCs w:val="16"/>
        </w:rPr>
      </w:pPr>
      <w:r w:rsidRPr="001F2ADA">
        <w:rPr>
          <w:rStyle w:val="FootnoteReference"/>
          <w:sz w:val="16"/>
          <w:szCs w:val="16"/>
        </w:rPr>
        <w:footnoteRef/>
      </w:r>
      <w:r w:rsidRPr="001F2ADA">
        <w:rPr>
          <w:sz w:val="16"/>
          <w:szCs w:val="16"/>
        </w:rPr>
        <w:t xml:space="preserve"> Productivity Commission (2010) p12.39)</w:t>
      </w:r>
    </w:p>
  </w:footnote>
  <w:footnote w:id="162">
    <w:p w:rsidR="0092252C" w:rsidRPr="001F2ADA" w:rsidRDefault="0092252C" w:rsidP="003D1F93">
      <w:pPr>
        <w:pStyle w:val="FootnoteText"/>
        <w:rPr>
          <w:rFonts w:asciiTheme="minorHAnsi" w:hAnsiTheme="minorHAnsi"/>
          <w:sz w:val="16"/>
          <w:szCs w:val="16"/>
        </w:rPr>
      </w:pPr>
      <w:r w:rsidRPr="001F2ADA">
        <w:rPr>
          <w:rStyle w:val="FootnoteReference"/>
          <w:rFonts w:asciiTheme="minorHAnsi" w:hAnsiTheme="minorHAnsi"/>
          <w:sz w:val="16"/>
          <w:szCs w:val="16"/>
        </w:rPr>
        <w:footnoteRef/>
      </w:r>
      <w:r w:rsidRPr="001F2ADA">
        <w:rPr>
          <w:rFonts w:asciiTheme="minorHAnsi" w:hAnsiTheme="minorHAnsi"/>
          <w:sz w:val="16"/>
          <w:szCs w:val="16"/>
        </w:rPr>
        <w:t xml:space="preserve"> Productivity Commission (2010) p12.1</w:t>
      </w:r>
    </w:p>
  </w:footnote>
  <w:footnote w:id="163">
    <w:p w:rsidR="0092252C" w:rsidRPr="001F2ADA" w:rsidRDefault="0092252C" w:rsidP="003D1F93">
      <w:pPr>
        <w:pStyle w:val="FootnoteText"/>
        <w:rPr>
          <w:sz w:val="16"/>
          <w:szCs w:val="16"/>
        </w:rPr>
      </w:pPr>
      <w:r w:rsidRPr="001F2ADA">
        <w:rPr>
          <w:rStyle w:val="FootnoteReference"/>
          <w:sz w:val="16"/>
          <w:szCs w:val="16"/>
        </w:rPr>
        <w:footnoteRef/>
      </w:r>
      <w:r w:rsidRPr="001F2ADA">
        <w:rPr>
          <w:sz w:val="16"/>
          <w:szCs w:val="16"/>
        </w:rPr>
        <w:t xml:space="preserve"> Productivity Commission (2010) p12.35 and 12.38)</w:t>
      </w:r>
    </w:p>
  </w:footnote>
  <w:footnote w:id="164">
    <w:p w:rsidR="0092252C" w:rsidRPr="00040E35" w:rsidRDefault="0092252C" w:rsidP="00F61411">
      <w:pPr>
        <w:pStyle w:val="FootnoteText"/>
        <w:rPr>
          <w:rFonts w:asciiTheme="minorHAnsi" w:hAnsiTheme="minorHAnsi"/>
          <w:sz w:val="16"/>
          <w:szCs w:val="16"/>
        </w:rPr>
      </w:pPr>
      <w:r w:rsidRPr="00040E35">
        <w:rPr>
          <w:rStyle w:val="FootnoteReference"/>
          <w:rFonts w:asciiTheme="minorHAnsi" w:hAnsiTheme="minorHAnsi"/>
          <w:sz w:val="16"/>
          <w:szCs w:val="16"/>
        </w:rPr>
        <w:footnoteRef/>
      </w:r>
      <w:r w:rsidRPr="00040E35">
        <w:rPr>
          <w:rFonts w:asciiTheme="minorHAnsi" w:hAnsiTheme="minorHAnsi"/>
          <w:sz w:val="16"/>
          <w:szCs w:val="16"/>
        </w:rPr>
        <w:t xml:space="preserve"> Department of Justice (2009) Problem gambling from a public health perspective, Profile of Problem Gambling Risk Segments</w:t>
      </w:r>
    </w:p>
  </w:footnote>
  <w:footnote w:id="165">
    <w:p w:rsidR="0092252C" w:rsidRPr="00040E35" w:rsidRDefault="0092252C" w:rsidP="00F61411">
      <w:pPr>
        <w:pStyle w:val="FootnoteText"/>
        <w:rPr>
          <w:sz w:val="16"/>
          <w:szCs w:val="16"/>
        </w:rPr>
      </w:pPr>
      <w:r w:rsidRPr="00040E35">
        <w:rPr>
          <w:rStyle w:val="FootnoteReference"/>
          <w:sz w:val="16"/>
          <w:szCs w:val="16"/>
        </w:rPr>
        <w:footnoteRef/>
      </w:r>
      <w:r w:rsidRPr="00040E35">
        <w:rPr>
          <w:sz w:val="16"/>
          <w:szCs w:val="16"/>
        </w:rPr>
        <w:t xml:space="preserve"> Wilkins, R (2017) </w:t>
      </w:r>
      <w:r w:rsidRPr="00040E35">
        <w:rPr>
          <w:i/>
          <w:sz w:val="16"/>
          <w:szCs w:val="16"/>
        </w:rPr>
        <w:t>The Household, Income and Labour Dynamics in Australia Survey: Selected Findings from Waves 1 to 15</w:t>
      </w:r>
    </w:p>
  </w:footnote>
  <w:footnote w:id="166">
    <w:p w:rsidR="0092252C" w:rsidRPr="00040E35" w:rsidRDefault="0092252C" w:rsidP="00F61411">
      <w:pPr>
        <w:spacing w:after="0"/>
        <w:rPr>
          <w:rFonts w:cs="Arial"/>
          <w:sz w:val="16"/>
          <w:szCs w:val="16"/>
        </w:rPr>
      </w:pPr>
      <w:r w:rsidRPr="00040E35">
        <w:rPr>
          <w:rStyle w:val="FootnoteReference"/>
          <w:rFonts w:cs="Arial"/>
          <w:sz w:val="16"/>
          <w:szCs w:val="16"/>
        </w:rPr>
        <w:footnoteRef/>
      </w:r>
      <w:r w:rsidRPr="00040E35">
        <w:rPr>
          <w:rFonts w:cs="Arial"/>
          <w:sz w:val="16"/>
          <w:szCs w:val="16"/>
        </w:rPr>
        <w:t xml:space="preserve"> State Government of Victoria (2009) </w:t>
      </w:r>
      <w:r w:rsidRPr="00040E35">
        <w:rPr>
          <w:rFonts w:cs="Arial"/>
          <w:i/>
          <w:iCs/>
          <w:sz w:val="16"/>
          <w:szCs w:val="16"/>
        </w:rPr>
        <w:t xml:space="preserve">Problem gambling from a public health perspective </w:t>
      </w:r>
      <w:r w:rsidRPr="00040E35">
        <w:rPr>
          <w:rFonts w:cs="Arial"/>
          <w:sz w:val="16"/>
          <w:szCs w:val="16"/>
        </w:rPr>
        <w:t>Factsheet 4, Profile of Problem Gambling Risk Segments Department of Justice</w:t>
      </w:r>
    </w:p>
  </w:footnote>
  <w:footnote w:id="167">
    <w:p w:rsidR="0092252C" w:rsidRPr="00040E35" w:rsidRDefault="0092252C" w:rsidP="00F61411">
      <w:pPr>
        <w:spacing w:after="0"/>
        <w:rPr>
          <w:rFonts w:cs="Arial"/>
          <w:sz w:val="16"/>
          <w:szCs w:val="16"/>
        </w:rPr>
      </w:pPr>
      <w:r w:rsidRPr="00040E35">
        <w:rPr>
          <w:rStyle w:val="FootnoteReference"/>
          <w:rFonts w:cs="Arial"/>
          <w:sz w:val="16"/>
          <w:szCs w:val="16"/>
        </w:rPr>
        <w:footnoteRef/>
      </w:r>
      <w:r w:rsidRPr="00040E35">
        <w:rPr>
          <w:rFonts w:cs="Arial"/>
          <w:sz w:val="16"/>
          <w:szCs w:val="16"/>
        </w:rPr>
        <w:t xml:space="preserve"> State Government of Victoria (2009) </w:t>
      </w:r>
      <w:r w:rsidRPr="00040E35">
        <w:rPr>
          <w:rFonts w:cs="Arial"/>
          <w:i/>
          <w:iCs/>
          <w:sz w:val="16"/>
          <w:szCs w:val="16"/>
        </w:rPr>
        <w:t xml:space="preserve">Problem gambling from a public health perspective </w:t>
      </w:r>
      <w:r w:rsidRPr="00040E35">
        <w:rPr>
          <w:rFonts w:cs="Arial"/>
          <w:sz w:val="16"/>
          <w:szCs w:val="16"/>
        </w:rPr>
        <w:t>Factsheet 4, Profile of Problem Gambling Risk Segments Department of Justice</w:t>
      </w:r>
    </w:p>
  </w:footnote>
  <w:footnote w:id="168">
    <w:p w:rsidR="0092252C" w:rsidRPr="00040E35" w:rsidRDefault="0092252C" w:rsidP="00F61411">
      <w:pPr>
        <w:spacing w:after="0"/>
        <w:rPr>
          <w:rFonts w:cs="Arial"/>
          <w:sz w:val="16"/>
          <w:szCs w:val="16"/>
        </w:rPr>
      </w:pPr>
      <w:r w:rsidRPr="00040E35">
        <w:rPr>
          <w:rStyle w:val="FootnoteReference"/>
          <w:rFonts w:cs="Arial"/>
          <w:sz w:val="16"/>
          <w:szCs w:val="16"/>
        </w:rPr>
        <w:footnoteRef/>
      </w:r>
      <w:r w:rsidRPr="00040E35">
        <w:rPr>
          <w:rFonts w:cs="Arial"/>
          <w:sz w:val="16"/>
          <w:szCs w:val="16"/>
        </w:rPr>
        <w:t xml:space="preserve"> State Government of Victoria (2009) </w:t>
      </w:r>
      <w:r w:rsidRPr="00040E35">
        <w:rPr>
          <w:rFonts w:cs="Arial"/>
          <w:i/>
          <w:iCs/>
          <w:sz w:val="16"/>
          <w:szCs w:val="16"/>
        </w:rPr>
        <w:t xml:space="preserve">Problem gambling from a public health perspective </w:t>
      </w:r>
      <w:r w:rsidRPr="00040E35">
        <w:rPr>
          <w:rFonts w:cs="Arial"/>
          <w:sz w:val="16"/>
          <w:szCs w:val="16"/>
        </w:rPr>
        <w:t>Factsheet 4, Profile of Problem Gambling Risk Segments Department of Justice</w:t>
      </w:r>
    </w:p>
  </w:footnote>
  <w:footnote w:id="169">
    <w:p w:rsidR="0092252C" w:rsidRPr="00040E35" w:rsidRDefault="0092252C" w:rsidP="00F61411">
      <w:pPr>
        <w:spacing w:after="0"/>
        <w:rPr>
          <w:rFonts w:cs="Arial"/>
          <w:sz w:val="16"/>
          <w:szCs w:val="16"/>
        </w:rPr>
      </w:pPr>
      <w:r w:rsidRPr="00040E35">
        <w:rPr>
          <w:rStyle w:val="FootnoteReference"/>
          <w:rFonts w:cs="Arial"/>
          <w:sz w:val="16"/>
          <w:szCs w:val="16"/>
        </w:rPr>
        <w:footnoteRef/>
      </w:r>
      <w:r w:rsidRPr="00040E35">
        <w:rPr>
          <w:rFonts w:cs="Arial"/>
          <w:sz w:val="16"/>
          <w:szCs w:val="16"/>
        </w:rPr>
        <w:t xml:space="preserve"> State Government of Victoria (2009) </w:t>
      </w:r>
      <w:r w:rsidRPr="00040E35">
        <w:rPr>
          <w:rFonts w:cs="Arial"/>
          <w:i/>
          <w:iCs/>
          <w:sz w:val="16"/>
          <w:szCs w:val="16"/>
        </w:rPr>
        <w:t xml:space="preserve">Problem gambling from a public health perspective </w:t>
      </w:r>
      <w:r w:rsidRPr="00040E35">
        <w:rPr>
          <w:rFonts w:cs="Arial"/>
          <w:sz w:val="16"/>
          <w:szCs w:val="16"/>
        </w:rPr>
        <w:t>Factsheet 4, Profile of Problem Gambling Risk Segments Department of Justice</w:t>
      </w:r>
    </w:p>
  </w:footnote>
  <w:footnote w:id="170">
    <w:p w:rsidR="0092252C" w:rsidRPr="00040E35" w:rsidRDefault="0092252C" w:rsidP="00F61411">
      <w:pPr>
        <w:pStyle w:val="FootnoteText"/>
        <w:rPr>
          <w:rFonts w:asciiTheme="minorHAnsi" w:hAnsiTheme="minorHAnsi"/>
          <w:sz w:val="16"/>
          <w:szCs w:val="16"/>
        </w:rPr>
      </w:pPr>
      <w:r w:rsidRPr="00040E35">
        <w:rPr>
          <w:rStyle w:val="FootnoteReference"/>
          <w:rFonts w:asciiTheme="minorHAnsi" w:hAnsiTheme="minorHAnsi"/>
          <w:sz w:val="16"/>
          <w:szCs w:val="16"/>
        </w:rPr>
        <w:footnoteRef/>
      </w:r>
      <w:r w:rsidRPr="00040E35">
        <w:rPr>
          <w:rFonts w:asciiTheme="minorHAnsi" w:hAnsiTheme="minorHAnsi"/>
          <w:sz w:val="16"/>
          <w:szCs w:val="16"/>
        </w:rPr>
        <w:t xml:space="preserve"> Relative disadvantage, as measured by the SEIFA index of Relative Socio-economic disadvantage is an indicator used by the Commission and Tribunal to assess probable impacts of problem gambling.</w:t>
      </w:r>
    </w:p>
  </w:footnote>
  <w:footnote w:id="171">
    <w:p w:rsidR="0092252C" w:rsidRPr="00040E35" w:rsidRDefault="0092252C" w:rsidP="00F61411">
      <w:pPr>
        <w:pStyle w:val="FootnoteText"/>
        <w:rPr>
          <w:rFonts w:asciiTheme="minorHAnsi" w:hAnsiTheme="minorHAnsi"/>
          <w:sz w:val="16"/>
          <w:szCs w:val="16"/>
        </w:rPr>
      </w:pPr>
      <w:r w:rsidRPr="00040E35">
        <w:rPr>
          <w:rStyle w:val="FootnoteReference"/>
          <w:rFonts w:asciiTheme="minorHAnsi" w:hAnsiTheme="minorHAnsi"/>
          <w:sz w:val="16"/>
          <w:szCs w:val="16"/>
        </w:rPr>
        <w:footnoteRef/>
      </w:r>
      <w:r w:rsidRPr="00040E35">
        <w:rPr>
          <w:rFonts w:asciiTheme="minorHAnsi" w:hAnsiTheme="minorHAnsi"/>
          <w:sz w:val="16"/>
          <w:szCs w:val="16"/>
        </w:rPr>
        <w:t xml:space="preserve"> Department of Justice (2009) Problem gambling from a public health perspective Factsheet 4, Profile of Problem Gambling Risk Segments</w:t>
      </w:r>
    </w:p>
  </w:footnote>
  <w:footnote w:id="172">
    <w:p w:rsidR="0092252C" w:rsidRPr="00040E35" w:rsidRDefault="0092252C" w:rsidP="00F61411">
      <w:pPr>
        <w:pStyle w:val="FootnoteText"/>
        <w:rPr>
          <w:sz w:val="16"/>
          <w:szCs w:val="16"/>
        </w:rPr>
      </w:pPr>
      <w:r w:rsidRPr="00040E35">
        <w:rPr>
          <w:rStyle w:val="FootnoteReference"/>
          <w:sz w:val="16"/>
          <w:szCs w:val="16"/>
        </w:rPr>
        <w:footnoteRef/>
      </w:r>
      <w:r w:rsidRPr="00040E35">
        <w:rPr>
          <w:sz w:val="16"/>
          <w:szCs w:val="16"/>
        </w:rPr>
        <w:t xml:space="preserve"> Wilkins, R (2017) </w:t>
      </w:r>
      <w:r w:rsidRPr="00040E35">
        <w:rPr>
          <w:i/>
          <w:sz w:val="16"/>
          <w:szCs w:val="16"/>
        </w:rPr>
        <w:t>The Household, Income and Labour Dynamics in Australia Survey: Selected Findings from Waves 1 to 15</w:t>
      </w:r>
    </w:p>
  </w:footnote>
  <w:footnote w:id="173">
    <w:p w:rsidR="0092252C" w:rsidRPr="00040E35" w:rsidRDefault="0092252C" w:rsidP="00F61411">
      <w:pPr>
        <w:pStyle w:val="FootnoteText"/>
        <w:rPr>
          <w:rFonts w:asciiTheme="minorHAnsi" w:hAnsiTheme="minorHAnsi"/>
          <w:sz w:val="16"/>
          <w:szCs w:val="16"/>
        </w:rPr>
      </w:pPr>
      <w:r w:rsidRPr="00040E35">
        <w:rPr>
          <w:rStyle w:val="FootnoteReference"/>
          <w:rFonts w:asciiTheme="minorHAnsi" w:hAnsiTheme="minorHAnsi"/>
          <w:sz w:val="16"/>
          <w:szCs w:val="16"/>
        </w:rPr>
        <w:footnoteRef/>
      </w:r>
      <w:r w:rsidRPr="00040E35">
        <w:rPr>
          <w:rFonts w:asciiTheme="minorHAnsi" w:hAnsiTheme="minorHAnsi"/>
          <w:sz w:val="16"/>
          <w:szCs w:val="16"/>
        </w:rPr>
        <w:t xml:space="preserve"> VCGLR decision on the proposed increase of EGMS at the Braybrook Hotel, September 2013. </w:t>
      </w:r>
    </w:p>
  </w:footnote>
  <w:footnote w:id="174">
    <w:p w:rsidR="0092252C" w:rsidRPr="00040E35" w:rsidRDefault="0092252C" w:rsidP="00F61411">
      <w:pPr>
        <w:pStyle w:val="FootnoteText"/>
        <w:rPr>
          <w:rFonts w:asciiTheme="minorHAnsi" w:hAnsiTheme="minorHAnsi"/>
          <w:sz w:val="16"/>
          <w:szCs w:val="16"/>
        </w:rPr>
      </w:pPr>
      <w:r w:rsidRPr="00040E35">
        <w:rPr>
          <w:rStyle w:val="FootnoteReference"/>
          <w:rFonts w:asciiTheme="minorHAnsi" w:hAnsiTheme="minorHAnsi"/>
          <w:sz w:val="16"/>
          <w:szCs w:val="16"/>
        </w:rPr>
        <w:footnoteRef/>
      </w:r>
      <w:r w:rsidRPr="00040E35">
        <w:rPr>
          <w:rFonts w:asciiTheme="minorHAnsi" w:hAnsiTheme="minorHAnsi"/>
          <w:sz w:val="16"/>
          <w:szCs w:val="16"/>
        </w:rPr>
        <w:t xml:space="preserve"> Department of Justice (2009) Problem gambling from a public health perspective, Profile of Problem Gambling Risk Segments</w:t>
      </w:r>
    </w:p>
  </w:footnote>
  <w:footnote w:id="175">
    <w:p w:rsidR="0092252C" w:rsidRPr="00040E35" w:rsidRDefault="0092252C" w:rsidP="00404A0C">
      <w:pPr>
        <w:pStyle w:val="FootnoteText"/>
        <w:rPr>
          <w:rFonts w:asciiTheme="minorHAnsi" w:hAnsiTheme="minorHAnsi"/>
          <w:sz w:val="16"/>
          <w:szCs w:val="16"/>
        </w:rPr>
      </w:pPr>
      <w:r w:rsidRPr="00040E35">
        <w:rPr>
          <w:rStyle w:val="FootnoteReference"/>
          <w:rFonts w:asciiTheme="minorHAnsi" w:hAnsiTheme="minorHAnsi"/>
          <w:sz w:val="16"/>
          <w:szCs w:val="16"/>
        </w:rPr>
        <w:footnoteRef/>
      </w:r>
      <w:r w:rsidRPr="00040E35">
        <w:rPr>
          <w:rFonts w:asciiTheme="minorHAnsi" w:hAnsiTheme="minorHAnsi"/>
          <w:sz w:val="16"/>
          <w:szCs w:val="16"/>
        </w:rPr>
        <w:t xml:space="preserve"> Department of Justice (2009) Problem gambling from a public health perspective Factsheet 4, Profile of Problem Gambling Risk Segments</w:t>
      </w:r>
    </w:p>
  </w:footnote>
  <w:footnote w:id="176">
    <w:p w:rsidR="0092252C" w:rsidRPr="00040E35" w:rsidRDefault="0092252C" w:rsidP="00404A0C">
      <w:pPr>
        <w:pStyle w:val="FootnoteText"/>
        <w:rPr>
          <w:i/>
          <w:sz w:val="16"/>
          <w:szCs w:val="16"/>
        </w:rPr>
      </w:pPr>
      <w:r w:rsidRPr="00040E35">
        <w:rPr>
          <w:rStyle w:val="FootnoteReference"/>
          <w:sz w:val="16"/>
          <w:szCs w:val="16"/>
        </w:rPr>
        <w:footnoteRef/>
      </w:r>
      <w:r w:rsidRPr="00040E35">
        <w:rPr>
          <w:sz w:val="16"/>
          <w:szCs w:val="16"/>
        </w:rPr>
        <w:t xml:space="preserve"> VRGF (2014) </w:t>
      </w:r>
      <w:r w:rsidRPr="00040E35">
        <w:rPr>
          <w:i/>
          <w:sz w:val="16"/>
          <w:szCs w:val="16"/>
        </w:rPr>
        <w:t>Study of gambling and health in Victoria</w:t>
      </w:r>
    </w:p>
  </w:footnote>
  <w:footnote w:id="177">
    <w:p w:rsidR="0092252C" w:rsidRPr="00040E35" w:rsidRDefault="0092252C" w:rsidP="00F61411">
      <w:pPr>
        <w:pStyle w:val="FootnoteText"/>
        <w:rPr>
          <w:rFonts w:asciiTheme="minorHAnsi" w:hAnsiTheme="minorHAnsi"/>
          <w:sz w:val="16"/>
          <w:szCs w:val="16"/>
        </w:rPr>
      </w:pPr>
      <w:r w:rsidRPr="00040E35">
        <w:rPr>
          <w:rStyle w:val="FootnoteReference"/>
          <w:rFonts w:asciiTheme="minorHAnsi" w:hAnsiTheme="minorHAnsi"/>
          <w:sz w:val="16"/>
          <w:szCs w:val="16"/>
        </w:rPr>
        <w:footnoteRef/>
      </w:r>
      <w:r w:rsidRPr="00040E35">
        <w:rPr>
          <w:rFonts w:asciiTheme="minorHAnsi" w:hAnsiTheme="minorHAnsi"/>
          <w:sz w:val="16"/>
          <w:szCs w:val="16"/>
        </w:rPr>
        <w:t xml:space="preserve"> Lemay, A; Bakich, E and Fontaine, A (2006) </w:t>
      </w:r>
      <w:r w:rsidRPr="00040E35">
        <w:rPr>
          <w:rFonts w:asciiTheme="minorHAnsi" w:hAnsiTheme="minorHAnsi"/>
          <w:i/>
          <w:sz w:val="16"/>
          <w:szCs w:val="16"/>
        </w:rPr>
        <w:t xml:space="preserve">Betting on Older Adults. A Problem Gambling Prevention Clinical Manual for Service Providers </w:t>
      </w:r>
      <w:r w:rsidRPr="00040E35">
        <w:rPr>
          <w:rFonts w:asciiTheme="minorHAnsi" w:hAnsiTheme="minorHAnsi"/>
          <w:sz w:val="16"/>
          <w:szCs w:val="16"/>
        </w:rPr>
        <w:t>Sault Area Hospital, St Joseph’s Care Group, Centretown Community Health Centre</w:t>
      </w:r>
    </w:p>
  </w:footnote>
  <w:footnote w:id="178">
    <w:p w:rsidR="0092252C" w:rsidRPr="00040E35" w:rsidRDefault="0092252C" w:rsidP="00F61411">
      <w:pPr>
        <w:pStyle w:val="FootnoteText"/>
        <w:rPr>
          <w:sz w:val="16"/>
          <w:szCs w:val="16"/>
        </w:rPr>
      </w:pPr>
      <w:r w:rsidRPr="00040E35">
        <w:rPr>
          <w:rStyle w:val="FootnoteReference"/>
          <w:sz w:val="16"/>
          <w:szCs w:val="16"/>
        </w:rPr>
        <w:footnoteRef/>
      </w:r>
      <w:r w:rsidRPr="00040E35">
        <w:rPr>
          <w:sz w:val="16"/>
          <w:szCs w:val="16"/>
        </w:rPr>
        <w:t xml:space="preserve"> Wilkins, R (2017) </w:t>
      </w:r>
      <w:r w:rsidRPr="00040E35">
        <w:rPr>
          <w:i/>
          <w:sz w:val="16"/>
          <w:szCs w:val="16"/>
        </w:rPr>
        <w:t>The Household, Income and Labour Dynamics in Australia Survey: Selected Findings from Waves 1 to 15</w:t>
      </w:r>
    </w:p>
  </w:footnote>
  <w:footnote w:id="179">
    <w:p w:rsidR="0092252C" w:rsidRPr="00040E35" w:rsidRDefault="0092252C" w:rsidP="00F61411">
      <w:pPr>
        <w:pStyle w:val="FootnoteText"/>
        <w:rPr>
          <w:rFonts w:asciiTheme="minorHAnsi" w:hAnsiTheme="minorHAnsi"/>
          <w:i/>
          <w:sz w:val="16"/>
          <w:szCs w:val="16"/>
        </w:rPr>
      </w:pPr>
      <w:r w:rsidRPr="00040E35">
        <w:rPr>
          <w:rStyle w:val="FootnoteReference"/>
          <w:rFonts w:asciiTheme="minorHAnsi" w:hAnsiTheme="minorHAnsi"/>
          <w:sz w:val="16"/>
          <w:szCs w:val="16"/>
        </w:rPr>
        <w:footnoteRef/>
      </w:r>
      <w:r w:rsidRPr="00040E35">
        <w:rPr>
          <w:rFonts w:asciiTheme="minorHAnsi" w:hAnsiTheme="minorHAnsi"/>
          <w:sz w:val="16"/>
          <w:szCs w:val="16"/>
        </w:rPr>
        <w:t xml:space="preserve"> City of Monash (2013) </w:t>
      </w:r>
      <w:r w:rsidRPr="00040E35">
        <w:rPr>
          <w:rFonts w:asciiTheme="minorHAnsi" w:hAnsiTheme="minorHAnsi"/>
          <w:i/>
          <w:sz w:val="16"/>
          <w:szCs w:val="16"/>
        </w:rPr>
        <w:t>A Well Hidden Issue. A Research Project Commissioned by the City of Monash into the Impacts of Electronic Gaming Machine Gambling</w:t>
      </w:r>
    </w:p>
  </w:footnote>
  <w:footnote w:id="180">
    <w:p w:rsidR="0092252C" w:rsidRPr="00040E35" w:rsidRDefault="0092252C" w:rsidP="00F61411">
      <w:pPr>
        <w:pStyle w:val="FootnoteText"/>
        <w:rPr>
          <w:rFonts w:asciiTheme="minorHAnsi" w:hAnsiTheme="minorHAnsi"/>
          <w:sz w:val="16"/>
          <w:szCs w:val="16"/>
        </w:rPr>
      </w:pPr>
      <w:r w:rsidRPr="00040E35">
        <w:rPr>
          <w:rStyle w:val="FootnoteReference"/>
          <w:rFonts w:asciiTheme="minorHAnsi" w:hAnsiTheme="minorHAnsi"/>
          <w:sz w:val="16"/>
          <w:szCs w:val="16"/>
        </w:rPr>
        <w:footnoteRef/>
      </w:r>
      <w:r w:rsidRPr="00040E35">
        <w:rPr>
          <w:rFonts w:asciiTheme="minorHAnsi" w:hAnsiTheme="minorHAnsi"/>
          <w:sz w:val="16"/>
          <w:szCs w:val="16"/>
        </w:rPr>
        <w:t xml:space="preserve"> http://www.socialimpactsofpokies.org.au/index.php/3-assessment-framework-and-data-book/priority-populations</w:t>
      </w:r>
    </w:p>
  </w:footnote>
  <w:footnote w:id="181">
    <w:p w:rsidR="0092252C" w:rsidRDefault="0092252C" w:rsidP="00F61411">
      <w:pPr>
        <w:pStyle w:val="FootnoteText"/>
      </w:pPr>
      <w:r w:rsidRPr="002F6FCB">
        <w:rPr>
          <w:rStyle w:val="FootnoteReference"/>
          <w:sz w:val="16"/>
        </w:rPr>
        <w:footnoteRef/>
      </w:r>
      <w:r w:rsidRPr="002F6FCB">
        <w:rPr>
          <w:sz w:val="16"/>
        </w:rPr>
        <w:t xml:space="preserve"> Hing, N., Russell, A., Tolchard, B., &amp; Nower, L. (2015, online). </w:t>
      </w:r>
      <w:r>
        <w:rPr>
          <w:sz w:val="16"/>
        </w:rPr>
        <w:t>‘</w:t>
      </w:r>
      <w:r w:rsidRPr="002F6FCB">
        <w:rPr>
          <w:sz w:val="16"/>
        </w:rPr>
        <w:t>Risk factors for gambling problems: An analysis by gender.</w:t>
      </w:r>
      <w:r>
        <w:rPr>
          <w:sz w:val="16"/>
        </w:rPr>
        <w:t>’</w:t>
      </w:r>
      <w:r w:rsidRPr="002F6FCB">
        <w:rPr>
          <w:sz w:val="16"/>
        </w:rPr>
        <w:t xml:space="preserve"> </w:t>
      </w:r>
      <w:r w:rsidRPr="002F6FCB">
        <w:rPr>
          <w:i/>
          <w:sz w:val="16"/>
        </w:rPr>
        <w:t>Journal of Gambling Studies.</w:t>
      </w:r>
    </w:p>
  </w:footnote>
  <w:footnote w:id="182">
    <w:p w:rsidR="0092252C" w:rsidRPr="00775681" w:rsidRDefault="0092252C" w:rsidP="00F61411">
      <w:pPr>
        <w:pStyle w:val="FootnoteText"/>
        <w:rPr>
          <w:rFonts w:asciiTheme="minorHAnsi" w:hAnsiTheme="minorHAnsi"/>
          <w:sz w:val="16"/>
          <w:szCs w:val="16"/>
        </w:rPr>
      </w:pPr>
      <w:r w:rsidRPr="00775681">
        <w:rPr>
          <w:rStyle w:val="FootnoteReference"/>
          <w:rFonts w:asciiTheme="minorHAnsi" w:hAnsiTheme="minorHAnsi"/>
          <w:sz w:val="16"/>
          <w:szCs w:val="16"/>
        </w:rPr>
        <w:footnoteRef/>
      </w:r>
      <w:r w:rsidRPr="00775681">
        <w:rPr>
          <w:rFonts w:asciiTheme="minorHAnsi" w:hAnsiTheme="minorHAnsi"/>
          <w:sz w:val="16"/>
          <w:szCs w:val="16"/>
        </w:rPr>
        <w:t xml:space="preserve"> </w:t>
      </w:r>
      <w:r w:rsidRPr="00775681">
        <w:rPr>
          <w:rFonts w:asciiTheme="minorHAnsi" w:hAnsiTheme="minorHAnsi" w:cs="Arial"/>
          <w:color w:val="222222"/>
          <w:sz w:val="16"/>
          <w:szCs w:val="16"/>
          <w:lang w:val="en"/>
        </w:rPr>
        <w:t xml:space="preserve">Cookman, M. L., Weatherly, J. N. (2015), 'Investigating Possible Effects of Ethnicity and Age on Gambling as an Escape,' </w:t>
      </w:r>
      <w:r w:rsidRPr="00775681">
        <w:rPr>
          <w:rStyle w:val="Emphasis"/>
          <w:rFonts w:asciiTheme="minorHAnsi" w:hAnsiTheme="minorHAnsi" w:cs="Arial"/>
          <w:color w:val="222222"/>
          <w:sz w:val="16"/>
          <w:szCs w:val="16"/>
          <w:lang w:val="en"/>
        </w:rPr>
        <w:t>Journal of Gambling Studies</w:t>
      </w:r>
      <w:r w:rsidRPr="00775681">
        <w:rPr>
          <w:rFonts w:asciiTheme="minorHAnsi" w:hAnsiTheme="minorHAnsi" w:cs="Arial"/>
          <w:color w:val="222222"/>
          <w:sz w:val="16"/>
          <w:szCs w:val="16"/>
          <w:lang w:val="en"/>
        </w:rPr>
        <w:t>, online 2 June 2015.</w:t>
      </w:r>
    </w:p>
  </w:footnote>
  <w:footnote w:id="183">
    <w:p w:rsidR="0092252C" w:rsidRPr="00040E35" w:rsidRDefault="0092252C" w:rsidP="00F61411">
      <w:pPr>
        <w:pStyle w:val="FootnoteText"/>
        <w:rPr>
          <w:i/>
          <w:sz w:val="16"/>
          <w:szCs w:val="16"/>
        </w:rPr>
      </w:pPr>
      <w:r w:rsidRPr="00040E35">
        <w:rPr>
          <w:rStyle w:val="FootnoteReference"/>
          <w:sz w:val="16"/>
          <w:szCs w:val="16"/>
        </w:rPr>
        <w:footnoteRef/>
      </w:r>
      <w:r w:rsidRPr="00040E35">
        <w:rPr>
          <w:sz w:val="16"/>
          <w:szCs w:val="16"/>
        </w:rPr>
        <w:t xml:space="preserve"> VRGF (2014) </w:t>
      </w:r>
      <w:r w:rsidRPr="00040E35">
        <w:rPr>
          <w:i/>
          <w:sz w:val="16"/>
          <w:szCs w:val="16"/>
        </w:rPr>
        <w:t>Study of gambling and health in Victoria</w:t>
      </w:r>
    </w:p>
  </w:footnote>
  <w:footnote w:id="184">
    <w:p w:rsidR="0092252C" w:rsidRPr="00040E35" w:rsidRDefault="0092252C" w:rsidP="00F61411">
      <w:pPr>
        <w:pStyle w:val="FootnoteText"/>
        <w:rPr>
          <w:sz w:val="16"/>
          <w:szCs w:val="16"/>
        </w:rPr>
      </w:pPr>
      <w:r w:rsidRPr="00040E35">
        <w:rPr>
          <w:rStyle w:val="FootnoteReference"/>
          <w:sz w:val="16"/>
          <w:szCs w:val="16"/>
        </w:rPr>
        <w:footnoteRef/>
      </w:r>
      <w:r w:rsidRPr="00040E35">
        <w:rPr>
          <w:sz w:val="16"/>
          <w:szCs w:val="16"/>
        </w:rPr>
        <w:t xml:space="preserve"> Wilkins, R (2017) </w:t>
      </w:r>
      <w:r w:rsidRPr="00040E35">
        <w:rPr>
          <w:i/>
          <w:sz w:val="16"/>
          <w:szCs w:val="16"/>
        </w:rPr>
        <w:t>The Household, Income and Labour Dynamics in Australia Survey: Selected Findings from Waves 1 to 15</w:t>
      </w:r>
    </w:p>
  </w:footnote>
  <w:footnote w:id="185">
    <w:p w:rsidR="0092252C" w:rsidRPr="00775681" w:rsidRDefault="0092252C" w:rsidP="00F61411">
      <w:pPr>
        <w:pStyle w:val="FootnoteText"/>
        <w:rPr>
          <w:rFonts w:asciiTheme="minorHAnsi" w:hAnsiTheme="minorHAnsi"/>
          <w:sz w:val="16"/>
          <w:szCs w:val="16"/>
        </w:rPr>
      </w:pPr>
      <w:r w:rsidRPr="00775681">
        <w:rPr>
          <w:rStyle w:val="FootnoteReference"/>
          <w:rFonts w:asciiTheme="minorHAnsi" w:hAnsiTheme="minorHAnsi"/>
          <w:sz w:val="16"/>
          <w:szCs w:val="16"/>
        </w:rPr>
        <w:footnoteRef/>
      </w:r>
      <w:r w:rsidRPr="00775681">
        <w:rPr>
          <w:rFonts w:asciiTheme="minorHAnsi" w:hAnsiTheme="minorHAnsi"/>
          <w:sz w:val="16"/>
          <w:szCs w:val="16"/>
        </w:rPr>
        <w:t xml:space="preserve"> </w:t>
      </w:r>
      <w:r w:rsidRPr="00775681">
        <w:rPr>
          <w:rFonts w:asciiTheme="minorHAnsi" w:hAnsiTheme="minorHAnsi" w:cs="Arial"/>
          <w:i/>
          <w:iCs/>
          <w:sz w:val="16"/>
          <w:szCs w:val="16"/>
        </w:rPr>
        <w:t xml:space="preserve">Problem gambling in CALD communities, the evidence base for working with CALD communities </w:t>
      </w:r>
      <w:r w:rsidRPr="00775681">
        <w:rPr>
          <w:rFonts w:asciiTheme="minorHAnsi" w:hAnsiTheme="minorHAnsi" w:cs="Arial"/>
          <w:sz w:val="16"/>
          <w:szCs w:val="16"/>
        </w:rPr>
        <w:t>(2011)</w:t>
      </w:r>
    </w:p>
  </w:footnote>
  <w:footnote w:id="186">
    <w:p w:rsidR="0092252C" w:rsidRPr="00040E35" w:rsidRDefault="0092252C" w:rsidP="00F61411">
      <w:pPr>
        <w:spacing w:after="0"/>
        <w:rPr>
          <w:rFonts w:cs="Arial"/>
          <w:sz w:val="16"/>
          <w:szCs w:val="16"/>
        </w:rPr>
      </w:pPr>
      <w:r w:rsidRPr="00040E35">
        <w:rPr>
          <w:rStyle w:val="FootnoteReference"/>
          <w:rFonts w:cs="Arial"/>
          <w:sz w:val="16"/>
          <w:szCs w:val="16"/>
        </w:rPr>
        <w:footnoteRef/>
      </w:r>
      <w:r w:rsidRPr="00040E35">
        <w:rPr>
          <w:rFonts w:cs="Arial"/>
          <w:sz w:val="16"/>
          <w:szCs w:val="16"/>
        </w:rPr>
        <w:t xml:space="preserve"> State Government of Victoria (2009) </w:t>
      </w:r>
      <w:r w:rsidRPr="00040E35">
        <w:rPr>
          <w:rFonts w:cs="Arial"/>
          <w:i/>
          <w:iCs/>
          <w:sz w:val="16"/>
          <w:szCs w:val="16"/>
        </w:rPr>
        <w:t xml:space="preserve">Problem gambling from a public health perspective </w:t>
      </w:r>
      <w:r w:rsidRPr="00040E35">
        <w:rPr>
          <w:rFonts w:cs="Arial"/>
          <w:sz w:val="16"/>
          <w:szCs w:val="16"/>
        </w:rPr>
        <w:t>Factsheet 4, Profile of Problem Gambling Risk Segments Department of Justice</w:t>
      </w:r>
    </w:p>
  </w:footnote>
  <w:footnote w:id="187">
    <w:p w:rsidR="0092252C" w:rsidRPr="00040E35" w:rsidRDefault="0092252C" w:rsidP="00F61411">
      <w:pPr>
        <w:pStyle w:val="FootnoteText"/>
        <w:rPr>
          <w:rFonts w:asciiTheme="minorHAnsi" w:hAnsiTheme="minorHAnsi" w:cstheme="minorHAnsi"/>
          <w:sz w:val="16"/>
          <w:szCs w:val="16"/>
        </w:rPr>
      </w:pPr>
      <w:r w:rsidRPr="00040E35">
        <w:rPr>
          <w:rStyle w:val="FootnoteReference"/>
          <w:rFonts w:asciiTheme="minorHAnsi" w:hAnsiTheme="minorHAnsi"/>
          <w:sz w:val="16"/>
          <w:szCs w:val="16"/>
        </w:rPr>
        <w:footnoteRef/>
      </w:r>
      <w:r w:rsidRPr="00040E35">
        <w:rPr>
          <w:rFonts w:asciiTheme="minorHAnsi" w:hAnsiTheme="minorHAnsi"/>
          <w:sz w:val="16"/>
          <w:szCs w:val="16"/>
        </w:rPr>
        <w:t xml:space="preserve"> </w:t>
      </w:r>
      <w:r w:rsidRPr="00040E35">
        <w:rPr>
          <w:rFonts w:asciiTheme="minorHAnsi" w:hAnsiTheme="minorHAnsi" w:cs="Arial"/>
          <w:iCs/>
          <w:sz w:val="16"/>
          <w:szCs w:val="16"/>
        </w:rPr>
        <w:t xml:space="preserve">Department of Justice (undated) </w:t>
      </w:r>
      <w:r w:rsidRPr="00040E35">
        <w:rPr>
          <w:rFonts w:asciiTheme="minorHAnsi" w:hAnsiTheme="minorHAnsi" w:cs="Arial"/>
          <w:i/>
          <w:iCs/>
          <w:sz w:val="16"/>
          <w:szCs w:val="16"/>
        </w:rPr>
        <w:t xml:space="preserve">A guide to using a health promotion approach to problem gambling </w:t>
      </w:r>
      <w:r w:rsidRPr="00040E35">
        <w:rPr>
          <w:rFonts w:asciiTheme="minorHAnsi" w:hAnsiTheme="minorHAnsi" w:cs="Arial"/>
          <w:sz w:val="16"/>
          <w:szCs w:val="16"/>
        </w:rPr>
        <w:t xml:space="preserve">State </w:t>
      </w:r>
      <w:r w:rsidRPr="00040E35">
        <w:rPr>
          <w:rFonts w:asciiTheme="minorHAnsi" w:hAnsiTheme="minorHAnsi" w:cstheme="minorHAnsi"/>
          <w:sz w:val="16"/>
          <w:szCs w:val="16"/>
        </w:rPr>
        <w:t>Government of Victoria</w:t>
      </w:r>
    </w:p>
  </w:footnote>
  <w:footnote w:id="188">
    <w:p w:rsidR="0092252C" w:rsidRPr="00040E35" w:rsidRDefault="0092252C" w:rsidP="00F61411">
      <w:pPr>
        <w:pStyle w:val="FootnoteText"/>
        <w:rPr>
          <w:rFonts w:asciiTheme="minorHAnsi" w:hAnsiTheme="minorHAnsi"/>
          <w:sz w:val="16"/>
          <w:szCs w:val="16"/>
        </w:rPr>
      </w:pPr>
      <w:r w:rsidRPr="00040E35">
        <w:rPr>
          <w:rStyle w:val="FootnoteReference"/>
          <w:rFonts w:asciiTheme="minorHAnsi" w:hAnsiTheme="minorHAnsi"/>
          <w:sz w:val="16"/>
          <w:szCs w:val="16"/>
        </w:rPr>
        <w:footnoteRef/>
      </w:r>
      <w:r w:rsidRPr="00040E35">
        <w:rPr>
          <w:rFonts w:asciiTheme="minorHAnsi" w:hAnsiTheme="minorHAnsi"/>
          <w:sz w:val="16"/>
          <w:szCs w:val="16"/>
        </w:rPr>
        <w:t xml:space="preserve"> de Castella, A et al (2011) Problem Gambling in People Presenting to A Public Mental Health Service Office of Gaming and Racing, Department of Justice</w:t>
      </w:r>
    </w:p>
  </w:footnote>
  <w:footnote w:id="189">
    <w:p w:rsidR="0092252C" w:rsidRPr="00040E35" w:rsidRDefault="0092252C" w:rsidP="00F61411">
      <w:pPr>
        <w:pStyle w:val="FootnoteText"/>
        <w:rPr>
          <w:rFonts w:asciiTheme="minorHAnsi" w:hAnsiTheme="minorHAnsi"/>
          <w:sz w:val="16"/>
          <w:szCs w:val="16"/>
        </w:rPr>
      </w:pPr>
      <w:r w:rsidRPr="00040E35">
        <w:rPr>
          <w:rStyle w:val="FootnoteReference"/>
          <w:rFonts w:asciiTheme="minorHAnsi" w:hAnsiTheme="minorHAnsi"/>
          <w:sz w:val="16"/>
          <w:szCs w:val="16"/>
        </w:rPr>
        <w:footnoteRef/>
      </w:r>
      <w:r w:rsidRPr="00040E35">
        <w:rPr>
          <w:rFonts w:asciiTheme="minorHAnsi" w:hAnsiTheme="minorHAnsi"/>
          <w:sz w:val="16"/>
          <w:szCs w:val="16"/>
        </w:rPr>
        <w:t xml:space="preserve">Department of Justice (undated) </w:t>
      </w:r>
      <w:r w:rsidRPr="00040E35">
        <w:rPr>
          <w:rFonts w:asciiTheme="minorHAnsi" w:hAnsiTheme="minorHAnsi"/>
          <w:i/>
          <w:sz w:val="16"/>
          <w:szCs w:val="16"/>
        </w:rPr>
        <w:t>A guide to using a health promotion approach to problem gambling</w:t>
      </w:r>
    </w:p>
  </w:footnote>
  <w:footnote w:id="190">
    <w:p w:rsidR="0092252C" w:rsidRPr="00E256E4" w:rsidRDefault="0092252C" w:rsidP="00F61411">
      <w:pPr>
        <w:pStyle w:val="FootnoteText"/>
        <w:rPr>
          <w:rFonts w:asciiTheme="minorHAnsi" w:hAnsiTheme="minorHAnsi"/>
          <w:i/>
          <w:sz w:val="16"/>
          <w:szCs w:val="16"/>
        </w:rPr>
      </w:pPr>
      <w:r w:rsidRPr="00E256E4">
        <w:rPr>
          <w:rStyle w:val="FootnoteReference"/>
          <w:rFonts w:asciiTheme="minorHAnsi" w:hAnsiTheme="minorHAnsi"/>
          <w:sz w:val="16"/>
          <w:szCs w:val="16"/>
        </w:rPr>
        <w:footnoteRef/>
      </w:r>
      <w:r w:rsidRPr="00E256E4">
        <w:rPr>
          <w:rFonts w:asciiTheme="minorHAnsi" w:hAnsiTheme="minorHAnsi"/>
          <w:sz w:val="16"/>
          <w:szCs w:val="16"/>
        </w:rPr>
        <w:t xml:space="preserve"> VAGO (2010) </w:t>
      </w:r>
      <w:r w:rsidRPr="00E256E4">
        <w:rPr>
          <w:rFonts w:asciiTheme="minorHAnsi" w:hAnsiTheme="minorHAnsi"/>
          <w:i/>
          <w:sz w:val="16"/>
          <w:szCs w:val="16"/>
        </w:rPr>
        <w:t>Taking Action on Problem Gambling</w:t>
      </w:r>
    </w:p>
  </w:footnote>
  <w:footnote w:id="191">
    <w:p w:rsidR="0092252C" w:rsidRPr="00E256E4" w:rsidRDefault="0092252C" w:rsidP="00F61411">
      <w:pPr>
        <w:pStyle w:val="FootnoteText"/>
        <w:rPr>
          <w:rFonts w:asciiTheme="minorHAnsi" w:hAnsiTheme="minorHAnsi"/>
          <w:sz w:val="16"/>
          <w:szCs w:val="16"/>
        </w:rPr>
      </w:pPr>
      <w:r w:rsidRPr="00E256E4">
        <w:rPr>
          <w:rStyle w:val="FootnoteReference"/>
          <w:rFonts w:asciiTheme="minorHAnsi" w:hAnsiTheme="minorHAnsi"/>
          <w:sz w:val="16"/>
          <w:szCs w:val="16"/>
        </w:rPr>
        <w:footnoteRef/>
      </w:r>
      <w:r w:rsidRPr="00E256E4">
        <w:rPr>
          <w:rFonts w:asciiTheme="minorHAnsi" w:hAnsiTheme="minorHAnsi"/>
          <w:sz w:val="16"/>
          <w:szCs w:val="16"/>
        </w:rPr>
        <w:t xml:space="preserve"> </w:t>
      </w:r>
      <w:hyperlink r:id="rId13" w:history="1">
        <w:r w:rsidRPr="00E256E4">
          <w:rPr>
            <w:rStyle w:val="Hyperlink"/>
            <w:rFonts w:asciiTheme="minorHAnsi" w:eastAsiaTheme="minorHAnsi" w:hAnsiTheme="minorHAnsi" w:cs="Segoe UI"/>
            <w:sz w:val="16"/>
            <w:szCs w:val="16"/>
          </w:rPr>
          <w:t>http://www.tobaccoinaustralia.org.au/15-4-overview-of-key-public-areas-and-environments</w:t>
        </w:r>
      </w:hyperlink>
      <w:r w:rsidRPr="00E256E4">
        <w:rPr>
          <w:rFonts w:asciiTheme="minorHAnsi" w:eastAsiaTheme="minorHAnsi" w:hAnsiTheme="minorHAnsi" w:cs="Segoe UI"/>
          <w:color w:val="000000"/>
          <w:sz w:val="16"/>
          <w:szCs w:val="16"/>
        </w:rPr>
        <w:t xml:space="preserve"> </w:t>
      </w:r>
    </w:p>
  </w:footnote>
  <w:footnote w:id="192">
    <w:p w:rsidR="0092252C" w:rsidRPr="00E256E4" w:rsidRDefault="0092252C" w:rsidP="00F61411">
      <w:pPr>
        <w:pStyle w:val="FootnoteText"/>
        <w:rPr>
          <w:sz w:val="16"/>
          <w:szCs w:val="16"/>
        </w:rPr>
      </w:pPr>
      <w:r w:rsidRPr="00E256E4">
        <w:rPr>
          <w:rStyle w:val="FootnoteReference"/>
          <w:sz w:val="16"/>
          <w:szCs w:val="16"/>
        </w:rPr>
        <w:footnoteRef/>
      </w:r>
      <w:r w:rsidRPr="00E256E4">
        <w:rPr>
          <w:sz w:val="16"/>
          <w:szCs w:val="16"/>
        </w:rPr>
        <w:t xml:space="preserve"> Wilkins, R (2017) </w:t>
      </w:r>
      <w:r w:rsidRPr="00E256E4">
        <w:rPr>
          <w:i/>
          <w:sz w:val="16"/>
          <w:szCs w:val="16"/>
        </w:rPr>
        <w:t>The Household, Income and Labour Dynamics in Australia Survey: Selected Findings from Waves 1 to 15</w:t>
      </w:r>
    </w:p>
  </w:footnote>
  <w:footnote w:id="193">
    <w:p w:rsidR="0092252C" w:rsidRPr="00E256E4" w:rsidRDefault="0092252C" w:rsidP="00F61411">
      <w:pPr>
        <w:pStyle w:val="FootnoteText"/>
        <w:rPr>
          <w:rFonts w:asciiTheme="minorHAnsi" w:hAnsiTheme="minorHAnsi"/>
          <w:sz w:val="16"/>
          <w:szCs w:val="16"/>
        </w:rPr>
      </w:pPr>
      <w:r w:rsidRPr="00E256E4">
        <w:rPr>
          <w:rStyle w:val="FootnoteReference"/>
          <w:rFonts w:asciiTheme="minorHAnsi" w:hAnsiTheme="minorHAnsi"/>
          <w:sz w:val="16"/>
          <w:szCs w:val="16"/>
        </w:rPr>
        <w:footnoteRef/>
      </w:r>
      <w:r w:rsidRPr="00E256E4">
        <w:rPr>
          <w:rFonts w:asciiTheme="minorHAnsi" w:hAnsiTheme="minorHAnsi"/>
          <w:sz w:val="16"/>
          <w:szCs w:val="16"/>
        </w:rPr>
        <w:t xml:space="preserve"> Victorian Responsible Gambling Foundation (2015) </w:t>
      </w:r>
      <w:r w:rsidRPr="00E256E4">
        <w:rPr>
          <w:rFonts w:asciiTheme="minorHAnsi" w:hAnsiTheme="minorHAnsi"/>
          <w:i/>
          <w:sz w:val="16"/>
          <w:szCs w:val="16"/>
        </w:rPr>
        <w:t>Study of Gambling and Health in Victoria. Findings from the Victorian Prevalence Study 2014</w:t>
      </w:r>
    </w:p>
  </w:footnote>
  <w:footnote w:id="194">
    <w:p w:rsidR="0092252C" w:rsidRPr="00E256E4" w:rsidRDefault="0092252C" w:rsidP="00F61411">
      <w:pPr>
        <w:pStyle w:val="FootnoteText"/>
        <w:rPr>
          <w:sz w:val="16"/>
          <w:szCs w:val="16"/>
        </w:rPr>
      </w:pPr>
      <w:r w:rsidRPr="00E256E4">
        <w:rPr>
          <w:rStyle w:val="FootnoteReference"/>
          <w:sz w:val="16"/>
          <w:szCs w:val="16"/>
        </w:rPr>
        <w:footnoteRef/>
      </w:r>
      <w:r w:rsidRPr="00E256E4">
        <w:rPr>
          <w:sz w:val="16"/>
          <w:szCs w:val="16"/>
        </w:rPr>
        <w:t xml:space="preserve"> Leino, T. et al (2017) ‘Gambling behavior in alcohol-serving and non-alcohol-serving-venues: a study of electronic gaming machine players using account records’ </w:t>
      </w:r>
      <w:r w:rsidRPr="00E256E4">
        <w:rPr>
          <w:i/>
          <w:sz w:val="16"/>
          <w:szCs w:val="16"/>
        </w:rPr>
        <w:t xml:space="preserve">Addiction Research &amp; Theory </w:t>
      </w:r>
      <w:r w:rsidRPr="00E256E4">
        <w:rPr>
          <w:sz w:val="16"/>
          <w:szCs w:val="16"/>
        </w:rPr>
        <w:t>25.:3, 201-297   https://www.academia.edu/32303619/Leino_T._Sagoe_D._Griffiths_M.D._Mentzoni_R.A._Pallesen_S._and_Molde_H._2017_._Gambling_behavior_in_alcohol-serving_and_non-alcohol-serving_venues_A_study_of_electronic_gaming_machine_players_using_account_records._Addiction_Research_and_Theory_25_201-207</w:t>
      </w:r>
    </w:p>
  </w:footnote>
  <w:footnote w:id="195">
    <w:p w:rsidR="0092252C" w:rsidRPr="00E256E4" w:rsidRDefault="0092252C" w:rsidP="00F61411">
      <w:pPr>
        <w:pStyle w:val="FootnoteText"/>
        <w:rPr>
          <w:sz w:val="16"/>
          <w:szCs w:val="16"/>
        </w:rPr>
      </w:pPr>
      <w:r w:rsidRPr="00E256E4">
        <w:rPr>
          <w:rStyle w:val="FootnoteReference"/>
          <w:sz w:val="16"/>
          <w:szCs w:val="16"/>
        </w:rPr>
        <w:footnoteRef/>
      </w:r>
      <w:r w:rsidRPr="00E256E4">
        <w:rPr>
          <w:sz w:val="16"/>
          <w:szCs w:val="16"/>
        </w:rPr>
        <w:t xml:space="preserve"> Wilkins, R (2017) </w:t>
      </w:r>
      <w:r w:rsidRPr="00E256E4">
        <w:rPr>
          <w:i/>
          <w:sz w:val="16"/>
          <w:szCs w:val="16"/>
        </w:rPr>
        <w:t>The Household, Income and Labour Dynamics in Australia Survey: Selected Findings from Waves 1 to 15</w:t>
      </w:r>
    </w:p>
  </w:footnote>
  <w:footnote w:id="196">
    <w:p w:rsidR="0092252C" w:rsidRPr="00E256E4" w:rsidRDefault="0092252C" w:rsidP="00F61411">
      <w:pPr>
        <w:spacing w:after="0"/>
        <w:rPr>
          <w:sz w:val="16"/>
          <w:szCs w:val="16"/>
        </w:rPr>
      </w:pPr>
      <w:r w:rsidRPr="00E256E4">
        <w:rPr>
          <w:rStyle w:val="FootnoteReference"/>
          <w:sz w:val="16"/>
          <w:szCs w:val="16"/>
        </w:rPr>
        <w:footnoteRef/>
      </w:r>
      <w:r w:rsidRPr="00E256E4">
        <w:rPr>
          <w:sz w:val="16"/>
          <w:szCs w:val="16"/>
        </w:rPr>
        <w:t xml:space="preserve"> </w:t>
      </w:r>
      <w:r w:rsidRPr="00E256E4">
        <w:rPr>
          <w:rFonts w:eastAsiaTheme="minorHAnsi"/>
          <w:sz w:val="16"/>
          <w:szCs w:val="16"/>
        </w:rPr>
        <w:t xml:space="preserve">Dowling, NA, Cowlishaw, S, Jackson, AC, Merkouris, SS, Francis, KL &amp; Christensen, DR (2015), ‘Prevalence of psychiatric co-morbidity in treatment-seeking problem gamblers’, </w:t>
      </w:r>
      <w:r w:rsidRPr="00E256E4">
        <w:rPr>
          <w:rFonts w:asciiTheme="minorHAnsi" w:eastAsiaTheme="minorHAnsi" w:hAnsiTheme="minorHAnsi" w:cs="TradeGothicLTStd-Cn18Obl"/>
          <w:i/>
          <w:iCs/>
          <w:sz w:val="16"/>
          <w:szCs w:val="16"/>
        </w:rPr>
        <w:t>Australian &amp; New Zealand Journal of Psychiatry</w:t>
      </w:r>
      <w:r w:rsidRPr="00E256E4">
        <w:rPr>
          <w:rFonts w:asciiTheme="minorHAnsi" w:eastAsiaTheme="minorHAnsi" w:hAnsiTheme="minorHAnsi"/>
          <w:sz w:val="16"/>
          <w:szCs w:val="16"/>
        </w:rPr>
        <w:t>,</w:t>
      </w:r>
      <w:r w:rsidRPr="00E256E4">
        <w:rPr>
          <w:rFonts w:eastAsiaTheme="minorHAnsi"/>
          <w:sz w:val="16"/>
          <w:szCs w:val="16"/>
        </w:rPr>
        <w:t xml:space="preserve"> online 3 March 2015.</w:t>
      </w:r>
    </w:p>
  </w:footnote>
  <w:footnote w:id="197">
    <w:p w:rsidR="0092252C" w:rsidRPr="00E256E4" w:rsidRDefault="0092252C" w:rsidP="00F61411">
      <w:pPr>
        <w:pStyle w:val="FootnoteText"/>
        <w:rPr>
          <w:sz w:val="16"/>
          <w:szCs w:val="16"/>
        </w:rPr>
      </w:pPr>
      <w:r w:rsidRPr="00E256E4">
        <w:rPr>
          <w:rStyle w:val="FootnoteReference"/>
          <w:sz w:val="16"/>
          <w:szCs w:val="16"/>
        </w:rPr>
        <w:footnoteRef/>
      </w:r>
      <w:r w:rsidRPr="00E256E4">
        <w:rPr>
          <w:sz w:val="16"/>
          <w:szCs w:val="16"/>
        </w:rPr>
        <w:t xml:space="preserve"> </w:t>
      </w:r>
      <w:r w:rsidRPr="00E256E4">
        <w:rPr>
          <w:iCs/>
          <w:sz w:val="16"/>
          <w:szCs w:val="16"/>
        </w:rPr>
        <w:t>State Government of Victoria (2008) p189</w:t>
      </w:r>
    </w:p>
  </w:footnote>
  <w:footnote w:id="198">
    <w:p w:rsidR="0092252C" w:rsidRPr="00E256E4" w:rsidRDefault="0092252C" w:rsidP="00F61411">
      <w:pPr>
        <w:pStyle w:val="FootnoteText"/>
        <w:rPr>
          <w:rFonts w:asciiTheme="minorHAnsi" w:hAnsiTheme="minorHAnsi"/>
          <w:i/>
          <w:sz w:val="16"/>
          <w:szCs w:val="16"/>
        </w:rPr>
      </w:pPr>
      <w:r w:rsidRPr="00E256E4">
        <w:rPr>
          <w:rStyle w:val="FootnoteReference"/>
          <w:rFonts w:asciiTheme="minorHAnsi" w:hAnsiTheme="minorHAnsi"/>
          <w:sz w:val="16"/>
          <w:szCs w:val="16"/>
        </w:rPr>
        <w:footnoteRef/>
      </w:r>
      <w:r w:rsidRPr="00E256E4">
        <w:rPr>
          <w:rFonts w:asciiTheme="minorHAnsi" w:hAnsiTheme="minorHAnsi"/>
          <w:sz w:val="16"/>
          <w:szCs w:val="16"/>
        </w:rPr>
        <w:t xml:space="preserve"> VAGO (2010) </w:t>
      </w:r>
      <w:r w:rsidRPr="00E256E4">
        <w:rPr>
          <w:rFonts w:asciiTheme="minorHAnsi" w:hAnsiTheme="minorHAnsi"/>
          <w:i/>
          <w:sz w:val="16"/>
          <w:szCs w:val="16"/>
        </w:rPr>
        <w:t>Taking Action on Problem Gambling</w:t>
      </w:r>
    </w:p>
  </w:footnote>
  <w:footnote w:id="199">
    <w:p w:rsidR="0092252C" w:rsidRPr="00E256E4" w:rsidRDefault="0092252C" w:rsidP="00F61411">
      <w:pPr>
        <w:spacing w:after="0"/>
        <w:rPr>
          <w:sz w:val="16"/>
          <w:szCs w:val="16"/>
        </w:rPr>
      </w:pPr>
      <w:r w:rsidRPr="00E256E4">
        <w:rPr>
          <w:rStyle w:val="FootnoteReference"/>
          <w:sz w:val="16"/>
          <w:szCs w:val="16"/>
        </w:rPr>
        <w:footnoteRef/>
      </w:r>
      <w:r w:rsidRPr="00E256E4">
        <w:rPr>
          <w:sz w:val="16"/>
          <w:szCs w:val="16"/>
        </w:rPr>
        <w:t xml:space="preserve"> </w:t>
      </w:r>
      <w:r w:rsidRPr="00E256E4">
        <w:rPr>
          <w:iCs/>
          <w:sz w:val="16"/>
          <w:szCs w:val="16"/>
        </w:rPr>
        <w:t>State Government of Victoria (2008) p15</w:t>
      </w:r>
    </w:p>
  </w:footnote>
  <w:footnote w:id="200">
    <w:p w:rsidR="0092252C" w:rsidRPr="00E256E4" w:rsidRDefault="0092252C" w:rsidP="00F61411">
      <w:pPr>
        <w:pStyle w:val="FootnoteText"/>
        <w:rPr>
          <w:sz w:val="16"/>
          <w:szCs w:val="16"/>
        </w:rPr>
      </w:pPr>
      <w:r w:rsidRPr="00E256E4">
        <w:rPr>
          <w:rStyle w:val="FootnoteReference"/>
          <w:sz w:val="16"/>
          <w:szCs w:val="16"/>
        </w:rPr>
        <w:footnoteRef/>
      </w:r>
      <w:r w:rsidRPr="00E256E4">
        <w:rPr>
          <w:sz w:val="16"/>
          <w:szCs w:val="16"/>
        </w:rPr>
        <w:t xml:space="preserve"> Miller, H. (2015) </w:t>
      </w:r>
      <w:r w:rsidRPr="00E256E4">
        <w:rPr>
          <w:i/>
          <w:sz w:val="16"/>
          <w:szCs w:val="16"/>
        </w:rPr>
        <w:t xml:space="preserve">Background Paper. Risk Factors for Problem Gambling: Environmental, geographic, social, cultural, demographic, socio-economic, family and household. </w:t>
      </w:r>
      <w:r w:rsidRPr="00E256E4">
        <w:rPr>
          <w:sz w:val="16"/>
          <w:szCs w:val="16"/>
        </w:rPr>
        <w:t>Victorian Responsible Gambling Foundation</w:t>
      </w:r>
    </w:p>
  </w:footnote>
  <w:footnote w:id="201">
    <w:p w:rsidR="0092252C" w:rsidRPr="00E256E4" w:rsidRDefault="0092252C" w:rsidP="00F61411">
      <w:pPr>
        <w:pStyle w:val="FootnoteText"/>
        <w:rPr>
          <w:sz w:val="16"/>
          <w:szCs w:val="16"/>
        </w:rPr>
      </w:pPr>
      <w:r w:rsidRPr="00E256E4">
        <w:rPr>
          <w:rStyle w:val="FootnoteReference"/>
          <w:sz w:val="16"/>
          <w:szCs w:val="16"/>
        </w:rPr>
        <w:footnoteRef/>
      </w:r>
      <w:r w:rsidRPr="00E256E4">
        <w:rPr>
          <w:sz w:val="16"/>
          <w:szCs w:val="16"/>
        </w:rPr>
        <w:t xml:space="preserve"> Botterill, E, Gill, PR, McLaren, S &amp; Gomez, R (2015), ‘Marital Status and Problem Gambling Among Australian Older Adults: The Mediating Role of Loneliness’, </w:t>
      </w:r>
      <w:r w:rsidRPr="00E256E4">
        <w:rPr>
          <w:i/>
          <w:sz w:val="16"/>
          <w:szCs w:val="16"/>
        </w:rPr>
        <w:t>Journal of Gambling Studies</w:t>
      </w:r>
      <w:r w:rsidRPr="00E256E4">
        <w:rPr>
          <w:sz w:val="16"/>
          <w:szCs w:val="16"/>
        </w:rPr>
        <w:t>, Online first, 8 October 2015</w:t>
      </w:r>
    </w:p>
  </w:footnote>
  <w:footnote w:id="202">
    <w:p w:rsidR="0092252C" w:rsidRPr="00E256E4" w:rsidRDefault="0092252C" w:rsidP="00F61411">
      <w:pPr>
        <w:pStyle w:val="FootnoteText"/>
        <w:rPr>
          <w:sz w:val="16"/>
          <w:szCs w:val="16"/>
        </w:rPr>
      </w:pPr>
      <w:r w:rsidRPr="00E256E4">
        <w:rPr>
          <w:rStyle w:val="FootnoteReference"/>
          <w:sz w:val="16"/>
          <w:szCs w:val="16"/>
        </w:rPr>
        <w:footnoteRef/>
      </w:r>
      <w:r w:rsidRPr="00E256E4">
        <w:rPr>
          <w:sz w:val="16"/>
          <w:szCs w:val="16"/>
        </w:rPr>
        <w:t xml:space="preserve"> Hing, N., Russell, A., Tolchard, B., &amp; Nower, L. (2015) online. Risk factors for gambling problems: An analysis by gender. Journal of Gambling Studies.</w:t>
      </w:r>
    </w:p>
  </w:footnote>
  <w:footnote w:id="203">
    <w:p w:rsidR="0092252C" w:rsidRPr="00E256E4" w:rsidRDefault="0092252C" w:rsidP="00F61411">
      <w:pPr>
        <w:pStyle w:val="FootnoteText"/>
        <w:rPr>
          <w:sz w:val="16"/>
          <w:szCs w:val="16"/>
        </w:rPr>
      </w:pPr>
      <w:r w:rsidRPr="00E256E4">
        <w:rPr>
          <w:rStyle w:val="FootnoteReference"/>
          <w:sz w:val="16"/>
          <w:szCs w:val="16"/>
        </w:rPr>
        <w:footnoteRef/>
      </w:r>
      <w:r w:rsidRPr="00E256E4">
        <w:rPr>
          <w:sz w:val="16"/>
          <w:szCs w:val="16"/>
        </w:rPr>
        <w:t xml:space="preserve"> </w:t>
      </w:r>
      <w:r w:rsidRPr="00E256E4">
        <w:rPr>
          <w:iCs/>
          <w:sz w:val="16"/>
          <w:szCs w:val="16"/>
        </w:rPr>
        <w:t>State Government of Victoria (2008) p116</w:t>
      </w:r>
    </w:p>
  </w:footnote>
  <w:footnote w:id="204">
    <w:p w:rsidR="0092252C" w:rsidRPr="00E256E4" w:rsidRDefault="0092252C" w:rsidP="00F61411">
      <w:pPr>
        <w:pStyle w:val="FootnoteText"/>
        <w:rPr>
          <w:sz w:val="16"/>
          <w:szCs w:val="16"/>
        </w:rPr>
      </w:pPr>
      <w:r w:rsidRPr="00E256E4">
        <w:rPr>
          <w:rStyle w:val="FootnoteReference"/>
          <w:sz w:val="16"/>
          <w:szCs w:val="16"/>
        </w:rPr>
        <w:footnoteRef/>
      </w:r>
      <w:r w:rsidRPr="00E256E4">
        <w:rPr>
          <w:sz w:val="16"/>
          <w:szCs w:val="16"/>
        </w:rPr>
        <w:t xml:space="preserve"> Hing, N., Russell, A., Tolchard, B., &amp; Nower, L. (2015, online). ‘Risk factors for gambling problems: An analysis by gender.’ </w:t>
      </w:r>
      <w:r w:rsidRPr="00E256E4">
        <w:rPr>
          <w:i/>
          <w:sz w:val="16"/>
          <w:szCs w:val="16"/>
        </w:rPr>
        <w:t>Journal of Gambling Studies.</w:t>
      </w:r>
    </w:p>
  </w:footnote>
  <w:footnote w:id="205">
    <w:p w:rsidR="0092252C" w:rsidRPr="00E256E4" w:rsidRDefault="0092252C" w:rsidP="00F61411">
      <w:pPr>
        <w:spacing w:after="0"/>
        <w:rPr>
          <w:sz w:val="16"/>
          <w:szCs w:val="16"/>
        </w:rPr>
      </w:pPr>
      <w:r w:rsidRPr="00E256E4">
        <w:rPr>
          <w:rStyle w:val="FootnoteReference"/>
          <w:sz w:val="16"/>
          <w:szCs w:val="16"/>
        </w:rPr>
        <w:footnoteRef/>
      </w:r>
      <w:r w:rsidRPr="00E256E4">
        <w:rPr>
          <w:sz w:val="16"/>
          <w:szCs w:val="16"/>
        </w:rPr>
        <w:t xml:space="preserve"> </w:t>
      </w:r>
      <w:r w:rsidRPr="00E256E4">
        <w:rPr>
          <w:rFonts w:eastAsiaTheme="minorHAnsi"/>
          <w:sz w:val="16"/>
          <w:szCs w:val="16"/>
        </w:rPr>
        <w:t xml:space="preserve">Dowling, NA, Cowlishaw, S, Jackson, AC, Merkouris, SS, Francis, KL &amp; Christensen, DR (2015), ‘Prevalence of psychiatric co-morbidity in treatment-seeking problem gamblers’, </w:t>
      </w:r>
      <w:r w:rsidRPr="00E256E4">
        <w:rPr>
          <w:rFonts w:asciiTheme="minorHAnsi" w:eastAsiaTheme="minorHAnsi" w:hAnsiTheme="minorHAnsi" w:cs="TradeGothicLTStd-Cn18Obl"/>
          <w:i/>
          <w:iCs/>
          <w:sz w:val="16"/>
          <w:szCs w:val="16"/>
        </w:rPr>
        <w:t>Australian &amp; New Zealand Journal of Psychiatry</w:t>
      </w:r>
      <w:r w:rsidRPr="00E256E4">
        <w:rPr>
          <w:rFonts w:asciiTheme="minorHAnsi" w:eastAsiaTheme="minorHAnsi" w:hAnsiTheme="minorHAnsi"/>
          <w:sz w:val="16"/>
          <w:szCs w:val="16"/>
        </w:rPr>
        <w:t>,</w:t>
      </w:r>
      <w:r w:rsidRPr="00E256E4">
        <w:rPr>
          <w:rFonts w:eastAsiaTheme="minorHAnsi"/>
          <w:sz w:val="16"/>
          <w:szCs w:val="16"/>
        </w:rPr>
        <w:t xml:space="preserve"> online 3 March 2015.</w:t>
      </w:r>
    </w:p>
  </w:footnote>
  <w:footnote w:id="206">
    <w:p w:rsidR="0092252C" w:rsidRPr="00E256E4" w:rsidRDefault="0092252C" w:rsidP="00F61411">
      <w:pPr>
        <w:pStyle w:val="FootnoteText"/>
        <w:rPr>
          <w:sz w:val="16"/>
          <w:szCs w:val="16"/>
        </w:rPr>
      </w:pPr>
      <w:r w:rsidRPr="00E256E4">
        <w:rPr>
          <w:rStyle w:val="FootnoteReference"/>
          <w:sz w:val="16"/>
          <w:szCs w:val="16"/>
        </w:rPr>
        <w:footnoteRef/>
      </w:r>
      <w:r w:rsidRPr="00E256E4">
        <w:rPr>
          <w:sz w:val="16"/>
          <w:szCs w:val="16"/>
        </w:rPr>
        <w:t xml:space="preserve"> Victorian Responsible Gambling Foundation (2015) </w:t>
      </w:r>
      <w:r w:rsidRPr="00E256E4">
        <w:rPr>
          <w:i/>
          <w:sz w:val="16"/>
          <w:szCs w:val="16"/>
        </w:rPr>
        <w:t>Study of Gambling and Health in Victoria. Findings from the Victorian Prevalence Study 2014</w:t>
      </w:r>
    </w:p>
  </w:footnote>
  <w:footnote w:id="207">
    <w:p w:rsidR="0092252C" w:rsidRPr="009039E2" w:rsidRDefault="0092252C" w:rsidP="003D1F93">
      <w:pPr>
        <w:pStyle w:val="FootnoteText"/>
        <w:rPr>
          <w:rFonts w:cs="Arial"/>
          <w:sz w:val="16"/>
          <w:szCs w:val="16"/>
        </w:rPr>
      </w:pPr>
      <w:r w:rsidRPr="009039E2">
        <w:rPr>
          <w:rStyle w:val="FootnoteReference"/>
          <w:rFonts w:cs="Arial"/>
          <w:sz w:val="16"/>
          <w:szCs w:val="16"/>
        </w:rPr>
        <w:footnoteRef/>
      </w:r>
      <w:r w:rsidRPr="009039E2">
        <w:rPr>
          <w:rFonts w:cs="Arial"/>
          <w:sz w:val="16"/>
          <w:szCs w:val="16"/>
        </w:rPr>
        <w:t xml:space="preserve"> Australian Government Productivity Commission (2010) p11</w:t>
      </w:r>
    </w:p>
  </w:footnote>
  <w:footnote w:id="208">
    <w:p w:rsidR="0092252C" w:rsidRPr="00CE676A" w:rsidRDefault="0092252C" w:rsidP="003D1F93">
      <w:pPr>
        <w:spacing w:after="0"/>
        <w:rPr>
          <w:sz w:val="16"/>
          <w:szCs w:val="16"/>
        </w:rPr>
      </w:pPr>
      <w:r w:rsidRPr="00CE676A">
        <w:rPr>
          <w:rStyle w:val="FootnoteReference"/>
          <w:sz w:val="16"/>
          <w:szCs w:val="16"/>
        </w:rPr>
        <w:footnoteRef/>
      </w:r>
      <w:r w:rsidRPr="00CE676A">
        <w:rPr>
          <w:sz w:val="16"/>
          <w:szCs w:val="16"/>
        </w:rPr>
        <w:t xml:space="preserve"> </w:t>
      </w:r>
      <w:r w:rsidRPr="00CE676A">
        <w:rPr>
          <w:iCs/>
          <w:sz w:val="16"/>
          <w:szCs w:val="16"/>
        </w:rPr>
        <w:t>State Government of Victoria (2008) p15</w:t>
      </w:r>
    </w:p>
  </w:footnote>
  <w:footnote w:id="209">
    <w:p w:rsidR="0092252C" w:rsidRPr="009039E2" w:rsidRDefault="0092252C" w:rsidP="003D1F93">
      <w:pPr>
        <w:spacing w:after="0"/>
        <w:rPr>
          <w:sz w:val="16"/>
          <w:szCs w:val="16"/>
        </w:rPr>
      </w:pPr>
      <w:r w:rsidRPr="009039E2">
        <w:rPr>
          <w:rStyle w:val="FootnoteReference"/>
          <w:sz w:val="16"/>
          <w:szCs w:val="16"/>
        </w:rPr>
        <w:footnoteRef/>
      </w:r>
      <w:r w:rsidRPr="009039E2">
        <w:rPr>
          <w:sz w:val="16"/>
          <w:szCs w:val="16"/>
        </w:rPr>
        <w:t xml:space="preserve"> Australian Government Productivity Commission (2010) </w:t>
      </w:r>
      <w:r w:rsidRPr="009039E2">
        <w:rPr>
          <w:iCs/>
          <w:sz w:val="16"/>
          <w:szCs w:val="16"/>
        </w:rPr>
        <w:t>p6.1</w:t>
      </w:r>
    </w:p>
  </w:footnote>
  <w:footnote w:id="210">
    <w:p w:rsidR="0092252C" w:rsidRPr="001E541D" w:rsidRDefault="0092252C" w:rsidP="003D1F93">
      <w:pPr>
        <w:spacing w:after="0"/>
        <w:rPr>
          <w:sz w:val="16"/>
          <w:szCs w:val="16"/>
        </w:rPr>
      </w:pPr>
      <w:r w:rsidRPr="001E541D">
        <w:rPr>
          <w:rStyle w:val="FootnoteReference"/>
          <w:sz w:val="16"/>
          <w:szCs w:val="16"/>
        </w:rPr>
        <w:footnoteRef/>
      </w:r>
      <w:r w:rsidRPr="001E541D">
        <w:rPr>
          <w:sz w:val="16"/>
          <w:szCs w:val="16"/>
        </w:rPr>
        <w:t xml:space="preserve"> Australian Government Productivity Commission (2010) </w:t>
      </w:r>
      <w:r w:rsidRPr="001E541D">
        <w:rPr>
          <w:iCs/>
          <w:sz w:val="16"/>
          <w:szCs w:val="16"/>
        </w:rPr>
        <w:t>p6.4</w:t>
      </w:r>
    </w:p>
  </w:footnote>
  <w:footnote w:id="211">
    <w:p w:rsidR="0092252C" w:rsidRPr="001E541D" w:rsidRDefault="0092252C" w:rsidP="003D1F93">
      <w:pPr>
        <w:pStyle w:val="FootnoteText"/>
        <w:rPr>
          <w:sz w:val="16"/>
          <w:szCs w:val="16"/>
        </w:rPr>
      </w:pPr>
      <w:r w:rsidRPr="001E541D">
        <w:rPr>
          <w:rStyle w:val="FootnoteReference"/>
          <w:sz w:val="16"/>
          <w:szCs w:val="16"/>
        </w:rPr>
        <w:footnoteRef/>
      </w:r>
      <w:r w:rsidRPr="001E541D">
        <w:rPr>
          <w:sz w:val="16"/>
          <w:szCs w:val="16"/>
        </w:rPr>
        <w:t xml:space="preserve"> State Government of Victoria (2011)</w:t>
      </w:r>
    </w:p>
  </w:footnote>
  <w:footnote w:id="212">
    <w:p w:rsidR="0092252C" w:rsidRPr="001E541D" w:rsidRDefault="0092252C" w:rsidP="003D1F93">
      <w:pPr>
        <w:spacing w:after="0"/>
        <w:rPr>
          <w:sz w:val="16"/>
          <w:szCs w:val="16"/>
        </w:rPr>
      </w:pPr>
      <w:r w:rsidRPr="001E541D">
        <w:rPr>
          <w:rStyle w:val="FootnoteReference"/>
          <w:sz w:val="16"/>
          <w:szCs w:val="16"/>
        </w:rPr>
        <w:footnoteRef/>
      </w:r>
      <w:r w:rsidRPr="001E541D">
        <w:rPr>
          <w:sz w:val="16"/>
          <w:szCs w:val="16"/>
        </w:rPr>
        <w:t xml:space="preserve"> State Government of Victoria (2011) p85</w:t>
      </w:r>
    </w:p>
  </w:footnote>
  <w:footnote w:id="213">
    <w:p w:rsidR="0092252C" w:rsidRPr="005C5794" w:rsidRDefault="0092252C" w:rsidP="003D1F93">
      <w:pPr>
        <w:pStyle w:val="FootnoteText"/>
        <w:rPr>
          <w:sz w:val="16"/>
        </w:rPr>
      </w:pPr>
      <w:r w:rsidRPr="005C5794">
        <w:rPr>
          <w:rStyle w:val="FootnoteReference"/>
          <w:sz w:val="16"/>
        </w:rPr>
        <w:footnoteRef/>
      </w:r>
      <w:r w:rsidRPr="005C5794">
        <w:rPr>
          <w:sz w:val="16"/>
        </w:rPr>
        <w:t xml:space="preserve"> Mount Alexander Shire Council V Maryborough Highland Society VCAT No. B47/2012 para 184</w:t>
      </w:r>
    </w:p>
  </w:footnote>
  <w:footnote w:id="214">
    <w:p w:rsidR="0092252C" w:rsidRPr="00901291" w:rsidRDefault="0092252C" w:rsidP="003D1F93">
      <w:pPr>
        <w:pStyle w:val="FootnoteText"/>
        <w:rPr>
          <w:sz w:val="16"/>
          <w:szCs w:val="16"/>
        </w:rPr>
      </w:pPr>
      <w:r w:rsidRPr="00901291">
        <w:rPr>
          <w:rStyle w:val="FootnoteReference"/>
          <w:sz w:val="16"/>
          <w:szCs w:val="16"/>
        </w:rPr>
        <w:footnoteRef/>
      </w:r>
      <w:r w:rsidRPr="00901291">
        <w:rPr>
          <w:sz w:val="16"/>
          <w:szCs w:val="16"/>
        </w:rPr>
        <w:t xml:space="preserve"> Department of Justice (2011) </w:t>
      </w:r>
      <w:r w:rsidRPr="00901291">
        <w:rPr>
          <w:i/>
          <w:sz w:val="16"/>
          <w:szCs w:val="16"/>
        </w:rPr>
        <w:t xml:space="preserve">Socio-economic impacts of access to electronic gaming machines in Victoria </w:t>
      </w:r>
      <w:r w:rsidRPr="00901291">
        <w:rPr>
          <w:sz w:val="16"/>
          <w:szCs w:val="16"/>
        </w:rPr>
        <w:t>State Government of Victoria</w:t>
      </w:r>
    </w:p>
  </w:footnote>
  <w:footnote w:id="215">
    <w:p w:rsidR="0092252C" w:rsidRPr="00D64F47" w:rsidRDefault="0092252C" w:rsidP="003D1F93">
      <w:pPr>
        <w:spacing w:after="0"/>
        <w:rPr>
          <w:sz w:val="16"/>
          <w:szCs w:val="16"/>
        </w:rPr>
      </w:pPr>
      <w:r w:rsidRPr="00D64F47">
        <w:rPr>
          <w:rStyle w:val="FootnoteReference"/>
          <w:rFonts w:eastAsiaTheme="majorEastAsia"/>
          <w:sz w:val="16"/>
          <w:szCs w:val="16"/>
        </w:rPr>
        <w:footnoteRef/>
      </w:r>
      <w:r w:rsidRPr="00D64F47">
        <w:rPr>
          <w:sz w:val="16"/>
          <w:szCs w:val="16"/>
        </w:rPr>
        <w:t xml:space="preserve"> Department of Justice (2011) </w:t>
      </w:r>
      <w:r w:rsidRPr="00D64F47">
        <w:rPr>
          <w:i/>
          <w:sz w:val="16"/>
          <w:szCs w:val="16"/>
        </w:rPr>
        <w:t xml:space="preserve">Socio-economic impacts of access to electronic gaming machines in Victoria </w:t>
      </w:r>
      <w:r w:rsidRPr="00D64F47">
        <w:rPr>
          <w:sz w:val="16"/>
          <w:szCs w:val="16"/>
        </w:rPr>
        <w:t>State Government of Victoria p8</w:t>
      </w:r>
    </w:p>
  </w:footnote>
  <w:footnote w:id="216">
    <w:p w:rsidR="0092252C" w:rsidRPr="00D64F47" w:rsidRDefault="0092252C" w:rsidP="003D1F93">
      <w:pPr>
        <w:pStyle w:val="FootnoteText"/>
        <w:rPr>
          <w:sz w:val="16"/>
          <w:szCs w:val="16"/>
        </w:rPr>
      </w:pPr>
      <w:r w:rsidRPr="00D64F47">
        <w:rPr>
          <w:rStyle w:val="FootnoteReference"/>
          <w:rFonts w:eastAsiaTheme="majorEastAsia"/>
          <w:sz w:val="16"/>
          <w:szCs w:val="16"/>
        </w:rPr>
        <w:footnoteRef/>
      </w:r>
      <w:r w:rsidRPr="00D64F47">
        <w:rPr>
          <w:sz w:val="16"/>
          <w:szCs w:val="16"/>
        </w:rPr>
        <w:t xml:space="preserve"> Department of Justice (2011) </w:t>
      </w:r>
      <w:r w:rsidRPr="00D64F47">
        <w:rPr>
          <w:i/>
          <w:sz w:val="16"/>
          <w:szCs w:val="16"/>
        </w:rPr>
        <w:t xml:space="preserve">Socio-economic impacts of access to electronic gaming machines in Victoria </w:t>
      </w:r>
      <w:r w:rsidRPr="00D64F47">
        <w:rPr>
          <w:sz w:val="16"/>
          <w:szCs w:val="16"/>
        </w:rPr>
        <w:t>State Government of Victoria p40</w:t>
      </w:r>
    </w:p>
  </w:footnote>
  <w:footnote w:id="217">
    <w:p w:rsidR="0092252C" w:rsidRPr="00CC150A" w:rsidRDefault="0092252C" w:rsidP="00525B9F">
      <w:pPr>
        <w:pStyle w:val="FootnoteText"/>
        <w:rPr>
          <w:sz w:val="16"/>
          <w:szCs w:val="16"/>
        </w:rPr>
      </w:pPr>
      <w:r w:rsidRPr="00CC150A">
        <w:rPr>
          <w:rStyle w:val="FootnoteReference"/>
          <w:sz w:val="16"/>
          <w:szCs w:val="16"/>
        </w:rPr>
        <w:footnoteRef/>
      </w:r>
      <w:r w:rsidRPr="00CC150A">
        <w:rPr>
          <w:sz w:val="16"/>
          <w:szCs w:val="16"/>
        </w:rPr>
        <w:t xml:space="preserve"> State Government of Victoria (2011) p82</w:t>
      </w:r>
    </w:p>
  </w:footnote>
  <w:footnote w:id="218">
    <w:p w:rsidR="0092252C" w:rsidRPr="001E541D" w:rsidRDefault="0092252C" w:rsidP="00525B9F">
      <w:pPr>
        <w:spacing w:after="0"/>
        <w:rPr>
          <w:sz w:val="16"/>
          <w:szCs w:val="16"/>
        </w:rPr>
      </w:pPr>
      <w:r w:rsidRPr="001E541D">
        <w:rPr>
          <w:rStyle w:val="FootnoteReference"/>
          <w:sz w:val="16"/>
          <w:szCs w:val="16"/>
        </w:rPr>
        <w:footnoteRef/>
      </w:r>
      <w:r w:rsidRPr="001E541D">
        <w:rPr>
          <w:sz w:val="16"/>
          <w:szCs w:val="16"/>
        </w:rPr>
        <w:t xml:space="preserve"> Australian Government Productivity Commission (2010) </w:t>
      </w:r>
      <w:r w:rsidRPr="001E541D">
        <w:rPr>
          <w:iCs/>
          <w:sz w:val="16"/>
          <w:szCs w:val="16"/>
        </w:rPr>
        <w:t>p6.5</w:t>
      </w:r>
    </w:p>
  </w:footnote>
  <w:footnote w:id="219">
    <w:p w:rsidR="0092252C" w:rsidRPr="001E541D" w:rsidRDefault="0092252C" w:rsidP="00525B9F">
      <w:pPr>
        <w:pStyle w:val="FootnoteText"/>
        <w:rPr>
          <w:sz w:val="16"/>
          <w:szCs w:val="16"/>
        </w:rPr>
      </w:pPr>
      <w:r w:rsidRPr="001E541D">
        <w:rPr>
          <w:rStyle w:val="FootnoteReference"/>
          <w:sz w:val="16"/>
          <w:szCs w:val="16"/>
        </w:rPr>
        <w:footnoteRef/>
      </w:r>
      <w:r w:rsidRPr="001E541D">
        <w:rPr>
          <w:sz w:val="16"/>
          <w:szCs w:val="16"/>
        </w:rPr>
        <w:t xml:space="preserve"> State Government of Victoria (2011) p85</w:t>
      </w:r>
    </w:p>
  </w:footnote>
  <w:footnote w:id="220">
    <w:p w:rsidR="0092252C" w:rsidRPr="00BE6073" w:rsidRDefault="0092252C" w:rsidP="00525B9F">
      <w:pPr>
        <w:spacing w:after="0"/>
        <w:rPr>
          <w:sz w:val="16"/>
          <w:szCs w:val="16"/>
        </w:rPr>
      </w:pPr>
      <w:r w:rsidRPr="00BE6073">
        <w:rPr>
          <w:rStyle w:val="FootnoteReference"/>
          <w:sz w:val="16"/>
          <w:szCs w:val="16"/>
        </w:rPr>
        <w:footnoteRef/>
      </w:r>
      <w:r w:rsidRPr="00BE6073">
        <w:rPr>
          <w:sz w:val="16"/>
          <w:szCs w:val="16"/>
        </w:rPr>
        <w:t xml:space="preserve"> </w:t>
      </w:r>
      <w:r w:rsidRPr="00BE6073">
        <w:rPr>
          <w:iCs/>
          <w:sz w:val="16"/>
          <w:szCs w:val="16"/>
        </w:rPr>
        <w:t xml:space="preserve">State Government of Victoria (2011) </w:t>
      </w:r>
    </w:p>
  </w:footnote>
  <w:footnote w:id="221">
    <w:p w:rsidR="0092252C" w:rsidRPr="00D64F47" w:rsidRDefault="0092252C" w:rsidP="003D1F93">
      <w:pPr>
        <w:pStyle w:val="FootnoteText"/>
        <w:rPr>
          <w:sz w:val="16"/>
          <w:szCs w:val="16"/>
        </w:rPr>
      </w:pPr>
      <w:r w:rsidRPr="00D64F47">
        <w:rPr>
          <w:rStyle w:val="FootnoteReference"/>
          <w:sz w:val="16"/>
          <w:szCs w:val="16"/>
        </w:rPr>
        <w:footnoteRef/>
      </w:r>
      <w:r w:rsidRPr="00D64F47">
        <w:rPr>
          <w:sz w:val="16"/>
          <w:szCs w:val="16"/>
        </w:rPr>
        <w:t xml:space="preserve"> City of Monash, </w:t>
      </w:r>
      <w:r w:rsidRPr="00D64F47">
        <w:rPr>
          <w:i/>
          <w:sz w:val="16"/>
          <w:szCs w:val="16"/>
        </w:rPr>
        <w:t>Monash Responsible Gambling Strategy 2012 – 2015</w:t>
      </w:r>
      <w:r w:rsidRPr="00D64F47">
        <w:rPr>
          <w:sz w:val="16"/>
          <w:szCs w:val="16"/>
        </w:rPr>
        <w:t>, p16</w:t>
      </w:r>
    </w:p>
  </w:footnote>
  <w:footnote w:id="222">
    <w:p w:rsidR="0092252C" w:rsidRPr="00D64F47" w:rsidRDefault="0092252C" w:rsidP="003D1F93">
      <w:pPr>
        <w:pStyle w:val="FootnoteText"/>
        <w:rPr>
          <w:sz w:val="16"/>
          <w:szCs w:val="16"/>
        </w:rPr>
      </w:pPr>
      <w:r w:rsidRPr="00D64F47">
        <w:rPr>
          <w:rStyle w:val="FootnoteReference"/>
          <w:sz w:val="16"/>
          <w:szCs w:val="16"/>
        </w:rPr>
        <w:footnoteRef/>
      </w:r>
      <w:r w:rsidRPr="00D64F47">
        <w:rPr>
          <w:sz w:val="16"/>
          <w:szCs w:val="16"/>
        </w:rPr>
        <w:t xml:space="preserve"> Australian Government Productivity Commission (2010) </w:t>
      </w:r>
      <w:r w:rsidRPr="00D64F47">
        <w:rPr>
          <w:i/>
          <w:iCs/>
          <w:sz w:val="16"/>
          <w:szCs w:val="16"/>
        </w:rPr>
        <w:t xml:space="preserve">Productivity Community Inquiry Report, Gambling </w:t>
      </w:r>
      <w:r w:rsidRPr="00D64F47">
        <w:rPr>
          <w:sz w:val="16"/>
          <w:szCs w:val="16"/>
        </w:rPr>
        <w:t>p6.10</w:t>
      </w:r>
    </w:p>
  </w:footnote>
  <w:footnote w:id="223">
    <w:p w:rsidR="0092252C" w:rsidRPr="00D64F47" w:rsidRDefault="0092252C" w:rsidP="003D1F93">
      <w:pPr>
        <w:pStyle w:val="FootnoteText"/>
        <w:rPr>
          <w:sz w:val="16"/>
          <w:szCs w:val="16"/>
        </w:rPr>
      </w:pPr>
      <w:r w:rsidRPr="00D64F47">
        <w:rPr>
          <w:rStyle w:val="FootnoteReference"/>
          <w:sz w:val="16"/>
          <w:szCs w:val="16"/>
        </w:rPr>
        <w:footnoteRef/>
      </w:r>
      <w:r w:rsidRPr="00D64F47">
        <w:rPr>
          <w:sz w:val="16"/>
          <w:szCs w:val="16"/>
        </w:rPr>
        <w:t xml:space="preserve"> Productivity Commission (2010) Chapter 6</w:t>
      </w:r>
    </w:p>
  </w:footnote>
  <w:footnote w:id="224">
    <w:p w:rsidR="0092252C" w:rsidRPr="00CC150A" w:rsidRDefault="0092252C" w:rsidP="003D1F93">
      <w:pPr>
        <w:pStyle w:val="FootnoteText"/>
        <w:rPr>
          <w:sz w:val="16"/>
          <w:szCs w:val="16"/>
        </w:rPr>
      </w:pPr>
      <w:r w:rsidRPr="00CC150A">
        <w:rPr>
          <w:rStyle w:val="FootnoteReference"/>
          <w:sz w:val="16"/>
          <w:szCs w:val="16"/>
        </w:rPr>
        <w:footnoteRef/>
      </w:r>
      <w:r w:rsidRPr="00CC150A">
        <w:rPr>
          <w:sz w:val="16"/>
          <w:szCs w:val="16"/>
        </w:rPr>
        <w:t xml:space="preserve"> Australian Government Productivity Commission (2010) </w:t>
      </w:r>
      <w:r w:rsidRPr="00CC150A">
        <w:rPr>
          <w:i/>
          <w:iCs/>
          <w:sz w:val="16"/>
          <w:szCs w:val="16"/>
        </w:rPr>
        <w:t xml:space="preserve">Productivity Community Inquiry Report, Gambling </w:t>
      </w:r>
      <w:r w:rsidRPr="00CC150A">
        <w:rPr>
          <w:sz w:val="16"/>
          <w:szCs w:val="16"/>
        </w:rPr>
        <w:t>p6.18</w:t>
      </w:r>
    </w:p>
  </w:footnote>
  <w:footnote w:id="225">
    <w:p w:rsidR="0092252C" w:rsidRPr="00CC150A" w:rsidRDefault="0092252C" w:rsidP="003D1F93">
      <w:pPr>
        <w:pStyle w:val="FootnoteText"/>
        <w:rPr>
          <w:sz w:val="16"/>
          <w:szCs w:val="16"/>
        </w:rPr>
      </w:pPr>
      <w:r w:rsidRPr="00CC150A">
        <w:rPr>
          <w:rStyle w:val="FootnoteReference"/>
          <w:sz w:val="16"/>
          <w:szCs w:val="16"/>
        </w:rPr>
        <w:footnoteRef/>
      </w:r>
      <w:r w:rsidRPr="00CC150A">
        <w:rPr>
          <w:sz w:val="16"/>
          <w:szCs w:val="16"/>
        </w:rPr>
        <w:t xml:space="preserve"> Australian Government Productivity Commission (2010) </w:t>
      </w:r>
      <w:r w:rsidRPr="00CC150A">
        <w:rPr>
          <w:i/>
          <w:iCs/>
          <w:sz w:val="16"/>
          <w:szCs w:val="16"/>
        </w:rPr>
        <w:t xml:space="preserve">Productivity Community Inquiry Report, Gambling </w:t>
      </w:r>
      <w:r w:rsidRPr="00CC150A">
        <w:rPr>
          <w:sz w:val="16"/>
          <w:szCs w:val="16"/>
        </w:rPr>
        <w:t>p6.25</w:t>
      </w:r>
    </w:p>
  </w:footnote>
  <w:footnote w:id="226">
    <w:p w:rsidR="0092252C" w:rsidRPr="00CC150A" w:rsidRDefault="0092252C" w:rsidP="003D1F93">
      <w:pPr>
        <w:pStyle w:val="FootnoteText"/>
        <w:rPr>
          <w:sz w:val="16"/>
          <w:szCs w:val="16"/>
        </w:rPr>
      </w:pPr>
      <w:r w:rsidRPr="00CC150A">
        <w:rPr>
          <w:rStyle w:val="FootnoteReference"/>
          <w:sz w:val="16"/>
          <w:szCs w:val="16"/>
        </w:rPr>
        <w:footnoteRef/>
      </w:r>
      <w:r w:rsidRPr="00CC150A">
        <w:rPr>
          <w:sz w:val="16"/>
          <w:szCs w:val="16"/>
        </w:rPr>
        <w:t xml:space="preserve"> VCEC (2012 </w:t>
      </w:r>
      <w:r w:rsidRPr="00CC150A">
        <w:rPr>
          <w:i/>
          <w:sz w:val="16"/>
          <w:szCs w:val="16"/>
        </w:rPr>
        <w:t xml:space="preserve">Inquiry into the Costs of Problem Gambling, </w:t>
      </w:r>
      <w:r w:rsidRPr="00CC150A">
        <w:rPr>
          <w:sz w:val="16"/>
          <w:szCs w:val="16"/>
        </w:rPr>
        <w:t>Draft Report, December 2012, p 1</w:t>
      </w:r>
    </w:p>
  </w:footnote>
  <w:footnote w:id="227">
    <w:p w:rsidR="0092252C" w:rsidRPr="00CC150A" w:rsidRDefault="0092252C" w:rsidP="003D1F93">
      <w:pPr>
        <w:pStyle w:val="FootnoteText"/>
        <w:rPr>
          <w:sz w:val="16"/>
          <w:szCs w:val="16"/>
        </w:rPr>
      </w:pPr>
      <w:r w:rsidRPr="00CC150A">
        <w:rPr>
          <w:rStyle w:val="FootnoteReference"/>
          <w:sz w:val="16"/>
          <w:szCs w:val="16"/>
        </w:rPr>
        <w:footnoteRef/>
      </w:r>
      <w:r w:rsidRPr="00CC150A">
        <w:rPr>
          <w:sz w:val="16"/>
          <w:szCs w:val="16"/>
        </w:rPr>
        <w:t xml:space="preserve"> Australian Government Productivity Commission (2010) </w:t>
      </w:r>
      <w:r w:rsidRPr="00CC150A">
        <w:rPr>
          <w:i/>
          <w:iCs/>
          <w:sz w:val="16"/>
          <w:szCs w:val="16"/>
        </w:rPr>
        <w:t xml:space="preserve">Productivity Community Inquiry Report, Gambling </w:t>
      </w:r>
      <w:r w:rsidRPr="00CC150A">
        <w:rPr>
          <w:sz w:val="16"/>
          <w:szCs w:val="16"/>
        </w:rPr>
        <w:t>p6.23</w:t>
      </w:r>
    </w:p>
  </w:footnote>
  <w:footnote w:id="228">
    <w:p w:rsidR="0092252C" w:rsidRPr="00CC150A" w:rsidRDefault="0092252C" w:rsidP="003D1F93">
      <w:pPr>
        <w:pStyle w:val="FootnoteText"/>
        <w:rPr>
          <w:sz w:val="16"/>
          <w:szCs w:val="16"/>
        </w:rPr>
      </w:pPr>
      <w:r w:rsidRPr="00CC150A">
        <w:rPr>
          <w:rStyle w:val="FootnoteReference"/>
          <w:sz w:val="16"/>
          <w:szCs w:val="16"/>
        </w:rPr>
        <w:footnoteRef/>
      </w:r>
      <w:r w:rsidRPr="00CC150A">
        <w:rPr>
          <w:sz w:val="16"/>
          <w:szCs w:val="16"/>
        </w:rPr>
        <w:t xml:space="preserve"> Australian Government Productivity Commission (2010) </w:t>
      </w:r>
      <w:r w:rsidRPr="00CC150A">
        <w:rPr>
          <w:i/>
          <w:iCs/>
          <w:sz w:val="16"/>
          <w:szCs w:val="16"/>
        </w:rPr>
        <w:t xml:space="preserve">Productivity Community Inquiry Report, Gambling </w:t>
      </w:r>
      <w:r w:rsidRPr="00CC150A">
        <w:rPr>
          <w:sz w:val="16"/>
          <w:szCs w:val="16"/>
        </w:rPr>
        <w:t>p6.30</w:t>
      </w:r>
    </w:p>
  </w:footnote>
  <w:footnote w:id="229">
    <w:p w:rsidR="0092252C" w:rsidRPr="00BE6073" w:rsidRDefault="0092252C" w:rsidP="00525B9F">
      <w:pPr>
        <w:pStyle w:val="FootnoteText"/>
        <w:rPr>
          <w:sz w:val="16"/>
          <w:szCs w:val="16"/>
        </w:rPr>
      </w:pPr>
      <w:r w:rsidRPr="00BE6073">
        <w:rPr>
          <w:rStyle w:val="FootnoteReference"/>
          <w:sz w:val="16"/>
          <w:szCs w:val="16"/>
        </w:rPr>
        <w:footnoteRef/>
      </w:r>
      <w:r w:rsidRPr="00BE6073">
        <w:rPr>
          <w:sz w:val="16"/>
          <w:szCs w:val="16"/>
        </w:rPr>
        <w:t xml:space="preserve"> </w:t>
      </w:r>
      <w:r w:rsidRPr="00BE6073">
        <w:rPr>
          <w:iCs/>
          <w:sz w:val="16"/>
          <w:szCs w:val="16"/>
        </w:rPr>
        <w:t>State Government of Victoria (2011) p31</w:t>
      </w:r>
    </w:p>
  </w:footnote>
  <w:footnote w:id="230">
    <w:p w:rsidR="0092252C" w:rsidRPr="001E541D" w:rsidRDefault="0092252C" w:rsidP="003D1F93">
      <w:pPr>
        <w:spacing w:after="0"/>
        <w:rPr>
          <w:sz w:val="16"/>
          <w:szCs w:val="16"/>
        </w:rPr>
      </w:pPr>
      <w:r w:rsidRPr="001E541D">
        <w:rPr>
          <w:rStyle w:val="FootnoteReference"/>
          <w:sz w:val="16"/>
          <w:szCs w:val="16"/>
        </w:rPr>
        <w:footnoteRef/>
      </w:r>
      <w:r w:rsidRPr="001E541D">
        <w:rPr>
          <w:sz w:val="16"/>
          <w:szCs w:val="16"/>
        </w:rPr>
        <w:t xml:space="preserve"> State Government of Victoria (2011) </w:t>
      </w:r>
    </w:p>
  </w:footnote>
  <w:footnote w:id="231">
    <w:p w:rsidR="0092252C" w:rsidRDefault="0092252C" w:rsidP="003D1F93">
      <w:pPr>
        <w:pStyle w:val="FootnoteText"/>
        <w:rPr>
          <w:sz w:val="16"/>
        </w:rPr>
      </w:pPr>
      <w:r>
        <w:rPr>
          <w:rStyle w:val="FootnoteReference"/>
          <w:rFonts w:eastAsiaTheme="majorEastAsia"/>
          <w:sz w:val="16"/>
        </w:rPr>
        <w:footnoteRef/>
      </w:r>
      <w:r>
        <w:rPr>
          <w:sz w:val="16"/>
        </w:rPr>
        <w:t xml:space="preserve"> Hing, N and Gainsbury, S (2011) ‘Risky business: Gambling problems amongst gaming venue employees in Queensland, Australia’ </w:t>
      </w:r>
      <w:r>
        <w:rPr>
          <w:i/>
          <w:sz w:val="16"/>
        </w:rPr>
        <w:t xml:space="preserve">Journal of Gambling Issues </w:t>
      </w:r>
      <w:r>
        <w:rPr>
          <w:sz w:val="16"/>
        </w:rPr>
        <w:t>Issue 25, June 2011</w:t>
      </w:r>
    </w:p>
  </w:footnote>
  <w:footnote w:id="232">
    <w:p w:rsidR="0092252C" w:rsidRPr="00220688" w:rsidRDefault="0092252C" w:rsidP="003D1F93">
      <w:pPr>
        <w:spacing w:after="0"/>
        <w:rPr>
          <w:sz w:val="16"/>
          <w:szCs w:val="16"/>
        </w:rPr>
      </w:pPr>
      <w:r w:rsidRPr="00220688">
        <w:rPr>
          <w:rStyle w:val="FootnoteReference"/>
          <w:sz w:val="16"/>
          <w:szCs w:val="16"/>
        </w:rPr>
        <w:footnoteRef/>
      </w:r>
      <w:r w:rsidRPr="00220688">
        <w:rPr>
          <w:sz w:val="16"/>
          <w:szCs w:val="16"/>
        </w:rPr>
        <w:t xml:space="preserve"> </w:t>
      </w:r>
      <w:r w:rsidRPr="00220688">
        <w:rPr>
          <w:iCs/>
          <w:sz w:val="16"/>
          <w:szCs w:val="16"/>
        </w:rPr>
        <w:t xml:space="preserve">State Government of Victoria (2011) </w:t>
      </w:r>
    </w:p>
  </w:footnote>
  <w:footnote w:id="233">
    <w:p w:rsidR="0092252C" w:rsidRPr="00220688" w:rsidRDefault="0092252C" w:rsidP="003D1F93">
      <w:pPr>
        <w:pStyle w:val="FootnoteText"/>
        <w:rPr>
          <w:sz w:val="16"/>
          <w:szCs w:val="16"/>
        </w:rPr>
      </w:pPr>
      <w:r w:rsidRPr="00220688">
        <w:rPr>
          <w:rStyle w:val="FootnoteReference"/>
          <w:sz w:val="16"/>
          <w:szCs w:val="16"/>
        </w:rPr>
        <w:footnoteRef/>
      </w:r>
      <w:r w:rsidRPr="00220688">
        <w:rPr>
          <w:sz w:val="16"/>
          <w:szCs w:val="16"/>
        </w:rPr>
        <w:t xml:space="preserve"> </w:t>
      </w:r>
      <w:r w:rsidRPr="00220688">
        <w:rPr>
          <w:iCs/>
          <w:sz w:val="16"/>
          <w:szCs w:val="16"/>
        </w:rPr>
        <w:t>State Government of Victoria (2011)</w:t>
      </w:r>
    </w:p>
  </w:footnote>
  <w:footnote w:id="234">
    <w:p w:rsidR="0092252C" w:rsidRPr="00220688" w:rsidRDefault="0092252C" w:rsidP="003E279B">
      <w:pPr>
        <w:pStyle w:val="FootnoteText"/>
        <w:rPr>
          <w:sz w:val="16"/>
          <w:szCs w:val="16"/>
        </w:rPr>
      </w:pPr>
      <w:r w:rsidRPr="00220688">
        <w:rPr>
          <w:rStyle w:val="FootnoteReference"/>
          <w:sz w:val="16"/>
          <w:szCs w:val="16"/>
        </w:rPr>
        <w:footnoteRef/>
      </w:r>
      <w:r w:rsidRPr="00220688">
        <w:rPr>
          <w:sz w:val="16"/>
          <w:szCs w:val="16"/>
        </w:rPr>
        <w:t xml:space="preserve"> Victorian Competition and Efficiency Commission (2010) p30</w:t>
      </w:r>
    </w:p>
  </w:footnote>
  <w:footnote w:id="235">
    <w:p w:rsidR="0092252C" w:rsidRPr="003E279B" w:rsidRDefault="0092252C">
      <w:pPr>
        <w:pStyle w:val="FootnoteText"/>
        <w:rPr>
          <w:rFonts w:cs="Calibri"/>
          <w:sz w:val="16"/>
          <w:szCs w:val="16"/>
        </w:rPr>
      </w:pPr>
      <w:r w:rsidRPr="003E279B">
        <w:rPr>
          <w:rStyle w:val="FootnoteReference"/>
          <w:rFonts w:cs="Calibri"/>
          <w:sz w:val="16"/>
          <w:szCs w:val="16"/>
        </w:rPr>
        <w:footnoteRef/>
      </w:r>
      <w:r w:rsidRPr="003E279B">
        <w:rPr>
          <w:rFonts w:cs="Calibri"/>
          <w:sz w:val="16"/>
          <w:szCs w:val="16"/>
        </w:rPr>
        <w:t xml:space="preserve"> </w:t>
      </w:r>
      <w:r w:rsidRPr="003E279B">
        <w:rPr>
          <w:rFonts w:cs="Calibri"/>
          <w:color w:val="222222"/>
          <w:sz w:val="16"/>
          <w:szCs w:val="16"/>
          <w:lang w:val="en"/>
        </w:rPr>
        <w:t xml:space="preserve">Browne, M, Langham, E, Rawat, V, Greer, N, Li, E, Rose, J, Rockloff, M, Donaldson, P, Thorne, H, Goodwin, B, Bryden, G &amp; Best, T  (2016) </w:t>
      </w:r>
      <w:r w:rsidRPr="003E279B">
        <w:rPr>
          <w:rStyle w:val="Emphasis"/>
          <w:rFonts w:cs="Calibri"/>
          <w:color w:val="222222"/>
          <w:sz w:val="16"/>
          <w:szCs w:val="16"/>
          <w:lang w:val="en"/>
        </w:rPr>
        <w:t>Assessing gambling-related harm in Victoria: a public health perspective,</w:t>
      </w:r>
      <w:r w:rsidRPr="003E279B">
        <w:rPr>
          <w:rFonts w:cs="Calibri"/>
          <w:color w:val="222222"/>
          <w:sz w:val="16"/>
          <w:szCs w:val="16"/>
          <w:lang w:val="en"/>
        </w:rPr>
        <w:t> Victorian Responsible Gambling Foundation, Melbourne.</w:t>
      </w:r>
    </w:p>
  </w:footnote>
  <w:footnote w:id="236">
    <w:p w:rsidR="0092252C" w:rsidRPr="00220688" w:rsidRDefault="0092252C" w:rsidP="003D1F93">
      <w:pPr>
        <w:pStyle w:val="FootnoteText"/>
        <w:rPr>
          <w:rFonts w:asciiTheme="minorHAnsi" w:hAnsiTheme="minorHAnsi" w:cstheme="minorHAnsi"/>
          <w:sz w:val="16"/>
          <w:szCs w:val="16"/>
        </w:rPr>
      </w:pPr>
      <w:r w:rsidRPr="00220688">
        <w:rPr>
          <w:rStyle w:val="FootnoteReference"/>
          <w:rFonts w:asciiTheme="minorHAnsi" w:hAnsiTheme="minorHAnsi" w:cstheme="minorHAnsi"/>
          <w:sz w:val="16"/>
          <w:szCs w:val="16"/>
        </w:rPr>
        <w:footnoteRef/>
      </w:r>
      <w:r w:rsidRPr="00220688">
        <w:rPr>
          <w:rFonts w:asciiTheme="minorHAnsi" w:hAnsiTheme="minorHAnsi" w:cstheme="minorHAnsi"/>
          <w:sz w:val="16"/>
          <w:szCs w:val="16"/>
        </w:rPr>
        <w:t xml:space="preserve"> </w:t>
      </w:r>
      <w:r w:rsidRPr="00220688">
        <w:rPr>
          <w:rFonts w:asciiTheme="minorHAnsi" w:hAnsiTheme="minorHAnsi" w:cstheme="minorHAnsi"/>
          <w:iCs/>
          <w:sz w:val="16"/>
          <w:szCs w:val="16"/>
        </w:rPr>
        <w:t>State Government of Victoria (2008) p18</w:t>
      </w:r>
    </w:p>
  </w:footnote>
  <w:footnote w:id="237">
    <w:p w:rsidR="0092252C" w:rsidRPr="00AA0620" w:rsidRDefault="0092252C" w:rsidP="003D1F93">
      <w:pPr>
        <w:pStyle w:val="FootnoteText"/>
        <w:rPr>
          <w:rFonts w:asciiTheme="minorHAnsi" w:hAnsiTheme="minorHAnsi" w:cstheme="minorHAnsi"/>
          <w:sz w:val="16"/>
          <w:szCs w:val="16"/>
        </w:rPr>
      </w:pPr>
      <w:r w:rsidRPr="00AA0620">
        <w:rPr>
          <w:rStyle w:val="FootnoteReference"/>
          <w:rFonts w:asciiTheme="minorHAnsi" w:hAnsiTheme="minorHAnsi" w:cstheme="minorHAnsi"/>
          <w:sz w:val="16"/>
          <w:szCs w:val="16"/>
        </w:rPr>
        <w:footnoteRef/>
      </w:r>
      <w:r w:rsidRPr="00AA0620">
        <w:rPr>
          <w:rFonts w:asciiTheme="minorHAnsi" w:hAnsiTheme="minorHAnsi" w:cstheme="minorHAnsi"/>
          <w:sz w:val="16"/>
          <w:szCs w:val="16"/>
        </w:rPr>
        <w:t xml:space="preserve"> </w:t>
      </w:r>
      <w:r w:rsidRPr="00AA0620">
        <w:rPr>
          <w:rFonts w:asciiTheme="minorHAnsi" w:hAnsiTheme="minorHAnsi" w:cstheme="minorHAnsi"/>
          <w:iCs/>
          <w:sz w:val="16"/>
          <w:szCs w:val="16"/>
        </w:rPr>
        <w:t>State Government of Victoria (2008) p17</w:t>
      </w:r>
    </w:p>
  </w:footnote>
  <w:footnote w:id="238">
    <w:p w:rsidR="0092252C" w:rsidRPr="00AA0620" w:rsidRDefault="0092252C" w:rsidP="003D1F93">
      <w:pPr>
        <w:pStyle w:val="FootnoteText"/>
        <w:rPr>
          <w:rFonts w:asciiTheme="minorHAnsi" w:hAnsiTheme="minorHAnsi" w:cstheme="minorHAnsi"/>
          <w:sz w:val="16"/>
          <w:szCs w:val="16"/>
        </w:rPr>
      </w:pPr>
      <w:r w:rsidRPr="00AA0620">
        <w:rPr>
          <w:rStyle w:val="FootnoteReference"/>
          <w:rFonts w:asciiTheme="minorHAnsi" w:hAnsiTheme="minorHAnsi" w:cstheme="minorHAnsi"/>
          <w:sz w:val="16"/>
          <w:szCs w:val="16"/>
        </w:rPr>
        <w:footnoteRef/>
      </w:r>
      <w:r w:rsidRPr="00AA0620">
        <w:rPr>
          <w:rFonts w:asciiTheme="minorHAnsi" w:hAnsiTheme="minorHAnsi" w:cstheme="minorHAnsi"/>
          <w:sz w:val="16"/>
          <w:szCs w:val="16"/>
        </w:rPr>
        <w:t xml:space="preserve"> </w:t>
      </w:r>
      <w:r w:rsidRPr="00AA0620">
        <w:rPr>
          <w:rFonts w:asciiTheme="minorHAnsi" w:hAnsiTheme="minorHAnsi" w:cstheme="minorHAnsi"/>
          <w:iCs/>
          <w:sz w:val="16"/>
          <w:szCs w:val="16"/>
        </w:rPr>
        <w:t>State Government of Victoria (2008) p17</w:t>
      </w:r>
    </w:p>
  </w:footnote>
  <w:footnote w:id="239">
    <w:p w:rsidR="0092252C" w:rsidRPr="00AA0620" w:rsidRDefault="0092252C" w:rsidP="003D1F93">
      <w:pPr>
        <w:pStyle w:val="FootnoteText"/>
        <w:rPr>
          <w:rFonts w:asciiTheme="minorHAnsi" w:hAnsiTheme="minorHAnsi" w:cstheme="minorHAnsi"/>
          <w:sz w:val="16"/>
          <w:szCs w:val="16"/>
        </w:rPr>
      </w:pPr>
      <w:r w:rsidRPr="00AA0620">
        <w:rPr>
          <w:rStyle w:val="FootnoteReference"/>
          <w:rFonts w:asciiTheme="minorHAnsi" w:hAnsiTheme="minorHAnsi" w:cstheme="minorHAnsi"/>
          <w:sz w:val="16"/>
          <w:szCs w:val="16"/>
        </w:rPr>
        <w:footnoteRef/>
      </w:r>
      <w:r w:rsidRPr="00AA0620">
        <w:rPr>
          <w:rFonts w:asciiTheme="minorHAnsi" w:hAnsiTheme="minorHAnsi" w:cstheme="minorHAnsi"/>
          <w:sz w:val="16"/>
          <w:szCs w:val="16"/>
        </w:rPr>
        <w:t xml:space="preserve"> http://www.problemgambling.gov.au/impact/</w:t>
      </w:r>
    </w:p>
  </w:footnote>
  <w:footnote w:id="240">
    <w:p w:rsidR="0092252C" w:rsidRPr="00AA0620" w:rsidRDefault="0092252C" w:rsidP="003D1F93">
      <w:pPr>
        <w:pStyle w:val="FootnoteText"/>
        <w:rPr>
          <w:rFonts w:asciiTheme="minorHAnsi" w:hAnsiTheme="minorHAnsi" w:cstheme="minorHAnsi"/>
          <w:sz w:val="16"/>
          <w:szCs w:val="16"/>
        </w:rPr>
      </w:pPr>
      <w:r w:rsidRPr="00AA0620">
        <w:rPr>
          <w:rStyle w:val="FootnoteReference"/>
          <w:rFonts w:asciiTheme="minorHAnsi" w:eastAsiaTheme="minorEastAsia" w:hAnsiTheme="minorHAnsi" w:cstheme="minorHAnsi"/>
          <w:sz w:val="16"/>
          <w:szCs w:val="16"/>
        </w:rPr>
        <w:footnoteRef/>
      </w:r>
      <w:r w:rsidRPr="00AA0620">
        <w:rPr>
          <w:rFonts w:asciiTheme="minorHAnsi" w:hAnsiTheme="minorHAnsi" w:cstheme="minorHAnsi"/>
          <w:sz w:val="16"/>
          <w:szCs w:val="16"/>
        </w:rPr>
        <w:t xml:space="preserve"> </w:t>
      </w:r>
      <w:r w:rsidRPr="00AA0620">
        <w:rPr>
          <w:rFonts w:asciiTheme="minorHAnsi" w:hAnsiTheme="minorHAnsi" w:cstheme="minorHAnsi"/>
          <w:color w:val="222222"/>
          <w:sz w:val="16"/>
          <w:szCs w:val="16"/>
          <w:shd w:val="clear" w:color="auto" w:fill="FFFFFF"/>
        </w:rPr>
        <w:t>Browne, M, Langham, E, Rawat, V, Greer, N, Li, E, Rose, J, Rockloff, M, Donaldson, P, Thorne, H, Goodwin, B, Bryden, G &amp; Best, T  (2016)</w:t>
      </w:r>
      <w:r w:rsidRPr="00AA0620">
        <w:rPr>
          <w:rStyle w:val="apple-converted-space"/>
          <w:rFonts w:asciiTheme="minorHAnsi" w:hAnsiTheme="minorHAnsi" w:cstheme="minorHAnsi"/>
          <w:color w:val="222222"/>
          <w:sz w:val="16"/>
          <w:szCs w:val="16"/>
          <w:shd w:val="clear" w:color="auto" w:fill="FFFFFF"/>
        </w:rPr>
        <w:t> </w:t>
      </w:r>
      <w:r w:rsidRPr="00AA0620">
        <w:rPr>
          <w:rStyle w:val="Emphasis"/>
          <w:rFonts w:asciiTheme="minorHAnsi" w:hAnsiTheme="minorHAnsi" w:cstheme="minorHAnsi"/>
          <w:color w:val="222222"/>
          <w:sz w:val="16"/>
          <w:szCs w:val="16"/>
          <w:shd w:val="clear" w:color="auto" w:fill="FFFFFF"/>
        </w:rPr>
        <w:t>Assessing gambling-related harm in Victoria: a public health perspective,</w:t>
      </w:r>
      <w:r w:rsidRPr="00AA0620">
        <w:rPr>
          <w:rFonts w:asciiTheme="minorHAnsi" w:hAnsiTheme="minorHAnsi" w:cstheme="minorHAnsi"/>
          <w:color w:val="222222"/>
          <w:sz w:val="16"/>
          <w:szCs w:val="16"/>
          <w:shd w:val="clear" w:color="auto" w:fill="FFFFFF"/>
        </w:rPr>
        <w:t> Victorian Responsible Gambling Foundation, Melbourne.</w:t>
      </w:r>
    </w:p>
  </w:footnote>
  <w:footnote w:id="241">
    <w:p w:rsidR="0092252C" w:rsidRPr="00AA0620" w:rsidRDefault="0092252C" w:rsidP="003D1F93">
      <w:pPr>
        <w:pStyle w:val="FootnoteText"/>
        <w:rPr>
          <w:rFonts w:asciiTheme="minorHAnsi" w:hAnsiTheme="minorHAnsi" w:cstheme="minorHAnsi"/>
          <w:sz w:val="16"/>
          <w:szCs w:val="16"/>
        </w:rPr>
      </w:pPr>
      <w:r w:rsidRPr="00AA0620">
        <w:rPr>
          <w:rStyle w:val="FootnoteReference"/>
          <w:rFonts w:asciiTheme="minorHAnsi" w:hAnsiTheme="minorHAnsi" w:cstheme="minorHAnsi"/>
          <w:sz w:val="16"/>
          <w:szCs w:val="16"/>
        </w:rPr>
        <w:footnoteRef/>
      </w:r>
      <w:r w:rsidRPr="00AA0620">
        <w:rPr>
          <w:rFonts w:asciiTheme="minorHAnsi" w:hAnsiTheme="minorHAnsi" w:cstheme="minorHAnsi"/>
          <w:sz w:val="16"/>
          <w:szCs w:val="16"/>
        </w:rPr>
        <w:t xml:space="preserve"> http://www.problemgambling.gov.au/impact/</w:t>
      </w:r>
    </w:p>
  </w:footnote>
  <w:footnote w:id="242">
    <w:p w:rsidR="0092252C" w:rsidRPr="00AA0620" w:rsidRDefault="0092252C" w:rsidP="003D1F93">
      <w:pPr>
        <w:pStyle w:val="FootnoteText"/>
        <w:rPr>
          <w:rFonts w:asciiTheme="minorHAnsi" w:hAnsiTheme="minorHAnsi" w:cstheme="minorHAnsi"/>
          <w:i/>
          <w:sz w:val="16"/>
          <w:szCs w:val="16"/>
        </w:rPr>
      </w:pPr>
      <w:r w:rsidRPr="00AA0620">
        <w:rPr>
          <w:rStyle w:val="FootnoteReference"/>
          <w:rFonts w:asciiTheme="minorHAnsi" w:hAnsiTheme="minorHAnsi" w:cstheme="minorHAnsi"/>
          <w:sz w:val="16"/>
          <w:szCs w:val="16"/>
        </w:rPr>
        <w:footnoteRef/>
      </w:r>
      <w:r w:rsidRPr="00AA0620">
        <w:rPr>
          <w:rFonts w:asciiTheme="minorHAnsi" w:hAnsiTheme="minorHAnsi" w:cstheme="minorHAnsi"/>
          <w:sz w:val="16"/>
          <w:szCs w:val="16"/>
        </w:rPr>
        <w:t xml:space="preserve"> Victorian Responsible Gambling Foundation (2013) </w:t>
      </w:r>
      <w:r w:rsidRPr="00AA0620">
        <w:rPr>
          <w:rFonts w:asciiTheme="minorHAnsi" w:hAnsiTheme="minorHAnsi" w:cstheme="minorHAnsi"/>
          <w:i/>
          <w:sz w:val="16"/>
          <w:szCs w:val="16"/>
        </w:rPr>
        <w:t>The Responsible Gambling Guide</w:t>
      </w:r>
    </w:p>
  </w:footnote>
  <w:footnote w:id="243">
    <w:p w:rsidR="0092252C" w:rsidRPr="00AA0620" w:rsidRDefault="0092252C" w:rsidP="003D1F93">
      <w:pPr>
        <w:pStyle w:val="FootnoteText"/>
        <w:rPr>
          <w:rFonts w:asciiTheme="minorHAnsi" w:hAnsiTheme="minorHAnsi" w:cstheme="minorHAnsi"/>
          <w:sz w:val="16"/>
          <w:szCs w:val="16"/>
        </w:rPr>
      </w:pPr>
      <w:r w:rsidRPr="00AA0620">
        <w:rPr>
          <w:rStyle w:val="FootnoteReference"/>
          <w:rFonts w:asciiTheme="minorHAnsi" w:hAnsiTheme="minorHAnsi" w:cstheme="minorHAnsi"/>
          <w:sz w:val="16"/>
          <w:szCs w:val="16"/>
        </w:rPr>
        <w:footnoteRef/>
      </w:r>
      <w:r w:rsidRPr="00AA0620">
        <w:rPr>
          <w:rFonts w:asciiTheme="minorHAnsi" w:hAnsiTheme="minorHAnsi" w:cstheme="minorHAnsi"/>
          <w:sz w:val="16"/>
          <w:szCs w:val="16"/>
        </w:rPr>
        <w:t xml:space="preserve"> Adapted from the Victorian Competition and Efficiency Commission (2010) p33</w:t>
      </w:r>
    </w:p>
  </w:footnote>
  <w:footnote w:id="244">
    <w:p w:rsidR="0092252C" w:rsidRPr="00BB341B" w:rsidRDefault="0092252C" w:rsidP="00220D9C">
      <w:pPr>
        <w:pStyle w:val="FootnoteText"/>
        <w:rPr>
          <w:i/>
          <w:sz w:val="16"/>
        </w:rPr>
      </w:pPr>
      <w:r w:rsidRPr="00BB341B">
        <w:rPr>
          <w:rStyle w:val="FootnoteReference"/>
          <w:sz w:val="16"/>
        </w:rPr>
        <w:footnoteRef/>
      </w:r>
      <w:r w:rsidRPr="00BB341B">
        <w:rPr>
          <w:sz w:val="16"/>
        </w:rPr>
        <w:t xml:space="preserve"> VRGF (2014) </w:t>
      </w:r>
      <w:r w:rsidRPr="00BB341B">
        <w:rPr>
          <w:i/>
          <w:sz w:val="16"/>
        </w:rPr>
        <w:t>Study of gambling and health in Victoria</w:t>
      </w:r>
    </w:p>
  </w:footnote>
  <w:footnote w:id="245">
    <w:p w:rsidR="0092252C" w:rsidRPr="00AA0620" w:rsidRDefault="0092252C" w:rsidP="003D1F93">
      <w:pPr>
        <w:pStyle w:val="FootnoteText"/>
        <w:rPr>
          <w:rFonts w:asciiTheme="minorHAnsi" w:hAnsiTheme="minorHAnsi" w:cstheme="minorHAnsi"/>
          <w:sz w:val="16"/>
          <w:szCs w:val="16"/>
        </w:rPr>
      </w:pPr>
      <w:r w:rsidRPr="00AA0620">
        <w:rPr>
          <w:rStyle w:val="FootnoteReference"/>
          <w:rFonts w:asciiTheme="minorHAnsi" w:hAnsiTheme="minorHAnsi" w:cstheme="minorHAnsi"/>
          <w:sz w:val="16"/>
          <w:szCs w:val="16"/>
        </w:rPr>
        <w:footnoteRef/>
      </w:r>
      <w:r w:rsidRPr="00AA0620">
        <w:rPr>
          <w:rFonts w:asciiTheme="minorHAnsi" w:hAnsiTheme="minorHAnsi" w:cstheme="minorHAnsi"/>
          <w:sz w:val="16"/>
          <w:szCs w:val="16"/>
        </w:rPr>
        <w:t xml:space="preserve"> </w:t>
      </w:r>
      <w:r w:rsidRPr="00AA0620">
        <w:rPr>
          <w:rFonts w:asciiTheme="minorHAnsi" w:hAnsiTheme="minorHAnsi" w:cstheme="minorHAnsi"/>
          <w:iCs/>
          <w:sz w:val="16"/>
          <w:szCs w:val="16"/>
        </w:rPr>
        <w:t xml:space="preserve">Liao, M (undated) </w:t>
      </w:r>
    </w:p>
  </w:footnote>
  <w:footnote w:id="246">
    <w:p w:rsidR="0092252C" w:rsidRPr="00AA0620" w:rsidRDefault="0092252C" w:rsidP="003D1F93">
      <w:pPr>
        <w:pStyle w:val="FootnoteText"/>
        <w:rPr>
          <w:rFonts w:asciiTheme="minorHAnsi" w:hAnsiTheme="minorHAnsi" w:cstheme="minorHAnsi"/>
          <w:sz w:val="16"/>
          <w:szCs w:val="16"/>
        </w:rPr>
      </w:pPr>
      <w:r w:rsidRPr="00AA0620">
        <w:rPr>
          <w:rStyle w:val="FootnoteReference"/>
          <w:rFonts w:asciiTheme="minorHAnsi" w:hAnsiTheme="minorHAnsi" w:cstheme="minorHAnsi"/>
          <w:sz w:val="16"/>
          <w:szCs w:val="16"/>
        </w:rPr>
        <w:footnoteRef/>
      </w:r>
      <w:r w:rsidRPr="00AA0620">
        <w:rPr>
          <w:rFonts w:asciiTheme="minorHAnsi" w:hAnsiTheme="minorHAnsi" w:cstheme="minorHAnsi"/>
          <w:sz w:val="16"/>
          <w:szCs w:val="16"/>
        </w:rPr>
        <w:t xml:space="preserve"> </w:t>
      </w:r>
      <w:r w:rsidRPr="00AA0620">
        <w:rPr>
          <w:rFonts w:asciiTheme="minorHAnsi" w:hAnsiTheme="minorHAnsi" w:cstheme="minorHAnsi"/>
          <w:iCs/>
          <w:sz w:val="16"/>
          <w:szCs w:val="16"/>
        </w:rPr>
        <w:t xml:space="preserve">Liao, M (undated) </w:t>
      </w:r>
    </w:p>
  </w:footnote>
  <w:footnote w:id="247">
    <w:p w:rsidR="0092252C" w:rsidRPr="00AA0620" w:rsidRDefault="0092252C" w:rsidP="003D1F93">
      <w:pPr>
        <w:spacing w:after="0"/>
        <w:rPr>
          <w:rFonts w:asciiTheme="minorHAnsi" w:hAnsiTheme="minorHAnsi" w:cstheme="minorHAnsi"/>
          <w:sz w:val="16"/>
          <w:szCs w:val="16"/>
        </w:rPr>
      </w:pPr>
      <w:r w:rsidRPr="00AA0620">
        <w:rPr>
          <w:rStyle w:val="FootnoteReference"/>
          <w:rFonts w:asciiTheme="minorHAnsi" w:hAnsiTheme="minorHAnsi" w:cstheme="minorHAnsi"/>
          <w:sz w:val="16"/>
          <w:szCs w:val="16"/>
        </w:rPr>
        <w:footnoteRef/>
      </w:r>
      <w:r w:rsidRPr="00AA0620">
        <w:rPr>
          <w:rFonts w:asciiTheme="minorHAnsi" w:hAnsiTheme="minorHAnsi" w:cstheme="minorHAnsi"/>
          <w:sz w:val="16"/>
          <w:szCs w:val="16"/>
        </w:rPr>
        <w:t xml:space="preserve"> </w:t>
      </w:r>
      <w:r w:rsidRPr="00AA0620">
        <w:rPr>
          <w:rFonts w:asciiTheme="minorHAnsi" w:hAnsiTheme="minorHAnsi" w:cstheme="minorHAnsi"/>
          <w:iCs/>
          <w:sz w:val="16"/>
          <w:szCs w:val="16"/>
        </w:rPr>
        <w:t xml:space="preserve">State Government of Victoria (2010) </w:t>
      </w:r>
    </w:p>
  </w:footnote>
  <w:footnote w:id="248">
    <w:p w:rsidR="0092252C" w:rsidRPr="00AA0620" w:rsidRDefault="0092252C" w:rsidP="003D1F93">
      <w:pPr>
        <w:spacing w:after="0"/>
        <w:rPr>
          <w:rFonts w:asciiTheme="minorHAnsi" w:hAnsiTheme="minorHAnsi" w:cstheme="minorHAnsi"/>
          <w:sz w:val="16"/>
          <w:szCs w:val="16"/>
        </w:rPr>
      </w:pPr>
      <w:r w:rsidRPr="00AA0620">
        <w:rPr>
          <w:rStyle w:val="FootnoteReference"/>
          <w:rFonts w:asciiTheme="minorHAnsi" w:hAnsiTheme="minorHAnsi" w:cstheme="minorHAnsi"/>
          <w:sz w:val="16"/>
          <w:szCs w:val="16"/>
        </w:rPr>
        <w:footnoteRef/>
      </w:r>
      <w:r w:rsidRPr="00AA0620">
        <w:rPr>
          <w:rFonts w:asciiTheme="minorHAnsi" w:hAnsiTheme="minorHAnsi" w:cstheme="minorHAnsi"/>
          <w:sz w:val="16"/>
          <w:szCs w:val="16"/>
        </w:rPr>
        <w:t xml:space="preserve"> </w:t>
      </w:r>
      <w:r w:rsidRPr="00AA0620">
        <w:rPr>
          <w:rFonts w:asciiTheme="minorHAnsi" w:hAnsiTheme="minorHAnsi" w:cstheme="minorHAnsi"/>
          <w:iCs/>
          <w:sz w:val="16"/>
          <w:szCs w:val="16"/>
        </w:rPr>
        <w:t xml:space="preserve">State Government of Victoria (2010) </w:t>
      </w:r>
    </w:p>
  </w:footnote>
  <w:footnote w:id="249">
    <w:p w:rsidR="0092252C" w:rsidRPr="00922B10" w:rsidRDefault="0092252C" w:rsidP="003D1F93">
      <w:pPr>
        <w:pStyle w:val="FootnoteText"/>
        <w:rPr>
          <w:sz w:val="16"/>
        </w:rPr>
      </w:pPr>
      <w:r w:rsidRPr="00922B10">
        <w:rPr>
          <w:rStyle w:val="FootnoteReference"/>
          <w:sz w:val="16"/>
        </w:rPr>
        <w:footnoteRef/>
      </w:r>
      <w:r w:rsidRPr="00922B10">
        <w:rPr>
          <w:sz w:val="16"/>
        </w:rPr>
        <w:t xml:space="preserve"> Warfield and Associates () </w:t>
      </w:r>
      <w:r w:rsidRPr="00922B10">
        <w:rPr>
          <w:i/>
          <w:sz w:val="16"/>
        </w:rPr>
        <w:t>Gambling motivated fraud in Australia 2011-2016</w:t>
      </w:r>
    </w:p>
  </w:footnote>
  <w:footnote w:id="250">
    <w:p w:rsidR="0092252C" w:rsidRPr="00AA0620" w:rsidRDefault="0092252C" w:rsidP="003D1F93">
      <w:pPr>
        <w:autoSpaceDE w:val="0"/>
        <w:autoSpaceDN w:val="0"/>
        <w:adjustRightInd w:val="0"/>
        <w:spacing w:after="0"/>
        <w:rPr>
          <w:rFonts w:asciiTheme="minorHAnsi" w:eastAsiaTheme="minorHAnsi" w:hAnsiTheme="minorHAnsi" w:cstheme="minorHAnsi"/>
          <w:sz w:val="16"/>
          <w:szCs w:val="16"/>
        </w:rPr>
      </w:pPr>
      <w:r w:rsidRPr="00AA0620">
        <w:rPr>
          <w:rStyle w:val="FootnoteReference"/>
          <w:rFonts w:asciiTheme="minorHAnsi" w:hAnsiTheme="minorHAnsi" w:cstheme="minorHAnsi"/>
          <w:sz w:val="16"/>
          <w:szCs w:val="16"/>
        </w:rPr>
        <w:footnoteRef/>
      </w:r>
      <w:r w:rsidRPr="00AA0620">
        <w:rPr>
          <w:rFonts w:asciiTheme="minorHAnsi" w:hAnsiTheme="minorHAnsi" w:cstheme="minorHAnsi"/>
          <w:sz w:val="16"/>
          <w:szCs w:val="16"/>
        </w:rPr>
        <w:t xml:space="preserve"> </w:t>
      </w:r>
      <w:r w:rsidRPr="00AA0620">
        <w:rPr>
          <w:rFonts w:asciiTheme="minorHAnsi" w:eastAsiaTheme="minorHAnsi" w:hAnsiTheme="minorHAnsi" w:cstheme="minorHAnsi"/>
          <w:sz w:val="16"/>
          <w:szCs w:val="16"/>
        </w:rPr>
        <w:t>Suomi et al. (2013) Problem gambling and family violence: family member reports of prevalence, family impacts</w:t>
      </w:r>
    </w:p>
    <w:p w:rsidR="0092252C" w:rsidRPr="00AA0620" w:rsidRDefault="0092252C" w:rsidP="003D1F93">
      <w:pPr>
        <w:autoSpaceDE w:val="0"/>
        <w:autoSpaceDN w:val="0"/>
        <w:adjustRightInd w:val="0"/>
        <w:spacing w:after="0"/>
        <w:rPr>
          <w:rFonts w:asciiTheme="minorHAnsi" w:hAnsiTheme="minorHAnsi" w:cstheme="minorHAnsi"/>
          <w:sz w:val="16"/>
          <w:szCs w:val="16"/>
        </w:rPr>
      </w:pPr>
      <w:r w:rsidRPr="00AA0620">
        <w:rPr>
          <w:rFonts w:asciiTheme="minorHAnsi" w:eastAsiaTheme="minorHAnsi" w:hAnsiTheme="minorHAnsi" w:cstheme="minorHAnsi"/>
          <w:sz w:val="16"/>
          <w:szCs w:val="16"/>
        </w:rPr>
        <w:t xml:space="preserve">and family coping </w:t>
      </w:r>
      <w:r w:rsidRPr="00AA0620">
        <w:rPr>
          <w:rFonts w:asciiTheme="minorHAnsi" w:eastAsiaTheme="minorHAnsi" w:hAnsiTheme="minorHAnsi" w:cstheme="minorHAnsi"/>
          <w:i/>
          <w:sz w:val="16"/>
          <w:szCs w:val="16"/>
        </w:rPr>
        <w:t>Asian Journal of Gambling Issues and Public Health</w:t>
      </w:r>
      <w:r w:rsidRPr="00AA0620">
        <w:rPr>
          <w:rFonts w:asciiTheme="minorHAnsi" w:eastAsiaTheme="minorHAnsi" w:hAnsiTheme="minorHAnsi" w:cstheme="minorHAnsi"/>
          <w:sz w:val="16"/>
          <w:szCs w:val="16"/>
        </w:rPr>
        <w:t xml:space="preserve"> 2013, 3:13 http://www.ajgiph.com/content/3/1/13</w:t>
      </w:r>
    </w:p>
  </w:footnote>
  <w:footnote w:id="251">
    <w:p w:rsidR="0092252C" w:rsidRPr="00AA0620" w:rsidRDefault="0092252C" w:rsidP="003D1F93">
      <w:pPr>
        <w:pStyle w:val="FootnoteText"/>
        <w:rPr>
          <w:rFonts w:asciiTheme="minorHAnsi" w:hAnsiTheme="minorHAnsi" w:cstheme="minorHAnsi"/>
          <w:sz w:val="16"/>
          <w:szCs w:val="16"/>
        </w:rPr>
      </w:pPr>
      <w:r w:rsidRPr="00AA0620">
        <w:rPr>
          <w:rStyle w:val="FootnoteReference"/>
          <w:rFonts w:asciiTheme="minorHAnsi" w:hAnsiTheme="minorHAnsi" w:cstheme="minorHAnsi"/>
          <w:sz w:val="16"/>
          <w:szCs w:val="16"/>
        </w:rPr>
        <w:footnoteRef/>
      </w:r>
      <w:r w:rsidRPr="00AA0620">
        <w:rPr>
          <w:rFonts w:asciiTheme="minorHAnsi" w:hAnsiTheme="minorHAnsi" w:cstheme="minorHAnsi"/>
          <w:sz w:val="16"/>
          <w:szCs w:val="16"/>
        </w:rPr>
        <w:t xml:space="preserve"> </w:t>
      </w:r>
      <w:r w:rsidRPr="00AA0620">
        <w:rPr>
          <w:rFonts w:asciiTheme="minorHAnsi" w:hAnsiTheme="minorHAnsi" w:cstheme="minorHAnsi"/>
          <w:iCs/>
          <w:sz w:val="16"/>
          <w:szCs w:val="16"/>
        </w:rPr>
        <w:t xml:space="preserve">Liao, M (undated) </w:t>
      </w:r>
      <w:r w:rsidRPr="00AA0620">
        <w:rPr>
          <w:rFonts w:asciiTheme="minorHAnsi" w:hAnsiTheme="minorHAnsi" w:cstheme="minorHAnsi"/>
          <w:i/>
          <w:iCs/>
          <w:sz w:val="16"/>
          <w:szCs w:val="16"/>
        </w:rPr>
        <w:t xml:space="preserve">Problem Gambling and Family Discordance </w:t>
      </w:r>
      <w:r w:rsidRPr="00AA0620">
        <w:rPr>
          <w:rFonts w:asciiTheme="minorHAnsi" w:hAnsiTheme="minorHAnsi" w:cstheme="minorHAnsi"/>
          <w:iCs/>
          <w:sz w:val="16"/>
          <w:szCs w:val="16"/>
        </w:rPr>
        <w:t>Problem Gambling Prevention</w:t>
      </w:r>
    </w:p>
  </w:footnote>
  <w:footnote w:id="252">
    <w:p w:rsidR="0092252C" w:rsidRPr="00AA0620" w:rsidRDefault="0092252C" w:rsidP="003D1F93">
      <w:pPr>
        <w:pStyle w:val="FootnoteText"/>
        <w:rPr>
          <w:rFonts w:asciiTheme="minorHAnsi" w:hAnsiTheme="minorHAnsi" w:cstheme="minorHAnsi"/>
          <w:sz w:val="16"/>
          <w:szCs w:val="16"/>
        </w:rPr>
      </w:pPr>
      <w:r w:rsidRPr="00AA0620">
        <w:rPr>
          <w:rStyle w:val="FootnoteReference"/>
          <w:rFonts w:asciiTheme="minorHAnsi" w:hAnsiTheme="minorHAnsi" w:cstheme="minorHAnsi"/>
          <w:sz w:val="16"/>
          <w:szCs w:val="16"/>
        </w:rPr>
        <w:footnoteRef/>
      </w:r>
      <w:r w:rsidRPr="00AA0620">
        <w:rPr>
          <w:rFonts w:asciiTheme="minorHAnsi" w:hAnsiTheme="minorHAnsi" w:cstheme="minorHAnsi"/>
          <w:sz w:val="16"/>
          <w:szCs w:val="16"/>
        </w:rPr>
        <w:t xml:space="preserve"> Dowling, N. et al (2015) “Problem Gambling and Intimate Partner Violence: A systematic Review and Meta-Analysis” Analysis” </w:t>
      </w:r>
      <w:r w:rsidRPr="00AA0620">
        <w:rPr>
          <w:rFonts w:asciiTheme="minorHAnsi" w:hAnsiTheme="minorHAnsi" w:cstheme="minorHAnsi"/>
          <w:i/>
          <w:sz w:val="16"/>
          <w:szCs w:val="16"/>
        </w:rPr>
        <w:t xml:space="preserve">Trauma, Violence, and Abuse </w:t>
      </w:r>
      <w:r w:rsidRPr="00AA0620">
        <w:rPr>
          <w:rFonts w:asciiTheme="minorHAnsi" w:hAnsiTheme="minorHAnsi" w:cstheme="minorHAnsi"/>
          <w:sz w:val="16"/>
          <w:szCs w:val="16"/>
        </w:rPr>
        <w:t xml:space="preserve">DOI </w:t>
      </w:r>
      <w:r w:rsidRPr="00AA0620">
        <w:rPr>
          <w:rFonts w:asciiTheme="minorHAnsi" w:eastAsiaTheme="minorHAnsi" w:hAnsiTheme="minorHAnsi" w:cstheme="minorHAnsi"/>
          <w:sz w:val="16"/>
          <w:szCs w:val="16"/>
        </w:rPr>
        <w:t>0.1177/1524838014561269</w:t>
      </w:r>
    </w:p>
  </w:footnote>
  <w:footnote w:id="253">
    <w:p w:rsidR="0092252C" w:rsidRPr="00BB341B" w:rsidRDefault="0092252C" w:rsidP="00BB341B">
      <w:pPr>
        <w:pStyle w:val="FootnoteText"/>
        <w:rPr>
          <w:rFonts w:asciiTheme="minorHAnsi" w:hAnsiTheme="minorHAnsi" w:cstheme="minorHAnsi"/>
          <w:sz w:val="16"/>
          <w:szCs w:val="16"/>
        </w:rPr>
      </w:pPr>
      <w:r w:rsidRPr="00BB341B">
        <w:rPr>
          <w:rStyle w:val="FootnoteReference"/>
          <w:rFonts w:asciiTheme="minorHAnsi" w:hAnsiTheme="minorHAnsi" w:cstheme="minorHAnsi"/>
          <w:sz w:val="16"/>
          <w:szCs w:val="16"/>
        </w:rPr>
        <w:footnoteRef/>
      </w:r>
      <w:r w:rsidRPr="00BB341B">
        <w:rPr>
          <w:rFonts w:asciiTheme="minorHAnsi" w:hAnsiTheme="minorHAnsi" w:cstheme="minorHAnsi"/>
          <w:sz w:val="16"/>
          <w:szCs w:val="16"/>
        </w:rPr>
        <w:t xml:space="preserve"> </w:t>
      </w:r>
      <w:r w:rsidRPr="00332BF5">
        <w:rPr>
          <w:rFonts w:asciiTheme="minorHAnsi" w:hAnsiTheme="minorHAnsi" w:cstheme="minorHAnsi"/>
          <w:iCs/>
          <w:sz w:val="16"/>
          <w:szCs w:val="16"/>
        </w:rPr>
        <w:t xml:space="preserve">Auckland University of Technology. 2017. Problem Gambling and Family Violence in Help-Seeking Populations: Co-Occurrence, Impact and Coping. Wellington: Ministry of Health. </w:t>
      </w:r>
      <w:hyperlink r:id="rId14" w:history="1">
        <w:r w:rsidRPr="00BB341B">
          <w:rPr>
            <w:rStyle w:val="Hyperlink"/>
            <w:rFonts w:asciiTheme="minorHAnsi" w:hAnsiTheme="minorHAnsi" w:cstheme="minorHAnsi"/>
            <w:sz w:val="16"/>
            <w:szCs w:val="16"/>
            <w:shd w:val="clear" w:color="auto" w:fill="FFFFFF"/>
          </w:rPr>
          <w:t>https://www.health.govt.nz/publication/problem-gambling-and-family-violence-help-seeking-populations-co-occurrence-impact-and-coping</w:t>
        </w:r>
      </w:hyperlink>
      <w:r w:rsidRPr="00BB341B">
        <w:rPr>
          <w:rFonts w:asciiTheme="minorHAnsi" w:hAnsiTheme="minorHAnsi" w:cstheme="minorHAnsi"/>
          <w:color w:val="002639"/>
          <w:sz w:val="16"/>
          <w:szCs w:val="16"/>
          <w:shd w:val="clear" w:color="auto" w:fill="FFFFFF"/>
        </w:rPr>
        <w:t xml:space="preserve"> </w:t>
      </w:r>
    </w:p>
  </w:footnote>
  <w:footnote w:id="254">
    <w:p w:rsidR="0092252C" w:rsidRPr="00AA0620" w:rsidRDefault="0092252C" w:rsidP="003D1F93">
      <w:pPr>
        <w:pStyle w:val="FootnoteText"/>
        <w:rPr>
          <w:rFonts w:asciiTheme="minorHAnsi" w:hAnsiTheme="minorHAnsi" w:cstheme="minorHAnsi"/>
          <w:sz w:val="16"/>
          <w:szCs w:val="16"/>
        </w:rPr>
      </w:pPr>
      <w:r w:rsidRPr="00AA0620">
        <w:rPr>
          <w:rStyle w:val="FootnoteReference"/>
          <w:rFonts w:asciiTheme="minorHAnsi" w:hAnsiTheme="minorHAnsi" w:cstheme="minorHAnsi"/>
          <w:sz w:val="16"/>
          <w:szCs w:val="16"/>
        </w:rPr>
        <w:footnoteRef/>
      </w:r>
      <w:r w:rsidRPr="00AA0620">
        <w:rPr>
          <w:rFonts w:asciiTheme="minorHAnsi" w:hAnsiTheme="minorHAnsi" w:cstheme="minorHAnsi"/>
          <w:sz w:val="16"/>
          <w:szCs w:val="16"/>
        </w:rPr>
        <w:t xml:space="preserve"> http://www.problemgambling.gov.au/impact/</w:t>
      </w:r>
    </w:p>
  </w:footnote>
  <w:footnote w:id="255">
    <w:p w:rsidR="0092252C" w:rsidRPr="00AA0620" w:rsidRDefault="0092252C" w:rsidP="003D1F93">
      <w:pPr>
        <w:pStyle w:val="FootnoteText"/>
        <w:rPr>
          <w:rFonts w:asciiTheme="minorHAnsi" w:hAnsiTheme="minorHAnsi" w:cstheme="minorHAnsi"/>
          <w:sz w:val="16"/>
          <w:szCs w:val="16"/>
        </w:rPr>
      </w:pPr>
      <w:r w:rsidRPr="00AA0620">
        <w:rPr>
          <w:rStyle w:val="FootnoteReference"/>
          <w:rFonts w:asciiTheme="minorHAnsi" w:hAnsiTheme="minorHAnsi" w:cstheme="minorHAnsi"/>
          <w:sz w:val="16"/>
          <w:szCs w:val="16"/>
        </w:rPr>
        <w:footnoteRef/>
      </w:r>
      <w:r w:rsidRPr="00AA0620">
        <w:rPr>
          <w:rFonts w:asciiTheme="minorHAnsi" w:hAnsiTheme="minorHAnsi" w:cstheme="minorHAnsi"/>
          <w:sz w:val="16"/>
          <w:szCs w:val="16"/>
        </w:rPr>
        <w:t xml:space="preserve"> Victorian Competition and Efficiency Commission (2010) p75</w:t>
      </w:r>
    </w:p>
  </w:footnote>
  <w:footnote w:id="256">
    <w:p w:rsidR="0092252C" w:rsidRPr="00AA0620" w:rsidRDefault="0092252C" w:rsidP="003D1F93">
      <w:pPr>
        <w:pStyle w:val="FootnoteText"/>
        <w:rPr>
          <w:rFonts w:asciiTheme="minorHAnsi" w:hAnsiTheme="minorHAnsi" w:cstheme="minorHAnsi"/>
          <w:i/>
          <w:sz w:val="16"/>
          <w:szCs w:val="16"/>
        </w:rPr>
      </w:pPr>
      <w:r w:rsidRPr="00AA0620">
        <w:rPr>
          <w:rStyle w:val="FootnoteReference"/>
          <w:rFonts w:asciiTheme="minorHAnsi" w:hAnsiTheme="minorHAnsi" w:cstheme="minorHAnsi"/>
          <w:sz w:val="16"/>
          <w:szCs w:val="16"/>
        </w:rPr>
        <w:footnoteRef/>
      </w:r>
      <w:r w:rsidRPr="00AA0620">
        <w:rPr>
          <w:rFonts w:asciiTheme="minorHAnsi" w:hAnsiTheme="minorHAnsi" w:cstheme="minorHAnsi"/>
          <w:sz w:val="16"/>
          <w:szCs w:val="16"/>
        </w:rPr>
        <w:t xml:space="preserve"> McMillen, J., Marshall, D., Murphy, L., Lorenzen, S. and Waugh, B. (2004) </w:t>
      </w:r>
      <w:r w:rsidRPr="00AA0620">
        <w:rPr>
          <w:rFonts w:asciiTheme="minorHAnsi" w:hAnsiTheme="minorHAnsi" w:cstheme="minorHAnsi"/>
          <w:i/>
          <w:sz w:val="16"/>
          <w:szCs w:val="16"/>
        </w:rPr>
        <w:t>Help seeking by Gamblers, friends and Families in the ACT: A Focus on Cultural and Gender Issues. Canberra, ACT: Gambling and Racing Commission</w:t>
      </w:r>
    </w:p>
  </w:footnote>
  <w:footnote w:id="257">
    <w:p w:rsidR="0092252C" w:rsidRPr="00AA0620" w:rsidRDefault="0092252C" w:rsidP="003D1F93">
      <w:pPr>
        <w:pStyle w:val="FootnoteText"/>
        <w:rPr>
          <w:rFonts w:asciiTheme="minorHAnsi" w:hAnsiTheme="minorHAnsi" w:cstheme="minorHAnsi"/>
          <w:sz w:val="16"/>
          <w:szCs w:val="16"/>
        </w:rPr>
      </w:pPr>
      <w:r w:rsidRPr="00AA0620">
        <w:rPr>
          <w:rStyle w:val="FootnoteReference"/>
          <w:rFonts w:asciiTheme="minorHAnsi" w:hAnsiTheme="minorHAnsi" w:cstheme="minorHAnsi"/>
          <w:sz w:val="16"/>
          <w:szCs w:val="16"/>
        </w:rPr>
        <w:footnoteRef/>
      </w:r>
      <w:r w:rsidRPr="00AA0620">
        <w:rPr>
          <w:rFonts w:asciiTheme="minorHAnsi" w:hAnsiTheme="minorHAnsi" w:cstheme="minorHAnsi"/>
          <w:sz w:val="16"/>
          <w:szCs w:val="16"/>
        </w:rPr>
        <w:t xml:space="preserve"> Victorian Competition and Efficiency Commission (2010) p72</w:t>
      </w:r>
    </w:p>
  </w:footnote>
  <w:footnote w:id="258">
    <w:p w:rsidR="0092252C" w:rsidRPr="00A44A75" w:rsidRDefault="0092252C" w:rsidP="003D1F93">
      <w:pPr>
        <w:pStyle w:val="FootnoteText"/>
        <w:rPr>
          <w:sz w:val="16"/>
          <w:szCs w:val="16"/>
        </w:rPr>
      </w:pPr>
      <w:r w:rsidRPr="00A44A75">
        <w:rPr>
          <w:rStyle w:val="FootnoteReference"/>
          <w:sz w:val="16"/>
          <w:szCs w:val="16"/>
        </w:rPr>
        <w:footnoteRef/>
      </w:r>
      <w:r w:rsidRPr="00A44A75">
        <w:rPr>
          <w:sz w:val="16"/>
          <w:szCs w:val="16"/>
        </w:rPr>
        <w:t xml:space="preserve"> Victorian Competition and Efficiency Commission (2010) </w:t>
      </w:r>
    </w:p>
  </w:footnote>
  <w:footnote w:id="259">
    <w:p w:rsidR="0092252C" w:rsidRPr="00B95993" w:rsidRDefault="0092252C" w:rsidP="003D1F93">
      <w:pPr>
        <w:spacing w:after="0"/>
        <w:rPr>
          <w:sz w:val="16"/>
          <w:szCs w:val="16"/>
        </w:rPr>
      </w:pPr>
      <w:r w:rsidRPr="00B95993">
        <w:rPr>
          <w:rStyle w:val="FootnoteReference"/>
          <w:sz w:val="16"/>
          <w:szCs w:val="16"/>
        </w:rPr>
        <w:footnoteRef/>
      </w:r>
      <w:r w:rsidRPr="00B95993">
        <w:rPr>
          <w:sz w:val="16"/>
          <w:szCs w:val="16"/>
        </w:rPr>
        <w:t xml:space="preserve"> </w:t>
      </w:r>
      <w:r w:rsidRPr="00B95993">
        <w:rPr>
          <w:iCs/>
          <w:sz w:val="16"/>
          <w:szCs w:val="16"/>
        </w:rPr>
        <w:t xml:space="preserve">State Government of Victoria (2011) </w:t>
      </w:r>
    </w:p>
  </w:footnote>
  <w:footnote w:id="260">
    <w:p w:rsidR="0092252C" w:rsidRPr="001D299C" w:rsidRDefault="0092252C" w:rsidP="003D1F93">
      <w:pPr>
        <w:spacing w:after="0"/>
        <w:rPr>
          <w:sz w:val="16"/>
          <w:szCs w:val="16"/>
        </w:rPr>
      </w:pPr>
      <w:r w:rsidRPr="001D299C">
        <w:rPr>
          <w:rStyle w:val="FootnoteReference"/>
          <w:sz w:val="16"/>
          <w:szCs w:val="16"/>
        </w:rPr>
        <w:footnoteRef/>
      </w:r>
      <w:r w:rsidRPr="001D299C">
        <w:rPr>
          <w:sz w:val="16"/>
          <w:szCs w:val="16"/>
        </w:rPr>
        <w:t xml:space="preserve">Victorian Competition and Efficiency Commission (2010) p30 </w:t>
      </w:r>
    </w:p>
  </w:footnote>
  <w:footnote w:id="261">
    <w:p w:rsidR="0092252C" w:rsidRPr="00B95993" w:rsidRDefault="0092252C" w:rsidP="003D1F93">
      <w:pPr>
        <w:pStyle w:val="FootnoteText"/>
        <w:rPr>
          <w:sz w:val="16"/>
          <w:szCs w:val="16"/>
        </w:rPr>
      </w:pPr>
      <w:r w:rsidRPr="00B95993">
        <w:rPr>
          <w:rStyle w:val="FootnoteReference"/>
          <w:sz w:val="16"/>
          <w:szCs w:val="16"/>
        </w:rPr>
        <w:footnoteRef/>
      </w:r>
      <w:r w:rsidRPr="00B95993">
        <w:rPr>
          <w:sz w:val="16"/>
          <w:szCs w:val="16"/>
        </w:rPr>
        <w:t xml:space="preserve"> Victorian Competition and Efficiency Commission (2010) p111</w:t>
      </w:r>
    </w:p>
  </w:footnote>
  <w:footnote w:id="262">
    <w:p w:rsidR="0092252C" w:rsidRPr="00B95993" w:rsidRDefault="0092252C" w:rsidP="003D1F93">
      <w:pPr>
        <w:pStyle w:val="FootnoteText"/>
        <w:rPr>
          <w:sz w:val="16"/>
          <w:szCs w:val="16"/>
        </w:rPr>
      </w:pPr>
      <w:r w:rsidRPr="00B95993">
        <w:rPr>
          <w:rStyle w:val="FootnoteReference"/>
          <w:sz w:val="16"/>
          <w:szCs w:val="16"/>
        </w:rPr>
        <w:footnoteRef/>
      </w:r>
      <w:r w:rsidRPr="00B95993">
        <w:rPr>
          <w:sz w:val="16"/>
          <w:szCs w:val="16"/>
        </w:rPr>
        <w:t xml:space="preserve"> Victorian Competition and Efficiency Commission (2010) p74</w:t>
      </w:r>
    </w:p>
  </w:footnote>
  <w:footnote w:id="263">
    <w:p w:rsidR="0092252C" w:rsidRPr="00B95993" w:rsidRDefault="0092252C" w:rsidP="003D1F93">
      <w:pPr>
        <w:spacing w:after="0"/>
        <w:rPr>
          <w:sz w:val="16"/>
          <w:szCs w:val="16"/>
        </w:rPr>
      </w:pPr>
      <w:r w:rsidRPr="00B95993">
        <w:rPr>
          <w:rStyle w:val="FootnoteReference"/>
          <w:sz w:val="16"/>
          <w:szCs w:val="16"/>
        </w:rPr>
        <w:footnoteRef/>
      </w:r>
      <w:r w:rsidRPr="00B95993">
        <w:rPr>
          <w:sz w:val="16"/>
          <w:szCs w:val="16"/>
        </w:rPr>
        <w:t xml:space="preserve"> Victorian Competition and Efficiency Commission (2010</w:t>
      </w:r>
      <w:r>
        <w:rPr>
          <w:sz w:val="16"/>
          <w:szCs w:val="16"/>
        </w:rPr>
        <w:t>)</w:t>
      </w:r>
      <w:r w:rsidRPr="00B95993">
        <w:rPr>
          <w:sz w:val="16"/>
          <w:szCs w:val="16"/>
        </w:rPr>
        <w:t xml:space="preserve"> p1</w:t>
      </w:r>
    </w:p>
  </w:footnote>
  <w:footnote w:id="264">
    <w:p w:rsidR="0092252C" w:rsidRPr="00B95993" w:rsidRDefault="0092252C" w:rsidP="003D1F93">
      <w:pPr>
        <w:spacing w:after="0"/>
        <w:rPr>
          <w:sz w:val="16"/>
          <w:szCs w:val="16"/>
        </w:rPr>
      </w:pPr>
      <w:r w:rsidRPr="00B95993">
        <w:rPr>
          <w:rStyle w:val="FootnoteReference"/>
          <w:sz w:val="16"/>
          <w:szCs w:val="16"/>
        </w:rPr>
        <w:footnoteRef/>
      </w:r>
      <w:r w:rsidRPr="00B95993">
        <w:rPr>
          <w:sz w:val="16"/>
          <w:szCs w:val="16"/>
        </w:rPr>
        <w:t xml:space="preserve"> Victorian Competition and Efficiency Commission (2010</w:t>
      </w:r>
      <w:r>
        <w:rPr>
          <w:sz w:val="16"/>
          <w:szCs w:val="16"/>
        </w:rPr>
        <w:t>)</w:t>
      </w:r>
      <w:r w:rsidRPr="00B95993">
        <w:rPr>
          <w:sz w:val="16"/>
          <w:szCs w:val="16"/>
        </w:rPr>
        <w:t xml:space="preserve"> p1</w:t>
      </w:r>
    </w:p>
  </w:footnote>
  <w:footnote w:id="265">
    <w:p w:rsidR="0092252C" w:rsidRPr="00802A7F" w:rsidRDefault="0092252C" w:rsidP="003D1F93">
      <w:pPr>
        <w:spacing w:after="0"/>
        <w:rPr>
          <w:sz w:val="16"/>
          <w:szCs w:val="16"/>
        </w:rPr>
      </w:pPr>
      <w:r w:rsidRPr="00802A7F">
        <w:rPr>
          <w:rStyle w:val="FootnoteReference"/>
          <w:sz w:val="16"/>
          <w:szCs w:val="16"/>
        </w:rPr>
        <w:footnoteRef/>
      </w:r>
      <w:r w:rsidRPr="00802A7F">
        <w:rPr>
          <w:sz w:val="16"/>
          <w:szCs w:val="16"/>
        </w:rPr>
        <w:t xml:space="preserve"> </w:t>
      </w:r>
      <w:r w:rsidRPr="00802A7F">
        <w:rPr>
          <w:iCs/>
          <w:sz w:val="16"/>
          <w:szCs w:val="16"/>
        </w:rPr>
        <w:t xml:space="preserve">State Government of Victoria (2011) </w:t>
      </w:r>
    </w:p>
  </w:footnote>
  <w:footnote w:id="266">
    <w:p w:rsidR="0092252C" w:rsidRPr="00802A7F" w:rsidRDefault="0092252C" w:rsidP="003D1F93">
      <w:pPr>
        <w:pStyle w:val="FootnoteText"/>
        <w:rPr>
          <w:sz w:val="16"/>
          <w:szCs w:val="16"/>
        </w:rPr>
      </w:pPr>
      <w:r w:rsidRPr="00802A7F">
        <w:rPr>
          <w:rStyle w:val="FootnoteReference"/>
          <w:sz w:val="16"/>
          <w:szCs w:val="16"/>
        </w:rPr>
        <w:footnoteRef/>
      </w:r>
      <w:r w:rsidRPr="00802A7F">
        <w:rPr>
          <w:sz w:val="16"/>
          <w:szCs w:val="16"/>
        </w:rPr>
        <w:t xml:space="preserve"> </w:t>
      </w:r>
      <w:r w:rsidRPr="00802A7F">
        <w:rPr>
          <w:iCs/>
          <w:sz w:val="16"/>
          <w:szCs w:val="16"/>
        </w:rPr>
        <w:t>State Government of Victoria (2011) p14</w:t>
      </w:r>
    </w:p>
  </w:footnote>
  <w:footnote w:id="267">
    <w:p w:rsidR="0092252C" w:rsidRPr="005D67F1" w:rsidRDefault="0092252C" w:rsidP="005E227D">
      <w:pPr>
        <w:pStyle w:val="FootnoteText"/>
        <w:rPr>
          <w:sz w:val="16"/>
        </w:rPr>
      </w:pPr>
      <w:r w:rsidRPr="005D67F1">
        <w:rPr>
          <w:rStyle w:val="FootnoteReference"/>
          <w:sz w:val="16"/>
        </w:rPr>
        <w:footnoteRef/>
      </w:r>
      <w:r w:rsidRPr="005D67F1">
        <w:rPr>
          <w:sz w:val="16"/>
        </w:rPr>
        <w:t xml:space="preserve"> Panel Report, Mount Alexander Shire Local Planning Policy, Amendment C72</w:t>
      </w:r>
    </w:p>
  </w:footnote>
  <w:footnote w:id="268">
    <w:p w:rsidR="0092252C" w:rsidRDefault="0092252C" w:rsidP="00D9712C">
      <w:pPr>
        <w:pStyle w:val="FootnoteText"/>
      </w:pPr>
      <w:r>
        <w:rPr>
          <w:rStyle w:val="FootnoteReference"/>
        </w:rPr>
        <w:footnoteRef/>
      </w:r>
      <w:r>
        <w:t xml:space="preserve"> </w:t>
      </w:r>
      <w:r>
        <w:rPr>
          <w:rFonts w:cstheme="minorHAnsi"/>
        </w:rPr>
        <w:t>This program enables a person to ban themselves from gaming venues, TABs and gambling websites.</w:t>
      </w:r>
    </w:p>
  </w:footnote>
  <w:footnote w:id="269">
    <w:p w:rsidR="0092252C" w:rsidRPr="00315D68" w:rsidRDefault="0092252C" w:rsidP="00D9712C">
      <w:pPr>
        <w:pStyle w:val="FootnoteText"/>
        <w:rPr>
          <w:sz w:val="18"/>
        </w:rPr>
      </w:pPr>
      <w:r w:rsidRPr="00315D68">
        <w:rPr>
          <w:rStyle w:val="FootnoteReference"/>
          <w:sz w:val="18"/>
        </w:rPr>
        <w:footnoteRef/>
      </w:r>
      <w:r w:rsidRPr="00315D68">
        <w:rPr>
          <w:sz w:val="18"/>
        </w:rPr>
        <w:t xml:space="preserve"> Council noted that the venue was located within 500m of the proposal site. A typical walking distance, and therefore catchment threshold, is 400m.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52C" w:rsidRDefault="0092252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52C" w:rsidRPr="00F27E2F" w:rsidRDefault="0092252C" w:rsidP="00F27E2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52C" w:rsidRPr="00882D22" w:rsidRDefault="0092252C" w:rsidP="00882D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52C" w:rsidRDefault="0092252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52C" w:rsidRPr="00F0160A" w:rsidRDefault="0092252C" w:rsidP="00F0160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252C" w:rsidRDefault="0092252C" w:rsidP="00EE5613">
    <w:pPr>
      <w:pStyle w:val="Header"/>
      <w:jc w:val="center"/>
      <w:rPr>
        <w:bCs/>
        <w:i/>
      </w:rPr>
    </w:pPr>
    <w:r>
      <w:rPr>
        <w:bCs/>
        <w:i/>
      </w:rPr>
      <w:t>City of Melbourne Electronic Gaming Decision-Making Framework and Planning Policy Review</w:t>
    </w:r>
  </w:p>
  <w:p w:rsidR="0092252C" w:rsidRPr="000B5299" w:rsidRDefault="0092252C" w:rsidP="00EE5613">
    <w:pPr>
      <w:pStyle w:val="Header"/>
      <w:jc w:val="center"/>
      <w:rPr>
        <w:b/>
      </w:rPr>
    </w:pPr>
    <w:r>
      <w:rPr>
        <w:bCs/>
        <w:i/>
      </w:rPr>
      <w:t>Background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3A3D"/>
    <w:multiLevelType w:val="hybridMultilevel"/>
    <w:tmpl w:val="D71010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E41945"/>
    <w:multiLevelType w:val="hybridMultilevel"/>
    <w:tmpl w:val="2C2C0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FF2807"/>
    <w:multiLevelType w:val="hybridMultilevel"/>
    <w:tmpl w:val="FD14807C"/>
    <w:lvl w:ilvl="0" w:tplc="BC466C4C">
      <w:start w:val="1"/>
      <w:numFmt w:val="decimal"/>
      <w:suff w:val="space"/>
      <w:lvlText w:val="%1."/>
      <w:lvlJc w:val="left"/>
      <w:pPr>
        <w:ind w:left="360" w:hanging="360"/>
      </w:pPr>
      <w:rPr>
        <w:rFonts w:hint="default"/>
        <w:sz w:val="20"/>
        <w:szCs w:val="20"/>
      </w:rPr>
    </w:lvl>
    <w:lvl w:ilvl="1" w:tplc="0C090001">
      <w:start w:val="1"/>
      <w:numFmt w:val="bullet"/>
      <w:lvlText w:val=""/>
      <w:lvlJc w:val="left"/>
      <w:pPr>
        <w:ind w:left="796" w:hanging="360"/>
      </w:pPr>
      <w:rPr>
        <w:rFonts w:ascii="Symbol" w:hAnsi="Symbol" w:hint="default"/>
      </w:rPr>
    </w:lvl>
    <w:lvl w:ilvl="2" w:tplc="0C090003">
      <w:start w:val="1"/>
      <w:numFmt w:val="bullet"/>
      <w:lvlText w:val="o"/>
      <w:lvlJc w:val="left"/>
      <w:pPr>
        <w:ind w:left="1516" w:hanging="180"/>
      </w:pPr>
      <w:rPr>
        <w:rFonts w:ascii="Courier New" w:hAnsi="Courier New" w:cs="Courier New" w:hint="default"/>
      </w:r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3">
    <w:nsid w:val="062A1C74"/>
    <w:multiLevelType w:val="hybridMultilevel"/>
    <w:tmpl w:val="799CB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73368F5"/>
    <w:multiLevelType w:val="hybridMultilevel"/>
    <w:tmpl w:val="74B4B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74873F8"/>
    <w:multiLevelType w:val="hybridMultilevel"/>
    <w:tmpl w:val="86BC6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8526DF4"/>
    <w:multiLevelType w:val="hybridMultilevel"/>
    <w:tmpl w:val="E99A5F1E"/>
    <w:lvl w:ilvl="0" w:tplc="BD84E85C">
      <w:start w:val="1"/>
      <w:numFmt w:val="decimal"/>
      <w:lvlText w:val="%1."/>
      <w:lvlJc w:val="left"/>
      <w:pPr>
        <w:ind w:left="502" w:hanging="502"/>
      </w:pPr>
      <w:rPr>
        <w:rFonts w:hint="default"/>
      </w:rPr>
    </w:lvl>
    <w:lvl w:ilvl="1" w:tplc="0C090001">
      <w:start w:val="1"/>
      <w:numFmt w:val="bullet"/>
      <w:lvlText w:val=""/>
      <w:lvlJc w:val="left"/>
      <w:pPr>
        <w:ind w:left="1080" w:hanging="360"/>
      </w:pPr>
      <w:rPr>
        <w:rFonts w:ascii="Symbol" w:hAnsi="Symbol" w:hint="default"/>
        <w:color w:val="000000" w:themeColor="text1"/>
        <w:sz w:val="20"/>
        <w:szCs w:val="20"/>
      </w:rPr>
    </w:lvl>
    <w:lvl w:ilvl="2" w:tplc="0C090003">
      <w:start w:val="1"/>
      <w:numFmt w:val="bullet"/>
      <w:lvlText w:val="o"/>
      <w:lvlJc w:val="left"/>
      <w:pPr>
        <w:ind w:left="1800" w:hanging="180"/>
      </w:pPr>
      <w:rPr>
        <w:rFonts w:ascii="Courier New" w:hAnsi="Courier New" w:cs="Courier New" w:hint="default"/>
      </w:rPr>
    </w:lvl>
    <w:lvl w:ilvl="3" w:tplc="0C090001">
      <w:start w:val="1"/>
      <w:numFmt w:val="bullet"/>
      <w:lvlText w:val=""/>
      <w:lvlJc w:val="left"/>
      <w:pPr>
        <w:ind w:left="2520" w:hanging="360"/>
      </w:pPr>
      <w:rPr>
        <w:rFonts w:ascii="Symbol" w:hAnsi="Symbol" w:hint="default"/>
      </w:rPr>
    </w:lvl>
    <w:lvl w:ilvl="4" w:tplc="68CCDF80">
      <w:start w:val="1"/>
      <w:numFmt w:val="lowerLetter"/>
      <w:lvlText w:val="(%5)"/>
      <w:lvlJc w:val="left"/>
      <w:pPr>
        <w:ind w:left="3240" w:hanging="360"/>
      </w:pPr>
      <w:rPr>
        <w:rFonts w:hint="default"/>
      </w:r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0AA81283"/>
    <w:multiLevelType w:val="hybridMultilevel"/>
    <w:tmpl w:val="1958C2B2"/>
    <w:lvl w:ilvl="0" w:tplc="6D527BE2">
      <w:start w:val="1"/>
      <w:numFmt w:val="decimal"/>
      <w:pStyle w:val="Para1"/>
      <w:lvlText w:val="%1"/>
      <w:lvlJc w:val="left"/>
      <w:pPr>
        <w:tabs>
          <w:tab w:val="num" w:pos="567"/>
        </w:tabs>
        <w:ind w:left="567" w:hanging="567"/>
      </w:pPr>
      <w:rPr>
        <w:rFonts w:hint="default"/>
      </w:rPr>
    </w:lvl>
    <w:lvl w:ilvl="1" w:tplc="0C090001">
      <w:start w:val="1"/>
      <w:numFmt w:val="bullet"/>
      <w:lvlText w:val=""/>
      <w:lvlJc w:val="left"/>
      <w:pPr>
        <w:tabs>
          <w:tab w:val="num" w:pos="1440"/>
        </w:tabs>
        <w:ind w:left="1440" w:hanging="360"/>
      </w:pPr>
      <w:rPr>
        <w:rFonts w:ascii="Symbol" w:hAnsi="Symbol" w:hint="default"/>
      </w:rPr>
    </w:lvl>
    <w:lvl w:ilvl="2" w:tplc="D43EE484">
      <w:start w:val="37"/>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ACF66CC"/>
    <w:multiLevelType w:val="multilevel"/>
    <w:tmpl w:val="00C02A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115474DE"/>
    <w:multiLevelType w:val="hybridMultilevel"/>
    <w:tmpl w:val="8DAA53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5620E78"/>
    <w:multiLevelType w:val="hybridMultilevel"/>
    <w:tmpl w:val="8C3080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5B329F7"/>
    <w:multiLevelType w:val="hybridMultilevel"/>
    <w:tmpl w:val="5FA23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7361C4F"/>
    <w:multiLevelType w:val="hybridMultilevel"/>
    <w:tmpl w:val="6DA238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74A2A86"/>
    <w:multiLevelType w:val="hybridMultilevel"/>
    <w:tmpl w:val="FFB42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8EC39A5"/>
    <w:multiLevelType w:val="hybridMultilevel"/>
    <w:tmpl w:val="3DC63A3E"/>
    <w:lvl w:ilvl="0" w:tplc="0C090001">
      <w:start w:val="1"/>
      <w:numFmt w:val="bullet"/>
      <w:lvlText w:val=""/>
      <w:lvlJc w:val="left"/>
      <w:pPr>
        <w:ind w:left="1080" w:hanging="360"/>
      </w:pPr>
      <w:rPr>
        <w:rFonts w:ascii="Symbol" w:hAnsi="Symbol" w:hint="default"/>
        <w:sz w:val="20"/>
        <w:szCs w:val="20"/>
      </w:rPr>
    </w:lvl>
    <w:lvl w:ilvl="1" w:tplc="0C090001">
      <w:start w:val="1"/>
      <w:numFmt w:val="bullet"/>
      <w:lvlText w:val=""/>
      <w:lvlJc w:val="left"/>
      <w:pPr>
        <w:ind w:left="1516" w:hanging="360"/>
      </w:pPr>
      <w:rPr>
        <w:rFonts w:ascii="Symbol" w:hAnsi="Symbol" w:hint="default"/>
      </w:rPr>
    </w:lvl>
    <w:lvl w:ilvl="2" w:tplc="0C090003">
      <w:start w:val="1"/>
      <w:numFmt w:val="bullet"/>
      <w:lvlText w:val="o"/>
      <w:lvlJc w:val="left"/>
      <w:pPr>
        <w:ind w:left="2236" w:hanging="180"/>
      </w:pPr>
      <w:rPr>
        <w:rFonts w:ascii="Courier New" w:hAnsi="Courier New" w:cs="Courier New" w:hint="default"/>
      </w:rPr>
    </w:lvl>
    <w:lvl w:ilvl="3" w:tplc="0C09000F" w:tentative="1">
      <w:start w:val="1"/>
      <w:numFmt w:val="decimal"/>
      <w:lvlText w:val="%4."/>
      <w:lvlJc w:val="left"/>
      <w:pPr>
        <w:ind w:left="2956" w:hanging="360"/>
      </w:pPr>
    </w:lvl>
    <w:lvl w:ilvl="4" w:tplc="0C090019" w:tentative="1">
      <w:start w:val="1"/>
      <w:numFmt w:val="lowerLetter"/>
      <w:lvlText w:val="%5."/>
      <w:lvlJc w:val="left"/>
      <w:pPr>
        <w:ind w:left="3676" w:hanging="360"/>
      </w:pPr>
    </w:lvl>
    <w:lvl w:ilvl="5" w:tplc="0C09001B" w:tentative="1">
      <w:start w:val="1"/>
      <w:numFmt w:val="lowerRoman"/>
      <w:lvlText w:val="%6."/>
      <w:lvlJc w:val="right"/>
      <w:pPr>
        <w:ind w:left="4396" w:hanging="180"/>
      </w:pPr>
    </w:lvl>
    <w:lvl w:ilvl="6" w:tplc="0C09000F" w:tentative="1">
      <w:start w:val="1"/>
      <w:numFmt w:val="decimal"/>
      <w:lvlText w:val="%7."/>
      <w:lvlJc w:val="left"/>
      <w:pPr>
        <w:ind w:left="5116" w:hanging="360"/>
      </w:pPr>
    </w:lvl>
    <w:lvl w:ilvl="7" w:tplc="0C090019" w:tentative="1">
      <w:start w:val="1"/>
      <w:numFmt w:val="lowerLetter"/>
      <w:lvlText w:val="%8."/>
      <w:lvlJc w:val="left"/>
      <w:pPr>
        <w:ind w:left="5836" w:hanging="360"/>
      </w:pPr>
    </w:lvl>
    <w:lvl w:ilvl="8" w:tplc="0C09001B" w:tentative="1">
      <w:start w:val="1"/>
      <w:numFmt w:val="lowerRoman"/>
      <w:lvlText w:val="%9."/>
      <w:lvlJc w:val="right"/>
      <w:pPr>
        <w:ind w:left="6556" w:hanging="180"/>
      </w:pPr>
    </w:lvl>
  </w:abstractNum>
  <w:abstractNum w:abstractNumId="15">
    <w:nsid w:val="1AA86742"/>
    <w:multiLevelType w:val="hybridMultilevel"/>
    <w:tmpl w:val="1DD01FD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6">
    <w:nsid w:val="1ADC28BC"/>
    <w:multiLevelType w:val="hybridMultilevel"/>
    <w:tmpl w:val="5A8621BE"/>
    <w:lvl w:ilvl="0" w:tplc="C4DA61D6">
      <w:start w:val="1"/>
      <w:numFmt w:val="bullet"/>
      <w:pStyle w:val="bt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BF126D4"/>
    <w:multiLevelType w:val="hybridMultilevel"/>
    <w:tmpl w:val="5336947A"/>
    <w:lvl w:ilvl="0" w:tplc="7932D61E">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1C300AA4"/>
    <w:multiLevelType w:val="hybridMultilevel"/>
    <w:tmpl w:val="E14A8482"/>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9">
    <w:nsid w:val="1C3265BB"/>
    <w:multiLevelType w:val="hybridMultilevel"/>
    <w:tmpl w:val="25D8193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C406B55"/>
    <w:multiLevelType w:val="hybridMultilevel"/>
    <w:tmpl w:val="BB761C9A"/>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1">
    <w:nsid w:val="1CCB5DD0"/>
    <w:multiLevelType w:val="hybridMultilevel"/>
    <w:tmpl w:val="A02E9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16B42B0"/>
    <w:multiLevelType w:val="hybridMultilevel"/>
    <w:tmpl w:val="145A3C4E"/>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3">
    <w:nsid w:val="23DF656E"/>
    <w:multiLevelType w:val="hybridMultilevel"/>
    <w:tmpl w:val="EBACE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44D601B"/>
    <w:multiLevelType w:val="multilevel"/>
    <w:tmpl w:val="A344F496"/>
    <w:styleLink w:val="Style7"/>
    <w:lvl w:ilvl="0">
      <w:start w:val="6"/>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26BE03E0"/>
    <w:multiLevelType w:val="hybridMultilevel"/>
    <w:tmpl w:val="EF007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75F0F98"/>
    <w:multiLevelType w:val="hybridMultilevel"/>
    <w:tmpl w:val="E3024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28A33352"/>
    <w:multiLevelType w:val="multilevel"/>
    <w:tmpl w:val="1D02566A"/>
    <w:styleLink w:val="Style6"/>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Restart w:val="1"/>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29AB3061"/>
    <w:multiLevelType w:val="hybridMultilevel"/>
    <w:tmpl w:val="59B4C5F0"/>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29">
    <w:nsid w:val="29CF2893"/>
    <w:multiLevelType w:val="hybridMultilevel"/>
    <w:tmpl w:val="B3A20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2D281F37"/>
    <w:multiLevelType w:val="hybridMultilevel"/>
    <w:tmpl w:val="94DAD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D4449CA"/>
    <w:multiLevelType w:val="hybridMultilevel"/>
    <w:tmpl w:val="0C7A0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2EA34D3E"/>
    <w:multiLevelType w:val="hybridMultilevel"/>
    <w:tmpl w:val="6C0EEB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3341E2B"/>
    <w:multiLevelType w:val="hybridMultilevel"/>
    <w:tmpl w:val="64162A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3865141"/>
    <w:multiLevelType w:val="hybridMultilevel"/>
    <w:tmpl w:val="E07696A2"/>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03">
      <w:start w:val="1"/>
      <w:numFmt w:val="bullet"/>
      <w:lvlText w:val="o"/>
      <w:lvlJc w:val="left"/>
      <w:pPr>
        <w:ind w:left="1800" w:hanging="180"/>
      </w:pPr>
      <w:rPr>
        <w:rFonts w:ascii="Courier New" w:hAnsi="Courier New" w:cs="Courier New" w:hint="default"/>
      </w:rPr>
    </w:lvl>
    <w:lvl w:ilvl="3" w:tplc="0C09000F">
      <w:start w:val="1"/>
      <w:numFmt w:val="decimal"/>
      <w:lvlText w:val="%4."/>
      <w:lvlJc w:val="left"/>
      <w:pPr>
        <w:ind w:left="2520" w:hanging="360"/>
      </w:pPr>
    </w:lvl>
    <w:lvl w:ilvl="4" w:tplc="68CCDF80">
      <w:start w:val="1"/>
      <w:numFmt w:val="lowerLetter"/>
      <w:lvlText w:val="(%5)"/>
      <w:lvlJc w:val="left"/>
      <w:pPr>
        <w:ind w:left="3240" w:hanging="360"/>
      </w:pPr>
      <w:rPr>
        <w:rFonts w:hint="default"/>
      </w:r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nsid w:val="376B5410"/>
    <w:multiLevelType w:val="hybridMultilevel"/>
    <w:tmpl w:val="4BA463F4"/>
    <w:lvl w:ilvl="0" w:tplc="68CCDF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37A901B4"/>
    <w:multiLevelType w:val="hybridMultilevel"/>
    <w:tmpl w:val="8702E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89A2130"/>
    <w:multiLevelType w:val="hybridMultilevel"/>
    <w:tmpl w:val="290AD698"/>
    <w:lvl w:ilvl="0" w:tplc="6332C98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38F07F67"/>
    <w:multiLevelType w:val="hybridMultilevel"/>
    <w:tmpl w:val="C5CCD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3937403A"/>
    <w:multiLevelType w:val="hybridMultilevel"/>
    <w:tmpl w:val="CD526F50"/>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03">
      <w:start w:val="1"/>
      <w:numFmt w:val="bullet"/>
      <w:lvlText w:val="o"/>
      <w:lvlJc w:val="left"/>
      <w:pPr>
        <w:ind w:left="1800" w:hanging="180"/>
      </w:pPr>
      <w:rPr>
        <w:rFonts w:ascii="Courier New" w:hAnsi="Courier New" w:cs="Courier New" w:hint="default"/>
      </w:r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nsid w:val="3B476024"/>
    <w:multiLevelType w:val="hybridMultilevel"/>
    <w:tmpl w:val="3AB0CACA"/>
    <w:lvl w:ilvl="0" w:tplc="0C090001">
      <w:start w:val="1"/>
      <w:numFmt w:val="bullet"/>
      <w:lvlText w:val=""/>
      <w:lvlJc w:val="left"/>
      <w:pPr>
        <w:ind w:left="764" w:hanging="360"/>
      </w:pPr>
      <w:rPr>
        <w:rFonts w:ascii="Symbol" w:hAnsi="Symbol" w:hint="default"/>
      </w:rPr>
    </w:lvl>
    <w:lvl w:ilvl="1" w:tplc="0C090003">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42">
    <w:nsid w:val="3BAB59BF"/>
    <w:multiLevelType w:val="hybridMultilevel"/>
    <w:tmpl w:val="76006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3CFA74B8"/>
    <w:multiLevelType w:val="hybridMultilevel"/>
    <w:tmpl w:val="26F60C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4016529D"/>
    <w:multiLevelType w:val="hybridMultilevel"/>
    <w:tmpl w:val="15363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0454F86"/>
    <w:multiLevelType w:val="hybridMultilevel"/>
    <w:tmpl w:val="46F45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23B103E"/>
    <w:multiLevelType w:val="hybridMultilevel"/>
    <w:tmpl w:val="2B1C45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7">
    <w:nsid w:val="42A31972"/>
    <w:multiLevelType w:val="hybridMultilevel"/>
    <w:tmpl w:val="E242A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445F412A"/>
    <w:multiLevelType w:val="multilevel"/>
    <w:tmpl w:val="9FBA34CC"/>
    <w:name w:val="Fact Sheet Bullets"/>
    <w:lvl w:ilvl="0">
      <w:start w:val="1"/>
      <w:numFmt w:val="bullet"/>
      <w:pStyle w:val="FactSheetBullet1"/>
      <w:lvlText w:val=""/>
      <w:lvlJc w:val="left"/>
      <w:pPr>
        <w:tabs>
          <w:tab w:val="num" w:pos="283"/>
        </w:tabs>
        <w:ind w:left="283" w:hanging="283"/>
      </w:pPr>
      <w:rPr>
        <w:rFonts w:ascii="Symbol" w:hAnsi="Symbol" w:hint="default"/>
        <w:b w:val="0"/>
        <w:i w:val="0"/>
        <w:sz w:val="18"/>
      </w:rPr>
    </w:lvl>
    <w:lvl w:ilvl="1">
      <w:start w:val="1"/>
      <w:numFmt w:val="bullet"/>
      <w:pStyle w:val="FactSheetBullet2"/>
      <w:lvlText w:val="–"/>
      <w:lvlJc w:val="left"/>
      <w:pPr>
        <w:tabs>
          <w:tab w:val="num" w:pos="567"/>
        </w:tabs>
        <w:ind w:left="567" w:hanging="284"/>
      </w:pPr>
      <w:rPr>
        <w:rFonts w:ascii="Calibri" w:hAnsi="Calibri" w:hint="default"/>
        <w:b w:val="0"/>
        <w:i w:val="0"/>
        <w:sz w:val="18"/>
      </w:rPr>
    </w:lvl>
    <w:lvl w:ilvl="2">
      <w:start w:val="1"/>
      <w:numFmt w:val="bullet"/>
      <w:pStyle w:val="FactSheetBullet3"/>
      <w:lvlText w:val=""/>
      <w:lvlJc w:val="left"/>
      <w:pPr>
        <w:tabs>
          <w:tab w:val="num" w:pos="850"/>
        </w:tabs>
        <w:ind w:left="850" w:hanging="283"/>
      </w:pPr>
      <w:rPr>
        <w:rFonts w:ascii="Symbol" w:hAnsi="Symbol" w:hint="default"/>
        <w:b w:val="0"/>
        <w:i w:val="0"/>
        <w:sz w:val="18"/>
      </w:rPr>
    </w:lvl>
    <w:lvl w:ilvl="3">
      <w:start w:val="1"/>
      <w:numFmt w:val="bullet"/>
      <w:lvlText w:val=""/>
      <w:lvlJc w:val="left"/>
      <w:pPr>
        <w:tabs>
          <w:tab w:val="num" w:pos="1134"/>
        </w:tabs>
        <w:ind w:left="1134" w:hanging="284"/>
      </w:pPr>
      <w:rPr>
        <w:rFonts w:ascii="Symbol" w:hAnsi="Symbol" w:hint="default"/>
        <w:b w:val="0"/>
        <w:i w:val="0"/>
        <w:sz w:val="18"/>
      </w:rPr>
    </w:lvl>
    <w:lvl w:ilvl="4">
      <w:start w:val="1"/>
      <w:numFmt w:val="bullet"/>
      <w:lvlText w:val=""/>
      <w:lvlJc w:val="left"/>
      <w:pPr>
        <w:tabs>
          <w:tab w:val="num" w:pos="1417"/>
        </w:tabs>
        <w:ind w:left="1417" w:hanging="283"/>
      </w:pPr>
      <w:rPr>
        <w:rFonts w:ascii="Symbol" w:hAnsi="Symbol" w:hint="default"/>
        <w:b w:val="0"/>
        <w:i w:val="0"/>
        <w:sz w:val="18"/>
      </w:rPr>
    </w:lvl>
    <w:lvl w:ilvl="5">
      <w:start w:val="1"/>
      <w:numFmt w:val="bullet"/>
      <w:lvlText w:val=""/>
      <w:lvlJc w:val="left"/>
      <w:pPr>
        <w:tabs>
          <w:tab w:val="num" w:pos="1701"/>
        </w:tabs>
        <w:ind w:left="1701" w:hanging="284"/>
      </w:pPr>
      <w:rPr>
        <w:rFonts w:ascii="Symbol" w:hAnsi="Symbol" w:hint="default"/>
        <w:b w:val="0"/>
        <w:i w:val="0"/>
        <w:sz w:val="18"/>
      </w:rPr>
    </w:lvl>
    <w:lvl w:ilvl="6">
      <w:start w:val="1"/>
      <w:numFmt w:val="bullet"/>
      <w:lvlText w:val=""/>
      <w:lvlJc w:val="left"/>
      <w:pPr>
        <w:tabs>
          <w:tab w:val="num" w:pos="1984"/>
        </w:tabs>
        <w:ind w:left="1984" w:hanging="283"/>
      </w:pPr>
      <w:rPr>
        <w:rFonts w:ascii="Symbol" w:hAnsi="Symbol" w:hint="default"/>
        <w:b w:val="0"/>
        <w:i w:val="0"/>
        <w:sz w:val="18"/>
      </w:rPr>
    </w:lvl>
    <w:lvl w:ilvl="7">
      <w:start w:val="1"/>
      <w:numFmt w:val="bullet"/>
      <w:lvlText w:val=""/>
      <w:lvlJc w:val="left"/>
      <w:pPr>
        <w:tabs>
          <w:tab w:val="num" w:pos="2268"/>
        </w:tabs>
        <w:ind w:left="2268" w:hanging="284"/>
      </w:pPr>
      <w:rPr>
        <w:rFonts w:ascii="Symbol" w:hAnsi="Symbol" w:hint="default"/>
        <w:b w:val="0"/>
        <w:i w:val="0"/>
        <w:sz w:val="18"/>
      </w:rPr>
    </w:lvl>
    <w:lvl w:ilvl="8">
      <w:start w:val="1"/>
      <w:numFmt w:val="bullet"/>
      <w:lvlText w:val=""/>
      <w:lvlJc w:val="left"/>
      <w:pPr>
        <w:tabs>
          <w:tab w:val="num" w:pos="2551"/>
        </w:tabs>
        <w:ind w:left="2551" w:hanging="283"/>
      </w:pPr>
      <w:rPr>
        <w:rFonts w:ascii="Symbol" w:hAnsi="Symbol" w:hint="default"/>
        <w:b w:val="0"/>
        <w:i w:val="0"/>
        <w:sz w:val="18"/>
      </w:rPr>
    </w:lvl>
  </w:abstractNum>
  <w:abstractNum w:abstractNumId="49">
    <w:nsid w:val="446D3A6A"/>
    <w:multiLevelType w:val="multilevel"/>
    <w:tmpl w:val="A214506C"/>
    <w:lvl w:ilvl="0">
      <w:start w:val="1"/>
      <w:numFmt w:val="bullet"/>
      <w:pStyle w:val="Bullet1"/>
      <w:lvlText w:val=""/>
      <w:lvlJc w:val="left"/>
      <w:pPr>
        <w:tabs>
          <w:tab w:val="num" w:pos="1077"/>
        </w:tabs>
        <w:ind w:left="1077" w:hanging="283"/>
      </w:pPr>
      <w:rPr>
        <w:rFonts w:ascii="Symbol" w:hAnsi="Symbol" w:hint="default"/>
        <w:b w:val="0"/>
        <w:i w:val="0"/>
        <w:vanish w:val="0"/>
        <w:color w:val="auto"/>
        <w:sz w:val="22"/>
      </w:rPr>
    </w:lvl>
    <w:lvl w:ilvl="1">
      <w:start w:val="1"/>
      <w:numFmt w:val="bullet"/>
      <w:pStyle w:val="Bullet2"/>
      <w:lvlText w:val="–"/>
      <w:lvlJc w:val="left"/>
      <w:pPr>
        <w:tabs>
          <w:tab w:val="num" w:pos="1361"/>
        </w:tabs>
        <w:ind w:left="1361" w:hanging="284"/>
      </w:pPr>
      <w:rPr>
        <w:rFonts w:ascii="Calibri" w:hAnsi="Calibri" w:hint="default"/>
        <w:b w:val="0"/>
        <w:i w:val="0"/>
        <w:vanish w:val="0"/>
        <w:color w:val="auto"/>
        <w:sz w:val="22"/>
      </w:rPr>
    </w:lvl>
    <w:lvl w:ilvl="2">
      <w:start w:val="1"/>
      <w:numFmt w:val="bullet"/>
      <w:pStyle w:val="Bullet3"/>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50">
    <w:nsid w:val="451F6D18"/>
    <w:multiLevelType w:val="multilevel"/>
    <w:tmpl w:val="4FCA7C00"/>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1">
    <w:nsid w:val="45F050EE"/>
    <w:multiLevelType w:val="hybridMultilevel"/>
    <w:tmpl w:val="5AAAC830"/>
    <w:lvl w:ilvl="0" w:tplc="6332C98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47CC0FB6"/>
    <w:multiLevelType w:val="hybridMultilevel"/>
    <w:tmpl w:val="FADC5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493F327D"/>
    <w:multiLevelType w:val="hybridMultilevel"/>
    <w:tmpl w:val="6884060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4">
    <w:nsid w:val="4A956B3E"/>
    <w:multiLevelType w:val="hybridMultilevel"/>
    <w:tmpl w:val="F7ECB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FC863FC"/>
    <w:multiLevelType w:val="hybridMultilevel"/>
    <w:tmpl w:val="EB4C8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510E3EF2"/>
    <w:multiLevelType w:val="hybridMultilevel"/>
    <w:tmpl w:val="224E57CC"/>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7">
    <w:nsid w:val="53687924"/>
    <w:multiLevelType w:val="hybridMultilevel"/>
    <w:tmpl w:val="47C00F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54421D9C"/>
    <w:multiLevelType w:val="hybridMultilevel"/>
    <w:tmpl w:val="360CC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55613D81"/>
    <w:multiLevelType w:val="hybridMultilevel"/>
    <w:tmpl w:val="97EA5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57470BB0"/>
    <w:multiLevelType w:val="hybridMultilevel"/>
    <w:tmpl w:val="BA70F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585E45CD"/>
    <w:multiLevelType w:val="hybridMultilevel"/>
    <w:tmpl w:val="0688CE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2">
    <w:nsid w:val="5A6B0B14"/>
    <w:multiLevelType w:val="hybridMultilevel"/>
    <w:tmpl w:val="5E9AA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5ADD2A09"/>
    <w:multiLevelType w:val="hybridMultilevel"/>
    <w:tmpl w:val="581CB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5B8425B7"/>
    <w:multiLevelType w:val="hybridMultilevel"/>
    <w:tmpl w:val="37BC9A8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5">
    <w:nsid w:val="5F381FC3"/>
    <w:multiLevelType w:val="hybridMultilevel"/>
    <w:tmpl w:val="544664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64F31773"/>
    <w:multiLevelType w:val="hybridMultilevel"/>
    <w:tmpl w:val="629C7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6739346C"/>
    <w:multiLevelType w:val="hybridMultilevel"/>
    <w:tmpl w:val="B10A6C6A"/>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01">
      <w:start w:val="1"/>
      <w:numFmt w:val="bullet"/>
      <w:lvlText w:val=""/>
      <w:lvlJc w:val="left"/>
      <w:pPr>
        <w:ind w:left="1800" w:hanging="180"/>
      </w:pPr>
      <w:rPr>
        <w:rFonts w:ascii="Symbol" w:hAnsi="Symbol" w:hint="default"/>
      </w:rPr>
    </w:lvl>
    <w:lvl w:ilvl="3" w:tplc="0C09000F">
      <w:start w:val="1"/>
      <w:numFmt w:val="decimal"/>
      <w:lvlText w:val="%4."/>
      <w:lvlJc w:val="left"/>
      <w:pPr>
        <w:ind w:left="2520" w:hanging="360"/>
      </w:pPr>
    </w:lvl>
    <w:lvl w:ilvl="4" w:tplc="68CCDF80">
      <w:start w:val="1"/>
      <w:numFmt w:val="lowerLetter"/>
      <w:lvlText w:val="(%5)"/>
      <w:lvlJc w:val="left"/>
      <w:pPr>
        <w:ind w:left="3240" w:hanging="360"/>
      </w:pPr>
      <w:rPr>
        <w:rFonts w:hint="default"/>
      </w:r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nsid w:val="690D71EE"/>
    <w:multiLevelType w:val="hybridMultilevel"/>
    <w:tmpl w:val="07466F4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69">
    <w:nsid w:val="6BA14D76"/>
    <w:multiLevelType w:val="hybridMultilevel"/>
    <w:tmpl w:val="BD784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BD35979"/>
    <w:multiLevelType w:val="hybridMultilevel"/>
    <w:tmpl w:val="631E09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70E607FA"/>
    <w:multiLevelType w:val="hybridMultilevel"/>
    <w:tmpl w:val="87D2F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714F2297"/>
    <w:multiLevelType w:val="hybridMultilevel"/>
    <w:tmpl w:val="50764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73990D8E"/>
    <w:multiLevelType w:val="hybridMultilevel"/>
    <w:tmpl w:val="606ED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74A770F0"/>
    <w:multiLevelType w:val="hybridMultilevel"/>
    <w:tmpl w:val="FD6EF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77234FC9"/>
    <w:multiLevelType w:val="hybridMultilevel"/>
    <w:tmpl w:val="2200B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8244BDD"/>
    <w:multiLevelType w:val="hybridMultilevel"/>
    <w:tmpl w:val="3FE83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7AE27152"/>
    <w:multiLevelType w:val="hybridMultilevel"/>
    <w:tmpl w:val="F3FA75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7B4E24F1"/>
    <w:multiLevelType w:val="hybridMultilevel"/>
    <w:tmpl w:val="DA4C549E"/>
    <w:lvl w:ilvl="0" w:tplc="0C090001">
      <w:start w:val="1"/>
      <w:numFmt w:val="bullet"/>
      <w:lvlText w:val=""/>
      <w:lvlJc w:val="left"/>
      <w:pPr>
        <w:ind w:left="720" w:hanging="360"/>
      </w:pPr>
      <w:rPr>
        <w:rFonts w:ascii="Symbol" w:hAnsi="Symbol" w:hint="default"/>
      </w:rPr>
    </w:lvl>
    <w:lvl w:ilvl="1" w:tplc="C1C06E70">
      <w:start w:val="1"/>
      <w:numFmt w:val="bullet"/>
      <w:lvlText w:val="o"/>
      <w:lvlJc w:val="left"/>
      <w:pPr>
        <w:ind w:left="1440" w:hanging="360"/>
      </w:pPr>
      <w:rPr>
        <w:rFonts w:asciiTheme="minorHAnsi" w:hAnsiTheme="minorHAnsi" w:cs="Courier New" w:hint="default"/>
        <w:color w:val="auto"/>
        <w:sz w:val="20"/>
        <w:szCs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7CBB74B5"/>
    <w:multiLevelType w:val="hybridMultilevel"/>
    <w:tmpl w:val="9B4E92DE"/>
    <w:lvl w:ilvl="0" w:tplc="F034AE30">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80">
    <w:nsid w:val="7FCA468A"/>
    <w:multiLevelType w:val="hybridMultilevel"/>
    <w:tmpl w:val="A77E3C1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7"/>
  </w:num>
  <w:num w:numId="2">
    <w:abstractNumId w:val="24"/>
  </w:num>
  <w:num w:numId="3">
    <w:abstractNumId w:val="7"/>
  </w:num>
  <w:num w:numId="4">
    <w:abstractNumId w:val="33"/>
  </w:num>
  <w:num w:numId="5">
    <w:abstractNumId w:val="50"/>
  </w:num>
  <w:num w:numId="6">
    <w:abstractNumId w:val="48"/>
  </w:num>
  <w:num w:numId="7">
    <w:abstractNumId w:val="49"/>
  </w:num>
  <w:num w:numId="8">
    <w:abstractNumId w:val="8"/>
  </w:num>
  <w:num w:numId="9">
    <w:abstractNumId w:val="16"/>
  </w:num>
  <w:num w:numId="10">
    <w:abstractNumId w:val="36"/>
  </w:num>
  <w:num w:numId="11">
    <w:abstractNumId w:val="73"/>
  </w:num>
  <w:num w:numId="12">
    <w:abstractNumId w:val="37"/>
  </w:num>
  <w:num w:numId="13">
    <w:abstractNumId w:val="60"/>
  </w:num>
  <w:num w:numId="14">
    <w:abstractNumId w:val="23"/>
  </w:num>
  <w:num w:numId="15">
    <w:abstractNumId w:val="58"/>
  </w:num>
  <w:num w:numId="16">
    <w:abstractNumId w:val="59"/>
  </w:num>
  <w:num w:numId="17">
    <w:abstractNumId w:val="47"/>
  </w:num>
  <w:num w:numId="18">
    <w:abstractNumId w:val="19"/>
  </w:num>
  <w:num w:numId="19">
    <w:abstractNumId w:val="39"/>
  </w:num>
  <w:num w:numId="20">
    <w:abstractNumId w:val="71"/>
  </w:num>
  <w:num w:numId="21">
    <w:abstractNumId w:val="13"/>
  </w:num>
  <w:num w:numId="22">
    <w:abstractNumId w:val="52"/>
  </w:num>
  <w:num w:numId="23">
    <w:abstractNumId w:val="41"/>
  </w:num>
  <w:num w:numId="24">
    <w:abstractNumId w:val="34"/>
  </w:num>
  <w:num w:numId="25">
    <w:abstractNumId w:val="63"/>
  </w:num>
  <w:num w:numId="26">
    <w:abstractNumId w:val="77"/>
  </w:num>
  <w:num w:numId="27">
    <w:abstractNumId w:val="67"/>
  </w:num>
  <w:num w:numId="28">
    <w:abstractNumId w:val="65"/>
  </w:num>
  <w:num w:numId="29">
    <w:abstractNumId w:val="46"/>
  </w:num>
  <w:num w:numId="30">
    <w:abstractNumId w:val="21"/>
  </w:num>
  <w:num w:numId="31">
    <w:abstractNumId w:val="79"/>
  </w:num>
  <w:num w:numId="32">
    <w:abstractNumId w:val="40"/>
  </w:num>
  <w:num w:numId="33">
    <w:abstractNumId w:val="5"/>
  </w:num>
  <w:num w:numId="34">
    <w:abstractNumId w:val="25"/>
  </w:num>
  <w:num w:numId="35">
    <w:abstractNumId w:val="28"/>
  </w:num>
  <w:num w:numId="36">
    <w:abstractNumId w:val="45"/>
  </w:num>
  <w:num w:numId="37">
    <w:abstractNumId w:val="78"/>
  </w:num>
  <w:num w:numId="38">
    <w:abstractNumId w:val="35"/>
  </w:num>
  <w:num w:numId="39">
    <w:abstractNumId w:val="42"/>
  </w:num>
  <w:num w:numId="40">
    <w:abstractNumId w:val="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8"/>
  </w:num>
  <w:num w:numId="42">
    <w:abstractNumId w:val="14"/>
  </w:num>
  <w:num w:numId="43">
    <w:abstractNumId w:val="22"/>
  </w:num>
  <w:num w:numId="44">
    <w:abstractNumId w:val="26"/>
  </w:num>
  <w:num w:numId="45">
    <w:abstractNumId w:val="15"/>
  </w:num>
  <w:num w:numId="46">
    <w:abstractNumId w:val="66"/>
  </w:num>
  <w:num w:numId="47">
    <w:abstractNumId w:val="62"/>
  </w:num>
  <w:num w:numId="48">
    <w:abstractNumId w:val="3"/>
  </w:num>
  <w:num w:numId="49">
    <w:abstractNumId w:val="64"/>
  </w:num>
  <w:num w:numId="50">
    <w:abstractNumId w:val="75"/>
  </w:num>
  <w:num w:numId="51">
    <w:abstractNumId w:val="54"/>
  </w:num>
  <w:num w:numId="52">
    <w:abstractNumId w:val="55"/>
  </w:num>
  <w:num w:numId="53">
    <w:abstractNumId w:val="70"/>
  </w:num>
  <w:num w:numId="54">
    <w:abstractNumId w:val="11"/>
  </w:num>
  <w:num w:numId="55">
    <w:abstractNumId w:val="29"/>
  </w:num>
  <w:num w:numId="56">
    <w:abstractNumId w:val="76"/>
  </w:num>
  <w:num w:numId="57">
    <w:abstractNumId w:val="10"/>
  </w:num>
  <w:num w:numId="58">
    <w:abstractNumId w:val="6"/>
  </w:num>
  <w:num w:numId="59">
    <w:abstractNumId w:val="53"/>
  </w:num>
  <w:num w:numId="60">
    <w:abstractNumId w:val="57"/>
  </w:num>
  <w:num w:numId="61">
    <w:abstractNumId w:val="12"/>
  </w:num>
  <w:num w:numId="62">
    <w:abstractNumId w:val="44"/>
  </w:num>
  <w:num w:numId="63">
    <w:abstractNumId w:val="61"/>
  </w:num>
  <w:num w:numId="64">
    <w:abstractNumId w:val="32"/>
  </w:num>
  <w:num w:numId="65">
    <w:abstractNumId w:val="43"/>
  </w:num>
  <w:num w:numId="66">
    <w:abstractNumId w:val="17"/>
  </w:num>
  <w:num w:numId="67">
    <w:abstractNumId w:val="69"/>
  </w:num>
  <w:num w:numId="68">
    <w:abstractNumId w:val="74"/>
  </w:num>
  <w:num w:numId="69">
    <w:abstractNumId w:val="1"/>
  </w:num>
  <w:num w:numId="70">
    <w:abstractNumId w:val="18"/>
  </w:num>
  <w:num w:numId="71">
    <w:abstractNumId w:val="20"/>
  </w:num>
  <w:num w:numId="72">
    <w:abstractNumId w:val="30"/>
  </w:num>
  <w:num w:numId="73">
    <w:abstractNumId w:val="31"/>
  </w:num>
  <w:num w:numId="74">
    <w:abstractNumId w:val="9"/>
  </w:num>
  <w:num w:numId="75">
    <w:abstractNumId w:val="72"/>
  </w:num>
  <w:num w:numId="76">
    <w:abstractNumId w:val="4"/>
  </w:num>
  <w:num w:numId="77">
    <w:abstractNumId w:val="56"/>
  </w:num>
  <w:num w:numId="78">
    <w:abstractNumId w:val="80"/>
  </w:num>
  <w:num w:numId="79">
    <w:abstractNumId w:val="51"/>
  </w:num>
  <w:num w:numId="80">
    <w:abstractNumId w:val="38"/>
  </w:num>
  <w:num w:numId="81">
    <w:abstractNumId w:val="2"/>
  </w:num>
  <w:num w:numId="82">
    <w:abstractNumId w:val="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206"/>
    <w:rsid w:val="000006DB"/>
    <w:rsid w:val="000007F1"/>
    <w:rsid w:val="00001449"/>
    <w:rsid w:val="00003683"/>
    <w:rsid w:val="00003BD0"/>
    <w:rsid w:val="000063C0"/>
    <w:rsid w:val="00006C25"/>
    <w:rsid w:val="00010FBB"/>
    <w:rsid w:val="000132A9"/>
    <w:rsid w:val="000137A3"/>
    <w:rsid w:val="000157B8"/>
    <w:rsid w:val="00017642"/>
    <w:rsid w:val="000177F9"/>
    <w:rsid w:val="00017F2B"/>
    <w:rsid w:val="00020B20"/>
    <w:rsid w:val="00021C60"/>
    <w:rsid w:val="000223CA"/>
    <w:rsid w:val="0002287F"/>
    <w:rsid w:val="00022B5B"/>
    <w:rsid w:val="000231D4"/>
    <w:rsid w:val="0002368D"/>
    <w:rsid w:val="00023A38"/>
    <w:rsid w:val="00023E0F"/>
    <w:rsid w:val="000267DD"/>
    <w:rsid w:val="00026957"/>
    <w:rsid w:val="00027007"/>
    <w:rsid w:val="00027831"/>
    <w:rsid w:val="00027E9E"/>
    <w:rsid w:val="0003051E"/>
    <w:rsid w:val="0003102A"/>
    <w:rsid w:val="00031677"/>
    <w:rsid w:val="0003170E"/>
    <w:rsid w:val="00032091"/>
    <w:rsid w:val="00032192"/>
    <w:rsid w:val="0003271D"/>
    <w:rsid w:val="00032DFD"/>
    <w:rsid w:val="0003316D"/>
    <w:rsid w:val="0003335B"/>
    <w:rsid w:val="00033B3F"/>
    <w:rsid w:val="00034F08"/>
    <w:rsid w:val="000350A9"/>
    <w:rsid w:val="000357DB"/>
    <w:rsid w:val="00035A15"/>
    <w:rsid w:val="0003669B"/>
    <w:rsid w:val="00036D30"/>
    <w:rsid w:val="00037A63"/>
    <w:rsid w:val="00040157"/>
    <w:rsid w:val="00040D76"/>
    <w:rsid w:val="00040FA2"/>
    <w:rsid w:val="00041DAC"/>
    <w:rsid w:val="00042C00"/>
    <w:rsid w:val="00043066"/>
    <w:rsid w:val="0004398F"/>
    <w:rsid w:val="00043A3F"/>
    <w:rsid w:val="00044223"/>
    <w:rsid w:val="00045275"/>
    <w:rsid w:val="00045637"/>
    <w:rsid w:val="00045E3B"/>
    <w:rsid w:val="00046827"/>
    <w:rsid w:val="00047877"/>
    <w:rsid w:val="00047CF5"/>
    <w:rsid w:val="00050E76"/>
    <w:rsid w:val="00051089"/>
    <w:rsid w:val="0005122C"/>
    <w:rsid w:val="00051F9D"/>
    <w:rsid w:val="0005220D"/>
    <w:rsid w:val="0005251D"/>
    <w:rsid w:val="00052D34"/>
    <w:rsid w:val="000530D7"/>
    <w:rsid w:val="00053BD9"/>
    <w:rsid w:val="000546E0"/>
    <w:rsid w:val="0005575B"/>
    <w:rsid w:val="00056BC4"/>
    <w:rsid w:val="00057D24"/>
    <w:rsid w:val="000604FA"/>
    <w:rsid w:val="00060CAC"/>
    <w:rsid w:val="00060F27"/>
    <w:rsid w:val="00060F57"/>
    <w:rsid w:val="00061813"/>
    <w:rsid w:val="00061D9C"/>
    <w:rsid w:val="000623C1"/>
    <w:rsid w:val="000626C2"/>
    <w:rsid w:val="00062EA7"/>
    <w:rsid w:val="00063D4B"/>
    <w:rsid w:val="00063E61"/>
    <w:rsid w:val="00063F31"/>
    <w:rsid w:val="00064766"/>
    <w:rsid w:val="000649D9"/>
    <w:rsid w:val="00064CB8"/>
    <w:rsid w:val="00065056"/>
    <w:rsid w:val="000650D3"/>
    <w:rsid w:val="000653EE"/>
    <w:rsid w:val="00065488"/>
    <w:rsid w:val="00065560"/>
    <w:rsid w:val="0006566C"/>
    <w:rsid w:val="00066124"/>
    <w:rsid w:val="00066965"/>
    <w:rsid w:val="00067C65"/>
    <w:rsid w:val="00070073"/>
    <w:rsid w:val="0007025F"/>
    <w:rsid w:val="000705D1"/>
    <w:rsid w:val="00070CD7"/>
    <w:rsid w:val="00072037"/>
    <w:rsid w:val="0007324B"/>
    <w:rsid w:val="000733F3"/>
    <w:rsid w:val="00074978"/>
    <w:rsid w:val="00075121"/>
    <w:rsid w:val="0007528C"/>
    <w:rsid w:val="000757FC"/>
    <w:rsid w:val="00075A52"/>
    <w:rsid w:val="0007613B"/>
    <w:rsid w:val="00077CCD"/>
    <w:rsid w:val="000802E5"/>
    <w:rsid w:val="00080F96"/>
    <w:rsid w:val="000813D4"/>
    <w:rsid w:val="0008196E"/>
    <w:rsid w:val="000823FB"/>
    <w:rsid w:val="000827D5"/>
    <w:rsid w:val="0008285A"/>
    <w:rsid w:val="00083251"/>
    <w:rsid w:val="00083A1E"/>
    <w:rsid w:val="00083A2C"/>
    <w:rsid w:val="00083F20"/>
    <w:rsid w:val="00084465"/>
    <w:rsid w:val="00084A17"/>
    <w:rsid w:val="00084AF5"/>
    <w:rsid w:val="00084D90"/>
    <w:rsid w:val="0008551A"/>
    <w:rsid w:val="00086D69"/>
    <w:rsid w:val="00087FFB"/>
    <w:rsid w:val="0009100E"/>
    <w:rsid w:val="0009154E"/>
    <w:rsid w:val="0009247D"/>
    <w:rsid w:val="00092856"/>
    <w:rsid w:val="00093851"/>
    <w:rsid w:val="00093E08"/>
    <w:rsid w:val="000949C6"/>
    <w:rsid w:val="00095293"/>
    <w:rsid w:val="000954C8"/>
    <w:rsid w:val="00096FFD"/>
    <w:rsid w:val="0009749A"/>
    <w:rsid w:val="000A0752"/>
    <w:rsid w:val="000A0E0D"/>
    <w:rsid w:val="000A3074"/>
    <w:rsid w:val="000A3CEA"/>
    <w:rsid w:val="000A3D5A"/>
    <w:rsid w:val="000A4982"/>
    <w:rsid w:val="000A4BC2"/>
    <w:rsid w:val="000A5305"/>
    <w:rsid w:val="000A5AC9"/>
    <w:rsid w:val="000A5B2A"/>
    <w:rsid w:val="000A7615"/>
    <w:rsid w:val="000B1536"/>
    <w:rsid w:val="000B1943"/>
    <w:rsid w:val="000B2787"/>
    <w:rsid w:val="000B27AE"/>
    <w:rsid w:val="000B3D19"/>
    <w:rsid w:val="000B4137"/>
    <w:rsid w:val="000B5CE9"/>
    <w:rsid w:val="000B5D95"/>
    <w:rsid w:val="000B5E64"/>
    <w:rsid w:val="000B6960"/>
    <w:rsid w:val="000B70AD"/>
    <w:rsid w:val="000C0C2B"/>
    <w:rsid w:val="000C0E72"/>
    <w:rsid w:val="000C3126"/>
    <w:rsid w:val="000C332F"/>
    <w:rsid w:val="000C3528"/>
    <w:rsid w:val="000C3A64"/>
    <w:rsid w:val="000C3DE0"/>
    <w:rsid w:val="000C479C"/>
    <w:rsid w:val="000C4A3D"/>
    <w:rsid w:val="000C5B39"/>
    <w:rsid w:val="000C5F0E"/>
    <w:rsid w:val="000D0288"/>
    <w:rsid w:val="000D0333"/>
    <w:rsid w:val="000D058E"/>
    <w:rsid w:val="000D05E9"/>
    <w:rsid w:val="000D12A3"/>
    <w:rsid w:val="000D1852"/>
    <w:rsid w:val="000D18E6"/>
    <w:rsid w:val="000D3EE6"/>
    <w:rsid w:val="000D3FD4"/>
    <w:rsid w:val="000D4184"/>
    <w:rsid w:val="000D470A"/>
    <w:rsid w:val="000D4E77"/>
    <w:rsid w:val="000D50C6"/>
    <w:rsid w:val="000D582C"/>
    <w:rsid w:val="000D6005"/>
    <w:rsid w:val="000D647D"/>
    <w:rsid w:val="000D7CF1"/>
    <w:rsid w:val="000E0366"/>
    <w:rsid w:val="000E0381"/>
    <w:rsid w:val="000E1499"/>
    <w:rsid w:val="000E187B"/>
    <w:rsid w:val="000E225E"/>
    <w:rsid w:val="000E2474"/>
    <w:rsid w:val="000E294E"/>
    <w:rsid w:val="000E2A80"/>
    <w:rsid w:val="000E3365"/>
    <w:rsid w:val="000E3FD2"/>
    <w:rsid w:val="000E43FC"/>
    <w:rsid w:val="000E4938"/>
    <w:rsid w:val="000E5B9C"/>
    <w:rsid w:val="000E5EE5"/>
    <w:rsid w:val="000E71F1"/>
    <w:rsid w:val="000E7414"/>
    <w:rsid w:val="000F020E"/>
    <w:rsid w:val="000F0937"/>
    <w:rsid w:val="000F0A5E"/>
    <w:rsid w:val="000F16A2"/>
    <w:rsid w:val="000F1F56"/>
    <w:rsid w:val="000F21E4"/>
    <w:rsid w:val="000F2744"/>
    <w:rsid w:val="000F30D5"/>
    <w:rsid w:val="000F32A7"/>
    <w:rsid w:val="000F3BCB"/>
    <w:rsid w:val="000F3BE2"/>
    <w:rsid w:val="000F4647"/>
    <w:rsid w:val="000F7488"/>
    <w:rsid w:val="001004BF"/>
    <w:rsid w:val="00100BC5"/>
    <w:rsid w:val="00101F85"/>
    <w:rsid w:val="0010252E"/>
    <w:rsid w:val="00103C51"/>
    <w:rsid w:val="00104010"/>
    <w:rsid w:val="00104211"/>
    <w:rsid w:val="001044AC"/>
    <w:rsid w:val="00104A70"/>
    <w:rsid w:val="001051CB"/>
    <w:rsid w:val="00105314"/>
    <w:rsid w:val="0010566B"/>
    <w:rsid w:val="00105BFF"/>
    <w:rsid w:val="00105D71"/>
    <w:rsid w:val="001070E9"/>
    <w:rsid w:val="00107596"/>
    <w:rsid w:val="001113E8"/>
    <w:rsid w:val="00112658"/>
    <w:rsid w:val="00112717"/>
    <w:rsid w:val="00113908"/>
    <w:rsid w:val="00114495"/>
    <w:rsid w:val="00114D94"/>
    <w:rsid w:val="00114FC4"/>
    <w:rsid w:val="0011678D"/>
    <w:rsid w:val="00116CD5"/>
    <w:rsid w:val="00116E19"/>
    <w:rsid w:val="0011743F"/>
    <w:rsid w:val="00120B09"/>
    <w:rsid w:val="001210AF"/>
    <w:rsid w:val="001214D6"/>
    <w:rsid w:val="00121D05"/>
    <w:rsid w:val="00122CD3"/>
    <w:rsid w:val="001231CF"/>
    <w:rsid w:val="001232AB"/>
    <w:rsid w:val="001236E6"/>
    <w:rsid w:val="00124BA6"/>
    <w:rsid w:val="00125160"/>
    <w:rsid w:val="0012589C"/>
    <w:rsid w:val="00127135"/>
    <w:rsid w:val="00127B56"/>
    <w:rsid w:val="00130583"/>
    <w:rsid w:val="00130D1E"/>
    <w:rsid w:val="00131582"/>
    <w:rsid w:val="00131ADA"/>
    <w:rsid w:val="00131EB7"/>
    <w:rsid w:val="0013297B"/>
    <w:rsid w:val="00132A53"/>
    <w:rsid w:val="00132B21"/>
    <w:rsid w:val="00132EA0"/>
    <w:rsid w:val="00133548"/>
    <w:rsid w:val="00133746"/>
    <w:rsid w:val="00133973"/>
    <w:rsid w:val="00135CA8"/>
    <w:rsid w:val="00135D7C"/>
    <w:rsid w:val="00136C82"/>
    <w:rsid w:val="00136EFB"/>
    <w:rsid w:val="001373C8"/>
    <w:rsid w:val="00137C43"/>
    <w:rsid w:val="0014097F"/>
    <w:rsid w:val="001418B4"/>
    <w:rsid w:val="00141937"/>
    <w:rsid w:val="0014380F"/>
    <w:rsid w:val="00143E11"/>
    <w:rsid w:val="00144456"/>
    <w:rsid w:val="00144847"/>
    <w:rsid w:val="001448E9"/>
    <w:rsid w:val="0014495E"/>
    <w:rsid w:val="001453AE"/>
    <w:rsid w:val="00145DA7"/>
    <w:rsid w:val="00146732"/>
    <w:rsid w:val="0014763F"/>
    <w:rsid w:val="0014776D"/>
    <w:rsid w:val="00147C0B"/>
    <w:rsid w:val="0015058A"/>
    <w:rsid w:val="00150AF4"/>
    <w:rsid w:val="00151DD7"/>
    <w:rsid w:val="00151FC4"/>
    <w:rsid w:val="00152122"/>
    <w:rsid w:val="0015260E"/>
    <w:rsid w:val="00152EEA"/>
    <w:rsid w:val="001532FD"/>
    <w:rsid w:val="00153AD4"/>
    <w:rsid w:val="00153F0D"/>
    <w:rsid w:val="00154246"/>
    <w:rsid w:val="00155CE8"/>
    <w:rsid w:val="00156972"/>
    <w:rsid w:val="00156D16"/>
    <w:rsid w:val="0015786E"/>
    <w:rsid w:val="0016079C"/>
    <w:rsid w:val="00160B20"/>
    <w:rsid w:val="00160E9E"/>
    <w:rsid w:val="0016113F"/>
    <w:rsid w:val="001614C3"/>
    <w:rsid w:val="00161634"/>
    <w:rsid w:val="001618D4"/>
    <w:rsid w:val="00161B9C"/>
    <w:rsid w:val="00161FE1"/>
    <w:rsid w:val="0016263A"/>
    <w:rsid w:val="00162C12"/>
    <w:rsid w:val="001631C5"/>
    <w:rsid w:val="00163487"/>
    <w:rsid w:val="0016424B"/>
    <w:rsid w:val="001645D8"/>
    <w:rsid w:val="0016486F"/>
    <w:rsid w:val="00164F9C"/>
    <w:rsid w:val="00165125"/>
    <w:rsid w:val="00166238"/>
    <w:rsid w:val="001664CF"/>
    <w:rsid w:val="00167110"/>
    <w:rsid w:val="001675D9"/>
    <w:rsid w:val="00167F51"/>
    <w:rsid w:val="00170224"/>
    <w:rsid w:val="001711B7"/>
    <w:rsid w:val="00171308"/>
    <w:rsid w:val="001718A6"/>
    <w:rsid w:val="0017196C"/>
    <w:rsid w:val="001731E9"/>
    <w:rsid w:val="00174980"/>
    <w:rsid w:val="00175645"/>
    <w:rsid w:val="00175B6A"/>
    <w:rsid w:val="00175DB7"/>
    <w:rsid w:val="00175F13"/>
    <w:rsid w:val="001765E8"/>
    <w:rsid w:val="001808A3"/>
    <w:rsid w:val="001808D9"/>
    <w:rsid w:val="00180DBB"/>
    <w:rsid w:val="00181354"/>
    <w:rsid w:val="001820CC"/>
    <w:rsid w:val="001837CB"/>
    <w:rsid w:val="0018380F"/>
    <w:rsid w:val="00183874"/>
    <w:rsid w:val="0018396D"/>
    <w:rsid w:val="00183C98"/>
    <w:rsid w:val="00184015"/>
    <w:rsid w:val="00184595"/>
    <w:rsid w:val="0018486C"/>
    <w:rsid w:val="00184ACA"/>
    <w:rsid w:val="00184AEB"/>
    <w:rsid w:val="00185B2A"/>
    <w:rsid w:val="00185C06"/>
    <w:rsid w:val="00185C7A"/>
    <w:rsid w:val="00186532"/>
    <w:rsid w:val="0018690D"/>
    <w:rsid w:val="00186DFB"/>
    <w:rsid w:val="00187677"/>
    <w:rsid w:val="00190821"/>
    <w:rsid w:val="001908C0"/>
    <w:rsid w:val="00190AD0"/>
    <w:rsid w:val="001917FD"/>
    <w:rsid w:val="00191BFD"/>
    <w:rsid w:val="00191D2D"/>
    <w:rsid w:val="00192712"/>
    <w:rsid w:val="0019347F"/>
    <w:rsid w:val="0019356A"/>
    <w:rsid w:val="001943EE"/>
    <w:rsid w:val="00194DA6"/>
    <w:rsid w:val="00194F01"/>
    <w:rsid w:val="00195177"/>
    <w:rsid w:val="00195E60"/>
    <w:rsid w:val="00196314"/>
    <w:rsid w:val="00196626"/>
    <w:rsid w:val="001967F2"/>
    <w:rsid w:val="00196C15"/>
    <w:rsid w:val="00196F2E"/>
    <w:rsid w:val="001974AE"/>
    <w:rsid w:val="001975DF"/>
    <w:rsid w:val="00197E1F"/>
    <w:rsid w:val="00197FAD"/>
    <w:rsid w:val="001A09B0"/>
    <w:rsid w:val="001A1ECB"/>
    <w:rsid w:val="001A22AD"/>
    <w:rsid w:val="001A22C5"/>
    <w:rsid w:val="001A22E4"/>
    <w:rsid w:val="001A26EA"/>
    <w:rsid w:val="001A2E01"/>
    <w:rsid w:val="001A2E0B"/>
    <w:rsid w:val="001A30ED"/>
    <w:rsid w:val="001A34FA"/>
    <w:rsid w:val="001A5911"/>
    <w:rsid w:val="001A7228"/>
    <w:rsid w:val="001A7996"/>
    <w:rsid w:val="001B01BF"/>
    <w:rsid w:val="001B115D"/>
    <w:rsid w:val="001B15B4"/>
    <w:rsid w:val="001B2265"/>
    <w:rsid w:val="001B2F5C"/>
    <w:rsid w:val="001B3778"/>
    <w:rsid w:val="001B3D40"/>
    <w:rsid w:val="001B465A"/>
    <w:rsid w:val="001B49CC"/>
    <w:rsid w:val="001B4CF2"/>
    <w:rsid w:val="001B57AE"/>
    <w:rsid w:val="001B5D64"/>
    <w:rsid w:val="001B6870"/>
    <w:rsid w:val="001B6895"/>
    <w:rsid w:val="001B770A"/>
    <w:rsid w:val="001B7A94"/>
    <w:rsid w:val="001C0909"/>
    <w:rsid w:val="001C0F1E"/>
    <w:rsid w:val="001C10FD"/>
    <w:rsid w:val="001C1E06"/>
    <w:rsid w:val="001C2947"/>
    <w:rsid w:val="001C2BE3"/>
    <w:rsid w:val="001C2C65"/>
    <w:rsid w:val="001C3F78"/>
    <w:rsid w:val="001C4938"/>
    <w:rsid w:val="001C5127"/>
    <w:rsid w:val="001C57E3"/>
    <w:rsid w:val="001C5805"/>
    <w:rsid w:val="001C622E"/>
    <w:rsid w:val="001C649F"/>
    <w:rsid w:val="001C65B7"/>
    <w:rsid w:val="001C6C19"/>
    <w:rsid w:val="001C6D80"/>
    <w:rsid w:val="001C763E"/>
    <w:rsid w:val="001C7B07"/>
    <w:rsid w:val="001C7EEF"/>
    <w:rsid w:val="001D02F0"/>
    <w:rsid w:val="001D0D1E"/>
    <w:rsid w:val="001D0F2F"/>
    <w:rsid w:val="001D1AE7"/>
    <w:rsid w:val="001D22CC"/>
    <w:rsid w:val="001D2B38"/>
    <w:rsid w:val="001D32D5"/>
    <w:rsid w:val="001D3478"/>
    <w:rsid w:val="001D36A5"/>
    <w:rsid w:val="001D3E5C"/>
    <w:rsid w:val="001D41ED"/>
    <w:rsid w:val="001D48D2"/>
    <w:rsid w:val="001D4C8E"/>
    <w:rsid w:val="001D5486"/>
    <w:rsid w:val="001D5C0F"/>
    <w:rsid w:val="001D62F2"/>
    <w:rsid w:val="001D65F1"/>
    <w:rsid w:val="001D6F04"/>
    <w:rsid w:val="001D7005"/>
    <w:rsid w:val="001D73B5"/>
    <w:rsid w:val="001D7409"/>
    <w:rsid w:val="001D7773"/>
    <w:rsid w:val="001D7816"/>
    <w:rsid w:val="001D7924"/>
    <w:rsid w:val="001E0465"/>
    <w:rsid w:val="001E04F8"/>
    <w:rsid w:val="001E095B"/>
    <w:rsid w:val="001E0AE1"/>
    <w:rsid w:val="001E158A"/>
    <w:rsid w:val="001E166E"/>
    <w:rsid w:val="001E1AEE"/>
    <w:rsid w:val="001E2391"/>
    <w:rsid w:val="001E2674"/>
    <w:rsid w:val="001E2963"/>
    <w:rsid w:val="001E29D4"/>
    <w:rsid w:val="001E2D6F"/>
    <w:rsid w:val="001E2F92"/>
    <w:rsid w:val="001E316A"/>
    <w:rsid w:val="001E34CE"/>
    <w:rsid w:val="001E3A37"/>
    <w:rsid w:val="001E449A"/>
    <w:rsid w:val="001E451A"/>
    <w:rsid w:val="001E4582"/>
    <w:rsid w:val="001E58C9"/>
    <w:rsid w:val="001E60E3"/>
    <w:rsid w:val="001E76F4"/>
    <w:rsid w:val="001F004F"/>
    <w:rsid w:val="001F1128"/>
    <w:rsid w:val="001F13E2"/>
    <w:rsid w:val="001F1734"/>
    <w:rsid w:val="001F1F0B"/>
    <w:rsid w:val="001F2022"/>
    <w:rsid w:val="001F23DD"/>
    <w:rsid w:val="001F25D1"/>
    <w:rsid w:val="001F2BAB"/>
    <w:rsid w:val="001F4B2B"/>
    <w:rsid w:val="001F55EB"/>
    <w:rsid w:val="001F5796"/>
    <w:rsid w:val="001F5821"/>
    <w:rsid w:val="001F660B"/>
    <w:rsid w:val="001F672C"/>
    <w:rsid w:val="001F75AE"/>
    <w:rsid w:val="001F7717"/>
    <w:rsid w:val="00200149"/>
    <w:rsid w:val="00200FF1"/>
    <w:rsid w:val="00201D4E"/>
    <w:rsid w:val="0020227E"/>
    <w:rsid w:val="0020258D"/>
    <w:rsid w:val="002026DD"/>
    <w:rsid w:val="0020319B"/>
    <w:rsid w:val="00204429"/>
    <w:rsid w:val="002047C4"/>
    <w:rsid w:val="002047E9"/>
    <w:rsid w:val="0020495D"/>
    <w:rsid w:val="00204EF7"/>
    <w:rsid w:val="00204FED"/>
    <w:rsid w:val="00205332"/>
    <w:rsid w:val="002054CB"/>
    <w:rsid w:val="00205B08"/>
    <w:rsid w:val="002068BB"/>
    <w:rsid w:val="00206A98"/>
    <w:rsid w:val="00206F6C"/>
    <w:rsid w:val="00207AA6"/>
    <w:rsid w:val="00210255"/>
    <w:rsid w:val="00210A23"/>
    <w:rsid w:val="002118EF"/>
    <w:rsid w:val="00211E89"/>
    <w:rsid w:val="00212066"/>
    <w:rsid w:val="00212177"/>
    <w:rsid w:val="00213281"/>
    <w:rsid w:val="0021447A"/>
    <w:rsid w:val="002149C3"/>
    <w:rsid w:val="00214C84"/>
    <w:rsid w:val="00215CA5"/>
    <w:rsid w:val="00216218"/>
    <w:rsid w:val="0021627B"/>
    <w:rsid w:val="00216813"/>
    <w:rsid w:val="0021693F"/>
    <w:rsid w:val="00217486"/>
    <w:rsid w:val="00217D4F"/>
    <w:rsid w:val="00220255"/>
    <w:rsid w:val="0022040E"/>
    <w:rsid w:val="00220688"/>
    <w:rsid w:val="00220D9C"/>
    <w:rsid w:val="00221B06"/>
    <w:rsid w:val="00221CA4"/>
    <w:rsid w:val="00222131"/>
    <w:rsid w:val="002221C1"/>
    <w:rsid w:val="00222FFD"/>
    <w:rsid w:val="0022345F"/>
    <w:rsid w:val="00223BC4"/>
    <w:rsid w:val="00224792"/>
    <w:rsid w:val="002247EF"/>
    <w:rsid w:val="00224A11"/>
    <w:rsid w:val="002253E6"/>
    <w:rsid w:val="002258E4"/>
    <w:rsid w:val="0022592C"/>
    <w:rsid w:val="00225E61"/>
    <w:rsid w:val="00225EEE"/>
    <w:rsid w:val="002261E3"/>
    <w:rsid w:val="0022636D"/>
    <w:rsid w:val="002269C1"/>
    <w:rsid w:val="00226ADD"/>
    <w:rsid w:val="00226D70"/>
    <w:rsid w:val="00226FCE"/>
    <w:rsid w:val="0022733D"/>
    <w:rsid w:val="002273FA"/>
    <w:rsid w:val="00227ACA"/>
    <w:rsid w:val="002323FB"/>
    <w:rsid w:val="00233810"/>
    <w:rsid w:val="00233F9F"/>
    <w:rsid w:val="00234117"/>
    <w:rsid w:val="002352B3"/>
    <w:rsid w:val="00235454"/>
    <w:rsid w:val="00235893"/>
    <w:rsid w:val="00235D5E"/>
    <w:rsid w:val="00235DA8"/>
    <w:rsid w:val="00236859"/>
    <w:rsid w:val="00236B72"/>
    <w:rsid w:val="00237541"/>
    <w:rsid w:val="00237DBA"/>
    <w:rsid w:val="0024036D"/>
    <w:rsid w:val="002408D5"/>
    <w:rsid w:val="00240AC1"/>
    <w:rsid w:val="00242655"/>
    <w:rsid w:val="0024270C"/>
    <w:rsid w:val="0024477D"/>
    <w:rsid w:val="00244944"/>
    <w:rsid w:val="00244EE2"/>
    <w:rsid w:val="00245142"/>
    <w:rsid w:val="0024530B"/>
    <w:rsid w:val="0024612C"/>
    <w:rsid w:val="00246B82"/>
    <w:rsid w:val="00246BF2"/>
    <w:rsid w:val="002473FE"/>
    <w:rsid w:val="002474AD"/>
    <w:rsid w:val="002477C1"/>
    <w:rsid w:val="00247A9B"/>
    <w:rsid w:val="002504C8"/>
    <w:rsid w:val="0025099A"/>
    <w:rsid w:val="002510B8"/>
    <w:rsid w:val="00251F09"/>
    <w:rsid w:val="0025270D"/>
    <w:rsid w:val="0025331E"/>
    <w:rsid w:val="002533B3"/>
    <w:rsid w:val="00254E88"/>
    <w:rsid w:val="002550D9"/>
    <w:rsid w:val="002555C5"/>
    <w:rsid w:val="00255EDB"/>
    <w:rsid w:val="0025625D"/>
    <w:rsid w:val="00257527"/>
    <w:rsid w:val="002577AA"/>
    <w:rsid w:val="00257D32"/>
    <w:rsid w:val="002605E9"/>
    <w:rsid w:val="00260AF6"/>
    <w:rsid w:val="00260B0A"/>
    <w:rsid w:val="00260F8E"/>
    <w:rsid w:val="00261D71"/>
    <w:rsid w:val="00261E6F"/>
    <w:rsid w:val="002629A2"/>
    <w:rsid w:val="00262E67"/>
    <w:rsid w:val="00263B04"/>
    <w:rsid w:val="002652CA"/>
    <w:rsid w:val="00265DA8"/>
    <w:rsid w:val="002663C9"/>
    <w:rsid w:val="0026666F"/>
    <w:rsid w:val="00266E30"/>
    <w:rsid w:val="0027019F"/>
    <w:rsid w:val="00270386"/>
    <w:rsid w:val="00270A38"/>
    <w:rsid w:val="00270CFD"/>
    <w:rsid w:val="00270F3F"/>
    <w:rsid w:val="0027170C"/>
    <w:rsid w:val="00271EAA"/>
    <w:rsid w:val="00271F6B"/>
    <w:rsid w:val="002723B4"/>
    <w:rsid w:val="0027267F"/>
    <w:rsid w:val="002728FC"/>
    <w:rsid w:val="00273D41"/>
    <w:rsid w:val="0027442E"/>
    <w:rsid w:val="00274D71"/>
    <w:rsid w:val="00274EEC"/>
    <w:rsid w:val="00274F9E"/>
    <w:rsid w:val="002750B6"/>
    <w:rsid w:val="00275726"/>
    <w:rsid w:val="002765E9"/>
    <w:rsid w:val="00276EB8"/>
    <w:rsid w:val="00277454"/>
    <w:rsid w:val="002806A3"/>
    <w:rsid w:val="00280F2A"/>
    <w:rsid w:val="00281191"/>
    <w:rsid w:val="00281D7B"/>
    <w:rsid w:val="00282464"/>
    <w:rsid w:val="00283463"/>
    <w:rsid w:val="00285003"/>
    <w:rsid w:val="00286410"/>
    <w:rsid w:val="00286C04"/>
    <w:rsid w:val="00287EA1"/>
    <w:rsid w:val="00290791"/>
    <w:rsid w:val="002908E1"/>
    <w:rsid w:val="00290B3B"/>
    <w:rsid w:val="00290BE0"/>
    <w:rsid w:val="002911CF"/>
    <w:rsid w:val="00291FEC"/>
    <w:rsid w:val="002932B6"/>
    <w:rsid w:val="00293AC8"/>
    <w:rsid w:val="00293D35"/>
    <w:rsid w:val="00293D51"/>
    <w:rsid w:val="00293DBD"/>
    <w:rsid w:val="00294416"/>
    <w:rsid w:val="002950D4"/>
    <w:rsid w:val="00296071"/>
    <w:rsid w:val="002964AB"/>
    <w:rsid w:val="0029659D"/>
    <w:rsid w:val="00296B3D"/>
    <w:rsid w:val="00296CB3"/>
    <w:rsid w:val="00297495"/>
    <w:rsid w:val="0029766A"/>
    <w:rsid w:val="00297E3E"/>
    <w:rsid w:val="002A0460"/>
    <w:rsid w:val="002A1113"/>
    <w:rsid w:val="002A1B31"/>
    <w:rsid w:val="002A2519"/>
    <w:rsid w:val="002A2849"/>
    <w:rsid w:val="002A2BC3"/>
    <w:rsid w:val="002A2BD4"/>
    <w:rsid w:val="002A2DBB"/>
    <w:rsid w:val="002A2E13"/>
    <w:rsid w:val="002A3AA7"/>
    <w:rsid w:val="002A43CB"/>
    <w:rsid w:val="002A44D2"/>
    <w:rsid w:val="002A49D1"/>
    <w:rsid w:val="002A59DA"/>
    <w:rsid w:val="002A6462"/>
    <w:rsid w:val="002A68E0"/>
    <w:rsid w:val="002A69B1"/>
    <w:rsid w:val="002A6E8D"/>
    <w:rsid w:val="002A7FB6"/>
    <w:rsid w:val="002B1062"/>
    <w:rsid w:val="002B10AD"/>
    <w:rsid w:val="002B1FA3"/>
    <w:rsid w:val="002B2016"/>
    <w:rsid w:val="002B2125"/>
    <w:rsid w:val="002B2AB1"/>
    <w:rsid w:val="002B32D4"/>
    <w:rsid w:val="002B3F19"/>
    <w:rsid w:val="002B4056"/>
    <w:rsid w:val="002B5587"/>
    <w:rsid w:val="002B5B8C"/>
    <w:rsid w:val="002B69A1"/>
    <w:rsid w:val="002B6CED"/>
    <w:rsid w:val="002B769D"/>
    <w:rsid w:val="002B78A3"/>
    <w:rsid w:val="002C04EA"/>
    <w:rsid w:val="002C05EA"/>
    <w:rsid w:val="002C1074"/>
    <w:rsid w:val="002C18A9"/>
    <w:rsid w:val="002C304E"/>
    <w:rsid w:val="002C319A"/>
    <w:rsid w:val="002C342E"/>
    <w:rsid w:val="002C3A17"/>
    <w:rsid w:val="002C3B53"/>
    <w:rsid w:val="002C4272"/>
    <w:rsid w:val="002C490A"/>
    <w:rsid w:val="002C4C2A"/>
    <w:rsid w:val="002C4CD3"/>
    <w:rsid w:val="002C59E0"/>
    <w:rsid w:val="002C5A6F"/>
    <w:rsid w:val="002C5C8B"/>
    <w:rsid w:val="002C5FEA"/>
    <w:rsid w:val="002C679C"/>
    <w:rsid w:val="002C705F"/>
    <w:rsid w:val="002C727C"/>
    <w:rsid w:val="002C7CAA"/>
    <w:rsid w:val="002D001F"/>
    <w:rsid w:val="002D0413"/>
    <w:rsid w:val="002D2800"/>
    <w:rsid w:val="002D3AE1"/>
    <w:rsid w:val="002D3C40"/>
    <w:rsid w:val="002D40C6"/>
    <w:rsid w:val="002D44AC"/>
    <w:rsid w:val="002D4937"/>
    <w:rsid w:val="002D4BAB"/>
    <w:rsid w:val="002D5959"/>
    <w:rsid w:val="002D5EC6"/>
    <w:rsid w:val="002D6CD2"/>
    <w:rsid w:val="002D7348"/>
    <w:rsid w:val="002E02C9"/>
    <w:rsid w:val="002E2642"/>
    <w:rsid w:val="002E2700"/>
    <w:rsid w:val="002E40B5"/>
    <w:rsid w:val="002E455D"/>
    <w:rsid w:val="002E50CD"/>
    <w:rsid w:val="002E5D13"/>
    <w:rsid w:val="002E64F7"/>
    <w:rsid w:val="002E71DA"/>
    <w:rsid w:val="002E7243"/>
    <w:rsid w:val="002E7312"/>
    <w:rsid w:val="002E764D"/>
    <w:rsid w:val="002E778C"/>
    <w:rsid w:val="002F079D"/>
    <w:rsid w:val="002F1DF2"/>
    <w:rsid w:val="002F2157"/>
    <w:rsid w:val="002F3108"/>
    <w:rsid w:val="002F497F"/>
    <w:rsid w:val="002F5093"/>
    <w:rsid w:val="002F70CC"/>
    <w:rsid w:val="002F7536"/>
    <w:rsid w:val="002F7A17"/>
    <w:rsid w:val="00300545"/>
    <w:rsid w:val="00300B73"/>
    <w:rsid w:val="00300D9A"/>
    <w:rsid w:val="0030124A"/>
    <w:rsid w:val="0030164D"/>
    <w:rsid w:val="0030177C"/>
    <w:rsid w:val="0030182E"/>
    <w:rsid w:val="00301F3F"/>
    <w:rsid w:val="003033F2"/>
    <w:rsid w:val="00303B8E"/>
    <w:rsid w:val="00303DB5"/>
    <w:rsid w:val="00304232"/>
    <w:rsid w:val="00304845"/>
    <w:rsid w:val="00304C32"/>
    <w:rsid w:val="00305811"/>
    <w:rsid w:val="0030594F"/>
    <w:rsid w:val="003061C9"/>
    <w:rsid w:val="00306461"/>
    <w:rsid w:val="0030694C"/>
    <w:rsid w:val="00306EB4"/>
    <w:rsid w:val="003075DC"/>
    <w:rsid w:val="00307610"/>
    <w:rsid w:val="00307753"/>
    <w:rsid w:val="00307D9C"/>
    <w:rsid w:val="003104AB"/>
    <w:rsid w:val="00310DD6"/>
    <w:rsid w:val="003117E6"/>
    <w:rsid w:val="003119B4"/>
    <w:rsid w:val="00311CF5"/>
    <w:rsid w:val="003121C8"/>
    <w:rsid w:val="00312C5F"/>
    <w:rsid w:val="00312EE9"/>
    <w:rsid w:val="00313300"/>
    <w:rsid w:val="003136E6"/>
    <w:rsid w:val="00313D59"/>
    <w:rsid w:val="0031578B"/>
    <w:rsid w:val="00315894"/>
    <w:rsid w:val="00315D57"/>
    <w:rsid w:val="00315D68"/>
    <w:rsid w:val="00317228"/>
    <w:rsid w:val="00317918"/>
    <w:rsid w:val="00317A32"/>
    <w:rsid w:val="00317FE0"/>
    <w:rsid w:val="0032015D"/>
    <w:rsid w:val="00320E36"/>
    <w:rsid w:val="00321A42"/>
    <w:rsid w:val="00321BB7"/>
    <w:rsid w:val="00321FA6"/>
    <w:rsid w:val="00322263"/>
    <w:rsid w:val="00322CBB"/>
    <w:rsid w:val="0032324E"/>
    <w:rsid w:val="00323559"/>
    <w:rsid w:val="003235EF"/>
    <w:rsid w:val="003238DE"/>
    <w:rsid w:val="0032395B"/>
    <w:rsid w:val="003248ED"/>
    <w:rsid w:val="0032574F"/>
    <w:rsid w:val="00325811"/>
    <w:rsid w:val="00326743"/>
    <w:rsid w:val="00326B9F"/>
    <w:rsid w:val="00326C46"/>
    <w:rsid w:val="00326D81"/>
    <w:rsid w:val="0033013A"/>
    <w:rsid w:val="00330155"/>
    <w:rsid w:val="0033027A"/>
    <w:rsid w:val="00330658"/>
    <w:rsid w:val="00330783"/>
    <w:rsid w:val="003309B2"/>
    <w:rsid w:val="00330A90"/>
    <w:rsid w:val="00330CC1"/>
    <w:rsid w:val="0033109B"/>
    <w:rsid w:val="003310FA"/>
    <w:rsid w:val="00331B22"/>
    <w:rsid w:val="00331E53"/>
    <w:rsid w:val="00331F54"/>
    <w:rsid w:val="003322A8"/>
    <w:rsid w:val="00332BF5"/>
    <w:rsid w:val="00332C7F"/>
    <w:rsid w:val="00332DD6"/>
    <w:rsid w:val="0033328A"/>
    <w:rsid w:val="00334930"/>
    <w:rsid w:val="00334FF6"/>
    <w:rsid w:val="00335528"/>
    <w:rsid w:val="003359EA"/>
    <w:rsid w:val="00335A84"/>
    <w:rsid w:val="003366C6"/>
    <w:rsid w:val="00336C13"/>
    <w:rsid w:val="00337EDB"/>
    <w:rsid w:val="003401F1"/>
    <w:rsid w:val="003406B5"/>
    <w:rsid w:val="00340A41"/>
    <w:rsid w:val="003415AE"/>
    <w:rsid w:val="00341CE6"/>
    <w:rsid w:val="00341DFE"/>
    <w:rsid w:val="00344028"/>
    <w:rsid w:val="0034420B"/>
    <w:rsid w:val="0034459A"/>
    <w:rsid w:val="003449CC"/>
    <w:rsid w:val="0034513D"/>
    <w:rsid w:val="003466F5"/>
    <w:rsid w:val="00347AA9"/>
    <w:rsid w:val="003502D4"/>
    <w:rsid w:val="00350F9D"/>
    <w:rsid w:val="0035102F"/>
    <w:rsid w:val="00351EC7"/>
    <w:rsid w:val="00352011"/>
    <w:rsid w:val="003524E8"/>
    <w:rsid w:val="00352A7A"/>
    <w:rsid w:val="003538E0"/>
    <w:rsid w:val="00353A48"/>
    <w:rsid w:val="00353AA2"/>
    <w:rsid w:val="00353AB5"/>
    <w:rsid w:val="00353B10"/>
    <w:rsid w:val="00355546"/>
    <w:rsid w:val="00355756"/>
    <w:rsid w:val="00355AF5"/>
    <w:rsid w:val="0035692C"/>
    <w:rsid w:val="00356ADE"/>
    <w:rsid w:val="00356DCF"/>
    <w:rsid w:val="00357995"/>
    <w:rsid w:val="00357D0A"/>
    <w:rsid w:val="00357F35"/>
    <w:rsid w:val="00360744"/>
    <w:rsid w:val="00361D10"/>
    <w:rsid w:val="00361DEA"/>
    <w:rsid w:val="00362362"/>
    <w:rsid w:val="003625B9"/>
    <w:rsid w:val="00362B25"/>
    <w:rsid w:val="0036360B"/>
    <w:rsid w:val="003642C6"/>
    <w:rsid w:val="0036477A"/>
    <w:rsid w:val="00364C8D"/>
    <w:rsid w:val="00364E20"/>
    <w:rsid w:val="00365E4B"/>
    <w:rsid w:val="00367053"/>
    <w:rsid w:val="00367A92"/>
    <w:rsid w:val="00367EEB"/>
    <w:rsid w:val="00367F4B"/>
    <w:rsid w:val="003702D4"/>
    <w:rsid w:val="003705EB"/>
    <w:rsid w:val="003707EC"/>
    <w:rsid w:val="00370B27"/>
    <w:rsid w:val="00371015"/>
    <w:rsid w:val="0037148E"/>
    <w:rsid w:val="00371F52"/>
    <w:rsid w:val="00371FD2"/>
    <w:rsid w:val="00372135"/>
    <w:rsid w:val="00372F3A"/>
    <w:rsid w:val="00373196"/>
    <w:rsid w:val="00374D23"/>
    <w:rsid w:val="00375206"/>
    <w:rsid w:val="00377CA2"/>
    <w:rsid w:val="003804C9"/>
    <w:rsid w:val="0038060C"/>
    <w:rsid w:val="00380885"/>
    <w:rsid w:val="0038088A"/>
    <w:rsid w:val="00380955"/>
    <w:rsid w:val="003817B2"/>
    <w:rsid w:val="00382117"/>
    <w:rsid w:val="00382911"/>
    <w:rsid w:val="00382DC5"/>
    <w:rsid w:val="00382DDB"/>
    <w:rsid w:val="00383132"/>
    <w:rsid w:val="00383482"/>
    <w:rsid w:val="00383758"/>
    <w:rsid w:val="0038396C"/>
    <w:rsid w:val="00384239"/>
    <w:rsid w:val="003848D5"/>
    <w:rsid w:val="00385171"/>
    <w:rsid w:val="00385467"/>
    <w:rsid w:val="00385951"/>
    <w:rsid w:val="00385B9E"/>
    <w:rsid w:val="003869AC"/>
    <w:rsid w:val="00386CAE"/>
    <w:rsid w:val="00386D0E"/>
    <w:rsid w:val="0038741E"/>
    <w:rsid w:val="003876B8"/>
    <w:rsid w:val="00387E33"/>
    <w:rsid w:val="00390763"/>
    <w:rsid w:val="00390821"/>
    <w:rsid w:val="00390AEB"/>
    <w:rsid w:val="00390DAF"/>
    <w:rsid w:val="00390FEC"/>
    <w:rsid w:val="00391CB7"/>
    <w:rsid w:val="00391FC1"/>
    <w:rsid w:val="00392A66"/>
    <w:rsid w:val="00393184"/>
    <w:rsid w:val="0039379F"/>
    <w:rsid w:val="00393C70"/>
    <w:rsid w:val="003940B5"/>
    <w:rsid w:val="0039519F"/>
    <w:rsid w:val="0039548D"/>
    <w:rsid w:val="00395B23"/>
    <w:rsid w:val="00396548"/>
    <w:rsid w:val="00396A73"/>
    <w:rsid w:val="00396B60"/>
    <w:rsid w:val="00397003"/>
    <w:rsid w:val="003972AE"/>
    <w:rsid w:val="00397893"/>
    <w:rsid w:val="00397AF4"/>
    <w:rsid w:val="003A0451"/>
    <w:rsid w:val="003A07C8"/>
    <w:rsid w:val="003A083C"/>
    <w:rsid w:val="003A0C4B"/>
    <w:rsid w:val="003A0CBC"/>
    <w:rsid w:val="003A16B1"/>
    <w:rsid w:val="003A16D4"/>
    <w:rsid w:val="003A213D"/>
    <w:rsid w:val="003A23DC"/>
    <w:rsid w:val="003A24DF"/>
    <w:rsid w:val="003A2B06"/>
    <w:rsid w:val="003A307E"/>
    <w:rsid w:val="003A42BA"/>
    <w:rsid w:val="003A4A66"/>
    <w:rsid w:val="003A4AFD"/>
    <w:rsid w:val="003A52CB"/>
    <w:rsid w:val="003A65F4"/>
    <w:rsid w:val="003A6E1E"/>
    <w:rsid w:val="003A6FB0"/>
    <w:rsid w:val="003A7426"/>
    <w:rsid w:val="003B0459"/>
    <w:rsid w:val="003B0A91"/>
    <w:rsid w:val="003B0E81"/>
    <w:rsid w:val="003B0F39"/>
    <w:rsid w:val="003B169F"/>
    <w:rsid w:val="003B170F"/>
    <w:rsid w:val="003B1EBE"/>
    <w:rsid w:val="003B3144"/>
    <w:rsid w:val="003B3202"/>
    <w:rsid w:val="003B3459"/>
    <w:rsid w:val="003B3927"/>
    <w:rsid w:val="003B3C3A"/>
    <w:rsid w:val="003B426C"/>
    <w:rsid w:val="003B4D4C"/>
    <w:rsid w:val="003B57A6"/>
    <w:rsid w:val="003B5ABD"/>
    <w:rsid w:val="003B70AD"/>
    <w:rsid w:val="003B7C9B"/>
    <w:rsid w:val="003C0273"/>
    <w:rsid w:val="003C04E7"/>
    <w:rsid w:val="003C07EA"/>
    <w:rsid w:val="003C1211"/>
    <w:rsid w:val="003C1304"/>
    <w:rsid w:val="003C162C"/>
    <w:rsid w:val="003C2575"/>
    <w:rsid w:val="003C2D61"/>
    <w:rsid w:val="003C30CD"/>
    <w:rsid w:val="003C4BA6"/>
    <w:rsid w:val="003C5142"/>
    <w:rsid w:val="003C560E"/>
    <w:rsid w:val="003C5A6D"/>
    <w:rsid w:val="003C6A4C"/>
    <w:rsid w:val="003C6B99"/>
    <w:rsid w:val="003C7B6E"/>
    <w:rsid w:val="003C7C28"/>
    <w:rsid w:val="003C7DC7"/>
    <w:rsid w:val="003D0FFA"/>
    <w:rsid w:val="003D120D"/>
    <w:rsid w:val="003D14B0"/>
    <w:rsid w:val="003D1656"/>
    <w:rsid w:val="003D1708"/>
    <w:rsid w:val="003D1F93"/>
    <w:rsid w:val="003D2567"/>
    <w:rsid w:val="003D274D"/>
    <w:rsid w:val="003D2C29"/>
    <w:rsid w:val="003D2E46"/>
    <w:rsid w:val="003D31D1"/>
    <w:rsid w:val="003D345E"/>
    <w:rsid w:val="003D40B5"/>
    <w:rsid w:val="003D4B12"/>
    <w:rsid w:val="003D54E1"/>
    <w:rsid w:val="003D5665"/>
    <w:rsid w:val="003D566B"/>
    <w:rsid w:val="003D64BC"/>
    <w:rsid w:val="003D7EE9"/>
    <w:rsid w:val="003E007C"/>
    <w:rsid w:val="003E1052"/>
    <w:rsid w:val="003E1200"/>
    <w:rsid w:val="003E17BD"/>
    <w:rsid w:val="003E1AF8"/>
    <w:rsid w:val="003E1E52"/>
    <w:rsid w:val="003E279B"/>
    <w:rsid w:val="003E307C"/>
    <w:rsid w:val="003E439B"/>
    <w:rsid w:val="003E44A9"/>
    <w:rsid w:val="003E4B2F"/>
    <w:rsid w:val="003E569E"/>
    <w:rsid w:val="003E5CA9"/>
    <w:rsid w:val="003E658C"/>
    <w:rsid w:val="003E6EAF"/>
    <w:rsid w:val="003F005B"/>
    <w:rsid w:val="003F04AF"/>
    <w:rsid w:val="003F061F"/>
    <w:rsid w:val="003F08F3"/>
    <w:rsid w:val="003F0DB7"/>
    <w:rsid w:val="003F15FF"/>
    <w:rsid w:val="003F2BB8"/>
    <w:rsid w:val="003F30BD"/>
    <w:rsid w:val="003F30F0"/>
    <w:rsid w:val="003F3135"/>
    <w:rsid w:val="003F38DF"/>
    <w:rsid w:val="003F44B9"/>
    <w:rsid w:val="003F58F2"/>
    <w:rsid w:val="003F5B15"/>
    <w:rsid w:val="003F5B91"/>
    <w:rsid w:val="003F6AE3"/>
    <w:rsid w:val="003F75C6"/>
    <w:rsid w:val="00400345"/>
    <w:rsid w:val="0040090B"/>
    <w:rsid w:val="00400E1C"/>
    <w:rsid w:val="00400F9D"/>
    <w:rsid w:val="0040102A"/>
    <w:rsid w:val="00401328"/>
    <w:rsid w:val="00401C8E"/>
    <w:rsid w:val="00401EFD"/>
    <w:rsid w:val="00402322"/>
    <w:rsid w:val="00403263"/>
    <w:rsid w:val="00403544"/>
    <w:rsid w:val="00403A9D"/>
    <w:rsid w:val="00403F21"/>
    <w:rsid w:val="00403FDC"/>
    <w:rsid w:val="00404A0C"/>
    <w:rsid w:val="004055EA"/>
    <w:rsid w:val="00405CA8"/>
    <w:rsid w:val="0040650A"/>
    <w:rsid w:val="00407783"/>
    <w:rsid w:val="00410937"/>
    <w:rsid w:val="00410A82"/>
    <w:rsid w:val="00410E10"/>
    <w:rsid w:val="0041168A"/>
    <w:rsid w:val="00411882"/>
    <w:rsid w:val="004118D2"/>
    <w:rsid w:val="00411FA9"/>
    <w:rsid w:val="00412311"/>
    <w:rsid w:val="00413138"/>
    <w:rsid w:val="004134DB"/>
    <w:rsid w:val="004141BD"/>
    <w:rsid w:val="004147E1"/>
    <w:rsid w:val="00415B8F"/>
    <w:rsid w:val="0041649F"/>
    <w:rsid w:val="004164D2"/>
    <w:rsid w:val="00416DF1"/>
    <w:rsid w:val="00416EC3"/>
    <w:rsid w:val="004172D3"/>
    <w:rsid w:val="004214A4"/>
    <w:rsid w:val="004219FD"/>
    <w:rsid w:val="00422A1A"/>
    <w:rsid w:val="00422CBD"/>
    <w:rsid w:val="0042318B"/>
    <w:rsid w:val="00423876"/>
    <w:rsid w:val="00423BC7"/>
    <w:rsid w:val="00424AA3"/>
    <w:rsid w:val="00425201"/>
    <w:rsid w:val="00425698"/>
    <w:rsid w:val="00425989"/>
    <w:rsid w:val="0042634F"/>
    <w:rsid w:val="0042696B"/>
    <w:rsid w:val="004278AE"/>
    <w:rsid w:val="00427CFF"/>
    <w:rsid w:val="00430132"/>
    <w:rsid w:val="004306D4"/>
    <w:rsid w:val="00431247"/>
    <w:rsid w:val="004316BE"/>
    <w:rsid w:val="00431955"/>
    <w:rsid w:val="00431BCE"/>
    <w:rsid w:val="00431D29"/>
    <w:rsid w:val="00432319"/>
    <w:rsid w:val="00432CFF"/>
    <w:rsid w:val="00433505"/>
    <w:rsid w:val="00433CC9"/>
    <w:rsid w:val="00434CAC"/>
    <w:rsid w:val="00434E03"/>
    <w:rsid w:val="00435065"/>
    <w:rsid w:val="004351F2"/>
    <w:rsid w:val="004371AE"/>
    <w:rsid w:val="004371F6"/>
    <w:rsid w:val="00437271"/>
    <w:rsid w:val="0043778F"/>
    <w:rsid w:val="00437895"/>
    <w:rsid w:val="0044035F"/>
    <w:rsid w:val="00440605"/>
    <w:rsid w:val="00440648"/>
    <w:rsid w:val="004406CD"/>
    <w:rsid w:val="004406EE"/>
    <w:rsid w:val="00440A36"/>
    <w:rsid w:val="00440C8E"/>
    <w:rsid w:val="00441C72"/>
    <w:rsid w:val="004424D8"/>
    <w:rsid w:val="004425E2"/>
    <w:rsid w:val="00442626"/>
    <w:rsid w:val="00442F6F"/>
    <w:rsid w:val="004433B2"/>
    <w:rsid w:val="00443D2E"/>
    <w:rsid w:val="004447C5"/>
    <w:rsid w:val="00444ABC"/>
    <w:rsid w:val="00444B68"/>
    <w:rsid w:val="00445637"/>
    <w:rsid w:val="00447C73"/>
    <w:rsid w:val="00450926"/>
    <w:rsid w:val="004511EE"/>
    <w:rsid w:val="0045193E"/>
    <w:rsid w:val="00451F3F"/>
    <w:rsid w:val="0045244A"/>
    <w:rsid w:val="004527F6"/>
    <w:rsid w:val="00452EF5"/>
    <w:rsid w:val="004532B4"/>
    <w:rsid w:val="0045390D"/>
    <w:rsid w:val="00455611"/>
    <w:rsid w:val="004559B8"/>
    <w:rsid w:val="00456B86"/>
    <w:rsid w:val="00456E13"/>
    <w:rsid w:val="00456EC4"/>
    <w:rsid w:val="00457749"/>
    <w:rsid w:val="004600F7"/>
    <w:rsid w:val="00460C05"/>
    <w:rsid w:val="004627CF"/>
    <w:rsid w:val="00462A20"/>
    <w:rsid w:val="00462B1E"/>
    <w:rsid w:val="00462D5E"/>
    <w:rsid w:val="00463030"/>
    <w:rsid w:val="00463357"/>
    <w:rsid w:val="004637E4"/>
    <w:rsid w:val="00463B07"/>
    <w:rsid w:val="00465607"/>
    <w:rsid w:val="00465D9E"/>
    <w:rsid w:val="00466650"/>
    <w:rsid w:val="00467A89"/>
    <w:rsid w:val="00467B17"/>
    <w:rsid w:val="00467EDB"/>
    <w:rsid w:val="00470979"/>
    <w:rsid w:val="00470EFE"/>
    <w:rsid w:val="00471CD9"/>
    <w:rsid w:val="00472430"/>
    <w:rsid w:val="0047363E"/>
    <w:rsid w:val="00473952"/>
    <w:rsid w:val="00473C1C"/>
    <w:rsid w:val="00473E13"/>
    <w:rsid w:val="00474314"/>
    <w:rsid w:val="004743C1"/>
    <w:rsid w:val="004743CF"/>
    <w:rsid w:val="00474A01"/>
    <w:rsid w:val="00474A62"/>
    <w:rsid w:val="00474DBF"/>
    <w:rsid w:val="00474ED1"/>
    <w:rsid w:val="0047575E"/>
    <w:rsid w:val="00475B4C"/>
    <w:rsid w:val="004767B6"/>
    <w:rsid w:val="004769FC"/>
    <w:rsid w:val="00476C00"/>
    <w:rsid w:val="00476D46"/>
    <w:rsid w:val="0047739E"/>
    <w:rsid w:val="00477EA9"/>
    <w:rsid w:val="00477F50"/>
    <w:rsid w:val="00480FDC"/>
    <w:rsid w:val="00481F0C"/>
    <w:rsid w:val="0048366B"/>
    <w:rsid w:val="004856DE"/>
    <w:rsid w:val="004857AD"/>
    <w:rsid w:val="00486BD7"/>
    <w:rsid w:val="0049000A"/>
    <w:rsid w:val="00490529"/>
    <w:rsid w:val="0049055F"/>
    <w:rsid w:val="00490FC4"/>
    <w:rsid w:val="00491BC9"/>
    <w:rsid w:val="00491DDC"/>
    <w:rsid w:val="00492BB6"/>
    <w:rsid w:val="00492F1D"/>
    <w:rsid w:val="004938E6"/>
    <w:rsid w:val="00493EB7"/>
    <w:rsid w:val="004942DC"/>
    <w:rsid w:val="00494381"/>
    <w:rsid w:val="0049450E"/>
    <w:rsid w:val="00495D1E"/>
    <w:rsid w:val="00495D49"/>
    <w:rsid w:val="00496653"/>
    <w:rsid w:val="004A0DBE"/>
    <w:rsid w:val="004A1881"/>
    <w:rsid w:val="004A1D58"/>
    <w:rsid w:val="004A2E91"/>
    <w:rsid w:val="004A2F61"/>
    <w:rsid w:val="004A3C30"/>
    <w:rsid w:val="004A45C1"/>
    <w:rsid w:val="004A52A8"/>
    <w:rsid w:val="004A57D2"/>
    <w:rsid w:val="004A7B9A"/>
    <w:rsid w:val="004B0021"/>
    <w:rsid w:val="004B047F"/>
    <w:rsid w:val="004B04A0"/>
    <w:rsid w:val="004B0722"/>
    <w:rsid w:val="004B0A74"/>
    <w:rsid w:val="004B0D30"/>
    <w:rsid w:val="004B0F6F"/>
    <w:rsid w:val="004B1807"/>
    <w:rsid w:val="004B1BF1"/>
    <w:rsid w:val="004B1FD2"/>
    <w:rsid w:val="004B3758"/>
    <w:rsid w:val="004B38C2"/>
    <w:rsid w:val="004B43D9"/>
    <w:rsid w:val="004B4432"/>
    <w:rsid w:val="004B4E84"/>
    <w:rsid w:val="004B59A9"/>
    <w:rsid w:val="004B64B4"/>
    <w:rsid w:val="004B68C3"/>
    <w:rsid w:val="004C12A1"/>
    <w:rsid w:val="004C14E8"/>
    <w:rsid w:val="004C3234"/>
    <w:rsid w:val="004C3755"/>
    <w:rsid w:val="004C38E1"/>
    <w:rsid w:val="004C4294"/>
    <w:rsid w:val="004C56A4"/>
    <w:rsid w:val="004C57B9"/>
    <w:rsid w:val="004C5839"/>
    <w:rsid w:val="004C5C5C"/>
    <w:rsid w:val="004C6CC0"/>
    <w:rsid w:val="004C70D1"/>
    <w:rsid w:val="004D0216"/>
    <w:rsid w:val="004D02CA"/>
    <w:rsid w:val="004D05A5"/>
    <w:rsid w:val="004D0B36"/>
    <w:rsid w:val="004D0E79"/>
    <w:rsid w:val="004D0E86"/>
    <w:rsid w:val="004D1198"/>
    <w:rsid w:val="004D1744"/>
    <w:rsid w:val="004D1BAC"/>
    <w:rsid w:val="004D1CB9"/>
    <w:rsid w:val="004D230E"/>
    <w:rsid w:val="004D38FC"/>
    <w:rsid w:val="004D45B4"/>
    <w:rsid w:val="004D4A0D"/>
    <w:rsid w:val="004D581F"/>
    <w:rsid w:val="004D5CA9"/>
    <w:rsid w:val="004D6C48"/>
    <w:rsid w:val="004D7374"/>
    <w:rsid w:val="004D73C8"/>
    <w:rsid w:val="004D793A"/>
    <w:rsid w:val="004D79D9"/>
    <w:rsid w:val="004D7BA6"/>
    <w:rsid w:val="004E037F"/>
    <w:rsid w:val="004E072F"/>
    <w:rsid w:val="004E0817"/>
    <w:rsid w:val="004E0BD5"/>
    <w:rsid w:val="004E0D3D"/>
    <w:rsid w:val="004E1135"/>
    <w:rsid w:val="004E12D5"/>
    <w:rsid w:val="004E1315"/>
    <w:rsid w:val="004E1364"/>
    <w:rsid w:val="004E14B9"/>
    <w:rsid w:val="004E182A"/>
    <w:rsid w:val="004E18A7"/>
    <w:rsid w:val="004E199B"/>
    <w:rsid w:val="004E2A22"/>
    <w:rsid w:val="004E2C19"/>
    <w:rsid w:val="004E2E2B"/>
    <w:rsid w:val="004E306C"/>
    <w:rsid w:val="004E33F6"/>
    <w:rsid w:val="004E3794"/>
    <w:rsid w:val="004E3B5D"/>
    <w:rsid w:val="004E3C7F"/>
    <w:rsid w:val="004E43CB"/>
    <w:rsid w:val="004E4B5D"/>
    <w:rsid w:val="004E4C83"/>
    <w:rsid w:val="004E4D0E"/>
    <w:rsid w:val="004E51F3"/>
    <w:rsid w:val="004E69CF"/>
    <w:rsid w:val="004E6FAF"/>
    <w:rsid w:val="004E7380"/>
    <w:rsid w:val="004E77C6"/>
    <w:rsid w:val="004E7C0C"/>
    <w:rsid w:val="004F002D"/>
    <w:rsid w:val="004F00F5"/>
    <w:rsid w:val="004F0215"/>
    <w:rsid w:val="004F0A07"/>
    <w:rsid w:val="004F1350"/>
    <w:rsid w:val="004F212F"/>
    <w:rsid w:val="004F3E57"/>
    <w:rsid w:val="004F5556"/>
    <w:rsid w:val="004F6A3E"/>
    <w:rsid w:val="004F6BD4"/>
    <w:rsid w:val="004F6DE8"/>
    <w:rsid w:val="004F6E4B"/>
    <w:rsid w:val="004F7987"/>
    <w:rsid w:val="004F7C84"/>
    <w:rsid w:val="00500894"/>
    <w:rsid w:val="00500B43"/>
    <w:rsid w:val="00500CEA"/>
    <w:rsid w:val="00501792"/>
    <w:rsid w:val="00503202"/>
    <w:rsid w:val="00503B18"/>
    <w:rsid w:val="00503EA6"/>
    <w:rsid w:val="00503EBC"/>
    <w:rsid w:val="005041B8"/>
    <w:rsid w:val="00504494"/>
    <w:rsid w:val="005046D6"/>
    <w:rsid w:val="00504DB6"/>
    <w:rsid w:val="005052C0"/>
    <w:rsid w:val="00505854"/>
    <w:rsid w:val="005058F0"/>
    <w:rsid w:val="00506487"/>
    <w:rsid w:val="00506EB8"/>
    <w:rsid w:val="0050703F"/>
    <w:rsid w:val="00507E80"/>
    <w:rsid w:val="00510A7D"/>
    <w:rsid w:val="0051162D"/>
    <w:rsid w:val="00511AC3"/>
    <w:rsid w:val="00512497"/>
    <w:rsid w:val="00512835"/>
    <w:rsid w:val="00512C83"/>
    <w:rsid w:val="00512F47"/>
    <w:rsid w:val="005130D3"/>
    <w:rsid w:val="005137AB"/>
    <w:rsid w:val="00513C66"/>
    <w:rsid w:val="00514483"/>
    <w:rsid w:val="005153D8"/>
    <w:rsid w:val="005159C8"/>
    <w:rsid w:val="00515CDA"/>
    <w:rsid w:val="00515FAF"/>
    <w:rsid w:val="00517500"/>
    <w:rsid w:val="00517EA0"/>
    <w:rsid w:val="00517F67"/>
    <w:rsid w:val="00520433"/>
    <w:rsid w:val="00520AF9"/>
    <w:rsid w:val="00522902"/>
    <w:rsid w:val="0052303A"/>
    <w:rsid w:val="00523630"/>
    <w:rsid w:val="00523E1E"/>
    <w:rsid w:val="00524501"/>
    <w:rsid w:val="005245B5"/>
    <w:rsid w:val="0052490A"/>
    <w:rsid w:val="00525AC6"/>
    <w:rsid w:val="00525B9F"/>
    <w:rsid w:val="00525FC0"/>
    <w:rsid w:val="005263DA"/>
    <w:rsid w:val="005265D5"/>
    <w:rsid w:val="0052667A"/>
    <w:rsid w:val="0052758E"/>
    <w:rsid w:val="00527A67"/>
    <w:rsid w:val="00527B9B"/>
    <w:rsid w:val="005307AB"/>
    <w:rsid w:val="00531B86"/>
    <w:rsid w:val="005322BC"/>
    <w:rsid w:val="00532315"/>
    <w:rsid w:val="00533391"/>
    <w:rsid w:val="00533789"/>
    <w:rsid w:val="00533C9B"/>
    <w:rsid w:val="00534502"/>
    <w:rsid w:val="0053463B"/>
    <w:rsid w:val="005347C0"/>
    <w:rsid w:val="00534EF9"/>
    <w:rsid w:val="00535D5C"/>
    <w:rsid w:val="00536002"/>
    <w:rsid w:val="00536273"/>
    <w:rsid w:val="00536BF6"/>
    <w:rsid w:val="00537F4E"/>
    <w:rsid w:val="00540141"/>
    <w:rsid w:val="00540753"/>
    <w:rsid w:val="005417AD"/>
    <w:rsid w:val="00541D70"/>
    <w:rsid w:val="00542197"/>
    <w:rsid w:val="00543F9F"/>
    <w:rsid w:val="00544674"/>
    <w:rsid w:val="005449EF"/>
    <w:rsid w:val="0054504D"/>
    <w:rsid w:val="00545177"/>
    <w:rsid w:val="00545288"/>
    <w:rsid w:val="005457F4"/>
    <w:rsid w:val="00545864"/>
    <w:rsid w:val="00545DCB"/>
    <w:rsid w:val="005460D3"/>
    <w:rsid w:val="0054613D"/>
    <w:rsid w:val="005461A5"/>
    <w:rsid w:val="0054644B"/>
    <w:rsid w:val="0054661B"/>
    <w:rsid w:val="00547764"/>
    <w:rsid w:val="00547D15"/>
    <w:rsid w:val="00547DF2"/>
    <w:rsid w:val="00550676"/>
    <w:rsid w:val="005506D3"/>
    <w:rsid w:val="005507D0"/>
    <w:rsid w:val="00551471"/>
    <w:rsid w:val="005514CC"/>
    <w:rsid w:val="0055196E"/>
    <w:rsid w:val="00551C32"/>
    <w:rsid w:val="0055202A"/>
    <w:rsid w:val="00552901"/>
    <w:rsid w:val="005533F4"/>
    <w:rsid w:val="00553CBB"/>
    <w:rsid w:val="00554405"/>
    <w:rsid w:val="0055542E"/>
    <w:rsid w:val="00555854"/>
    <w:rsid w:val="00557589"/>
    <w:rsid w:val="005578B4"/>
    <w:rsid w:val="00560DA6"/>
    <w:rsid w:val="00560E38"/>
    <w:rsid w:val="00561168"/>
    <w:rsid w:val="005618C0"/>
    <w:rsid w:val="00561A72"/>
    <w:rsid w:val="00561E84"/>
    <w:rsid w:val="005627D8"/>
    <w:rsid w:val="00563232"/>
    <w:rsid w:val="0056336E"/>
    <w:rsid w:val="00563B2F"/>
    <w:rsid w:val="005644D6"/>
    <w:rsid w:val="005648D9"/>
    <w:rsid w:val="00566185"/>
    <w:rsid w:val="005661AC"/>
    <w:rsid w:val="005662B3"/>
    <w:rsid w:val="00566376"/>
    <w:rsid w:val="005665D7"/>
    <w:rsid w:val="00566AB6"/>
    <w:rsid w:val="00566AD1"/>
    <w:rsid w:val="00566D77"/>
    <w:rsid w:val="00567A32"/>
    <w:rsid w:val="00570DCF"/>
    <w:rsid w:val="00571B3B"/>
    <w:rsid w:val="00571CDE"/>
    <w:rsid w:val="00571DEA"/>
    <w:rsid w:val="00572309"/>
    <w:rsid w:val="00572687"/>
    <w:rsid w:val="00572A00"/>
    <w:rsid w:val="00573281"/>
    <w:rsid w:val="005737A0"/>
    <w:rsid w:val="00573A4E"/>
    <w:rsid w:val="00573C6A"/>
    <w:rsid w:val="005748E3"/>
    <w:rsid w:val="00575C64"/>
    <w:rsid w:val="00575CC3"/>
    <w:rsid w:val="00575DDD"/>
    <w:rsid w:val="00576DAD"/>
    <w:rsid w:val="005772C2"/>
    <w:rsid w:val="005812A9"/>
    <w:rsid w:val="0058293A"/>
    <w:rsid w:val="0058338B"/>
    <w:rsid w:val="00583A74"/>
    <w:rsid w:val="00583D93"/>
    <w:rsid w:val="00584538"/>
    <w:rsid w:val="00587183"/>
    <w:rsid w:val="00587935"/>
    <w:rsid w:val="00590892"/>
    <w:rsid w:val="00590B1A"/>
    <w:rsid w:val="00590D48"/>
    <w:rsid w:val="00591361"/>
    <w:rsid w:val="005917F3"/>
    <w:rsid w:val="00591DAC"/>
    <w:rsid w:val="00592389"/>
    <w:rsid w:val="0059283E"/>
    <w:rsid w:val="00592DC4"/>
    <w:rsid w:val="005933D8"/>
    <w:rsid w:val="005934B2"/>
    <w:rsid w:val="0059359F"/>
    <w:rsid w:val="00593B8B"/>
    <w:rsid w:val="00593C9C"/>
    <w:rsid w:val="0059425C"/>
    <w:rsid w:val="00594455"/>
    <w:rsid w:val="00594572"/>
    <w:rsid w:val="005947E0"/>
    <w:rsid w:val="005949A3"/>
    <w:rsid w:val="00595237"/>
    <w:rsid w:val="005952B9"/>
    <w:rsid w:val="00595992"/>
    <w:rsid w:val="00595B94"/>
    <w:rsid w:val="00595BBA"/>
    <w:rsid w:val="00596B9B"/>
    <w:rsid w:val="0059705F"/>
    <w:rsid w:val="00597826"/>
    <w:rsid w:val="00597C74"/>
    <w:rsid w:val="005A0010"/>
    <w:rsid w:val="005A1207"/>
    <w:rsid w:val="005A1B23"/>
    <w:rsid w:val="005A1E18"/>
    <w:rsid w:val="005A2104"/>
    <w:rsid w:val="005A2475"/>
    <w:rsid w:val="005A2C6A"/>
    <w:rsid w:val="005A45F2"/>
    <w:rsid w:val="005A5076"/>
    <w:rsid w:val="005A5A3F"/>
    <w:rsid w:val="005A5E89"/>
    <w:rsid w:val="005A6257"/>
    <w:rsid w:val="005A652B"/>
    <w:rsid w:val="005A70A4"/>
    <w:rsid w:val="005A7479"/>
    <w:rsid w:val="005B09E5"/>
    <w:rsid w:val="005B1B43"/>
    <w:rsid w:val="005B27EF"/>
    <w:rsid w:val="005B3D01"/>
    <w:rsid w:val="005B426E"/>
    <w:rsid w:val="005B4367"/>
    <w:rsid w:val="005B454E"/>
    <w:rsid w:val="005B497E"/>
    <w:rsid w:val="005B4B92"/>
    <w:rsid w:val="005B4C8A"/>
    <w:rsid w:val="005B53A8"/>
    <w:rsid w:val="005B5D59"/>
    <w:rsid w:val="005B6612"/>
    <w:rsid w:val="005B6715"/>
    <w:rsid w:val="005B7251"/>
    <w:rsid w:val="005B73CD"/>
    <w:rsid w:val="005B75A7"/>
    <w:rsid w:val="005B76AE"/>
    <w:rsid w:val="005B7A90"/>
    <w:rsid w:val="005C01D8"/>
    <w:rsid w:val="005C0621"/>
    <w:rsid w:val="005C13FC"/>
    <w:rsid w:val="005C14BD"/>
    <w:rsid w:val="005C14CB"/>
    <w:rsid w:val="005C18AD"/>
    <w:rsid w:val="005C1A99"/>
    <w:rsid w:val="005C228B"/>
    <w:rsid w:val="005C245F"/>
    <w:rsid w:val="005C2C66"/>
    <w:rsid w:val="005C2D12"/>
    <w:rsid w:val="005C2E05"/>
    <w:rsid w:val="005C2F0C"/>
    <w:rsid w:val="005C34A2"/>
    <w:rsid w:val="005C3830"/>
    <w:rsid w:val="005C3F96"/>
    <w:rsid w:val="005C4819"/>
    <w:rsid w:val="005C483E"/>
    <w:rsid w:val="005C4931"/>
    <w:rsid w:val="005C493C"/>
    <w:rsid w:val="005C4A6D"/>
    <w:rsid w:val="005C52F3"/>
    <w:rsid w:val="005C5AE1"/>
    <w:rsid w:val="005C7AA1"/>
    <w:rsid w:val="005D0130"/>
    <w:rsid w:val="005D045B"/>
    <w:rsid w:val="005D0764"/>
    <w:rsid w:val="005D1F70"/>
    <w:rsid w:val="005D213B"/>
    <w:rsid w:val="005D23A0"/>
    <w:rsid w:val="005D3669"/>
    <w:rsid w:val="005D4AC9"/>
    <w:rsid w:val="005D5096"/>
    <w:rsid w:val="005D64A5"/>
    <w:rsid w:val="005D65A1"/>
    <w:rsid w:val="005D6D37"/>
    <w:rsid w:val="005D767F"/>
    <w:rsid w:val="005D774A"/>
    <w:rsid w:val="005E01EC"/>
    <w:rsid w:val="005E02B9"/>
    <w:rsid w:val="005E166D"/>
    <w:rsid w:val="005E18B6"/>
    <w:rsid w:val="005E1A1F"/>
    <w:rsid w:val="005E1CD7"/>
    <w:rsid w:val="005E227D"/>
    <w:rsid w:val="005E22C7"/>
    <w:rsid w:val="005E23CA"/>
    <w:rsid w:val="005E2624"/>
    <w:rsid w:val="005E2E20"/>
    <w:rsid w:val="005E3BB4"/>
    <w:rsid w:val="005E4D03"/>
    <w:rsid w:val="005E5708"/>
    <w:rsid w:val="005E58F9"/>
    <w:rsid w:val="005E5BE7"/>
    <w:rsid w:val="005E605B"/>
    <w:rsid w:val="005E63D5"/>
    <w:rsid w:val="005E6DE7"/>
    <w:rsid w:val="005E7CBD"/>
    <w:rsid w:val="005E7EAA"/>
    <w:rsid w:val="005F0852"/>
    <w:rsid w:val="005F1128"/>
    <w:rsid w:val="005F12F4"/>
    <w:rsid w:val="005F1356"/>
    <w:rsid w:val="005F1FD1"/>
    <w:rsid w:val="005F278A"/>
    <w:rsid w:val="005F3423"/>
    <w:rsid w:val="005F37E0"/>
    <w:rsid w:val="005F4236"/>
    <w:rsid w:val="005F48C2"/>
    <w:rsid w:val="005F4AB3"/>
    <w:rsid w:val="005F52B4"/>
    <w:rsid w:val="005F5E1D"/>
    <w:rsid w:val="005F6178"/>
    <w:rsid w:val="005F7480"/>
    <w:rsid w:val="005F74AE"/>
    <w:rsid w:val="005F7523"/>
    <w:rsid w:val="005F75BD"/>
    <w:rsid w:val="005F7A3C"/>
    <w:rsid w:val="005F7E43"/>
    <w:rsid w:val="0060035B"/>
    <w:rsid w:val="00600C0D"/>
    <w:rsid w:val="0060140F"/>
    <w:rsid w:val="006017A4"/>
    <w:rsid w:val="00601FAC"/>
    <w:rsid w:val="0060245D"/>
    <w:rsid w:val="00602CBE"/>
    <w:rsid w:val="006037B0"/>
    <w:rsid w:val="00603F9E"/>
    <w:rsid w:val="0060404D"/>
    <w:rsid w:val="006050BD"/>
    <w:rsid w:val="00605434"/>
    <w:rsid w:val="00605B69"/>
    <w:rsid w:val="00605B93"/>
    <w:rsid w:val="00605BF3"/>
    <w:rsid w:val="00606435"/>
    <w:rsid w:val="00607A58"/>
    <w:rsid w:val="00607D80"/>
    <w:rsid w:val="006100F6"/>
    <w:rsid w:val="0061030E"/>
    <w:rsid w:val="006109BE"/>
    <w:rsid w:val="006121A8"/>
    <w:rsid w:val="00612562"/>
    <w:rsid w:val="006128D3"/>
    <w:rsid w:val="006132BB"/>
    <w:rsid w:val="00613D6C"/>
    <w:rsid w:val="00614136"/>
    <w:rsid w:val="00614A1E"/>
    <w:rsid w:val="00615982"/>
    <w:rsid w:val="00615E07"/>
    <w:rsid w:val="00616A5C"/>
    <w:rsid w:val="006173A2"/>
    <w:rsid w:val="0061741F"/>
    <w:rsid w:val="00617EF4"/>
    <w:rsid w:val="0062070F"/>
    <w:rsid w:val="006215A9"/>
    <w:rsid w:val="006218DC"/>
    <w:rsid w:val="00621D99"/>
    <w:rsid w:val="00622B2B"/>
    <w:rsid w:val="00623482"/>
    <w:rsid w:val="00623575"/>
    <w:rsid w:val="00625240"/>
    <w:rsid w:val="006254BD"/>
    <w:rsid w:val="0062557E"/>
    <w:rsid w:val="00625C17"/>
    <w:rsid w:val="00625CC4"/>
    <w:rsid w:val="00626371"/>
    <w:rsid w:val="006266A9"/>
    <w:rsid w:val="0062763D"/>
    <w:rsid w:val="00630200"/>
    <w:rsid w:val="0063055E"/>
    <w:rsid w:val="00630C74"/>
    <w:rsid w:val="0063152F"/>
    <w:rsid w:val="006328C7"/>
    <w:rsid w:val="00632E20"/>
    <w:rsid w:val="00635707"/>
    <w:rsid w:val="00635DF8"/>
    <w:rsid w:val="0063624D"/>
    <w:rsid w:val="00636634"/>
    <w:rsid w:val="00636BD8"/>
    <w:rsid w:val="0063710F"/>
    <w:rsid w:val="00637778"/>
    <w:rsid w:val="006401D7"/>
    <w:rsid w:val="00641019"/>
    <w:rsid w:val="006411DF"/>
    <w:rsid w:val="006418BA"/>
    <w:rsid w:val="0064210E"/>
    <w:rsid w:val="006424D9"/>
    <w:rsid w:val="00642663"/>
    <w:rsid w:val="00643BC0"/>
    <w:rsid w:val="006441F8"/>
    <w:rsid w:val="0064428E"/>
    <w:rsid w:val="006442D0"/>
    <w:rsid w:val="0064452A"/>
    <w:rsid w:val="00644697"/>
    <w:rsid w:val="00644F60"/>
    <w:rsid w:val="006459AC"/>
    <w:rsid w:val="00645D32"/>
    <w:rsid w:val="0064643C"/>
    <w:rsid w:val="00651749"/>
    <w:rsid w:val="00652C9E"/>
    <w:rsid w:val="00652E3B"/>
    <w:rsid w:val="00652FAA"/>
    <w:rsid w:val="00653572"/>
    <w:rsid w:val="0065361E"/>
    <w:rsid w:val="006536B7"/>
    <w:rsid w:val="00653BB4"/>
    <w:rsid w:val="00654455"/>
    <w:rsid w:val="006563EA"/>
    <w:rsid w:val="00656DFB"/>
    <w:rsid w:val="00657866"/>
    <w:rsid w:val="006579E9"/>
    <w:rsid w:val="00657C22"/>
    <w:rsid w:val="00660A52"/>
    <w:rsid w:val="00661406"/>
    <w:rsid w:val="00661DBD"/>
    <w:rsid w:val="0066257A"/>
    <w:rsid w:val="0066333C"/>
    <w:rsid w:val="00663492"/>
    <w:rsid w:val="00663E73"/>
    <w:rsid w:val="0066463D"/>
    <w:rsid w:val="00664CD2"/>
    <w:rsid w:val="00664D2B"/>
    <w:rsid w:val="00664F58"/>
    <w:rsid w:val="0066551E"/>
    <w:rsid w:val="00665A10"/>
    <w:rsid w:val="00665E17"/>
    <w:rsid w:val="0066673B"/>
    <w:rsid w:val="00666BE7"/>
    <w:rsid w:val="00667082"/>
    <w:rsid w:val="00667497"/>
    <w:rsid w:val="00667CE8"/>
    <w:rsid w:val="00670184"/>
    <w:rsid w:val="0067068E"/>
    <w:rsid w:val="00670A1B"/>
    <w:rsid w:val="00670F3E"/>
    <w:rsid w:val="006710A3"/>
    <w:rsid w:val="0067124E"/>
    <w:rsid w:val="006712F1"/>
    <w:rsid w:val="00671C46"/>
    <w:rsid w:val="00672916"/>
    <w:rsid w:val="00672B48"/>
    <w:rsid w:val="00673881"/>
    <w:rsid w:val="00673AF5"/>
    <w:rsid w:val="00673CC0"/>
    <w:rsid w:val="00673CEE"/>
    <w:rsid w:val="006740F3"/>
    <w:rsid w:val="0067574E"/>
    <w:rsid w:val="00675BBB"/>
    <w:rsid w:val="00676480"/>
    <w:rsid w:val="00676C87"/>
    <w:rsid w:val="0067781A"/>
    <w:rsid w:val="0068001E"/>
    <w:rsid w:val="00680658"/>
    <w:rsid w:val="0068142B"/>
    <w:rsid w:val="00681C98"/>
    <w:rsid w:val="00682CD7"/>
    <w:rsid w:val="00683809"/>
    <w:rsid w:val="00683C0E"/>
    <w:rsid w:val="006842E6"/>
    <w:rsid w:val="006847DF"/>
    <w:rsid w:val="00684825"/>
    <w:rsid w:val="006848B5"/>
    <w:rsid w:val="00684A08"/>
    <w:rsid w:val="00684B2B"/>
    <w:rsid w:val="00684CF3"/>
    <w:rsid w:val="00685E8C"/>
    <w:rsid w:val="00686889"/>
    <w:rsid w:val="00686D96"/>
    <w:rsid w:val="00686FF9"/>
    <w:rsid w:val="00687027"/>
    <w:rsid w:val="00687C13"/>
    <w:rsid w:val="00690323"/>
    <w:rsid w:val="00690866"/>
    <w:rsid w:val="00691F6E"/>
    <w:rsid w:val="006923E9"/>
    <w:rsid w:val="00692A70"/>
    <w:rsid w:val="00692BE3"/>
    <w:rsid w:val="00692C1A"/>
    <w:rsid w:val="0069385D"/>
    <w:rsid w:val="00693D27"/>
    <w:rsid w:val="00695B59"/>
    <w:rsid w:val="006963CA"/>
    <w:rsid w:val="006A17C4"/>
    <w:rsid w:val="006A1BEC"/>
    <w:rsid w:val="006A25BD"/>
    <w:rsid w:val="006A32A0"/>
    <w:rsid w:val="006A343D"/>
    <w:rsid w:val="006A3EA2"/>
    <w:rsid w:val="006A5C25"/>
    <w:rsid w:val="006A6156"/>
    <w:rsid w:val="006A69E5"/>
    <w:rsid w:val="006A6D2F"/>
    <w:rsid w:val="006A76C1"/>
    <w:rsid w:val="006A7B00"/>
    <w:rsid w:val="006B09A9"/>
    <w:rsid w:val="006B0F36"/>
    <w:rsid w:val="006B1B1B"/>
    <w:rsid w:val="006B2A8E"/>
    <w:rsid w:val="006B3078"/>
    <w:rsid w:val="006B3782"/>
    <w:rsid w:val="006B3930"/>
    <w:rsid w:val="006B3980"/>
    <w:rsid w:val="006B4824"/>
    <w:rsid w:val="006B4A47"/>
    <w:rsid w:val="006B4B6A"/>
    <w:rsid w:val="006B4F81"/>
    <w:rsid w:val="006B55FE"/>
    <w:rsid w:val="006B567E"/>
    <w:rsid w:val="006B5963"/>
    <w:rsid w:val="006B74B3"/>
    <w:rsid w:val="006B77A0"/>
    <w:rsid w:val="006C0507"/>
    <w:rsid w:val="006C0889"/>
    <w:rsid w:val="006C0AF7"/>
    <w:rsid w:val="006C1490"/>
    <w:rsid w:val="006C1BCC"/>
    <w:rsid w:val="006C1D1D"/>
    <w:rsid w:val="006C1D3E"/>
    <w:rsid w:val="006C2DA2"/>
    <w:rsid w:val="006C40C5"/>
    <w:rsid w:val="006C461C"/>
    <w:rsid w:val="006C6179"/>
    <w:rsid w:val="006C624B"/>
    <w:rsid w:val="006C6DC4"/>
    <w:rsid w:val="006C74FB"/>
    <w:rsid w:val="006C7E25"/>
    <w:rsid w:val="006D0DE7"/>
    <w:rsid w:val="006D18D6"/>
    <w:rsid w:val="006D2659"/>
    <w:rsid w:val="006D285A"/>
    <w:rsid w:val="006D28D8"/>
    <w:rsid w:val="006D2CF1"/>
    <w:rsid w:val="006D3597"/>
    <w:rsid w:val="006D3DB2"/>
    <w:rsid w:val="006D3F78"/>
    <w:rsid w:val="006D6862"/>
    <w:rsid w:val="006D69B8"/>
    <w:rsid w:val="006D6BAC"/>
    <w:rsid w:val="006D6DCF"/>
    <w:rsid w:val="006D71B0"/>
    <w:rsid w:val="006D7645"/>
    <w:rsid w:val="006D769D"/>
    <w:rsid w:val="006D76C5"/>
    <w:rsid w:val="006D795D"/>
    <w:rsid w:val="006E1A42"/>
    <w:rsid w:val="006E1EB0"/>
    <w:rsid w:val="006E239A"/>
    <w:rsid w:val="006E2B96"/>
    <w:rsid w:val="006E2FEC"/>
    <w:rsid w:val="006E3498"/>
    <w:rsid w:val="006E43DA"/>
    <w:rsid w:val="006E52E9"/>
    <w:rsid w:val="006E54E3"/>
    <w:rsid w:val="006E5795"/>
    <w:rsid w:val="006E5B77"/>
    <w:rsid w:val="006E64EC"/>
    <w:rsid w:val="006E6848"/>
    <w:rsid w:val="006E7954"/>
    <w:rsid w:val="006F00DE"/>
    <w:rsid w:val="006F0139"/>
    <w:rsid w:val="006F0468"/>
    <w:rsid w:val="006F04BE"/>
    <w:rsid w:val="006F053F"/>
    <w:rsid w:val="006F0577"/>
    <w:rsid w:val="006F12D6"/>
    <w:rsid w:val="006F140B"/>
    <w:rsid w:val="006F1549"/>
    <w:rsid w:val="006F1679"/>
    <w:rsid w:val="006F1704"/>
    <w:rsid w:val="006F1AE3"/>
    <w:rsid w:val="006F214D"/>
    <w:rsid w:val="006F21D0"/>
    <w:rsid w:val="006F2D02"/>
    <w:rsid w:val="006F3444"/>
    <w:rsid w:val="006F3DEA"/>
    <w:rsid w:val="006F4619"/>
    <w:rsid w:val="006F4819"/>
    <w:rsid w:val="006F62D0"/>
    <w:rsid w:val="006F6313"/>
    <w:rsid w:val="006F6C27"/>
    <w:rsid w:val="006F71BF"/>
    <w:rsid w:val="006F750F"/>
    <w:rsid w:val="006F77B4"/>
    <w:rsid w:val="006F7C42"/>
    <w:rsid w:val="00700151"/>
    <w:rsid w:val="00700AC2"/>
    <w:rsid w:val="007017B9"/>
    <w:rsid w:val="00701834"/>
    <w:rsid w:val="00701F00"/>
    <w:rsid w:val="00702A34"/>
    <w:rsid w:val="00702AED"/>
    <w:rsid w:val="0070391E"/>
    <w:rsid w:val="007043D8"/>
    <w:rsid w:val="00705CC0"/>
    <w:rsid w:val="00706330"/>
    <w:rsid w:val="0070649E"/>
    <w:rsid w:val="00706554"/>
    <w:rsid w:val="007069D2"/>
    <w:rsid w:val="00707468"/>
    <w:rsid w:val="00707C0E"/>
    <w:rsid w:val="00707E96"/>
    <w:rsid w:val="007114DB"/>
    <w:rsid w:val="007117D2"/>
    <w:rsid w:val="00711E70"/>
    <w:rsid w:val="007131B9"/>
    <w:rsid w:val="00714375"/>
    <w:rsid w:val="00714655"/>
    <w:rsid w:val="0071477F"/>
    <w:rsid w:val="00714956"/>
    <w:rsid w:val="00714B16"/>
    <w:rsid w:val="00714C34"/>
    <w:rsid w:val="007167A2"/>
    <w:rsid w:val="00716C48"/>
    <w:rsid w:val="00716CA6"/>
    <w:rsid w:val="00716EF2"/>
    <w:rsid w:val="007172C5"/>
    <w:rsid w:val="00717858"/>
    <w:rsid w:val="007201EB"/>
    <w:rsid w:val="00720666"/>
    <w:rsid w:val="007207A7"/>
    <w:rsid w:val="00721389"/>
    <w:rsid w:val="0072194E"/>
    <w:rsid w:val="0072242F"/>
    <w:rsid w:val="00723019"/>
    <w:rsid w:val="00723B69"/>
    <w:rsid w:val="00723E36"/>
    <w:rsid w:val="00723F8D"/>
    <w:rsid w:val="00724828"/>
    <w:rsid w:val="00724DEA"/>
    <w:rsid w:val="00725377"/>
    <w:rsid w:val="0072581F"/>
    <w:rsid w:val="0072680D"/>
    <w:rsid w:val="007269B3"/>
    <w:rsid w:val="00726CE8"/>
    <w:rsid w:val="0072705E"/>
    <w:rsid w:val="00727E51"/>
    <w:rsid w:val="00730E4A"/>
    <w:rsid w:val="00731388"/>
    <w:rsid w:val="00732213"/>
    <w:rsid w:val="00732D3C"/>
    <w:rsid w:val="007335D4"/>
    <w:rsid w:val="007336E3"/>
    <w:rsid w:val="0073394C"/>
    <w:rsid w:val="007342CD"/>
    <w:rsid w:val="00735008"/>
    <w:rsid w:val="00735775"/>
    <w:rsid w:val="00736C8D"/>
    <w:rsid w:val="00736E71"/>
    <w:rsid w:val="00737321"/>
    <w:rsid w:val="00737BE0"/>
    <w:rsid w:val="00740642"/>
    <w:rsid w:val="00740787"/>
    <w:rsid w:val="007415CB"/>
    <w:rsid w:val="00742706"/>
    <w:rsid w:val="00743BDE"/>
    <w:rsid w:val="007441CA"/>
    <w:rsid w:val="00744CA1"/>
    <w:rsid w:val="00745600"/>
    <w:rsid w:val="00745690"/>
    <w:rsid w:val="00745FAA"/>
    <w:rsid w:val="007466EA"/>
    <w:rsid w:val="00746B4E"/>
    <w:rsid w:val="00746C46"/>
    <w:rsid w:val="00746D4C"/>
    <w:rsid w:val="00746E28"/>
    <w:rsid w:val="00746FDE"/>
    <w:rsid w:val="00747992"/>
    <w:rsid w:val="0075034D"/>
    <w:rsid w:val="00750C1A"/>
    <w:rsid w:val="007518E2"/>
    <w:rsid w:val="0075193C"/>
    <w:rsid w:val="00751F5E"/>
    <w:rsid w:val="007527B8"/>
    <w:rsid w:val="00752DF5"/>
    <w:rsid w:val="007532AA"/>
    <w:rsid w:val="007533AC"/>
    <w:rsid w:val="0075391F"/>
    <w:rsid w:val="00753DE9"/>
    <w:rsid w:val="00755F36"/>
    <w:rsid w:val="007562FF"/>
    <w:rsid w:val="00756EB0"/>
    <w:rsid w:val="00760262"/>
    <w:rsid w:val="007608A4"/>
    <w:rsid w:val="007609EE"/>
    <w:rsid w:val="00761187"/>
    <w:rsid w:val="007614D2"/>
    <w:rsid w:val="00761B7C"/>
    <w:rsid w:val="007625E5"/>
    <w:rsid w:val="0076285B"/>
    <w:rsid w:val="007632B0"/>
    <w:rsid w:val="0076482E"/>
    <w:rsid w:val="00764A16"/>
    <w:rsid w:val="00764F59"/>
    <w:rsid w:val="007672E5"/>
    <w:rsid w:val="0077010E"/>
    <w:rsid w:val="0077042E"/>
    <w:rsid w:val="00770687"/>
    <w:rsid w:val="007718D7"/>
    <w:rsid w:val="00771A24"/>
    <w:rsid w:val="007728E1"/>
    <w:rsid w:val="00772A5A"/>
    <w:rsid w:val="00772B21"/>
    <w:rsid w:val="00772F8F"/>
    <w:rsid w:val="00773238"/>
    <w:rsid w:val="007737E4"/>
    <w:rsid w:val="007738AA"/>
    <w:rsid w:val="00773C88"/>
    <w:rsid w:val="007745FB"/>
    <w:rsid w:val="0077469A"/>
    <w:rsid w:val="00774AF4"/>
    <w:rsid w:val="0077507C"/>
    <w:rsid w:val="007750EC"/>
    <w:rsid w:val="00775767"/>
    <w:rsid w:val="007757F4"/>
    <w:rsid w:val="00775E38"/>
    <w:rsid w:val="00777290"/>
    <w:rsid w:val="00777565"/>
    <w:rsid w:val="007775BD"/>
    <w:rsid w:val="00777738"/>
    <w:rsid w:val="007802D1"/>
    <w:rsid w:val="00781D0B"/>
    <w:rsid w:val="007823B6"/>
    <w:rsid w:val="007823FB"/>
    <w:rsid w:val="00783AF8"/>
    <w:rsid w:val="00784144"/>
    <w:rsid w:val="007843E5"/>
    <w:rsid w:val="00785207"/>
    <w:rsid w:val="00786169"/>
    <w:rsid w:val="00786FCE"/>
    <w:rsid w:val="007872FA"/>
    <w:rsid w:val="00791E79"/>
    <w:rsid w:val="007922C2"/>
    <w:rsid w:val="00792692"/>
    <w:rsid w:val="00792820"/>
    <w:rsid w:val="00793613"/>
    <w:rsid w:val="00794C51"/>
    <w:rsid w:val="00794D91"/>
    <w:rsid w:val="007951E8"/>
    <w:rsid w:val="0079529A"/>
    <w:rsid w:val="00795CF4"/>
    <w:rsid w:val="00795EBA"/>
    <w:rsid w:val="00796D9F"/>
    <w:rsid w:val="00797B64"/>
    <w:rsid w:val="007A0936"/>
    <w:rsid w:val="007A0C69"/>
    <w:rsid w:val="007A13A3"/>
    <w:rsid w:val="007A1CA5"/>
    <w:rsid w:val="007A3B09"/>
    <w:rsid w:val="007A3E31"/>
    <w:rsid w:val="007A403B"/>
    <w:rsid w:val="007A4E4B"/>
    <w:rsid w:val="007A5C8D"/>
    <w:rsid w:val="007A612E"/>
    <w:rsid w:val="007A61E1"/>
    <w:rsid w:val="007A6DED"/>
    <w:rsid w:val="007A75C6"/>
    <w:rsid w:val="007B007D"/>
    <w:rsid w:val="007B15BE"/>
    <w:rsid w:val="007B16A8"/>
    <w:rsid w:val="007B1DF7"/>
    <w:rsid w:val="007B39BC"/>
    <w:rsid w:val="007B3C27"/>
    <w:rsid w:val="007B3DD6"/>
    <w:rsid w:val="007B4885"/>
    <w:rsid w:val="007B4B3F"/>
    <w:rsid w:val="007B5DB4"/>
    <w:rsid w:val="007B65CE"/>
    <w:rsid w:val="007B6652"/>
    <w:rsid w:val="007B6CFD"/>
    <w:rsid w:val="007B7C23"/>
    <w:rsid w:val="007C0E3E"/>
    <w:rsid w:val="007C137A"/>
    <w:rsid w:val="007C1732"/>
    <w:rsid w:val="007C18C7"/>
    <w:rsid w:val="007C1F31"/>
    <w:rsid w:val="007C2E08"/>
    <w:rsid w:val="007C35E2"/>
    <w:rsid w:val="007C3DB7"/>
    <w:rsid w:val="007C4005"/>
    <w:rsid w:val="007C415F"/>
    <w:rsid w:val="007C4597"/>
    <w:rsid w:val="007C48AB"/>
    <w:rsid w:val="007C519C"/>
    <w:rsid w:val="007C53A2"/>
    <w:rsid w:val="007C55DF"/>
    <w:rsid w:val="007C6B6F"/>
    <w:rsid w:val="007C7A85"/>
    <w:rsid w:val="007C7C0A"/>
    <w:rsid w:val="007C7D37"/>
    <w:rsid w:val="007D024A"/>
    <w:rsid w:val="007D1751"/>
    <w:rsid w:val="007D1909"/>
    <w:rsid w:val="007D1EA8"/>
    <w:rsid w:val="007D20B5"/>
    <w:rsid w:val="007D249C"/>
    <w:rsid w:val="007D2540"/>
    <w:rsid w:val="007D32CC"/>
    <w:rsid w:val="007D33BE"/>
    <w:rsid w:val="007D3B7A"/>
    <w:rsid w:val="007D5266"/>
    <w:rsid w:val="007D56A5"/>
    <w:rsid w:val="007D6592"/>
    <w:rsid w:val="007D665A"/>
    <w:rsid w:val="007D66F8"/>
    <w:rsid w:val="007D6817"/>
    <w:rsid w:val="007D7F8D"/>
    <w:rsid w:val="007D7FC5"/>
    <w:rsid w:val="007E1088"/>
    <w:rsid w:val="007E13EB"/>
    <w:rsid w:val="007E150D"/>
    <w:rsid w:val="007E1A55"/>
    <w:rsid w:val="007E20BB"/>
    <w:rsid w:val="007E25B6"/>
    <w:rsid w:val="007E26A6"/>
    <w:rsid w:val="007E3110"/>
    <w:rsid w:val="007E31B8"/>
    <w:rsid w:val="007E31BC"/>
    <w:rsid w:val="007E32CE"/>
    <w:rsid w:val="007E41DA"/>
    <w:rsid w:val="007E42A7"/>
    <w:rsid w:val="007E51C2"/>
    <w:rsid w:val="007E6903"/>
    <w:rsid w:val="007E7556"/>
    <w:rsid w:val="007E7BB9"/>
    <w:rsid w:val="007E7D3A"/>
    <w:rsid w:val="007F039B"/>
    <w:rsid w:val="007F03B3"/>
    <w:rsid w:val="007F04EF"/>
    <w:rsid w:val="007F07EB"/>
    <w:rsid w:val="007F0EC1"/>
    <w:rsid w:val="007F1555"/>
    <w:rsid w:val="007F21A2"/>
    <w:rsid w:val="007F2201"/>
    <w:rsid w:val="007F2314"/>
    <w:rsid w:val="007F2552"/>
    <w:rsid w:val="007F2C8F"/>
    <w:rsid w:val="007F32F0"/>
    <w:rsid w:val="007F359F"/>
    <w:rsid w:val="007F383A"/>
    <w:rsid w:val="007F4121"/>
    <w:rsid w:val="007F4134"/>
    <w:rsid w:val="007F6078"/>
    <w:rsid w:val="007F61D7"/>
    <w:rsid w:val="007F6FD0"/>
    <w:rsid w:val="007F76BA"/>
    <w:rsid w:val="007F7DBC"/>
    <w:rsid w:val="00800A48"/>
    <w:rsid w:val="008022D9"/>
    <w:rsid w:val="00802B6F"/>
    <w:rsid w:val="00802F28"/>
    <w:rsid w:val="0080414A"/>
    <w:rsid w:val="00804175"/>
    <w:rsid w:val="008041D0"/>
    <w:rsid w:val="008042E8"/>
    <w:rsid w:val="00804559"/>
    <w:rsid w:val="00804E9C"/>
    <w:rsid w:val="0080639D"/>
    <w:rsid w:val="008067E5"/>
    <w:rsid w:val="008072FF"/>
    <w:rsid w:val="0081001B"/>
    <w:rsid w:val="00810EF3"/>
    <w:rsid w:val="00811454"/>
    <w:rsid w:val="0081157B"/>
    <w:rsid w:val="00812613"/>
    <w:rsid w:val="00812A95"/>
    <w:rsid w:val="00812D69"/>
    <w:rsid w:val="008134ED"/>
    <w:rsid w:val="0081381E"/>
    <w:rsid w:val="00813C5E"/>
    <w:rsid w:val="00813E39"/>
    <w:rsid w:val="00815833"/>
    <w:rsid w:val="00815EA1"/>
    <w:rsid w:val="00816287"/>
    <w:rsid w:val="008167DD"/>
    <w:rsid w:val="00816AB2"/>
    <w:rsid w:val="008173F6"/>
    <w:rsid w:val="008174A5"/>
    <w:rsid w:val="00817738"/>
    <w:rsid w:val="00817875"/>
    <w:rsid w:val="00817E3F"/>
    <w:rsid w:val="00817F78"/>
    <w:rsid w:val="00820857"/>
    <w:rsid w:val="008212C0"/>
    <w:rsid w:val="00821652"/>
    <w:rsid w:val="008218F8"/>
    <w:rsid w:val="00822032"/>
    <w:rsid w:val="008228C2"/>
    <w:rsid w:val="0082340F"/>
    <w:rsid w:val="0082364D"/>
    <w:rsid w:val="0082400B"/>
    <w:rsid w:val="008240D2"/>
    <w:rsid w:val="008248CC"/>
    <w:rsid w:val="00825004"/>
    <w:rsid w:val="0082508D"/>
    <w:rsid w:val="00825C2D"/>
    <w:rsid w:val="0082600F"/>
    <w:rsid w:val="0082611E"/>
    <w:rsid w:val="00826583"/>
    <w:rsid w:val="00826861"/>
    <w:rsid w:val="00826C39"/>
    <w:rsid w:val="008275D2"/>
    <w:rsid w:val="00827672"/>
    <w:rsid w:val="00830DD2"/>
    <w:rsid w:val="0083111D"/>
    <w:rsid w:val="00831B0D"/>
    <w:rsid w:val="00831BAB"/>
    <w:rsid w:val="00832764"/>
    <w:rsid w:val="008334FB"/>
    <w:rsid w:val="00834191"/>
    <w:rsid w:val="00834C44"/>
    <w:rsid w:val="008362B3"/>
    <w:rsid w:val="008368B8"/>
    <w:rsid w:val="0083699E"/>
    <w:rsid w:val="00837052"/>
    <w:rsid w:val="0083754D"/>
    <w:rsid w:val="008376F6"/>
    <w:rsid w:val="00837C9E"/>
    <w:rsid w:val="00837D29"/>
    <w:rsid w:val="00837FD5"/>
    <w:rsid w:val="00840DA8"/>
    <w:rsid w:val="0084127C"/>
    <w:rsid w:val="00841331"/>
    <w:rsid w:val="008414BE"/>
    <w:rsid w:val="0084163E"/>
    <w:rsid w:val="0084197D"/>
    <w:rsid w:val="00841C33"/>
    <w:rsid w:val="00842009"/>
    <w:rsid w:val="008423E7"/>
    <w:rsid w:val="00843106"/>
    <w:rsid w:val="008438C8"/>
    <w:rsid w:val="00843925"/>
    <w:rsid w:val="00843D37"/>
    <w:rsid w:val="008448A5"/>
    <w:rsid w:val="008450D4"/>
    <w:rsid w:val="008453D0"/>
    <w:rsid w:val="00845C37"/>
    <w:rsid w:val="00845CCC"/>
    <w:rsid w:val="008476D5"/>
    <w:rsid w:val="008478E8"/>
    <w:rsid w:val="00850F17"/>
    <w:rsid w:val="00851C26"/>
    <w:rsid w:val="00851C9A"/>
    <w:rsid w:val="00852072"/>
    <w:rsid w:val="008525DC"/>
    <w:rsid w:val="0085291F"/>
    <w:rsid w:val="00854B01"/>
    <w:rsid w:val="00854CAB"/>
    <w:rsid w:val="008559A2"/>
    <w:rsid w:val="00855D7A"/>
    <w:rsid w:val="00857290"/>
    <w:rsid w:val="008573BD"/>
    <w:rsid w:val="008576B7"/>
    <w:rsid w:val="008576D4"/>
    <w:rsid w:val="0085793C"/>
    <w:rsid w:val="008579BA"/>
    <w:rsid w:val="008603D7"/>
    <w:rsid w:val="008604EB"/>
    <w:rsid w:val="008608E1"/>
    <w:rsid w:val="00860B8E"/>
    <w:rsid w:val="00860F99"/>
    <w:rsid w:val="008611C5"/>
    <w:rsid w:val="0086152E"/>
    <w:rsid w:val="00863005"/>
    <w:rsid w:val="008636A5"/>
    <w:rsid w:val="00863ACD"/>
    <w:rsid w:val="00863E05"/>
    <w:rsid w:val="00863EED"/>
    <w:rsid w:val="008648F7"/>
    <w:rsid w:val="00864BA9"/>
    <w:rsid w:val="008653AE"/>
    <w:rsid w:val="008658CF"/>
    <w:rsid w:val="00866693"/>
    <w:rsid w:val="00867985"/>
    <w:rsid w:val="0087033A"/>
    <w:rsid w:val="008708DA"/>
    <w:rsid w:val="008717B6"/>
    <w:rsid w:val="008717E8"/>
    <w:rsid w:val="008718B0"/>
    <w:rsid w:val="00871C5C"/>
    <w:rsid w:val="00872191"/>
    <w:rsid w:val="00872526"/>
    <w:rsid w:val="00872BAB"/>
    <w:rsid w:val="0087384D"/>
    <w:rsid w:val="00874543"/>
    <w:rsid w:val="00875729"/>
    <w:rsid w:val="00876625"/>
    <w:rsid w:val="008766DB"/>
    <w:rsid w:val="008770C5"/>
    <w:rsid w:val="00880DA1"/>
    <w:rsid w:val="0088118D"/>
    <w:rsid w:val="00881CBB"/>
    <w:rsid w:val="00882D22"/>
    <w:rsid w:val="00882FE8"/>
    <w:rsid w:val="0088336B"/>
    <w:rsid w:val="00884016"/>
    <w:rsid w:val="00884145"/>
    <w:rsid w:val="008852B9"/>
    <w:rsid w:val="00885708"/>
    <w:rsid w:val="00885FAF"/>
    <w:rsid w:val="008864CD"/>
    <w:rsid w:val="00886AEB"/>
    <w:rsid w:val="00886F6A"/>
    <w:rsid w:val="0088731C"/>
    <w:rsid w:val="00887400"/>
    <w:rsid w:val="008909F2"/>
    <w:rsid w:val="00890C74"/>
    <w:rsid w:val="00890D5C"/>
    <w:rsid w:val="00891445"/>
    <w:rsid w:val="00891DF1"/>
    <w:rsid w:val="008924E5"/>
    <w:rsid w:val="008930B7"/>
    <w:rsid w:val="00893F32"/>
    <w:rsid w:val="0089479C"/>
    <w:rsid w:val="008948DE"/>
    <w:rsid w:val="0089572B"/>
    <w:rsid w:val="008972D9"/>
    <w:rsid w:val="008975C9"/>
    <w:rsid w:val="008A0051"/>
    <w:rsid w:val="008A03E3"/>
    <w:rsid w:val="008A0485"/>
    <w:rsid w:val="008A14AB"/>
    <w:rsid w:val="008A5685"/>
    <w:rsid w:val="008A657E"/>
    <w:rsid w:val="008A6AFE"/>
    <w:rsid w:val="008A7964"/>
    <w:rsid w:val="008A7D9D"/>
    <w:rsid w:val="008B04CC"/>
    <w:rsid w:val="008B081E"/>
    <w:rsid w:val="008B08C4"/>
    <w:rsid w:val="008B0946"/>
    <w:rsid w:val="008B09D2"/>
    <w:rsid w:val="008B0DA4"/>
    <w:rsid w:val="008B1122"/>
    <w:rsid w:val="008B13A5"/>
    <w:rsid w:val="008B1CB1"/>
    <w:rsid w:val="008B2113"/>
    <w:rsid w:val="008B2250"/>
    <w:rsid w:val="008B367E"/>
    <w:rsid w:val="008B38C7"/>
    <w:rsid w:val="008B3E15"/>
    <w:rsid w:val="008B51BC"/>
    <w:rsid w:val="008B5597"/>
    <w:rsid w:val="008B63EC"/>
    <w:rsid w:val="008B67A3"/>
    <w:rsid w:val="008B6E0D"/>
    <w:rsid w:val="008B72A7"/>
    <w:rsid w:val="008B7374"/>
    <w:rsid w:val="008B7795"/>
    <w:rsid w:val="008B783A"/>
    <w:rsid w:val="008B7A46"/>
    <w:rsid w:val="008B7E5F"/>
    <w:rsid w:val="008C0F93"/>
    <w:rsid w:val="008C16AB"/>
    <w:rsid w:val="008C1A0A"/>
    <w:rsid w:val="008C230F"/>
    <w:rsid w:val="008C47D9"/>
    <w:rsid w:val="008C48AF"/>
    <w:rsid w:val="008C48C7"/>
    <w:rsid w:val="008C49D5"/>
    <w:rsid w:val="008C4A5F"/>
    <w:rsid w:val="008C5C68"/>
    <w:rsid w:val="008C69AF"/>
    <w:rsid w:val="008C6F67"/>
    <w:rsid w:val="008C7661"/>
    <w:rsid w:val="008C766F"/>
    <w:rsid w:val="008C7844"/>
    <w:rsid w:val="008D00E7"/>
    <w:rsid w:val="008D113C"/>
    <w:rsid w:val="008D11C4"/>
    <w:rsid w:val="008D2F80"/>
    <w:rsid w:val="008D3BB2"/>
    <w:rsid w:val="008D3EF1"/>
    <w:rsid w:val="008D5EB5"/>
    <w:rsid w:val="008D5F5A"/>
    <w:rsid w:val="008D76BD"/>
    <w:rsid w:val="008D7978"/>
    <w:rsid w:val="008E04C6"/>
    <w:rsid w:val="008E087F"/>
    <w:rsid w:val="008E10FB"/>
    <w:rsid w:val="008E1451"/>
    <w:rsid w:val="008E16CE"/>
    <w:rsid w:val="008E247E"/>
    <w:rsid w:val="008E4433"/>
    <w:rsid w:val="008E557F"/>
    <w:rsid w:val="008E72D9"/>
    <w:rsid w:val="008E7994"/>
    <w:rsid w:val="008E7A0F"/>
    <w:rsid w:val="008E7B94"/>
    <w:rsid w:val="008F1C09"/>
    <w:rsid w:val="008F1C16"/>
    <w:rsid w:val="008F1F8F"/>
    <w:rsid w:val="008F2687"/>
    <w:rsid w:val="008F302B"/>
    <w:rsid w:val="008F3217"/>
    <w:rsid w:val="008F32C4"/>
    <w:rsid w:val="008F34C0"/>
    <w:rsid w:val="008F4072"/>
    <w:rsid w:val="008F4EE3"/>
    <w:rsid w:val="008F5325"/>
    <w:rsid w:val="008F55B0"/>
    <w:rsid w:val="008F5CF9"/>
    <w:rsid w:val="008F5EB9"/>
    <w:rsid w:val="008F688E"/>
    <w:rsid w:val="008F68AA"/>
    <w:rsid w:val="008F6DEE"/>
    <w:rsid w:val="008F7059"/>
    <w:rsid w:val="008F78EB"/>
    <w:rsid w:val="008F7AB7"/>
    <w:rsid w:val="00900081"/>
    <w:rsid w:val="0090028F"/>
    <w:rsid w:val="0090066C"/>
    <w:rsid w:val="009010C9"/>
    <w:rsid w:val="009016D5"/>
    <w:rsid w:val="00901777"/>
    <w:rsid w:val="00901C99"/>
    <w:rsid w:val="00903615"/>
    <w:rsid w:val="00904603"/>
    <w:rsid w:val="009056EB"/>
    <w:rsid w:val="009079B1"/>
    <w:rsid w:val="009105DB"/>
    <w:rsid w:val="00910760"/>
    <w:rsid w:val="009112ED"/>
    <w:rsid w:val="009120EA"/>
    <w:rsid w:val="0091264D"/>
    <w:rsid w:val="0091290C"/>
    <w:rsid w:val="00912EE8"/>
    <w:rsid w:val="0091338A"/>
    <w:rsid w:val="0091346F"/>
    <w:rsid w:val="00913995"/>
    <w:rsid w:val="00913E26"/>
    <w:rsid w:val="0091423E"/>
    <w:rsid w:val="00914260"/>
    <w:rsid w:val="009170A1"/>
    <w:rsid w:val="00917ADB"/>
    <w:rsid w:val="00921115"/>
    <w:rsid w:val="0092252C"/>
    <w:rsid w:val="00922C30"/>
    <w:rsid w:val="00922C48"/>
    <w:rsid w:val="0092477B"/>
    <w:rsid w:val="0092570B"/>
    <w:rsid w:val="009264AF"/>
    <w:rsid w:val="009266CF"/>
    <w:rsid w:val="00926E52"/>
    <w:rsid w:val="00930629"/>
    <w:rsid w:val="00930B4F"/>
    <w:rsid w:val="009324EE"/>
    <w:rsid w:val="00933C75"/>
    <w:rsid w:val="00933D38"/>
    <w:rsid w:val="00934272"/>
    <w:rsid w:val="00934569"/>
    <w:rsid w:val="00934C16"/>
    <w:rsid w:val="009356D2"/>
    <w:rsid w:val="00936332"/>
    <w:rsid w:val="00937C20"/>
    <w:rsid w:val="009405F7"/>
    <w:rsid w:val="009410D3"/>
    <w:rsid w:val="0094127C"/>
    <w:rsid w:val="009432FA"/>
    <w:rsid w:val="0094364A"/>
    <w:rsid w:val="0094574E"/>
    <w:rsid w:val="00945778"/>
    <w:rsid w:val="00945EA5"/>
    <w:rsid w:val="009460BC"/>
    <w:rsid w:val="009466F3"/>
    <w:rsid w:val="00946DEE"/>
    <w:rsid w:val="00947C64"/>
    <w:rsid w:val="00947DFC"/>
    <w:rsid w:val="009507DD"/>
    <w:rsid w:val="00950C21"/>
    <w:rsid w:val="0095101C"/>
    <w:rsid w:val="00951360"/>
    <w:rsid w:val="00952435"/>
    <w:rsid w:val="00952787"/>
    <w:rsid w:val="00952E0C"/>
    <w:rsid w:val="009530FC"/>
    <w:rsid w:val="00953D0C"/>
    <w:rsid w:val="00953FDC"/>
    <w:rsid w:val="00954297"/>
    <w:rsid w:val="0095474B"/>
    <w:rsid w:val="00954DDB"/>
    <w:rsid w:val="00956F4D"/>
    <w:rsid w:val="00957C17"/>
    <w:rsid w:val="00957C9B"/>
    <w:rsid w:val="0096016E"/>
    <w:rsid w:val="009604B7"/>
    <w:rsid w:val="00960724"/>
    <w:rsid w:val="009615E9"/>
    <w:rsid w:val="00961CFE"/>
    <w:rsid w:val="00962108"/>
    <w:rsid w:val="0096252B"/>
    <w:rsid w:val="00962B47"/>
    <w:rsid w:val="00962C5E"/>
    <w:rsid w:val="00963AEF"/>
    <w:rsid w:val="009648FA"/>
    <w:rsid w:val="009648FF"/>
    <w:rsid w:val="00964E5A"/>
    <w:rsid w:val="0096545A"/>
    <w:rsid w:val="00966C3F"/>
    <w:rsid w:val="009679A8"/>
    <w:rsid w:val="00970B1A"/>
    <w:rsid w:val="00971B7D"/>
    <w:rsid w:val="00972613"/>
    <w:rsid w:val="00972A41"/>
    <w:rsid w:val="00972A61"/>
    <w:rsid w:val="00972CFE"/>
    <w:rsid w:val="0097316A"/>
    <w:rsid w:val="009734F0"/>
    <w:rsid w:val="0097382A"/>
    <w:rsid w:val="00973A0F"/>
    <w:rsid w:val="009740E9"/>
    <w:rsid w:val="0097435A"/>
    <w:rsid w:val="00974BDE"/>
    <w:rsid w:val="00974F48"/>
    <w:rsid w:val="0097518F"/>
    <w:rsid w:val="0097567E"/>
    <w:rsid w:val="00975A12"/>
    <w:rsid w:val="00977337"/>
    <w:rsid w:val="00977CE7"/>
    <w:rsid w:val="00977DAC"/>
    <w:rsid w:val="00980E24"/>
    <w:rsid w:val="00981570"/>
    <w:rsid w:val="009825E9"/>
    <w:rsid w:val="00982B46"/>
    <w:rsid w:val="00983107"/>
    <w:rsid w:val="00983170"/>
    <w:rsid w:val="00983224"/>
    <w:rsid w:val="00985337"/>
    <w:rsid w:val="00986C5E"/>
    <w:rsid w:val="00987794"/>
    <w:rsid w:val="009878CB"/>
    <w:rsid w:val="00987E6D"/>
    <w:rsid w:val="009903CE"/>
    <w:rsid w:val="00990746"/>
    <w:rsid w:val="009908A0"/>
    <w:rsid w:val="009908A3"/>
    <w:rsid w:val="0099092E"/>
    <w:rsid w:val="00991825"/>
    <w:rsid w:val="00991F1C"/>
    <w:rsid w:val="009929DC"/>
    <w:rsid w:val="0099310C"/>
    <w:rsid w:val="00993599"/>
    <w:rsid w:val="0099376F"/>
    <w:rsid w:val="00993932"/>
    <w:rsid w:val="00993B20"/>
    <w:rsid w:val="009944D1"/>
    <w:rsid w:val="00994AF9"/>
    <w:rsid w:val="00994B79"/>
    <w:rsid w:val="00994FE9"/>
    <w:rsid w:val="009970C9"/>
    <w:rsid w:val="0099789F"/>
    <w:rsid w:val="00997CE1"/>
    <w:rsid w:val="009A0BA2"/>
    <w:rsid w:val="009A1899"/>
    <w:rsid w:val="009A1A41"/>
    <w:rsid w:val="009A1C4E"/>
    <w:rsid w:val="009A2020"/>
    <w:rsid w:val="009A24C9"/>
    <w:rsid w:val="009A28B5"/>
    <w:rsid w:val="009A2F21"/>
    <w:rsid w:val="009A32BE"/>
    <w:rsid w:val="009A33F4"/>
    <w:rsid w:val="009A3465"/>
    <w:rsid w:val="009A4454"/>
    <w:rsid w:val="009A4AFF"/>
    <w:rsid w:val="009A4DC9"/>
    <w:rsid w:val="009A5167"/>
    <w:rsid w:val="009A58ED"/>
    <w:rsid w:val="009A5DD1"/>
    <w:rsid w:val="009A62DD"/>
    <w:rsid w:val="009A66F1"/>
    <w:rsid w:val="009A681F"/>
    <w:rsid w:val="009A6F66"/>
    <w:rsid w:val="009A73A4"/>
    <w:rsid w:val="009A73AE"/>
    <w:rsid w:val="009A749C"/>
    <w:rsid w:val="009A785E"/>
    <w:rsid w:val="009A7C25"/>
    <w:rsid w:val="009B0A51"/>
    <w:rsid w:val="009B0F71"/>
    <w:rsid w:val="009B1005"/>
    <w:rsid w:val="009B1AA0"/>
    <w:rsid w:val="009B1F4B"/>
    <w:rsid w:val="009B24B5"/>
    <w:rsid w:val="009B453B"/>
    <w:rsid w:val="009B57FC"/>
    <w:rsid w:val="009B61F9"/>
    <w:rsid w:val="009B6BB2"/>
    <w:rsid w:val="009B722E"/>
    <w:rsid w:val="009B7BC4"/>
    <w:rsid w:val="009B7CD9"/>
    <w:rsid w:val="009B7E75"/>
    <w:rsid w:val="009C14E2"/>
    <w:rsid w:val="009C1640"/>
    <w:rsid w:val="009C2D79"/>
    <w:rsid w:val="009C4160"/>
    <w:rsid w:val="009C4A23"/>
    <w:rsid w:val="009C4EE5"/>
    <w:rsid w:val="009C5D71"/>
    <w:rsid w:val="009C5E48"/>
    <w:rsid w:val="009C61B9"/>
    <w:rsid w:val="009C6500"/>
    <w:rsid w:val="009C6DDB"/>
    <w:rsid w:val="009C6E0A"/>
    <w:rsid w:val="009C6EB3"/>
    <w:rsid w:val="009C6FB6"/>
    <w:rsid w:val="009C7AF7"/>
    <w:rsid w:val="009D02C8"/>
    <w:rsid w:val="009D137D"/>
    <w:rsid w:val="009D1380"/>
    <w:rsid w:val="009D1391"/>
    <w:rsid w:val="009D1C45"/>
    <w:rsid w:val="009D255C"/>
    <w:rsid w:val="009D35D5"/>
    <w:rsid w:val="009D3B88"/>
    <w:rsid w:val="009D3D18"/>
    <w:rsid w:val="009D496C"/>
    <w:rsid w:val="009D4F28"/>
    <w:rsid w:val="009D51B9"/>
    <w:rsid w:val="009D5467"/>
    <w:rsid w:val="009D56C3"/>
    <w:rsid w:val="009D637A"/>
    <w:rsid w:val="009D6CFB"/>
    <w:rsid w:val="009D7AE6"/>
    <w:rsid w:val="009E03E6"/>
    <w:rsid w:val="009E08DE"/>
    <w:rsid w:val="009E0B4D"/>
    <w:rsid w:val="009E148D"/>
    <w:rsid w:val="009E1640"/>
    <w:rsid w:val="009E2144"/>
    <w:rsid w:val="009E47A8"/>
    <w:rsid w:val="009E6A29"/>
    <w:rsid w:val="009E6BE6"/>
    <w:rsid w:val="009E71D1"/>
    <w:rsid w:val="009E7492"/>
    <w:rsid w:val="009E7798"/>
    <w:rsid w:val="009F0341"/>
    <w:rsid w:val="009F0FF8"/>
    <w:rsid w:val="009F1A51"/>
    <w:rsid w:val="009F1BBE"/>
    <w:rsid w:val="009F209B"/>
    <w:rsid w:val="009F2253"/>
    <w:rsid w:val="009F29A4"/>
    <w:rsid w:val="009F29F5"/>
    <w:rsid w:val="009F2D74"/>
    <w:rsid w:val="009F3050"/>
    <w:rsid w:val="009F3664"/>
    <w:rsid w:val="009F38F8"/>
    <w:rsid w:val="009F4AA4"/>
    <w:rsid w:val="009F4B66"/>
    <w:rsid w:val="009F4F4F"/>
    <w:rsid w:val="009F5662"/>
    <w:rsid w:val="009F581C"/>
    <w:rsid w:val="009F5AB5"/>
    <w:rsid w:val="009F5B4D"/>
    <w:rsid w:val="009F5BDE"/>
    <w:rsid w:val="009F6658"/>
    <w:rsid w:val="009F688E"/>
    <w:rsid w:val="009F6A44"/>
    <w:rsid w:val="009F6CAC"/>
    <w:rsid w:val="00A009AE"/>
    <w:rsid w:val="00A00A60"/>
    <w:rsid w:val="00A015ED"/>
    <w:rsid w:val="00A01605"/>
    <w:rsid w:val="00A0160D"/>
    <w:rsid w:val="00A017A6"/>
    <w:rsid w:val="00A02897"/>
    <w:rsid w:val="00A0289C"/>
    <w:rsid w:val="00A02C18"/>
    <w:rsid w:val="00A03B59"/>
    <w:rsid w:val="00A04DF2"/>
    <w:rsid w:val="00A04EFC"/>
    <w:rsid w:val="00A04F6B"/>
    <w:rsid w:val="00A05166"/>
    <w:rsid w:val="00A05268"/>
    <w:rsid w:val="00A05479"/>
    <w:rsid w:val="00A05ABD"/>
    <w:rsid w:val="00A05D91"/>
    <w:rsid w:val="00A05EA2"/>
    <w:rsid w:val="00A0630C"/>
    <w:rsid w:val="00A0714E"/>
    <w:rsid w:val="00A07219"/>
    <w:rsid w:val="00A0726A"/>
    <w:rsid w:val="00A078A9"/>
    <w:rsid w:val="00A078FD"/>
    <w:rsid w:val="00A07CDF"/>
    <w:rsid w:val="00A07EAA"/>
    <w:rsid w:val="00A10032"/>
    <w:rsid w:val="00A10846"/>
    <w:rsid w:val="00A109B3"/>
    <w:rsid w:val="00A1113C"/>
    <w:rsid w:val="00A111BE"/>
    <w:rsid w:val="00A118BD"/>
    <w:rsid w:val="00A11D23"/>
    <w:rsid w:val="00A11E2B"/>
    <w:rsid w:val="00A121A4"/>
    <w:rsid w:val="00A12D34"/>
    <w:rsid w:val="00A12D8B"/>
    <w:rsid w:val="00A132FC"/>
    <w:rsid w:val="00A13DDF"/>
    <w:rsid w:val="00A13E7C"/>
    <w:rsid w:val="00A14161"/>
    <w:rsid w:val="00A14AD2"/>
    <w:rsid w:val="00A14D7A"/>
    <w:rsid w:val="00A15395"/>
    <w:rsid w:val="00A15945"/>
    <w:rsid w:val="00A15D21"/>
    <w:rsid w:val="00A165D8"/>
    <w:rsid w:val="00A16805"/>
    <w:rsid w:val="00A16F75"/>
    <w:rsid w:val="00A1748C"/>
    <w:rsid w:val="00A1754D"/>
    <w:rsid w:val="00A20ADA"/>
    <w:rsid w:val="00A20BAA"/>
    <w:rsid w:val="00A2113F"/>
    <w:rsid w:val="00A21480"/>
    <w:rsid w:val="00A21A2A"/>
    <w:rsid w:val="00A21A98"/>
    <w:rsid w:val="00A21F0F"/>
    <w:rsid w:val="00A22033"/>
    <w:rsid w:val="00A2228B"/>
    <w:rsid w:val="00A2233C"/>
    <w:rsid w:val="00A22A61"/>
    <w:rsid w:val="00A23B73"/>
    <w:rsid w:val="00A24B1E"/>
    <w:rsid w:val="00A24FF1"/>
    <w:rsid w:val="00A257AE"/>
    <w:rsid w:val="00A257B1"/>
    <w:rsid w:val="00A25CD2"/>
    <w:rsid w:val="00A2629A"/>
    <w:rsid w:val="00A266DB"/>
    <w:rsid w:val="00A267AE"/>
    <w:rsid w:val="00A27289"/>
    <w:rsid w:val="00A275D9"/>
    <w:rsid w:val="00A27A3D"/>
    <w:rsid w:val="00A3026D"/>
    <w:rsid w:val="00A309CA"/>
    <w:rsid w:val="00A30C49"/>
    <w:rsid w:val="00A33660"/>
    <w:rsid w:val="00A33AB3"/>
    <w:rsid w:val="00A34165"/>
    <w:rsid w:val="00A34449"/>
    <w:rsid w:val="00A34712"/>
    <w:rsid w:val="00A3484F"/>
    <w:rsid w:val="00A34B60"/>
    <w:rsid w:val="00A34CAC"/>
    <w:rsid w:val="00A34F06"/>
    <w:rsid w:val="00A3533E"/>
    <w:rsid w:val="00A35B32"/>
    <w:rsid w:val="00A363AB"/>
    <w:rsid w:val="00A36C3C"/>
    <w:rsid w:val="00A36E9C"/>
    <w:rsid w:val="00A37827"/>
    <w:rsid w:val="00A4022D"/>
    <w:rsid w:val="00A409E4"/>
    <w:rsid w:val="00A40C16"/>
    <w:rsid w:val="00A40C63"/>
    <w:rsid w:val="00A41833"/>
    <w:rsid w:val="00A41AED"/>
    <w:rsid w:val="00A422BB"/>
    <w:rsid w:val="00A42B79"/>
    <w:rsid w:val="00A42E73"/>
    <w:rsid w:val="00A43414"/>
    <w:rsid w:val="00A43580"/>
    <w:rsid w:val="00A43595"/>
    <w:rsid w:val="00A43C54"/>
    <w:rsid w:val="00A44F06"/>
    <w:rsid w:val="00A4528B"/>
    <w:rsid w:val="00A4545C"/>
    <w:rsid w:val="00A4652E"/>
    <w:rsid w:val="00A46665"/>
    <w:rsid w:val="00A46960"/>
    <w:rsid w:val="00A477FB"/>
    <w:rsid w:val="00A50DBA"/>
    <w:rsid w:val="00A512DE"/>
    <w:rsid w:val="00A51A61"/>
    <w:rsid w:val="00A51DC5"/>
    <w:rsid w:val="00A51F7F"/>
    <w:rsid w:val="00A52833"/>
    <w:rsid w:val="00A52A75"/>
    <w:rsid w:val="00A5307E"/>
    <w:rsid w:val="00A53E65"/>
    <w:rsid w:val="00A54B76"/>
    <w:rsid w:val="00A558DC"/>
    <w:rsid w:val="00A55EC2"/>
    <w:rsid w:val="00A560F4"/>
    <w:rsid w:val="00A575BC"/>
    <w:rsid w:val="00A57790"/>
    <w:rsid w:val="00A605BC"/>
    <w:rsid w:val="00A6064D"/>
    <w:rsid w:val="00A609AA"/>
    <w:rsid w:val="00A60D6B"/>
    <w:rsid w:val="00A61CCB"/>
    <w:rsid w:val="00A621D5"/>
    <w:rsid w:val="00A626DD"/>
    <w:rsid w:val="00A6349E"/>
    <w:rsid w:val="00A636C7"/>
    <w:rsid w:val="00A63E15"/>
    <w:rsid w:val="00A63F74"/>
    <w:rsid w:val="00A64246"/>
    <w:rsid w:val="00A657AC"/>
    <w:rsid w:val="00A65941"/>
    <w:rsid w:val="00A660D9"/>
    <w:rsid w:val="00A662B4"/>
    <w:rsid w:val="00A67279"/>
    <w:rsid w:val="00A678D0"/>
    <w:rsid w:val="00A704D6"/>
    <w:rsid w:val="00A70DA5"/>
    <w:rsid w:val="00A7103A"/>
    <w:rsid w:val="00A71251"/>
    <w:rsid w:val="00A712A8"/>
    <w:rsid w:val="00A71F0C"/>
    <w:rsid w:val="00A72327"/>
    <w:rsid w:val="00A72E79"/>
    <w:rsid w:val="00A731F2"/>
    <w:rsid w:val="00A7367D"/>
    <w:rsid w:val="00A761D4"/>
    <w:rsid w:val="00A76659"/>
    <w:rsid w:val="00A768AD"/>
    <w:rsid w:val="00A77C78"/>
    <w:rsid w:val="00A811EE"/>
    <w:rsid w:val="00A8128C"/>
    <w:rsid w:val="00A8178F"/>
    <w:rsid w:val="00A8284B"/>
    <w:rsid w:val="00A832AD"/>
    <w:rsid w:val="00A8351D"/>
    <w:rsid w:val="00A83D62"/>
    <w:rsid w:val="00A8406A"/>
    <w:rsid w:val="00A844A0"/>
    <w:rsid w:val="00A84B90"/>
    <w:rsid w:val="00A850F6"/>
    <w:rsid w:val="00A85FCA"/>
    <w:rsid w:val="00A86156"/>
    <w:rsid w:val="00A8628B"/>
    <w:rsid w:val="00A87324"/>
    <w:rsid w:val="00A87642"/>
    <w:rsid w:val="00A87902"/>
    <w:rsid w:val="00A87A09"/>
    <w:rsid w:val="00A90242"/>
    <w:rsid w:val="00A9064E"/>
    <w:rsid w:val="00A9079C"/>
    <w:rsid w:val="00A90B4C"/>
    <w:rsid w:val="00A90CDD"/>
    <w:rsid w:val="00A90D8A"/>
    <w:rsid w:val="00A91413"/>
    <w:rsid w:val="00A91711"/>
    <w:rsid w:val="00A92005"/>
    <w:rsid w:val="00A9252D"/>
    <w:rsid w:val="00A92AAA"/>
    <w:rsid w:val="00A92C0D"/>
    <w:rsid w:val="00A9348B"/>
    <w:rsid w:val="00A934B8"/>
    <w:rsid w:val="00A9376C"/>
    <w:rsid w:val="00A94642"/>
    <w:rsid w:val="00A94D41"/>
    <w:rsid w:val="00A94EF1"/>
    <w:rsid w:val="00A95F18"/>
    <w:rsid w:val="00A96349"/>
    <w:rsid w:val="00A96A2F"/>
    <w:rsid w:val="00A9708A"/>
    <w:rsid w:val="00A9756E"/>
    <w:rsid w:val="00A97EC0"/>
    <w:rsid w:val="00AA039D"/>
    <w:rsid w:val="00AA05E8"/>
    <w:rsid w:val="00AA1021"/>
    <w:rsid w:val="00AA144E"/>
    <w:rsid w:val="00AA1493"/>
    <w:rsid w:val="00AA1A43"/>
    <w:rsid w:val="00AA2059"/>
    <w:rsid w:val="00AA24D9"/>
    <w:rsid w:val="00AA2DB9"/>
    <w:rsid w:val="00AA397A"/>
    <w:rsid w:val="00AA3E17"/>
    <w:rsid w:val="00AA4757"/>
    <w:rsid w:val="00AA66DC"/>
    <w:rsid w:val="00AA67F8"/>
    <w:rsid w:val="00AA6D7B"/>
    <w:rsid w:val="00AA76EA"/>
    <w:rsid w:val="00AA7962"/>
    <w:rsid w:val="00AA7B2D"/>
    <w:rsid w:val="00AA7F70"/>
    <w:rsid w:val="00AB09CB"/>
    <w:rsid w:val="00AB0DC4"/>
    <w:rsid w:val="00AB10BA"/>
    <w:rsid w:val="00AB274B"/>
    <w:rsid w:val="00AB33AF"/>
    <w:rsid w:val="00AB3D6A"/>
    <w:rsid w:val="00AB4558"/>
    <w:rsid w:val="00AB47CB"/>
    <w:rsid w:val="00AB4D05"/>
    <w:rsid w:val="00AB5E00"/>
    <w:rsid w:val="00AB612B"/>
    <w:rsid w:val="00AB6831"/>
    <w:rsid w:val="00AB6850"/>
    <w:rsid w:val="00AB6BB2"/>
    <w:rsid w:val="00AB6C0F"/>
    <w:rsid w:val="00AB6C3C"/>
    <w:rsid w:val="00AB6E2A"/>
    <w:rsid w:val="00AB7132"/>
    <w:rsid w:val="00AB741E"/>
    <w:rsid w:val="00AB79D5"/>
    <w:rsid w:val="00AC020C"/>
    <w:rsid w:val="00AC03DD"/>
    <w:rsid w:val="00AC0D15"/>
    <w:rsid w:val="00AC1234"/>
    <w:rsid w:val="00AC1616"/>
    <w:rsid w:val="00AC32FD"/>
    <w:rsid w:val="00AC337E"/>
    <w:rsid w:val="00AC34B0"/>
    <w:rsid w:val="00AC3FBA"/>
    <w:rsid w:val="00AC416D"/>
    <w:rsid w:val="00AC453E"/>
    <w:rsid w:val="00AC4A90"/>
    <w:rsid w:val="00AC532B"/>
    <w:rsid w:val="00AC564D"/>
    <w:rsid w:val="00AC6E8D"/>
    <w:rsid w:val="00AC70E7"/>
    <w:rsid w:val="00AC7EBD"/>
    <w:rsid w:val="00AD0255"/>
    <w:rsid w:val="00AD06F6"/>
    <w:rsid w:val="00AD0903"/>
    <w:rsid w:val="00AD11DC"/>
    <w:rsid w:val="00AD12F2"/>
    <w:rsid w:val="00AD2CE4"/>
    <w:rsid w:val="00AD42A8"/>
    <w:rsid w:val="00AD4C38"/>
    <w:rsid w:val="00AD5346"/>
    <w:rsid w:val="00AD538C"/>
    <w:rsid w:val="00AD5636"/>
    <w:rsid w:val="00AD57A1"/>
    <w:rsid w:val="00AD592C"/>
    <w:rsid w:val="00AD617C"/>
    <w:rsid w:val="00AE0014"/>
    <w:rsid w:val="00AE039F"/>
    <w:rsid w:val="00AE122A"/>
    <w:rsid w:val="00AE13D1"/>
    <w:rsid w:val="00AE1890"/>
    <w:rsid w:val="00AE19F1"/>
    <w:rsid w:val="00AE209A"/>
    <w:rsid w:val="00AE2489"/>
    <w:rsid w:val="00AE2628"/>
    <w:rsid w:val="00AE2DFA"/>
    <w:rsid w:val="00AE344B"/>
    <w:rsid w:val="00AE3A67"/>
    <w:rsid w:val="00AE3D0F"/>
    <w:rsid w:val="00AE3EA8"/>
    <w:rsid w:val="00AE47B7"/>
    <w:rsid w:val="00AE5337"/>
    <w:rsid w:val="00AE67A5"/>
    <w:rsid w:val="00AE68A6"/>
    <w:rsid w:val="00AE6C65"/>
    <w:rsid w:val="00AE6F5D"/>
    <w:rsid w:val="00AE7C6E"/>
    <w:rsid w:val="00AE7CBF"/>
    <w:rsid w:val="00AF0830"/>
    <w:rsid w:val="00AF1DE8"/>
    <w:rsid w:val="00AF1FEF"/>
    <w:rsid w:val="00AF2010"/>
    <w:rsid w:val="00AF259C"/>
    <w:rsid w:val="00AF2741"/>
    <w:rsid w:val="00AF3399"/>
    <w:rsid w:val="00AF33F7"/>
    <w:rsid w:val="00AF3795"/>
    <w:rsid w:val="00AF41AF"/>
    <w:rsid w:val="00AF4C2D"/>
    <w:rsid w:val="00AF5D5F"/>
    <w:rsid w:val="00AF650A"/>
    <w:rsid w:val="00AF6D9B"/>
    <w:rsid w:val="00AF6F44"/>
    <w:rsid w:val="00AF713C"/>
    <w:rsid w:val="00AF7228"/>
    <w:rsid w:val="00AF796C"/>
    <w:rsid w:val="00AF7FFB"/>
    <w:rsid w:val="00B01071"/>
    <w:rsid w:val="00B01F58"/>
    <w:rsid w:val="00B029AB"/>
    <w:rsid w:val="00B02D5D"/>
    <w:rsid w:val="00B03FE2"/>
    <w:rsid w:val="00B04614"/>
    <w:rsid w:val="00B0496B"/>
    <w:rsid w:val="00B063D1"/>
    <w:rsid w:val="00B06505"/>
    <w:rsid w:val="00B07143"/>
    <w:rsid w:val="00B0768E"/>
    <w:rsid w:val="00B07757"/>
    <w:rsid w:val="00B11CDA"/>
    <w:rsid w:val="00B120A7"/>
    <w:rsid w:val="00B1233E"/>
    <w:rsid w:val="00B13088"/>
    <w:rsid w:val="00B13549"/>
    <w:rsid w:val="00B14B89"/>
    <w:rsid w:val="00B153A9"/>
    <w:rsid w:val="00B153CC"/>
    <w:rsid w:val="00B15440"/>
    <w:rsid w:val="00B15831"/>
    <w:rsid w:val="00B15EEA"/>
    <w:rsid w:val="00B1670F"/>
    <w:rsid w:val="00B17C74"/>
    <w:rsid w:val="00B17E7C"/>
    <w:rsid w:val="00B2009D"/>
    <w:rsid w:val="00B20566"/>
    <w:rsid w:val="00B20570"/>
    <w:rsid w:val="00B20C71"/>
    <w:rsid w:val="00B21812"/>
    <w:rsid w:val="00B21AFD"/>
    <w:rsid w:val="00B21C21"/>
    <w:rsid w:val="00B225F6"/>
    <w:rsid w:val="00B22F81"/>
    <w:rsid w:val="00B232D3"/>
    <w:rsid w:val="00B246D4"/>
    <w:rsid w:val="00B24D7E"/>
    <w:rsid w:val="00B25B8F"/>
    <w:rsid w:val="00B25D36"/>
    <w:rsid w:val="00B25E1E"/>
    <w:rsid w:val="00B266C9"/>
    <w:rsid w:val="00B27D41"/>
    <w:rsid w:val="00B30253"/>
    <w:rsid w:val="00B3078D"/>
    <w:rsid w:val="00B3146A"/>
    <w:rsid w:val="00B31472"/>
    <w:rsid w:val="00B322B5"/>
    <w:rsid w:val="00B324B2"/>
    <w:rsid w:val="00B32B13"/>
    <w:rsid w:val="00B32FA4"/>
    <w:rsid w:val="00B331CA"/>
    <w:rsid w:val="00B33589"/>
    <w:rsid w:val="00B336C9"/>
    <w:rsid w:val="00B339F5"/>
    <w:rsid w:val="00B33C3C"/>
    <w:rsid w:val="00B3404D"/>
    <w:rsid w:val="00B342DD"/>
    <w:rsid w:val="00B34CB2"/>
    <w:rsid w:val="00B35170"/>
    <w:rsid w:val="00B35783"/>
    <w:rsid w:val="00B357CF"/>
    <w:rsid w:val="00B35A15"/>
    <w:rsid w:val="00B35C33"/>
    <w:rsid w:val="00B36A73"/>
    <w:rsid w:val="00B36D9C"/>
    <w:rsid w:val="00B3755C"/>
    <w:rsid w:val="00B376DE"/>
    <w:rsid w:val="00B37C62"/>
    <w:rsid w:val="00B40093"/>
    <w:rsid w:val="00B40537"/>
    <w:rsid w:val="00B40D5B"/>
    <w:rsid w:val="00B421DE"/>
    <w:rsid w:val="00B4296D"/>
    <w:rsid w:val="00B42D85"/>
    <w:rsid w:val="00B43D47"/>
    <w:rsid w:val="00B44339"/>
    <w:rsid w:val="00B4512B"/>
    <w:rsid w:val="00B45213"/>
    <w:rsid w:val="00B45551"/>
    <w:rsid w:val="00B45E83"/>
    <w:rsid w:val="00B47D79"/>
    <w:rsid w:val="00B50059"/>
    <w:rsid w:val="00B50903"/>
    <w:rsid w:val="00B50CE7"/>
    <w:rsid w:val="00B50DFF"/>
    <w:rsid w:val="00B5123E"/>
    <w:rsid w:val="00B51415"/>
    <w:rsid w:val="00B51F7D"/>
    <w:rsid w:val="00B524FE"/>
    <w:rsid w:val="00B5281C"/>
    <w:rsid w:val="00B52BC5"/>
    <w:rsid w:val="00B52F29"/>
    <w:rsid w:val="00B53144"/>
    <w:rsid w:val="00B53C87"/>
    <w:rsid w:val="00B546ED"/>
    <w:rsid w:val="00B547CC"/>
    <w:rsid w:val="00B55403"/>
    <w:rsid w:val="00B5561D"/>
    <w:rsid w:val="00B55867"/>
    <w:rsid w:val="00B56041"/>
    <w:rsid w:val="00B569AA"/>
    <w:rsid w:val="00B56A8C"/>
    <w:rsid w:val="00B56D63"/>
    <w:rsid w:val="00B57055"/>
    <w:rsid w:val="00B57A75"/>
    <w:rsid w:val="00B601A4"/>
    <w:rsid w:val="00B60965"/>
    <w:rsid w:val="00B61702"/>
    <w:rsid w:val="00B617C5"/>
    <w:rsid w:val="00B618C2"/>
    <w:rsid w:val="00B62427"/>
    <w:rsid w:val="00B626FD"/>
    <w:rsid w:val="00B62EEB"/>
    <w:rsid w:val="00B630F9"/>
    <w:rsid w:val="00B6343B"/>
    <w:rsid w:val="00B6360E"/>
    <w:rsid w:val="00B63A69"/>
    <w:rsid w:val="00B645F3"/>
    <w:rsid w:val="00B646F7"/>
    <w:rsid w:val="00B64A33"/>
    <w:rsid w:val="00B650D3"/>
    <w:rsid w:val="00B658A7"/>
    <w:rsid w:val="00B66E9A"/>
    <w:rsid w:val="00B671DA"/>
    <w:rsid w:val="00B671DC"/>
    <w:rsid w:val="00B67B0D"/>
    <w:rsid w:val="00B67B76"/>
    <w:rsid w:val="00B67E29"/>
    <w:rsid w:val="00B70103"/>
    <w:rsid w:val="00B7138F"/>
    <w:rsid w:val="00B71DA8"/>
    <w:rsid w:val="00B72545"/>
    <w:rsid w:val="00B7274A"/>
    <w:rsid w:val="00B73000"/>
    <w:rsid w:val="00B73347"/>
    <w:rsid w:val="00B73B0C"/>
    <w:rsid w:val="00B73BCE"/>
    <w:rsid w:val="00B73D8C"/>
    <w:rsid w:val="00B741D3"/>
    <w:rsid w:val="00B74E16"/>
    <w:rsid w:val="00B74F82"/>
    <w:rsid w:val="00B752BF"/>
    <w:rsid w:val="00B75391"/>
    <w:rsid w:val="00B75ED8"/>
    <w:rsid w:val="00B7684C"/>
    <w:rsid w:val="00B76B35"/>
    <w:rsid w:val="00B7702E"/>
    <w:rsid w:val="00B77138"/>
    <w:rsid w:val="00B773EE"/>
    <w:rsid w:val="00B809E4"/>
    <w:rsid w:val="00B8115B"/>
    <w:rsid w:val="00B81874"/>
    <w:rsid w:val="00B818CE"/>
    <w:rsid w:val="00B82477"/>
    <w:rsid w:val="00B825B8"/>
    <w:rsid w:val="00B82B9E"/>
    <w:rsid w:val="00B837CF"/>
    <w:rsid w:val="00B83F80"/>
    <w:rsid w:val="00B856F3"/>
    <w:rsid w:val="00B8581B"/>
    <w:rsid w:val="00B85DA5"/>
    <w:rsid w:val="00B86B91"/>
    <w:rsid w:val="00B8745A"/>
    <w:rsid w:val="00B87839"/>
    <w:rsid w:val="00B9085E"/>
    <w:rsid w:val="00B90C9F"/>
    <w:rsid w:val="00B918E1"/>
    <w:rsid w:val="00B9231B"/>
    <w:rsid w:val="00B92A70"/>
    <w:rsid w:val="00B92BBC"/>
    <w:rsid w:val="00B9311B"/>
    <w:rsid w:val="00B938F9"/>
    <w:rsid w:val="00B94FE1"/>
    <w:rsid w:val="00B9504B"/>
    <w:rsid w:val="00B9540C"/>
    <w:rsid w:val="00B9626E"/>
    <w:rsid w:val="00B979BD"/>
    <w:rsid w:val="00B97F9B"/>
    <w:rsid w:val="00BA0022"/>
    <w:rsid w:val="00BA0ABC"/>
    <w:rsid w:val="00BA0EBE"/>
    <w:rsid w:val="00BA10A0"/>
    <w:rsid w:val="00BA16F4"/>
    <w:rsid w:val="00BA2657"/>
    <w:rsid w:val="00BA26FE"/>
    <w:rsid w:val="00BA299D"/>
    <w:rsid w:val="00BA2FDC"/>
    <w:rsid w:val="00BA3B03"/>
    <w:rsid w:val="00BA4449"/>
    <w:rsid w:val="00BA54FE"/>
    <w:rsid w:val="00BA5E76"/>
    <w:rsid w:val="00BA6AD2"/>
    <w:rsid w:val="00BA76AB"/>
    <w:rsid w:val="00BA7956"/>
    <w:rsid w:val="00BA7E4C"/>
    <w:rsid w:val="00BB0732"/>
    <w:rsid w:val="00BB0A04"/>
    <w:rsid w:val="00BB10DE"/>
    <w:rsid w:val="00BB2104"/>
    <w:rsid w:val="00BB22EA"/>
    <w:rsid w:val="00BB2330"/>
    <w:rsid w:val="00BB341B"/>
    <w:rsid w:val="00BB42D2"/>
    <w:rsid w:val="00BB4D39"/>
    <w:rsid w:val="00BB4D57"/>
    <w:rsid w:val="00BB5553"/>
    <w:rsid w:val="00BB5D3F"/>
    <w:rsid w:val="00BB5E22"/>
    <w:rsid w:val="00BB77B4"/>
    <w:rsid w:val="00BC0794"/>
    <w:rsid w:val="00BC09B0"/>
    <w:rsid w:val="00BC110F"/>
    <w:rsid w:val="00BC18DB"/>
    <w:rsid w:val="00BC1F5E"/>
    <w:rsid w:val="00BC3205"/>
    <w:rsid w:val="00BC42BE"/>
    <w:rsid w:val="00BC43D5"/>
    <w:rsid w:val="00BC55B8"/>
    <w:rsid w:val="00BC608F"/>
    <w:rsid w:val="00BC65E8"/>
    <w:rsid w:val="00BC694B"/>
    <w:rsid w:val="00BC6B23"/>
    <w:rsid w:val="00BC6EDF"/>
    <w:rsid w:val="00BC739B"/>
    <w:rsid w:val="00BC7B4E"/>
    <w:rsid w:val="00BC7CE1"/>
    <w:rsid w:val="00BD006E"/>
    <w:rsid w:val="00BD0E43"/>
    <w:rsid w:val="00BD0FE9"/>
    <w:rsid w:val="00BD1157"/>
    <w:rsid w:val="00BD1318"/>
    <w:rsid w:val="00BD1A53"/>
    <w:rsid w:val="00BD1A89"/>
    <w:rsid w:val="00BD212C"/>
    <w:rsid w:val="00BD2413"/>
    <w:rsid w:val="00BD27C2"/>
    <w:rsid w:val="00BD3647"/>
    <w:rsid w:val="00BD392B"/>
    <w:rsid w:val="00BD62C3"/>
    <w:rsid w:val="00BD6922"/>
    <w:rsid w:val="00BD6A5D"/>
    <w:rsid w:val="00BD6F4D"/>
    <w:rsid w:val="00BD70A0"/>
    <w:rsid w:val="00BD737A"/>
    <w:rsid w:val="00BD76DD"/>
    <w:rsid w:val="00BD7BF5"/>
    <w:rsid w:val="00BE02AE"/>
    <w:rsid w:val="00BE2290"/>
    <w:rsid w:val="00BE2538"/>
    <w:rsid w:val="00BE278D"/>
    <w:rsid w:val="00BE4422"/>
    <w:rsid w:val="00BE4BE4"/>
    <w:rsid w:val="00BE51C0"/>
    <w:rsid w:val="00BE5E0F"/>
    <w:rsid w:val="00BE69EF"/>
    <w:rsid w:val="00BE6B58"/>
    <w:rsid w:val="00BE6EA9"/>
    <w:rsid w:val="00BE7818"/>
    <w:rsid w:val="00BE7F3F"/>
    <w:rsid w:val="00BF03F0"/>
    <w:rsid w:val="00BF0472"/>
    <w:rsid w:val="00BF0E1D"/>
    <w:rsid w:val="00BF13DF"/>
    <w:rsid w:val="00BF1BA2"/>
    <w:rsid w:val="00BF1CFA"/>
    <w:rsid w:val="00BF2557"/>
    <w:rsid w:val="00BF3E3D"/>
    <w:rsid w:val="00BF461E"/>
    <w:rsid w:val="00BF4E11"/>
    <w:rsid w:val="00BF5EBD"/>
    <w:rsid w:val="00BF653B"/>
    <w:rsid w:val="00BF6795"/>
    <w:rsid w:val="00BF6B70"/>
    <w:rsid w:val="00BF6CE6"/>
    <w:rsid w:val="00BF7884"/>
    <w:rsid w:val="00BF7B08"/>
    <w:rsid w:val="00C00A4A"/>
    <w:rsid w:val="00C015BB"/>
    <w:rsid w:val="00C019B5"/>
    <w:rsid w:val="00C01C36"/>
    <w:rsid w:val="00C02178"/>
    <w:rsid w:val="00C02317"/>
    <w:rsid w:val="00C02BE8"/>
    <w:rsid w:val="00C02C2C"/>
    <w:rsid w:val="00C03169"/>
    <w:rsid w:val="00C0385F"/>
    <w:rsid w:val="00C041D1"/>
    <w:rsid w:val="00C055C9"/>
    <w:rsid w:val="00C0603F"/>
    <w:rsid w:val="00C07944"/>
    <w:rsid w:val="00C1035E"/>
    <w:rsid w:val="00C107AB"/>
    <w:rsid w:val="00C10A83"/>
    <w:rsid w:val="00C11943"/>
    <w:rsid w:val="00C11C22"/>
    <w:rsid w:val="00C11D76"/>
    <w:rsid w:val="00C12234"/>
    <w:rsid w:val="00C126F7"/>
    <w:rsid w:val="00C12860"/>
    <w:rsid w:val="00C12950"/>
    <w:rsid w:val="00C13A20"/>
    <w:rsid w:val="00C13CCB"/>
    <w:rsid w:val="00C14022"/>
    <w:rsid w:val="00C14E2B"/>
    <w:rsid w:val="00C15789"/>
    <w:rsid w:val="00C15DA7"/>
    <w:rsid w:val="00C16631"/>
    <w:rsid w:val="00C166F9"/>
    <w:rsid w:val="00C16992"/>
    <w:rsid w:val="00C17CF2"/>
    <w:rsid w:val="00C202A7"/>
    <w:rsid w:val="00C2058C"/>
    <w:rsid w:val="00C209D7"/>
    <w:rsid w:val="00C20E8B"/>
    <w:rsid w:val="00C212D8"/>
    <w:rsid w:val="00C2134A"/>
    <w:rsid w:val="00C214F3"/>
    <w:rsid w:val="00C21A4D"/>
    <w:rsid w:val="00C21AC0"/>
    <w:rsid w:val="00C21B3B"/>
    <w:rsid w:val="00C21BED"/>
    <w:rsid w:val="00C22F61"/>
    <w:rsid w:val="00C23F85"/>
    <w:rsid w:val="00C240A4"/>
    <w:rsid w:val="00C258AC"/>
    <w:rsid w:val="00C25B45"/>
    <w:rsid w:val="00C26008"/>
    <w:rsid w:val="00C2618E"/>
    <w:rsid w:val="00C262D6"/>
    <w:rsid w:val="00C26799"/>
    <w:rsid w:val="00C269C8"/>
    <w:rsid w:val="00C26E8E"/>
    <w:rsid w:val="00C27258"/>
    <w:rsid w:val="00C2732D"/>
    <w:rsid w:val="00C27DD7"/>
    <w:rsid w:val="00C30ECD"/>
    <w:rsid w:val="00C3153F"/>
    <w:rsid w:val="00C31DC6"/>
    <w:rsid w:val="00C31F4F"/>
    <w:rsid w:val="00C32202"/>
    <w:rsid w:val="00C33609"/>
    <w:rsid w:val="00C33750"/>
    <w:rsid w:val="00C341F9"/>
    <w:rsid w:val="00C35033"/>
    <w:rsid w:val="00C35891"/>
    <w:rsid w:val="00C35F26"/>
    <w:rsid w:val="00C368D0"/>
    <w:rsid w:val="00C36960"/>
    <w:rsid w:val="00C36B8F"/>
    <w:rsid w:val="00C3703D"/>
    <w:rsid w:val="00C371F7"/>
    <w:rsid w:val="00C3752A"/>
    <w:rsid w:val="00C37A0C"/>
    <w:rsid w:val="00C37ACA"/>
    <w:rsid w:val="00C405BE"/>
    <w:rsid w:val="00C40980"/>
    <w:rsid w:val="00C409DE"/>
    <w:rsid w:val="00C414B7"/>
    <w:rsid w:val="00C42592"/>
    <w:rsid w:val="00C42848"/>
    <w:rsid w:val="00C429DB"/>
    <w:rsid w:val="00C42C8F"/>
    <w:rsid w:val="00C42FF0"/>
    <w:rsid w:val="00C44831"/>
    <w:rsid w:val="00C45438"/>
    <w:rsid w:val="00C46371"/>
    <w:rsid w:val="00C464AA"/>
    <w:rsid w:val="00C46BAB"/>
    <w:rsid w:val="00C4744F"/>
    <w:rsid w:val="00C47BF3"/>
    <w:rsid w:val="00C47CC9"/>
    <w:rsid w:val="00C5032A"/>
    <w:rsid w:val="00C503D9"/>
    <w:rsid w:val="00C50D09"/>
    <w:rsid w:val="00C50EDA"/>
    <w:rsid w:val="00C51037"/>
    <w:rsid w:val="00C51DAC"/>
    <w:rsid w:val="00C523B6"/>
    <w:rsid w:val="00C524FB"/>
    <w:rsid w:val="00C525DB"/>
    <w:rsid w:val="00C52A95"/>
    <w:rsid w:val="00C5323B"/>
    <w:rsid w:val="00C5336D"/>
    <w:rsid w:val="00C53631"/>
    <w:rsid w:val="00C5398C"/>
    <w:rsid w:val="00C544FB"/>
    <w:rsid w:val="00C54D5E"/>
    <w:rsid w:val="00C54E0B"/>
    <w:rsid w:val="00C54F2B"/>
    <w:rsid w:val="00C56089"/>
    <w:rsid w:val="00C567AF"/>
    <w:rsid w:val="00C57D31"/>
    <w:rsid w:val="00C57F72"/>
    <w:rsid w:val="00C604D1"/>
    <w:rsid w:val="00C60733"/>
    <w:rsid w:val="00C6122E"/>
    <w:rsid w:val="00C613C4"/>
    <w:rsid w:val="00C61A4C"/>
    <w:rsid w:val="00C61E35"/>
    <w:rsid w:val="00C6219F"/>
    <w:rsid w:val="00C62436"/>
    <w:rsid w:val="00C6353D"/>
    <w:rsid w:val="00C636BF"/>
    <w:rsid w:val="00C63FBF"/>
    <w:rsid w:val="00C658F6"/>
    <w:rsid w:val="00C65A35"/>
    <w:rsid w:val="00C66736"/>
    <w:rsid w:val="00C67AD5"/>
    <w:rsid w:val="00C70183"/>
    <w:rsid w:val="00C709E4"/>
    <w:rsid w:val="00C70ABC"/>
    <w:rsid w:val="00C71E8F"/>
    <w:rsid w:val="00C72ED0"/>
    <w:rsid w:val="00C73C18"/>
    <w:rsid w:val="00C74213"/>
    <w:rsid w:val="00C74BCE"/>
    <w:rsid w:val="00C757E7"/>
    <w:rsid w:val="00C75B6E"/>
    <w:rsid w:val="00C75C60"/>
    <w:rsid w:val="00C75CF3"/>
    <w:rsid w:val="00C77838"/>
    <w:rsid w:val="00C8066B"/>
    <w:rsid w:val="00C806D6"/>
    <w:rsid w:val="00C80727"/>
    <w:rsid w:val="00C80AC1"/>
    <w:rsid w:val="00C810DB"/>
    <w:rsid w:val="00C815DD"/>
    <w:rsid w:val="00C8199D"/>
    <w:rsid w:val="00C8200F"/>
    <w:rsid w:val="00C82118"/>
    <w:rsid w:val="00C82BD6"/>
    <w:rsid w:val="00C83C24"/>
    <w:rsid w:val="00C84F92"/>
    <w:rsid w:val="00C85035"/>
    <w:rsid w:val="00C854B8"/>
    <w:rsid w:val="00C86EC4"/>
    <w:rsid w:val="00C86F24"/>
    <w:rsid w:val="00C86F3A"/>
    <w:rsid w:val="00C872FE"/>
    <w:rsid w:val="00C87DB0"/>
    <w:rsid w:val="00C90160"/>
    <w:rsid w:val="00C9046E"/>
    <w:rsid w:val="00C90713"/>
    <w:rsid w:val="00C907C3"/>
    <w:rsid w:val="00C90EA1"/>
    <w:rsid w:val="00C917B8"/>
    <w:rsid w:val="00C92776"/>
    <w:rsid w:val="00C94274"/>
    <w:rsid w:val="00C94C6C"/>
    <w:rsid w:val="00C94F78"/>
    <w:rsid w:val="00C95145"/>
    <w:rsid w:val="00C9570C"/>
    <w:rsid w:val="00C9613B"/>
    <w:rsid w:val="00C9681A"/>
    <w:rsid w:val="00C96B1F"/>
    <w:rsid w:val="00C96BC2"/>
    <w:rsid w:val="00C96DEF"/>
    <w:rsid w:val="00C9788C"/>
    <w:rsid w:val="00CA0075"/>
    <w:rsid w:val="00CA05DC"/>
    <w:rsid w:val="00CA070D"/>
    <w:rsid w:val="00CA12D9"/>
    <w:rsid w:val="00CA1468"/>
    <w:rsid w:val="00CA1D0A"/>
    <w:rsid w:val="00CA1DB2"/>
    <w:rsid w:val="00CA2250"/>
    <w:rsid w:val="00CA3917"/>
    <w:rsid w:val="00CA4053"/>
    <w:rsid w:val="00CA49A6"/>
    <w:rsid w:val="00CA4CDA"/>
    <w:rsid w:val="00CA50A7"/>
    <w:rsid w:val="00CA6186"/>
    <w:rsid w:val="00CB034A"/>
    <w:rsid w:val="00CB083C"/>
    <w:rsid w:val="00CB0941"/>
    <w:rsid w:val="00CB0E60"/>
    <w:rsid w:val="00CB0E89"/>
    <w:rsid w:val="00CB1A02"/>
    <w:rsid w:val="00CB1D7F"/>
    <w:rsid w:val="00CB2DA6"/>
    <w:rsid w:val="00CB3DE9"/>
    <w:rsid w:val="00CB424A"/>
    <w:rsid w:val="00CB480B"/>
    <w:rsid w:val="00CB4D57"/>
    <w:rsid w:val="00CB5795"/>
    <w:rsid w:val="00CB57B7"/>
    <w:rsid w:val="00CB5E25"/>
    <w:rsid w:val="00CB5F4E"/>
    <w:rsid w:val="00CB74B0"/>
    <w:rsid w:val="00CC0984"/>
    <w:rsid w:val="00CC1029"/>
    <w:rsid w:val="00CC1035"/>
    <w:rsid w:val="00CC1651"/>
    <w:rsid w:val="00CC3291"/>
    <w:rsid w:val="00CC3447"/>
    <w:rsid w:val="00CC3584"/>
    <w:rsid w:val="00CC35B3"/>
    <w:rsid w:val="00CC4B99"/>
    <w:rsid w:val="00CC5536"/>
    <w:rsid w:val="00CC66C4"/>
    <w:rsid w:val="00CC78B7"/>
    <w:rsid w:val="00CC7BD3"/>
    <w:rsid w:val="00CD0749"/>
    <w:rsid w:val="00CD1BEF"/>
    <w:rsid w:val="00CD21B4"/>
    <w:rsid w:val="00CD27DC"/>
    <w:rsid w:val="00CD3703"/>
    <w:rsid w:val="00CD3710"/>
    <w:rsid w:val="00CD3D99"/>
    <w:rsid w:val="00CD7622"/>
    <w:rsid w:val="00CD7C9E"/>
    <w:rsid w:val="00CD7E02"/>
    <w:rsid w:val="00CE070F"/>
    <w:rsid w:val="00CE10E5"/>
    <w:rsid w:val="00CE11CC"/>
    <w:rsid w:val="00CE29CA"/>
    <w:rsid w:val="00CE2B17"/>
    <w:rsid w:val="00CE2BA4"/>
    <w:rsid w:val="00CE3055"/>
    <w:rsid w:val="00CE43DD"/>
    <w:rsid w:val="00CE444F"/>
    <w:rsid w:val="00CE52B1"/>
    <w:rsid w:val="00CE550B"/>
    <w:rsid w:val="00CE5EBD"/>
    <w:rsid w:val="00CE5FB9"/>
    <w:rsid w:val="00CE633A"/>
    <w:rsid w:val="00CE6D50"/>
    <w:rsid w:val="00CE7FDD"/>
    <w:rsid w:val="00CF0370"/>
    <w:rsid w:val="00CF0E0B"/>
    <w:rsid w:val="00CF111E"/>
    <w:rsid w:val="00CF163F"/>
    <w:rsid w:val="00CF234F"/>
    <w:rsid w:val="00CF252D"/>
    <w:rsid w:val="00CF2D8A"/>
    <w:rsid w:val="00CF3379"/>
    <w:rsid w:val="00CF3918"/>
    <w:rsid w:val="00CF3C35"/>
    <w:rsid w:val="00CF3C76"/>
    <w:rsid w:val="00CF5460"/>
    <w:rsid w:val="00CF568E"/>
    <w:rsid w:val="00CF6A48"/>
    <w:rsid w:val="00CF6CCC"/>
    <w:rsid w:val="00CF7276"/>
    <w:rsid w:val="00CF7786"/>
    <w:rsid w:val="00CF7F80"/>
    <w:rsid w:val="00D00274"/>
    <w:rsid w:val="00D0091E"/>
    <w:rsid w:val="00D00AEE"/>
    <w:rsid w:val="00D00B42"/>
    <w:rsid w:val="00D00DE2"/>
    <w:rsid w:val="00D01460"/>
    <w:rsid w:val="00D022AE"/>
    <w:rsid w:val="00D026AD"/>
    <w:rsid w:val="00D031F5"/>
    <w:rsid w:val="00D03510"/>
    <w:rsid w:val="00D03823"/>
    <w:rsid w:val="00D03A92"/>
    <w:rsid w:val="00D04AF1"/>
    <w:rsid w:val="00D04D71"/>
    <w:rsid w:val="00D04F7E"/>
    <w:rsid w:val="00D055EB"/>
    <w:rsid w:val="00D05BD4"/>
    <w:rsid w:val="00D06054"/>
    <w:rsid w:val="00D060DD"/>
    <w:rsid w:val="00D064B8"/>
    <w:rsid w:val="00D100E6"/>
    <w:rsid w:val="00D1057A"/>
    <w:rsid w:val="00D105AC"/>
    <w:rsid w:val="00D10B9C"/>
    <w:rsid w:val="00D10BA3"/>
    <w:rsid w:val="00D11020"/>
    <w:rsid w:val="00D11C6F"/>
    <w:rsid w:val="00D123E6"/>
    <w:rsid w:val="00D135F5"/>
    <w:rsid w:val="00D13EE4"/>
    <w:rsid w:val="00D14145"/>
    <w:rsid w:val="00D1427C"/>
    <w:rsid w:val="00D14A39"/>
    <w:rsid w:val="00D14EAE"/>
    <w:rsid w:val="00D16E29"/>
    <w:rsid w:val="00D171FC"/>
    <w:rsid w:val="00D17286"/>
    <w:rsid w:val="00D17758"/>
    <w:rsid w:val="00D17BED"/>
    <w:rsid w:val="00D17E3B"/>
    <w:rsid w:val="00D20635"/>
    <w:rsid w:val="00D207FF"/>
    <w:rsid w:val="00D20C82"/>
    <w:rsid w:val="00D21379"/>
    <w:rsid w:val="00D21566"/>
    <w:rsid w:val="00D217A7"/>
    <w:rsid w:val="00D21D3F"/>
    <w:rsid w:val="00D21E2F"/>
    <w:rsid w:val="00D22436"/>
    <w:rsid w:val="00D2264D"/>
    <w:rsid w:val="00D2278A"/>
    <w:rsid w:val="00D22EB2"/>
    <w:rsid w:val="00D2315E"/>
    <w:rsid w:val="00D231E8"/>
    <w:rsid w:val="00D237A5"/>
    <w:rsid w:val="00D240A7"/>
    <w:rsid w:val="00D24375"/>
    <w:rsid w:val="00D24419"/>
    <w:rsid w:val="00D25AAF"/>
    <w:rsid w:val="00D2676A"/>
    <w:rsid w:val="00D269D6"/>
    <w:rsid w:val="00D26A0E"/>
    <w:rsid w:val="00D26E55"/>
    <w:rsid w:val="00D274A0"/>
    <w:rsid w:val="00D27B47"/>
    <w:rsid w:val="00D30530"/>
    <w:rsid w:val="00D308CE"/>
    <w:rsid w:val="00D30936"/>
    <w:rsid w:val="00D30EDD"/>
    <w:rsid w:val="00D30FDF"/>
    <w:rsid w:val="00D314CA"/>
    <w:rsid w:val="00D3178F"/>
    <w:rsid w:val="00D3195B"/>
    <w:rsid w:val="00D32126"/>
    <w:rsid w:val="00D3238E"/>
    <w:rsid w:val="00D33274"/>
    <w:rsid w:val="00D33475"/>
    <w:rsid w:val="00D34DE4"/>
    <w:rsid w:val="00D34DF5"/>
    <w:rsid w:val="00D377D3"/>
    <w:rsid w:val="00D37E8D"/>
    <w:rsid w:val="00D4103B"/>
    <w:rsid w:val="00D41268"/>
    <w:rsid w:val="00D415B7"/>
    <w:rsid w:val="00D417E1"/>
    <w:rsid w:val="00D418CB"/>
    <w:rsid w:val="00D41C3D"/>
    <w:rsid w:val="00D42057"/>
    <w:rsid w:val="00D4268E"/>
    <w:rsid w:val="00D4280B"/>
    <w:rsid w:val="00D42982"/>
    <w:rsid w:val="00D43349"/>
    <w:rsid w:val="00D4363E"/>
    <w:rsid w:val="00D44020"/>
    <w:rsid w:val="00D4424C"/>
    <w:rsid w:val="00D446D0"/>
    <w:rsid w:val="00D44751"/>
    <w:rsid w:val="00D4484C"/>
    <w:rsid w:val="00D44869"/>
    <w:rsid w:val="00D44B86"/>
    <w:rsid w:val="00D44DD1"/>
    <w:rsid w:val="00D45FAE"/>
    <w:rsid w:val="00D46329"/>
    <w:rsid w:val="00D46A69"/>
    <w:rsid w:val="00D46A78"/>
    <w:rsid w:val="00D4782A"/>
    <w:rsid w:val="00D51945"/>
    <w:rsid w:val="00D51CDD"/>
    <w:rsid w:val="00D526AE"/>
    <w:rsid w:val="00D52FDD"/>
    <w:rsid w:val="00D53BC0"/>
    <w:rsid w:val="00D5430A"/>
    <w:rsid w:val="00D554C4"/>
    <w:rsid w:val="00D556C8"/>
    <w:rsid w:val="00D55C00"/>
    <w:rsid w:val="00D5695A"/>
    <w:rsid w:val="00D56B6C"/>
    <w:rsid w:val="00D57854"/>
    <w:rsid w:val="00D57ABE"/>
    <w:rsid w:val="00D601EC"/>
    <w:rsid w:val="00D602DB"/>
    <w:rsid w:val="00D60982"/>
    <w:rsid w:val="00D61055"/>
    <w:rsid w:val="00D61065"/>
    <w:rsid w:val="00D61171"/>
    <w:rsid w:val="00D61539"/>
    <w:rsid w:val="00D61EFB"/>
    <w:rsid w:val="00D623B4"/>
    <w:rsid w:val="00D63B54"/>
    <w:rsid w:val="00D64A23"/>
    <w:rsid w:val="00D64FC7"/>
    <w:rsid w:val="00D651F2"/>
    <w:rsid w:val="00D65D59"/>
    <w:rsid w:val="00D66433"/>
    <w:rsid w:val="00D665B8"/>
    <w:rsid w:val="00D66AC7"/>
    <w:rsid w:val="00D66C83"/>
    <w:rsid w:val="00D675B6"/>
    <w:rsid w:val="00D67741"/>
    <w:rsid w:val="00D67A2E"/>
    <w:rsid w:val="00D70517"/>
    <w:rsid w:val="00D705BD"/>
    <w:rsid w:val="00D706B2"/>
    <w:rsid w:val="00D70B03"/>
    <w:rsid w:val="00D70D02"/>
    <w:rsid w:val="00D71B76"/>
    <w:rsid w:val="00D72853"/>
    <w:rsid w:val="00D728CD"/>
    <w:rsid w:val="00D72927"/>
    <w:rsid w:val="00D72D49"/>
    <w:rsid w:val="00D737D1"/>
    <w:rsid w:val="00D73891"/>
    <w:rsid w:val="00D740F2"/>
    <w:rsid w:val="00D74381"/>
    <w:rsid w:val="00D75013"/>
    <w:rsid w:val="00D750A7"/>
    <w:rsid w:val="00D75C16"/>
    <w:rsid w:val="00D75D7D"/>
    <w:rsid w:val="00D75FA2"/>
    <w:rsid w:val="00D76391"/>
    <w:rsid w:val="00D7734A"/>
    <w:rsid w:val="00D775C3"/>
    <w:rsid w:val="00D803F0"/>
    <w:rsid w:val="00D819C2"/>
    <w:rsid w:val="00D82314"/>
    <w:rsid w:val="00D826C4"/>
    <w:rsid w:val="00D829E3"/>
    <w:rsid w:val="00D836AB"/>
    <w:rsid w:val="00D83864"/>
    <w:rsid w:val="00D841CF"/>
    <w:rsid w:val="00D8421F"/>
    <w:rsid w:val="00D84377"/>
    <w:rsid w:val="00D84405"/>
    <w:rsid w:val="00D84494"/>
    <w:rsid w:val="00D85CAB"/>
    <w:rsid w:val="00D86428"/>
    <w:rsid w:val="00D865F6"/>
    <w:rsid w:val="00D86987"/>
    <w:rsid w:val="00D86AF4"/>
    <w:rsid w:val="00D86FF2"/>
    <w:rsid w:val="00D8734F"/>
    <w:rsid w:val="00D87D39"/>
    <w:rsid w:val="00D903D3"/>
    <w:rsid w:val="00D91566"/>
    <w:rsid w:val="00D915CD"/>
    <w:rsid w:val="00D91FFA"/>
    <w:rsid w:val="00D92016"/>
    <w:rsid w:val="00D925EC"/>
    <w:rsid w:val="00D92664"/>
    <w:rsid w:val="00D9283E"/>
    <w:rsid w:val="00D9298D"/>
    <w:rsid w:val="00D929D5"/>
    <w:rsid w:val="00D92B9B"/>
    <w:rsid w:val="00D92BF4"/>
    <w:rsid w:val="00D9323C"/>
    <w:rsid w:val="00D93647"/>
    <w:rsid w:val="00D93F69"/>
    <w:rsid w:val="00D95432"/>
    <w:rsid w:val="00D954AE"/>
    <w:rsid w:val="00D95DCA"/>
    <w:rsid w:val="00D96184"/>
    <w:rsid w:val="00D966FE"/>
    <w:rsid w:val="00D96DF2"/>
    <w:rsid w:val="00D9712C"/>
    <w:rsid w:val="00D972EE"/>
    <w:rsid w:val="00DA01EE"/>
    <w:rsid w:val="00DA03C4"/>
    <w:rsid w:val="00DA0409"/>
    <w:rsid w:val="00DA06A6"/>
    <w:rsid w:val="00DA07D9"/>
    <w:rsid w:val="00DA17A6"/>
    <w:rsid w:val="00DA255B"/>
    <w:rsid w:val="00DA2BEC"/>
    <w:rsid w:val="00DA2F26"/>
    <w:rsid w:val="00DA3B59"/>
    <w:rsid w:val="00DA4978"/>
    <w:rsid w:val="00DA5C17"/>
    <w:rsid w:val="00DA6F67"/>
    <w:rsid w:val="00DA7840"/>
    <w:rsid w:val="00DA7C68"/>
    <w:rsid w:val="00DB03EB"/>
    <w:rsid w:val="00DB0938"/>
    <w:rsid w:val="00DB0F5A"/>
    <w:rsid w:val="00DB15EE"/>
    <w:rsid w:val="00DB1ED3"/>
    <w:rsid w:val="00DB2C76"/>
    <w:rsid w:val="00DB3CC6"/>
    <w:rsid w:val="00DB4C31"/>
    <w:rsid w:val="00DB5C06"/>
    <w:rsid w:val="00DB7699"/>
    <w:rsid w:val="00DB7AAF"/>
    <w:rsid w:val="00DB7B77"/>
    <w:rsid w:val="00DB7DBD"/>
    <w:rsid w:val="00DC077F"/>
    <w:rsid w:val="00DC148B"/>
    <w:rsid w:val="00DC1920"/>
    <w:rsid w:val="00DC19BD"/>
    <w:rsid w:val="00DC1A42"/>
    <w:rsid w:val="00DC21B8"/>
    <w:rsid w:val="00DC23F0"/>
    <w:rsid w:val="00DC24B8"/>
    <w:rsid w:val="00DC2756"/>
    <w:rsid w:val="00DC286D"/>
    <w:rsid w:val="00DC2E41"/>
    <w:rsid w:val="00DC312F"/>
    <w:rsid w:val="00DC3EAC"/>
    <w:rsid w:val="00DC4189"/>
    <w:rsid w:val="00DC42A7"/>
    <w:rsid w:val="00DC44F8"/>
    <w:rsid w:val="00DC468F"/>
    <w:rsid w:val="00DC549B"/>
    <w:rsid w:val="00DC681A"/>
    <w:rsid w:val="00DC6B94"/>
    <w:rsid w:val="00DC720C"/>
    <w:rsid w:val="00DC7F87"/>
    <w:rsid w:val="00DC7FF2"/>
    <w:rsid w:val="00DD2067"/>
    <w:rsid w:val="00DD3D94"/>
    <w:rsid w:val="00DD4098"/>
    <w:rsid w:val="00DD5CA0"/>
    <w:rsid w:val="00DD6620"/>
    <w:rsid w:val="00DD6E10"/>
    <w:rsid w:val="00DD7395"/>
    <w:rsid w:val="00DD761B"/>
    <w:rsid w:val="00DE0D28"/>
    <w:rsid w:val="00DE1C9C"/>
    <w:rsid w:val="00DE24CE"/>
    <w:rsid w:val="00DE3100"/>
    <w:rsid w:val="00DE37D7"/>
    <w:rsid w:val="00DE39B9"/>
    <w:rsid w:val="00DE3A1B"/>
    <w:rsid w:val="00DE3B59"/>
    <w:rsid w:val="00DE47C8"/>
    <w:rsid w:val="00DE4A0F"/>
    <w:rsid w:val="00DE558B"/>
    <w:rsid w:val="00DE5BD5"/>
    <w:rsid w:val="00DE610D"/>
    <w:rsid w:val="00DE63C9"/>
    <w:rsid w:val="00DE6DB8"/>
    <w:rsid w:val="00DE6DDF"/>
    <w:rsid w:val="00DF00A8"/>
    <w:rsid w:val="00DF0650"/>
    <w:rsid w:val="00DF06F9"/>
    <w:rsid w:val="00DF09F4"/>
    <w:rsid w:val="00DF0DD8"/>
    <w:rsid w:val="00DF193A"/>
    <w:rsid w:val="00DF2B07"/>
    <w:rsid w:val="00DF2EDC"/>
    <w:rsid w:val="00DF3855"/>
    <w:rsid w:val="00DF444B"/>
    <w:rsid w:val="00DF4C81"/>
    <w:rsid w:val="00DF5050"/>
    <w:rsid w:val="00DF530C"/>
    <w:rsid w:val="00DF59E4"/>
    <w:rsid w:val="00DF5B93"/>
    <w:rsid w:val="00DF693D"/>
    <w:rsid w:val="00DF75E2"/>
    <w:rsid w:val="00DF7C22"/>
    <w:rsid w:val="00E00691"/>
    <w:rsid w:val="00E00DB9"/>
    <w:rsid w:val="00E03120"/>
    <w:rsid w:val="00E03444"/>
    <w:rsid w:val="00E036BE"/>
    <w:rsid w:val="00E044FD"/>
    <w:rsid w:val="00E04818"/>
    <w:rsid w:val="00E0527C"/>
    <w:rsid w:val="00E05B77"/>
    <w:rsid w:val="00E062C3"/>
    <w:rsid w:val="00E06809"/>
    <w:rsid w:val="00E070FA"/>
    <w:rsid w:val="00E07309"/>
    <w:rsid w:val="00E07984"/>
    <w:rsid w:val="00E10610"/>
    <w:rsid w:val="00E10E57"/>
    <w:rsid w:val="00E12D4D"/>
    <w:rsid w:val="00E143C8"/>
    <w:rsid w:val="00E149FB"/>
    <w:rsid w:val="00E150A9"/>
    <w:rsid w:val="00E152E9"/>
    <w:rsid w:val="00E1549B"/>
    <w:rsid w:val="00E15B84"/>
    <w:rsid w:val="00E15F34"/>
    <w:rsid w:val="00E16979"/>
    <w:rsid w:val="00E17593"/>
    <w:rsid w:val="00E205F4"/>
    <w:rsid w:val="00E211BA"/>
    <w:rsid w:val="00E21483"/>
    <w:rsid w:val="00E217B4"/>
    <w:rsid w:val="00E21979"/>
    <w:rsid w:val="00E22488"/>
    <w:rsid w:val="00E22681"/>
    <w:rsid w:val="00E22822"/>
    <w:rsid w:val="00E22925"/>
    <w:rsid w:val="00E22DB9"/>
    <w:rsid w:val="00E23378"/>
    <w:rsid w:val="00E23C3C"/>
    <w:rsid w:val="00E243F2"/>
    <w:rsid w:val="00E24D25"/>
    <w:rsid w:val="00E24FB5"/>
    <w:rsid w:val="00E25494"/>
    <w:rsid w:val="00E256E4"/>
    <w:rsid w:val="00E25D97"/>
    <w:rsid w:val="00E25DE3"/>
    <w:rsid w:val="00E26A13"/>
    <w:rsid w:val="00E30BB6"/>
    <w:rsid w:val="00E30F69"/>
    <w:rsid w:val="00E32539"/>
    <w:rsid w:val="00E32BEC"/>
    <w:rsid w:val="00E33358"/>
    <w:rsid w:val="00E34A0B"/>
    <w:rsid w:val="00E34BD0"/>
    <w:rsid w:val="00E35102"/>
    <w:rsid w:val="00E355E9"/>
    <w:rsid w:val="00E364A8"/>
    <w:rsid w:val="00E36705"/>
    <w:rsid w:val="00E3673B"/>
    <w:rsid w:val="00E36813"/>
    <w:rsid w:val="00E36DF4"/>
    <w:rsid w:val="00E37004"/>
    <w:rsid w:val="00E40A2F"/>
    <w:rsid w:val="00E40EC8"/>
    <w:rsid w:val="00E41B0C"/>
    <w:rsid w:val="00E42008"/>
    <w:rsid w:val="00E42104"/>
    <w:rsid w:val="00E4236E"/>
    <w:rsid w:val="00E42EE0"/>
    <w:rsid w:val="00E4420B"/>
    <w:rsid w:val="00E449B4"/>
    <w:rsid w:val="00E46D4A"/>
    <w:rsid w:val="00E503E7"/>
    <w:rsid w:val="00E509C2"/>
    <w:rsid w:val="00E50A3D"/>
    <w:rsid w:val="00E50E4E"/>
    <w:rsid w:val="00E50F94"/>
    <w:rsid w:val="00E52025"/>
    <w:rsid w:val="00E529CC"/>
    <w:rsid w:val="00E53D93"/>
    <w:rsid w:val="00E53DBA"/>
    <w:rsid w:val="00E5475B"/>
    <w:rsid w:val="00E549E2"/>
    <w:rsid w:val="00E54A29"/>
    <w:rsid w:val="00E54E9A"/>
    <w:rsid w:val="00E54F1D"/>
    <w:rsid w:val="00E5545A"/>
    <w:rsid w:val="00E55F41"/>
    <w:rsid w:val="00E5602E"/>
    <w:rsid w:val="00E56D08"/>
    <w:rsid w:val="00E572A1"/>
    <w:rsid w:val="00E6081C"/>
    <w:rsid w:val="00E60AF0"/>
    <w:rsid w:val="00E614BC"/>
    <w:rsid w:val="00E62F82"/>
    <w:rsid w:val="00E6303A"/>
    <w:rsid w:val="00E647F4"/>
    <w:rsid w:val="00E65341"/>
    <w:rsid w:val="00E657C8"/>
    <w:rsid w:val="00E662BE"/>
    <w:rsid w:val="00E67E36"/>
    <w:rsid w:val="00E67F09"/>
    <w:rsid w:val="00E7093D"/>
    <w:rsid w:val="00E70C87"/>
    <w:rsid w:val="00E70C89"/>
    <w:rsid w:val="00E70C8E"/>
    <w:rsid w:val="00E70CF6"/>
    <w:rsid w:val="00E70D80"/>
    <w:rsid w:val="00E70FEC"/>
    <w:rsid w:val="00E7178A"/>
    <w:rsid w:val="00E72474"/>
    <w:rsid w:val="00E72E18"/>
    <w:rsid w:val="00E735AD"/>
    <w:rsid w:val="00E738B8"/>
    <w:rsid w:val="00E738CC"/>
    <w:rsid w:val="00E74085"/>
    <w:rsid w:val="00E74A70"/>
    <w:rsid w:val="00E74D77"/>
    <w:rsid w:val="00E754B9"/>
    <w:rsid w:val="00E759E5"/>
    <w:rsid w:val="00E763E2"/>
    <w:rsid w:val="00E769B4"/>
    <w:rsid w:val="00E7736D"/>
    <w:rsid w:val="00E775A4"/>
    <w:rsid w:val="00E77ED1"/>
    <w:rsid w:val="00E8035B"/>
    <w:rsid w:val="00E80D25"/>
    <w:rsid w:val="00E813E9"/>
    <w:rsid w:val="00E81EBF"/>
    <w:rsid w:val="00E81F0E"/>
    <w:rsid w:val="00E81F4F"/>
    <w:rsid w:val="00E8243F"/>
    <w:rsid w:val="00E82E96"/>
    <w:rsid w:val="00E83417"/>
    <w:rsid w:val="00E84858"/>
    <w:rsid w:val="00E848A3"/>
    <w:rsid w:val="00E84F8B"/>
    <w:rsid w:val="00E85212"/>
    <w:rsid w:val="00E86196"/>
    <w:rsid w:val="00E86245"/>
    <w:rsid w:val="00E8664A"/>
    <w:rsid w:val="00E86D23"/>
    <w:rsid w:val="00E87339"/>
    <w:rsid w:val="00E901F1"/>
    <w:rsid w:val="00E90AB0"/>
    <w:rsid w:val="00E90B04"/>
    <w:rsid w:val="00E90F50"/>
    <w:rsid w:val="00E919DE"/>
    <w:rsid w:val="00E91C36"/>
    <w:rsid w:val="00E92D79"/>
    <w:rsid w:val="00E92FDD"/>
    <w:rsid w:val="00E9301E"/>
    <w:rsid w:val="00E9301F"/>
    <w:rsid w:val="00E93BF3"/>
    <w:rsid w:val="00E945AF"/>
    <w:rsid w:val="00E9489E"/>
    <w:rsid w:val="00E950C0"/>
    <w:rsid w:val="00E956C0"/>
    <w:rsid w:val="00E95B6B"/>
    <w:rsid w:val="00E95B7F"/>
    <w:rsid w:val="00E95BC2"/>
    <w:rsid w:val="00E95C41"/>
    <w:rsid w:val="00E96220"/>
    <w:rsid w:val="00E964CC"/>
    <w:rsid w:val="00E96748"/>
    <w:rsid w:val="00E969BF"/>
    <w:rsid w:val="00E97572"/>
    <w:rsid w:val="00EA091D"/>
    <w:rsid w:val="00EA2682"/>
    <w:rsid w:val="00EA2D68"/>
    <w:rsid w:val="00EA37B1"/>
    <w:rsid w:val="00EA3ECA"/>
    <w:rsid w:val="00EA4BD5"/>
    <w:rsid w:val="00EA4E97"/>
    <w:rsid w:val="00EA5041"/>
    <w:rsid w:val="00EA5282"/>
    <w:rsid w:val="00EA572E"/>
    <w:rsid w:val="00EA6E66"/>
    <w:rsid w:val="00EA7213"/>
    <w:rsid w:val="00EA7442"/>
    <w:rsid w:val="00EA75B4"/>
    <w:rsid w:val="00EB0AEE"/>
    <w:rsid w:val="00EB0C97"/>
    <w:rsid w:val="00EB114C"/>
    <w:rsid w:val="00EB1C9E"/>
    <w:rsid w:val="00EB1ED4"/>
    <w:rsid w:val="00EB310A"/>
    <w:rsid w:val="00EB3644"/>
    <w:rsid w:val="00EB3A38"/>
    <w:rsid w:val="00EB45B6"/>
    <w:rsid w:val="00EB4C75"/>
    <w:rsid w:val="00EB60A2"/>
    <w:rsid w:val="00EB60F8"/>
    <w:rsid w:val="00EB6282"/>
    <w:rsid w:val="00EB7457"/>
    <w:rsid w:val="00EB7D79"/>
    <w:rsid w:val="00EC0227"/>
    <w:rsid w:val="00EC0FC2"/>
    <w:rsid w:val="00EC1344"/>
    <w:rsid w:val="00EC1AC1"/>
    <w:rsid w:val="00EC1B6B"/>
    <w:rsid w:val="00EC1E38"/>
    <w:rsid w:val="00EC208B"/>
    <w:rsid w:val="00EC21D2"/>
    <w:rsid w:val="00EC2732"/>
    <w:rsid w:val="00EC34A5"/>
    <w:rsid w:val="00EC350C"/>
    <w:rsid w:val="00EC4993"/>
    <w:rsid w:val="00EC5056"/>
    <w:rsid w:val="00EC51B8"/>
    <w:rsid w:val="00EC571B"/>
    <w:rsid w:val="00EC5899"/>
    <w:rsid w:val="00EC5959"/>
    <w:rsid w:val="00EC5A5E"/>
    <w:rsid w:val="00EC778F"/>
    <w:rsid w:val="00ED0921"/>
    <w:rsid w:val="00ED09AC"/>
    <w:rsid w:val="00ED0DE8"/>
    <w:rsid w:val="00ED1124"/>
    <w:rsid w:val="00ED115B"/>
    <w:rsid w:val="00ED1F19"/>
    <w:rsid w:val="00ED24B0"/>
    <w:rsid w:val="00ED2802"/>
    <w:rsid w:val="00ED2B42"/>
    <w:rsid w:val="00ED2FF7"/>
    <w:rsid w:val="00ED3925"/>
    <w:rsid w:val="00ED49B8"/>
    <w:rsid w:val="00ED5585"/>
    <w:rsid w:val="00ED5707"/>
    <w:rsid w:val="00ED65BA"/>
    <w:rsid w:val="00ED66EE"/>
    <w:rsid w:val="00ED6CE7"/>
    <w:rsid w:val="00ED741A"/>
    <w:rsid w:val="00ED7C56"/>
    <w:rsid w:val="00ED7C58"/>
    <w:rsid w:val="00ED7FF1"/>
    <w:rsid w:val="00EE0211"/>
    <w:rsid w:val="00EE0B44"/>
    <w:rsid w:val="00EE1554"/>
    <w:rsid w:val="00EE1938"/>
    <w:rsid w:val="00EE1EE1"/>
    <w:rsid w:val="00EE2A94"/>
    <w:rsid w:val="00EE30BA"/>
    <w:rsid w:val="00EE3360"/>
    <w:rsid w:val="00EE33B4"/>
    <w:rsid w:val="00EE376F"/>
    <w:rsid w:val="00EE3BFD"/>
    <w:rsid w:val="00EE3C12"/>
    <w:rsid w:val="00EE4127"/>
    <w:rsid w:val="00EE45FE"/>
    <w:rsid w:val="00EE5613"/>
    <w:rsid w:val="00EE5C10"/>
    <w:rsid w:val="00EE5EF4"/>
    <w:rsid w:val="00EE6598"/>
    <w:rsid w:val="00EE7024"/>
    <w:rsid w:val="00EE782A"/>
    <w:rsid w:val="00EE7911"/>
    <w:rsid w:val="00EE7C84"/>
    <w:rsid w:val="00EE7DCD"/>
    <w:rsid w:val="00EE7EDC"/>
    <w:rsid w:val="00EF0BB0"/>
    <w:rsid w:val="00EF1BA2"/>
    <w:rsid w:val="00EF2434"/>
    <w:rsid w:val="00EF2727"/>
    <w:rsid w:val="00EF27E2"/>
    <w:rsid w:val="00EF2909"/>
    <w:rsid w:val="00EF2D07"/>
    <w:rsid w:val="00EF363A"/>
    <w:rsid w:val="00EF3656"/>
    <w:rsid w:val="00EF4445"/>
    <w:rsid w:val="00EF487E"/>
    <w:rsid w:val="00EF4979"/>
    <w:rsid w:val="00EF4C01"/>
    <w:rsid w:val="00EF51D4"/>
    <w:rsid w:val="00EF56D7"/>
    <w:rsid w:val="00EF58B5"/>
    <w:rsid w:val="00EF5B30"/>
    <w:rsid w:val="00EF5C8E"/>
    <w:rsid w:val="00EF6371"/>
    <w:rsid w:val="00EF66F6"/>
    <w:rsid w:val="00EF694A"/>
    <w:rsid w:val="00EF6FDE"/>
    <w:rsid w:val="00EF78D7"/>
    <w:rsid w:val="00EF7D95"/>
    <w:rsid w:val="00F0160A"/>
    <w:rsid w:val="00F01B26"/>
    <w:rsid w:val="00F01DAF"/>
    <w:rsid w:val="00F0281F"/>
    <w:rsid w:val="00F02BBF"/>
    <w:rsid w:val="00F02CBF"/>
    <w:rsid w:val="00F02F7D"/>
    <w:rsid w:val="00F03684"/>
    <w:rsid w:val="00F038BE"/>
    <w:rsid w:val="00F03FC7"/>
    <w:rsid w:val="00F0578F"/>
    <w:rsid w:val="00F07FD4"/>
    <w:rsid w:val="00F10033"/>
    <w:rsid w:val="00F107EE"/>
    <w:rsid w:val="00F114B2"/>
    <w:rsid w:val="00F119D4"/>
    <w:rsid w:val="00F11D7C"/>
    <w:rsid w:val="00F11E04"/>
    <w:rsid w:val="00F12001"/>
    <w:rsid w:val="00F124F2"/>
    <w:rsid w:val="00F12795"/>
    <w:rsid w:val="00F1281C"/>
    <w:rsid w:val="00F13B33"/>
    <w:rsid w:val="00F140EB"/>
    <w:rsid w:val="00F14A9F"/>
    <w:rsid w:val="00F14E84"/>
    <w:rsid w:val="00F156F6"/>
    <w:rsid w:val="00F15E46"/>
    <w:rsid w:val="00F15F09"/>
    <w:rsid w:val="00F161BB"/>
    <w:rsid w:val="00F16F84"/>
    <w:rsid w:val="00F17746"/>
    <w:rsid w:val="00F17FA4"/>
    <w:rsid w:val="00F20C9E"/>
    <w:rsid w:val="00F218DE"/>
    <w:rsid w:val="00F21A8C"/>
    <w:rsid w:val="00F21DEB"/>
    <w:rsid w:val="00F2292C"/>
    <w:rsid w:val="00F23F2E"/>
    <w:rsid w:val="00F24B64"/>
    <w:rsid w:val="00F24F96"/>
    <w:rsid w:val="00F252D9"/>
    <w:rsid w:val="00F25505"/>
    <w:rsid w:val="00F258FF"/>
    <w:rsid w:val="00F25ECC"/>
    <w:rsid w:val="00F26169"/>
    <w:rsid w:val="00F2619D"/>
    <w:rsid w:val="00F26A5C"/>
    <w:rsid w:val="00F273B9"/>
    <w:rsid w:val="00F276DB"/>
    <w:rsid w:val="00F2770A"/>
    <w:rsid w:val="00F27A29"/>
    <w:rsid w:val="00F27DC0"/>
    <w:rsid w:val="00F27E2F"/>
    <w:rsid w:val="00F30255"/>
    <w:rsid w:val="00F30840"/>
    <w:rsid w:val="00F3147B"/>
    <w:rsid w:val="00F34957"/>
    <w:rsid w:val="00F35506"/>
    <w:rsid w:val="00F36DDD"/>
    <w:rsid w:val="00F37519"/>
    <w:rsid w:val="00F4074B"/>
    <w:rsid w:val="00F40C00"/>
    <w:rsid w:val="00F40DA3"/>
    <w:rsid w:val="00F40DB1"/>
    <w:rsid w:val="00F414A4"/>
    <w:rsid w:val="00F416F0"/>
    <w:rsid w:val="00F41AD3"/>
    <w:rsid w:val="00F41ADA"/>
    <w:rsid w:val="00F41D52"/>
    <w:rsid w:val="00F41E14"/>
    <w:rsid w:val="00F42204"/>
    <w:rsid w:val="00F4270D"/>
    <w:rsid w:val="00F4443A"/>
    <w:rsid w:val="00F455B5"/>
    <w:rsid w:val="00F46F54"/>
    <w:rsid w:val="00F471EE"/>
    <w:rsid w:val="00F476D1"/>
    <w:rsid w:val="00F478A6"/>
    <w:rsid w:val="00F50505"/>
    <w:rsid w:val="00F50C6D"/>
    <w:rsid w:val="00F52492"/>
    <w:rsid w:val="00F5317A"/>
    <w:rsid w:val="00F53ECC"/>
    <w:rsid w:val="00F544A1"/>
    <w:rsid w:val="00F54762"/>
    <w:rsid w:val="00F54EA8"/>
    <w:rsid w:val="00F603CA"/>
    <w:rsid w:val="00F605DE"/>
    <w:rsid w:val="00F60B9B"/>
    <w:rsid w:val="00F60D78"/>
    <w:rsid w:val="00F60DF9"/>
    <w:rsid w:val="00F60FF2"/>
    <w:rsid w:val="00F610B6"/>
    <w:rsid w:val="00F61411"/>
    <w:rsid w:val="00F6187C"/>
    <w:rsid w:val="00F61D33"/>
    <w:rsid w:val="00F62169"/>
    <w:rsid w:val="00F6233A"/>
    <w:rsid w:val="00F627C2"/>
    <w:rsid w:val="00F628B8"/>
    <w:rsid w:val="00F63420"/>
    <w:rsid w:val="00F63A34"/>
    <w:rsid w:val="00F63C31"/>
    <w:rsid w:val="00F63FE8"/>
    <w:rsid w:val="00F644B4"/>
    <w:rsid w:val="00F64CF5"/>
    <w:rsid w:val="00F6621B"/>
    <w:rsid w:val="00F66318"/>
    <w:rsid w:val="00F674E3"/>
    <w:rsid w:val="00F67E11"/>
    <w:rsid w:val="00F67E97"/>
    <w:rsid w:val="00F67F88"/>
    <w:rsid w:val="00F700A6"/>
    <w:rsid w:val="00F70275"/>
    <w:rsid w:val="00F7040E"/>
    <w:rsid w:val="00F70507"/>
    <w:rsid w:val="00F713A0"/>
    <w:rsid w:val="00F71486"/>
    <w:rsid w:val="00F71490"/>
    <w:rsid w:val="00F7200F"/>
    <w:rsid w:val="00F72DEF"/>
    <w:rsid w:val="00F72F85"/>
    <w:rsid w:val="00F73169"/>
    <w:rsid w:val="00F741B6"/>
    <w:rsid w:val="00F74A64"/>
    <w:rsid w:val="00F74E92"/>
    <w:rsid w:val="00F74FE0"/>
    <w:rsid w:val="00F75130"/>
    <w:rsid w:val="00F76953"/>
    <w:rsid w:val="00F7748A"/>
    <w:rsid w:val="00F77C0E"/>
    <w:rsid w:val="00F8009B"/>
    <w:rsid w:val="00F80662"/>
    <w:rsid w:val="00F80DCB"/>
    <w:rsid w:val="00F81447"/>
    <w:rsid w:val="00F81822"/>
    <w:rsid w:val="00F825A0"/>
    <w:rsid w:val="00F828F0"/>
    <w:rsid w:val="00F828FB"/>
    <w:rsid w:val="00F82ECF"/>
    <w:rsid w:val="00F8437D"/>
    <w:rsid w:val="00F84FB1"/>
    <w:rsid w:val="00F85648"/>
    <w:rsid w:val="00F86231"/>
    <w:rsid w:val="00F86287"/>
    <w:rsid w:val="00F86886"/>
    <w:rsid w:val="00F908A0"/>
    <w:rsid w:val="00F91B8D"/>
    <w:rsid w:val="00F92437"/>
    <w:rsid w:val="00F92B28"/>
    <w:rsid w:val="00F930DA"/>
    <w:rsid w:val="00F935B3"/>
    <w:rsid w:val="00F9374B"/>
    <w:rsid w:val="00F9381D"/>
    <w:rsid w:val="00F946CC"/>
    <w:rsid w:val="00F94754"/>
    <w:rsid w:val="00F95509"/>
    <w:rsid w:val="00F95731"/>
    <w:rsid w:val="00F95FC9"/>
    <w:rsid w:val="00F96564"/>
    <w:rsid w:val="00F96E1A"/>
    <w:rsid w:val="00F975AD"/>
    <w:rsid w:val="00FA006F"/>
    <w:rsid w:val="00FA1192"/>
    <w:rsid w:val="00FA36CD"/>
    <w:rsid w:val="00FA4278"/>
    <w:rsid w:val="00FA462B"/>
    <w:rsid w:val="00FA4958"/>
    <w:rsid w:val="00FA573A"/>
    <w:rsid w:val="00FA5C36"/>
    <w:rsid w:val="00FA6275"/>
    <w:rsid w:val="00FA642C"/>
    <w:rsid w:val="00FA6F6A"/>
    <w:rsid w:val="00FA7294"/>
    <w:rsid w:val="00FA7845"/>
    <w:rsid w:val="00FB1A04"/>
    <w:rsid w:val="00FB1DC3"/>
    <w:rsid w:val="00FB1E75"/>
    <w:rsid w:val="00FB1EDD"/>
    <w:rsid w:val="00FB2141"/>
    <w:rsid w:val="00FB27AE"/>
    <w:rsid w:val="00FB3B04"/>
    <w:rsid w:val="00FB4D2A"/>
    <w:rsid w:val="00FB5C4A"/>
    <w:rsid w:val="00FB5D72"/>
    <w:rsid w:val="00FB6336"/>
    <w:rsid w:val="00FC0A3D"/>
    <w:rsid w:val="00FC0AFE"/>
    <w:rsid w:val="00FC1E72"/>
    <w:rsid w:val="00FC24CD"/>
    <w:rsid w:val="00FC2958"/>
    <w:rsid w:val="00FC4558"/>
    <w:rsid w:val="00FC46D8"/>
    <w:rsid w:val="00FC4CF0"/>
    <w:rsid w:val="00FC5226"/>
    <w:rsid w:val="00FC5577"/>
    <w:rsid w:val="00FC5A65"/>
    <w:rsid w:val="00FC5D6F"/>
    <w:rsid w:val="00FC613E"/>
    <w:rsid w:val="00FC668D"/>
    <w:rsid w:val="00FC6A89"/>
    <w:rsid w:val="00FC7069"/>
    <w:rsid w:val="00FC729A"/>
    <w:rsid w:val="00FC7F18"/>
    <w:rsid w:val="00FD00EE"/>
    <w:rsid w:val="00FD05E4"/>
    <w:rsid w:val="00FD0E13"/>
    <w:rsid w:val="00FD14DC"/>
    <w:rsid w:val="00FD1524"/>
    <w:rsid w:val="00FD1F15"/>
    <w:rsid w:val="00FD21B2"/>
    <w:rsid w:val="00FD22D7"/>
    <w:rsid w:val="00FD2869"/>
    <w:rsid w:val="00FD2A32"/>
    <w:rsid w:val="00FD2D73"/>
    <w:rsid w:val="00FD34DF"/>
    <w:rsid w:val="00FD3D45"/>
    <w:rsid w:val="00FD405D"/>
    <w:rsid w:val="00FD5257"/>
    <w:rsid w:val="00FD55F4"/>
    <w:rsid w:val="00FD5F2C"/>
    <w:rsid w:val="00FD6E75"/>
    <w:rsid w:val="00FD71CB"/>
    <w:rsid w:val="00FD7573"/>
    <w:rsid w:val="00FD7E5F"/>
    <w:rsid w:val="00FE10FF"/>
    <w:rsid w:val="00FE11F3"/>
    <w:rsid w:val="00FE1BA2"/>
    <w:rsid w:val="00FE24A5"/>
    <w:rsid w:val="00FE262B"/>
    <w:rsid w:val="00FE2EC0"/>
    <w:rsid w:val="00FE3475"/>
    <w:rsid w:val="00FE4841"/>
    <w:rsid w:val="00FE48D2"/>
    <w:rsid w:val="00FE492D"/>
    <w:rsid w:val="00FE4EB2"/>
    <w:rsid w:val="00FE5AC4"/>
    <w:rsid w:val="00FE6EB4"/>
    <w:rsid w:val="00FF04BA"/>
    <w:rsid w:val="00FF0CCB"/>
    <w:rsid w:val="00FF172C"/>
    <w:rsid w:val="00FF2AC9"/>
    <w:rsid w:val="00FF2B13"/>
    <w:rsid w:val="00FF2CEA"/>
    <w:rsid w:val="00FF33A9"/>
    <w:rsid w:val="00FF3CA9"/>
    <w:rsid w:val="00FF4810"/>
    <w:rsid w:val="00FF4814"/>
    <w:rsid w:val="00FF4960"/>
    <w:rsid w:val="00FF5078"/>
    <w:rsid w:val="00FF585B"/>
    <w:rsid w:val="00FF59F8"/>
    <w:rsid w:val="00FF65CA"/>
    <w:rsid w:val="00FF7007"/>
    <w:rsid w:val="00FF7E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20" w:line="276" w:lineRule="auto"/>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97B"/>
    <w:pPr>
      <w:spacing w:line="240" w:lineRule="auto"/>
      <w:ind w:left="0"/>
    </w:pPr>
    <w:rPr>
      <w:rFonts w:ascii="Calibri" w:eastAsia="Times New Roman" w:hAnsi="Calibri" w:cs="Times New Roman"/>
      <w:szCs w:val="24"/>
    </w:rPr>
  </w:style>
  <w:style w:type="paragraph" w:styleId="Heading1">
    <w:name w:val="heading 1"/>
    <w:basedOn w:val="Normal"/>
    <w:next w:val="Normal"/>
    <w:link w:val="Heading1Char"/>
    <w:uiPriority w:val="9"/>
    <w:qFormat/>
    <w:rsid w:val="00FC5226"/>
    <w:pPr>
      <w:keepNext/>
      <w:keepLines/>
      <w:numPr>
        <w:numId w:val="8"/>
      </w:numPr>
      <w:spacing w:before="480" w:after="0"/>
      <w:outlineLvl w:val="0"/>
    </w:pPr>
    <w:rPr>
      <w:rFonts w:eastAsiaTheme="majorEastAsia" w:cstheme="majorBidi"/>
      <w:b/>
      <w:bCs/>
      <w:caps/>
      <w:sz w:val="28"/>
      <w:szCs w:val="28"/>
    </w:rPr>
  </w:style>
  <w:style w:type="paragraph" w:styleId="Heading2">
    <w:name w:val="heading 2"/>
    <w:basedOn w:val="Normal"/>
    <w:next w:val="Normal"/>
    <w:link w:val="Heading2Char"/>
    <w:autoRedefine/>
    <w:uiPriority w:val="9"/>
    <w:unhideWhenUsed/>
    <w:qFormat/>
    <w:rsid w:val="00FC5226"/>
    <w:pPr>
      <w:keepNext/>
      <w:keepLines/>
      <w:numPr>
        <w:ilvl w:val="1"/>
        <w:numId w:val="8"/>
      </w:numPr>
      <w:ind w:left="578" w:hanging="578"/>
      <w:outlineLvl w:val="1"/>
    </w:pPr>
    <w:rPr>
      <w:rFonts w:ascii="CoM" w:eastAsiaTheme="majorEastAsia" w:hAnsi="CoM" w:cstheme="majorBidi"/>
      <w:bCs/>
      <w:sz w:val="32"/>
      <w:szCs w:val="32"/>
    </w:rPr>
  </w:style>
  <w:style w:type="paragraph" w:styleId="Heading3">
    <w:name w:val="heading 3"/>
    <w:basedOn w:val="Normal"/>
    <w:next w:val="Normal"/>
    <w:link w:val="Heading3Char"/>
    <w:uiPriority w:val="9"/>
    <w:unhideWhenUsed/>
    <w:qFormat/>
    <w:rsid w:val="00C019B5"/>
    <w:pPr>
      <w:keepNext/>
      <w:keepLines/>
      <w:numPr>
        <w:ilvl w:val="2"/>
        <w:numId w:val="8"/>
      </w:numPr>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3F04AF"/>
    <w:pPr>
      <w:keepNext/>
      <w:keepLines/>
      <w:spacing w:before="120"/>
      <w:outlineLvl w:val="3"/>
    </w:pPr>
    <w:rPr>
      <w:rFonts w:eastAsiaTheme="majorEastAsia" w:cstheme="majorBidi"/>
      <w:b/>
      <w:bCs/>
      <w:iCs/>
      <w:color w:val="404040" w:themeColor="text1" w:themeTint="BF"/>
      <w:sz w:val="24"/>
    </w:rPr>
  </w:style>
  <w:style w:type="paragraph" w:styleId="Heading5">
    <w:name w:val="heading 5"/>
    <w:basedOn w:val="Normal"/>
    <w:next w:val="Normal"/>
    <w:link w:val="Heading5Char"/>
    <w:autoRedefine/>
    <w:uiPriority w:val="9"/>
    <w:unhideWhenUsed/>
    <w:qFormat/>
    <w:rsid w:val="003F04AF"/>
    <w:pPr>
      <w:keepNext/>
      <w:keepLines/>
      <w:outlineLvl w:val="4"/>
    </w:pPr>
    <w:rPr>
      <w:rFonts w:eastAsiaTheme="majorEastAsia" w:cstheme="majorBidi"/>
      <w:b/>
      <w:i/>
      <w:color w:val="000000" w:themeColor="text1"/>
    </w:rPr>
  </w:style>
  <w:style w:type="paragraph" w:styleId="Heading6">
    <w:name w:val="heading 6"/>
    <w:basedOn w:val="Normal"/>
    <w:next w:val="Normal"/>
    <w:link w:val="Heading6Char"/>
    <w:autoRedefine/>
    <w:uiPriority w:val="9"/>
    <w:unhideWhenUsed/>
    <w:qFormat/>
    <w:rsid w:val="0097567E"/>
    <w:pPr>
      <w:keepNext/>
      <w:keepLines/>
      <w:numPr>
        <w:ilvl w:val="5"/>
        <w:numId w:val="8"/>
      </w:numPr>
      <w:outlineLvl w:val="5"/>
    </w:pPr>
    <w:rPr>
      <w:rFonts w:eastAsiaTheme="majorEastAsia" w:cstheme="majorBidi"/>
      <w:b/>
      <w:i/>
      <w:iCs/>
      <w:color w:val="404040" w:themeColor="text1" w:themeTint="BF"/>
      <w:u w:val="single"/>
    </w:rPr>
  </w:style>
  <w:style w:type="paragraph" w:styleId="Heading7">
    <w:name w:val="heading 7"/>
    <w:basedOn w:val="Normal"/>
    <w:next w:val="Normal"/>
    <w:link w:val="Heading7Char"/>
    <w:uiPriority w:val="9"/>
    <w:unhideWhenUsed/>
    <w:qFormat/>
    <w:rsid w:val="00A275D9"/>
    <w:pPr>
      <w:keepNext/>
      <w:keepLines/>
      <w:numPr>
        <w:ilvl w:val="6"/>
        <w:numId w:val="8"/>
      </w:numPr>
      <w:outlineLvl w:val="6"/>
    </w:pPr>
    <w:rPr>
      <w:rFonts w:eastAsiaTheme="majorEastAsia" w:cstheme="majorBidi"/>
      <w:b/>
      <w:iCs/>
      <w:color w:val="404040" w:themeColor="text1" w:themeTint="BF"/>
    </w:rPr>
  </w:style>
  <w:style w:type="paragraph" w:styleId="Heading8">
    <w:name w:val="heading 8"/>
    <w:basedOn w:val="Normal"/>
    <w:next w:val="Normal"/>
    <w:link w:val="Heading8Char"/>
    <w:uiPriority w:val="9"/>
    <w:unhideWhenUsed/>
    <w:qFormat/>
    <w:rsid w:val="00503202"/>
    <w:pPr>
      <w:keepNext/>
      <w:keepLines/>
      <w:numPr>
        <w:ilvl w:val="7"/>
        <w:numId w:val="8"/>
      </w:numPr>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75206"/>
    <w:pPr>
      <w:keepNext/>
      <w:keepLines/>
      <w:numPr>
        <w:ilvl w:val="8"/>
        <w:numId w:val="8"/>
      </w:numPr>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226"/>
    <w:rPr>
      <w:rFonts w:ascii="Calibri" w:eastAsiaTheme="majorEastAsia" w:hAnsi="Calibri" w:cstheme="majorBidi"/>
      <w:b/>
      <w:bCs/>
      <w:caps/>
      <w:sz w:val="28"/>
      <w:szCs w:val="28"/>
    </w:rPr>
  </w:style>
  <w:style w:type="character" w:customStyle="1" w:styleId="Heading2Char">
    <w:name w:val="Heading 2 Char"/>
    <w:basedOn w:val="DefaultParagraphFont"/>
    <w:link w:val="Heading2"/>
    <w:uiPriority w:val="9"/>
    <w:rsid w:val="00FC5226"/>
    <w:rPr>
      <w:rFonts w:ascii="CoM" w:eastAsiaTheme="majorEastAsia" w:hAnsi="CoM" w:cstheme="majorBidi"/>
      <w:bCs/>
      <w:sz w:val="32"/>
      <w:szCs w:val="32"/>
    </w:rPr>
  </w:style>
  <w:style w:type="paragraph" w:styleId="Title">
    <w:name w:val="Title"/>
    <w:basedOn w:val="Normal"/>
    <w:next w:val="Normal"/>
    <w:link w:val="TitleChar"/>
    <w:uiPriority w:val="10"/>
    <w:qFormat/>
    <w:rsid w:val="00FF0CCB"/>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0CCB"/>
    <w:rPr>
      <w:rFonts w:ascii="Calibri" w:eastAsiaTheme="majorEastAsia" w:hAnsi="Calibr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C019B5"/>
    <w:rPr>
      <w:rFonts w:ascii="Calibri" w:eastAsiaTheme="majorEastAsia" w:hAnsi="Calibri" w:cstheme="majorBidi"/>
      <w:b/>
      <w:bCs/>
      <w:sz w:val="24"/>
      <w:szCs w:val="24"/>
    </w:rPr>
  </w:style>
  <w:style w:type="character" w:customStyle="1" w:styleId="Heading4Char">
    <w:name w:val="Heading 4 Char"/>
    <w:basedOn w:val="DefaultParagraphFont"/>
    <w:link w:val="Heading4"/>
    <w:uiPriority w:val="9"/>
    <w:rsid w:val="003F04AF"/>
    <w:rPr>
      <w:rFonts w:ascii="Calibri" w:eastAsiaTheme="majorEastAsia" w:hAnsi="Calibri" w:cstheme="majorBidi"/>
      <w:b/>
      <w:bCs/>
      <w:iCs/>
      <w:color w:val="404040" w:themeColor="text1" w:themeTint="BF"/>
      <w:sz w:val="24"/>
      <w:szCs w:val="24"/>
    </w:rPr>
  </w:style>
  <w:style w:type="character" w:customStyle="1" w:styleId="Heading5Char">
    <w:name w:val="Heading 5 Char"/>
    <w:basedOn w:val="DefaultParagraphFont"/>
    <w:link w:val="Heading5"/>
    <w:uiPriority w:val="9"/>
    <w:rsid w:val="003F04AF"/>
    <w:rPr>
      <w:rFonts w:ascii="Calibri" w:eastAsiaTheme="majorEastAsia" w:hAnsi="Calibri" w:cstheme="majorBidi"/>
      <w:b/>
      <w:i/>
      <w:color w:val="000000" w:themeColor="text1"/>
      <w:szCs w:val="24"/>
    </w:rPr>
  </w:style>
  <w:style w:type="character" w:customStyle="1" w:styleId="Heading6Char">
    <w:name w:val="Heading 6 Char"/>
    <w:basedOn w:val="DefaultParagraphFont"/>
    <w:link w:val="Heading6"/>
    <w:uiPriority w:val="9"/>
    <w:rsid w:val="0097567E"/>
    <w:rPr>
      <w:rFonts w:ascii="Calibri" w:eastAsiaTheme="majorEastAsia" w:hAnsi="Calibri" w:cstheme="majorBidi"/>
      <w:b/>
      <w:i/>
      <w:iCs/>
      <w:color w:val="404040" w:themeColor="text1" w:themeTint="BF"/>
      <w:szCs w:val="24"/>
      <w:u w:val="single"/>
    </w:rPr>
  </w:style>
  <w:style w:type="character" w:customStyle="1" w:styleId="Heading7Char">
    <w:name w:val="Heading 7 Char"/>
    <w:basedOn w:val="DefaultParagraphFont"/>
    <w:link w:val="Heading7"/>
    <w:uiPriority w:val="9"/>
    <w:rsid w:val="00375206"/>
    <w:rPr>
      <w:rFonts w:ascii="Calibri" w:eastAsiaTheme="majorEastAsia" w:hAnsi="Calibri" w:cstheme="majorBidi"/>
      <w:b/>
      <w:iCs/>
      <w:color w:val="404040" w:themeColor="text1" w:themeTint="BF"/>
      <w:szCs w:val="24"/>
    </w:rPr>
  </w:style>
  <w:style w:type="character" w:customStyle="1" w:styleId="Heading8Char">
    <w:name w:val="Heading 8 Char"/>
    <w:basedOn w:val="DefaultParagraphFont"/>
    <w:link w:val="Heading8"/>
    <w:uiPriority w:val="9"/>
    <w:rsid w:val="00375206"/>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375206"/>
    <w:rPr>
      <w:rFonts w:asciiTheme="majorHAnsi" w:eastAsiaTheme="majorEastAsia" w:hAnsiTheme="majorHAnsi" w:cstheme="majorBidi"/>
      <w:i/>
      <w:iCs/>
      <w:color w:val="404040" w:themeColor="text1" w:themeTint="BF"/>
      <w:szCs w:val="20"/>
    </w:rPr>
  </w:style>
  <w:style w:type="numbering" w:customStyle="1" w:styleId="Style6">
    <w:name w:val="Style6"/>
    <w:uiPriority w:val="99"/>
    <w:rsid w:val="00375206"/>
    <w:pPr>
      <w:numPr>
        <w:numId w:val="1"/>
      </w:numPr>
    </w:pPr>
  </w:style>
  <w:style w:type="numbering" w:customStyle="1" w:styleId="Style7">
    <w:name w:val="Style7"/>
    <w:uiPriority w:val="99"/>
    <w:rsid w:val="00375206"/>
    <w:pPr>
      <w:numPr>
        <w:numId w:val="2"/>
      </w:numPr>
    </w:pPr>
  </w:style>
  <w:style w:type="paragraph" w:styleId="ListParagraph">
    <w:name w:val="List Paragraph"/>
    <w:basedOn w:val="Normal"/>
    <w:link w:val="ListParagraphChar"/>
    <w:uiPriority w:val="34"/>
    <w:qFormat/>
    <w:rsid w:val="00375206"/>
    <w:pPr>
      <w:spacing w:after="200"/>
      <w:ind w:left="720"/>
      <w:contextualSpacing/>
    </w:pPr>
    <w:rPr>
      <w:rFonts w:cs="Arial"/>
    </w:rPr>
  </w:style>
  <w:style w:type="paragraph" w:styleId="Caption">
    <w:name w:val="caption"/>
    <w:basedOn w:val="Normal"/>
    <w:next w:val="Normal"/>
    <w:unhideWhenUsed/>
    <w:qFormat/>
    <w:rsid w:val="00FC5226"/>
    <w:pPr>
      <w:keepNext/>
      <w:jc w:val="center"/>
    </w:pPr>
    <w:rPr>
      <w:rFonts w:cs="Arial"/>
      <w:b/>
      <w:bCs/>
      <w:szCs w:val="18"/>
    </w:rPr>
  </w:style>
  <w:style w:type="paragraph" w:styleId="Subtitle">
    <w:name w:val="Subtitle"/>
    <w:basedOn w:val="Normal"/>
    <w:next w:val="Normal"/>
    <w:link w:val="SubtitleChar"/>
    <w:uiPriority w:val="11"/>
    <w:qFormat/>
    <w:rsid w:val="00375206"/>
    <w:pPr>
      <w:numPr>
        <w:ilvl w:val="1"/>
      </w:numPr>
      <w:ind w:left="1434" w:hanging="357"/>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375206"/>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375206"/>
    <w:pPr>
      <w:spacing w:line="240" w:lineRule="auto"/>
      <w:ind w:left="0"/>
    </w:pPr>
    <w:rPr>
      <w:rFonts w:ascii="Arial" w:eastAsiaTheme="minorEastAsia" w:hAnsi="Arial"/>
      <w:sz w:val="20"/>
      <w:szCs w:val="24"/>
    </w:rPr>
  </w:style>
  <w:style w:type="character" w:customStyle="1" w:styleId="NoSpacingChar">
    <w:name w:val="No Spacing Char"/>
    <w:basedOn w:val="DefaultParagraphFont"/>
    <w:link w:val="NoSpacing"/>
    <w:uiPriority w:val="1"/>
    <w:rsid w:val="00375206"/>
    <w:rPr>
      <w:rFonts w:ascii="Arial" w:eastAsiaTheme="minorEastAsia" w:hAnsi="Arial"/>
      <w:sz w:val="20"/>
      <w:szCs w:val="24"/>
    </w:rPr>
  </w:style>
  <w:style w:type="paragraph" w:styleId="TOCHeading">
    <w:name w:val="TOC Heading"/>
    <w:basedOn w:val="Heading1"/>
    <w:next w:val="Normal"/>
    <w:uiPriority w:val="39"/>
    <w:semiHidden/>
    <w:unhideWhenUsed/>
    <w:qFormat/>
    <w:rsid w:val="00375206"/>
    <w:pPr>
      <w:spacing w:after="120"/>
      <w:outlineLvl w:val="9"/>
    </w:pPr>
  </w:style>
  <w:style w:type="paragraph" w:styleId="DocumentMap">
    <w:name w:val="Document Map"/>
    <w:basedOn w:val="Normal"/>
    <w:link w:val="DocumentMapChar"/>
    <w:uiPriority w:val="99"/>
    <w:semiHidden/>
    <w:unhideWhenUsed/>
    <w:rsid w:val="0037520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5206"/>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37520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206"/>
    <w:rPr>
      <w:rFonts w:ascii="Tahoma" w:eastAsia="Times New Roman" w:hAnsi="Tahoma" w:cs="Tahoma"/>
      <w:sz w:val="16"/>
      <w:szCs w:val="16"/>
    </w:rPr>
  </w:style>
  <w:style w:type="paragraph" w:customStyle="1" w:styleId="DraftHeading2">
    <w:name w:val="Draft Heading 2"/>
    <w:basedOn w:val="Normal"/>
    <w:next w:val="Normal"/>
    <w:uiPriority w:val="99"/>
    <w:rsid w:val="00375206"/>
    <w:pPr>
      <w:overflowPunct w:val="0"/>
      <w:autoSpaceDE w:val="0"/>
      <w:autoSpaceDN w:val="0"/>
      <w:adjustRightInd w:val="0"/>
      <w:spacing w:before="120" w:after="0"/>
      <w:textAlignment w:val="baseline"/>
    </w:pPr>
    <w:rPr>
      <w:rFonts w:ascii="Times New Roman" w:hAnsi="Times New Roman"/>
      <w:sz w:val="24"/>
    </w:rPr>
  </w:style>
  <w:style w:type="paragraph" w:customStyle="1" w:styleId="DraftHeading3">
    <w:name w:val="Draft Heading 3"/>
    <w:basedOn w:val="Normal"/>
    <w:next w:val="Normal"/>
    <w:uiPriority w:val="99"/>
    <w:rsid w:val="00375206"/>
    <w:pPr>
      <w:overflowPunct w:val="0"/>
      <w:autoSpaceDE w:val="0"/>
      <w:autoSpaceDN w:val="0"/>
      <w:adjustRightInd w:val="0"/>
      <w:spacing w:before="120" w:after="0"/>
      <w:textAlignment w:val="baseline"/>
    </w:pPr>
    <w:rPr>
      <w:rFonts w:ascii="Times New Roman" w:hAnsi="Times New Roman"/>
      <w:sz w:val="24"/>
    </w:rPr>
  </w:style>
  <w:style w:type="paragraph" w:styleId="FootnoteText">
    <w:name w:val="footnote text"/>
    <w:basedOn w:val="Normal"/>
    <w:link w:val="FootnoteTextChar"/>
    <w:uiPriority w:val="99"/>
    <w:unhideWhenUsed/>
    <w:rsid w:val="00375206"/>
    <w:pPr>
      <w:spacing w:after="0"/>
    </w:pPr>
    <w:rPr>
      <w:szCs w:val="20"/>
    </w:rPr>
  </w:style>
  <w:style w:type="character" w:customStyle="1" w:styleId="FootnoteTextChar">
    <w:name w:val="Footnote Text Char"/>
    <w:basedOn w:val="DefaultParagraphFont"/>
    <w:link w:val="FootnoteText"/>
    <w:uiPriority w:val="99"/>
    <w:rsid w:val="00375206"/>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375206"/>
    <w:rPr>
      <w:vertAlign w:val="superscript"/>
    </w:rPr>
  </w:style>
  <w:style w:type="paragraph" w:styleId="Header">
    <w:name w:val="header"/>
    <w:basedOn w:val="Normal"/>
    <w:link w:val="HeaderChar"/>
    <w:uiPriority w:val="99"/>
    <w:unhideWhenUsed/>
    <w:rsid w:val="00375206"/>
    <w:pPr>
      <w:tabs>
        <w:tab w:val="center" w:pos="4513"/>
        <w:tab w:val="right" w:pos="9026"/>
      </w:tabs>
      <w:spacing w:after="0"/>
    </w:pPr>
  </w:style>
  <w:style w:type="character" w:customStyle="1" w:styleId="HeaderChar">
    <w:name w:val="Header Char"/>
    <w:basedOn w:val="DefaultParagraphFont"/>
    <w:link w:val="Header"/>
    <w:uiPriority w:val="99"/>
    <w:rsid w:val="00375206"/>
    <w:rPr>
      <w:rFonts w:ascii="Calibri" w:eastAsia="Times New Roman" w:hAnsi="Calibri" w:cs="Times New Roman"/>
      <w:sz w:val="20"/>
      <w:szCs w:val="24"/>
    </w:rPr>
  </w:style>
  <w:style w:type="paragraph" w:styleId="Footer">
    <w:name w:val="footer"/>
    <w:basedOn w:val="Normal"/>
    <w:link w:val="FooterChar"/>
    <w:uiPriority w:val="99"/>
    <w:unhideWhenUsed/>
    <w:rsid w:val="00375206"/>
    <w:pPr>
      <w:tabs>
        <w:tab w:val="center" w:pos="4513"/>
        <w:tab w:val="right" w:pos="9026"/>
      </w:tabs>
      <w:spacing w:after="0"/>
    </w:pPr>
  </w:style>
  <w:style w:type="character" w:customStyle="1" w:styleId="FooterChar">
    <w:name w:val="Footer Char"/>
    <w:basedOn w:val="DefaultParagraphFont"/>
    <w:link w:val="Footer"/>
    <w:uiPriority w:val="99"/>
    <w:rsid w:val="00375206"/>
    <w:rPr>
      <w:rFonts w:ascii="Calibri" w:eastAsia="Times New Roman" w:hAnsi="Calibri" w:cs="Times New Roman"/>
      <w:sz w:val="20"/>
      <w:szCs w:val="24"/>
    </w:rPr>
  </w:style>
  <w:style w:type="paragraph" w:styleId="NormalWeb">
    <w:name w:val="Normal (Web)"/>
    <w:basedOn w:val="Normal"/>
    <w:uiPriority w:val="99"/>
    <w:unhideWhenUsed/>
    <w:rsid w:val="00375206"/>
    <w:pPr>
      <w:spacing w:before="100" w:beforeAutospacing="1" w:after="100" w:afterAutospacing="1"/>
    </w:pPr>
    <w:rPr>
      <w:rFonts w:ascii="Times New Roman" w:hAnsi="Times New Roman"/>
      <w:sz w:val="24"/>
      <w:lang w:eastAsia="en-AU" w:bidi="he-IL"/>
    </w:rPr>
  </w:style>
  <w:style w:type="table" w:styleId="LightList-Accent2">
    <w:name w:val="Light List Accent 2"/>
    <w:basedOn w:val="TableNormal"/>
    <w:uiPriority w:val="61"/>
    <w:rsid w:val="00375206"/>
    <w:pPr>
      <w:spacing w:after="0" w:line="240" w:lineRule="auto"/>
      <w:ind w:left="0"/>
    </w:pPr>
    <w:rPr>
      <w:rFonts w:ascii="Arial" w:eastAsia="Times New Roman" w:hAnsi="Arial" w:cs="Arial"/>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Hyperlink">
    <w:name w:val="Hyperlink"/>
    <w:basedOn w:val="DefaultParagraphFont"/>
    <w:uiPriority w:val="99"/>
    <w:unhideWhenUsed/>
    <w:rsid w:val="00375206"/>
    <w:rPr>
      <w:color w:val="0000FF" w:themeColor="hyperlink"/>
      <w:u w:val="single"/>
    </w:rPr>
  </w:style>
  <w:style w:type="paragraph" w:styleId="TableofFigures">
    <w:name w:val="table of figures"/>
    <w:basedOn w:val="Normal"/>
    <w:next w:val="Normal"/>
    <w:uiPriority w:val="99"/>
    <w:unhideWhenUsed/>
    <w:rsid w:val="00375206"/>
    <w:pPr>
      <w:spacing w:after="0"/>
    </w:pPr>
  </w:style>
  <w:style w:type="paragraph" w:styleId="TOC1">
    <w:name w:val="toc 1"/>
    <w:basedOn w:val="Normal"/>
    <w:next w:val="Normal"/>
    <w:autoRedefine/>
    <w:uiPriority w:val="39"/>
    <w:unhideWhenUsed/>
    <w:rsid w:val="00375206"/>
    <w:pPr>
      <w:spacing w:after="100"/>
    </w:pPr>
  </w:style>
  <w:style w:type="paragraph" w:styleId="TOC2">
    <w:name w:val="toc 2"/>
    <w:basedOn w:val="Normal"/>
    <w:next w:val="Normal"/>
    <w:autoRedefine/>
    <w:uiPriority w:val="39"/>
    <w:unhideWhenUsed/>
    <w:rsid w:val="00375206"/>
    <w:pPr>
      <w:spacing w:after="100"/>
      <w:ind w:left="200"/>
    </w:pPr>
  </w:style>
  <w:style w:type="paragraph" w:styleId="TOC3">
    <w:name w:val="toc 3"/>
    <w:basedOn w:val="Normal"/>
    <w:next w:val="Normal"/>
    <w:autoRedefine/>
    <w:uiPriority w:val="39"/>
    <w:unhideWhenUsed/>
    <w:rsid w:val="00375206"/>
    <w:pPr>
      <w:spacing w:after="100"/>
      <w:ind w:left="400"/>
    </w:pPr>
  </w:style>
  <w:style w:type="table" w:styleId="LightList-Accent4">
    <w:name w:val="Light List Accent 4"/>
    <w:basedOn w:val="TableNormal"/>
    <w:uiPriority w:val="61"/>
    <w:rsid w:val="00375206"/>
    <w:pPr>
      <w:spacing w:after="0" w:line="240" w:lineRule="auto"/>
      <w:ind w:left="0"/>
    </w:pPr>
    <w:rPr>
      <w:rFonts w:ascii="Arial" w:eastAsia="Times New Roman" w:hAnsi="Arial" w:cs="Arial"/>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TitlePage3">
    <w:name w:val="Title Page 3"/>
    <w:basedOn w:val="Normal"/>
    <w:uiPriority w:val="99"/>
    <w:rsid w:val="00375206"/>
    <w:pPr>
      <w:spacing w:before="20" w:after="0"/>
      <w:jc w:val="right"/>
    </w:pPr>
    <w:rPr>
      <w:caps/>
      <w:sz w:val="16"/>
    </w:rPr>
  </w:style>
  <w:style w:type="paragraph" w:customStyle="1" w:styleId="Para2">
    <w:name w:val="Para 2"/>
    <w:basedOn w:val="Normal"/>
    <w:rsid w:val="00375206"/>
    <w:pPr>
      <w:spacing w:line="300" w:lineRule="atLeast"/>
      <w:ind w:left="567"/>
    </w:pPr>
    <w:rPr>
      <w:rFonts w:ascii="Times New Roman" w:hAnsi="Times New Roman"/>
      <w:sz w:val="26"/>
      <w:szCs w:val="26"/>
    </w:rPr>
  </w:style>
  <w:style w:type="paragraph" w:customStyle="1" w:styleId="Quote1">
    <w:name w:val="Quote 1"/>
    <w:basedOn w:val="Normal"/>
    <w:link w:val="Quote1Char"/>
    <w:uiPriority w:val="99"/>
    <w:rsid w:val="00375206"/>
    <w:pPr>
      <w:ind w:left="1134" w:right="567"/>
    </w:pPr>
    <w:rPr>
      <w:rFonts w:ascii="Times New Roman" w:hAnsi="Times New Roman"/>
      <w:sz w:val="24"/>
    </w:rPr>
  </w:style>
  <w:style w:type="character" w:customStyle="1" w:styleId="Quote1Char">
    <w:name w:val="Quote 1 Char"/>
    <w:link w:val="Quote1"/>
    <w:uiPriority w:val="99"/>
    <w:rsid w:val="00375206"/>
    <w:rPr>
      <w:rFonts w:ascii="Times New Roman" w:eastAsia="Times New Roman" w:hAnsi="Times New Roman" w:cs="Times New Roman"/>
      <w:sz w:val="24"/>
      <w:szCs w:val="24"/>
    </w:rPr>
  </w:style>
  <w:style w:type="paragraph" w:customStyle="1" w:styleId="Para1">
    <w:name w:val="Para 1"/>
    <w:basedOn w:val="Normal"/>
    <w:link w:val="Para1Char1"/>
    <w:qFormat/>
    <w:rsid w:val="00220688"/>
    <w:pPr>
      <w:numPr>
        <w:numId w:val="3"/>
      </w:numPr>
      <w:spacing w:line="300" w:lineRule="atLeast"/>
    </w:pPr>
    <w:rPr>
      <w:szCs w:val="26"/>
    </w:rPr>
  </w:style>
  <w:style w:type="paragraph" w:customStyle="1" w:styleId="Para5">
    <w:name w:val="Para 5"/>
    <w:basedOn w:val="Para2"/>
    <w:rsid w:val="00375206"/>
    <w:pPr>
      <w:numPr>
        <w:numId w:val="4"/>
      </w:numPr>
    </w:pPr>
  </w:style>
  <w:style w:type="character" w:customStyle="1" w:styleId="Para1Char1">
    <w:name w:val="Para 1 Char1"/>
    <w:link w:val="Para1"/>
    <w:rsid w:val="00220688"/>
    <w:rPr>
      <w:rFonts w:ascii="Calibri" w:eastAsia="Times New Roman" w:hAnsi="Calibri" w:cs="Times New Roman"/>
      <w:szCs w:val="26"/>
    </w:rPr>
  </w:style>
  <w:style w:type="character" w:styleId="Emphasis">
    <w:name w:val="Emphasis"/>
    <w:basedOn w:val="DefaultParagraphFont"/>
    <w:uiPriority w:val="20"/>
    <w:qFormat/>
    <w:rsid w:val="00375206"/>
    <w:rPr>
      <w:i/>
      <w:iCs/>
    </w:rPr>
  </w:style>
  <w:style w:type="table" w:styleId="TableGrid">
    <w:name w:val="Table Grid"/>
    <w:basedOn w:val="TableNormal"/>
    <w:uiPriority w:val="59"/>
    <w:rsid w:val="00375206"/>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SectionSub">
    <w:name w:val="Body Section (Sub)"/>
    <w:next w:val="Normal"/>
    <w:link w:val="BodySectionSubChar"/>
    <w:rsid w:val="00375206"/>
    <w:pPr>
      <w:overflowPunct w:val="0"/>
      <w:autoSpaceDE w:val="0"/>
      <w:autoSpaceDN w:val="0"/>
      <w:adjustRightInd w:val="0"/>
      <w:spacing w:before="120" w:after="0" w:line="240" w:lineRule="auto"/>
      <w:ind w:left="1361" w:hanging="357"/>
      <w:textAlignment w:val="baseline"/>
    </w:pPr>
    <w:rPr>
      <w:rFonts w:ascii="Times New Roman" w:eastAsia="Times New Roman" w:hAnsi="Times New Roman" w:cs="Times New Roman"/>
      <w:sz w:val="24"/>
      <w:szCs w:val="24"/>
    </w:rPr>
  </w:style>
  <w:style w:type="character" w:customStyle="1" w:styleId="BodySectionSubChar">
    <w:name w:val="Body Section (Sub) Char"/>
    <w:basedOn w:val="DefaultParagraphFont"/>
    <w:link w:val="BodySectionSub"/>
    <w:rsid w:val="00375206"/>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375206"/>
    <w:rPr>
      <w:i/>
      <w:iCs/>
      <w:color w:val="000000" w:themeColor="text1"/>
      <w:lang w:eastAsia="en-AU"/>
    </w:rPr>
  </w:style>
  <w:style w:type="character" w:customStyle="1" w:styleId="QuoteChar">
    <w:name w:val="Quote Char"/>
    <w:basedOn w:val="DefaultParagraphFont"/>
    <w:link w:val="Quote"/>
    <w:uiPriority w:val="29"/>
    <w:rsid w:val="00375206"/>
    <w:rPr>
      <w:rFonts w:ascii="Calibri" w:eastAsia="Times New Roman" w:hAnsi="Calibri" w:cs="Times New Roman"/>
      <w:i/>
      <w:iCs/>
      <w:color w:val="000000" w:themeColor="text1"/>
      <w:szCs w:val="24"/>
      <w:lang w:eastAsia="en-AU"/>
    </w:rPr>
  </w:style>
  <w:style w:type="paragraph" w:customStyle="1" w:styleId="DraftHeading4">
    <w:name w:val="Draft Heading 4"/>
    <w:basedOn w:val="Normal"/>
    <w:next w:val="Normal"/>
    <w:uiPriority w:val="99"/>
    <w:rsid w:val="00375206"/>
    <w:pPr>
      <w:overflowPunct w:val="0"/>
      <w:autoSpaceDE w:val="0"/>
      <w:autoSpaceDN w:val="0"/>
      <w:adjustRightInd w:val="0"/>
      <w:spacing w:before="120"/>
      <w:textAlignment w:val="baseline"/>
    </w:pPr>
    <w:rPr>
      <w:rFonts w:ascii="Times New Roman" w:hAnsi="Times New Roman"/>
      <w:sz w:val="24"/>
      <w:lang w:eastAsia="en-AU"/>
    </w:rPr>
  </w:style>
  <w:style w:type="paragraph" w:customStyle="1" w:styleId="FactSheetBullet1">
    <w:name w:val="Fact Sheet Bullet 1"/>
    <w:basedOn w:val="Normal"/>
    <w:rsid w:val="00375206"/>
    <w:pPr>
      <w:numPr>
        <w:numId w:val="6"/>
      </w:numPr>
      <w:spacing w:before="100" w:after="60"/>
      <w:ind w:left="284" w:hanging="284"/>
      <w:contextualSpacing/>
    </w:pPr>
    <w:rPr>
      <w:rFonts w:cs="Calibri"/>
      <w:szCs w:val="22"/>
      <w:lang w:eastAsia="en-AU"/>
    </w:rPr>
  </w:style>
  <w:style w:type="paragraph" w:customStyle="1" w:styleId="FactSheetBullet3">
    <w:name w:val="Fact Sheet Bullet 3"/>
    <w:basedOn w:val="FactSheetBullet2"/>
    <w:rsid w:val="00375206"/>
    <w:pPr>
      <w:numPr>
        <w:ilvl w:val="2"/>
      </w:numPr>
    </w:pPr>
  </w:style>
  <w:style w:type="paragraph" w:customStyle="1" w:styleId="FactSheetBullet2">
    <w:name w:val="Fact Sheet Bullet 2"/>
    <w:basedOn w:val="FactSheetBullet1"/>
    <w:rsid w:val="00375206"/>
    <w:pPr>
      <w:numPr>
        <w:ilvl w:val="1"/>
      </w:numPr>
    </w:pPr>
  </w:style>
  <w:style w:type="paragraph" w:customStyle="1" w:styleId="Default">
    <w:name w:val="Default"/>
    <w:rsid w:val="00375206"/>
    <w:pPr>
      <w:autoSpaceDE w:val="0"/>
      <w:autoSpaceDN w:val="0"/>
      <w:adjustRightInd w:val="0"/>
      <w:spacing w:after="0" w:line="240" w:lineRule="auto"/>
      <w:ind w:left="0"/>
    </w:pPr>
    <w:rPr>
      <w:rFonts w:ascii="Arial" w:eastAsia="Times New Roman" w:hAnsi="Arial" w:cs="Arial"/>
      <w:color w:val="000000"/>
      <w:sz w:val="24"/>
      <w:szCs w:val="24"/>
    </w:rPr>
  </w:style>
  <w:style w:type="paragraph" w:customStyle="1" w:styleId="bodytext4">
    <w:name w:val="body_text_4"/>
    <w:basedOn w:val="Normal"/>
    <w:rsid w:val="00375206"/>
    <w:pPr>
      <w:spacing w:before="100" w:beforeAutospacing="1" w:after="100" w:afterAutospacing="1"/>
    </w:pPr>
    <w:rPr>
      <w:rFonts w:ascii="Times New Roman" w:hAnsi="Times New Roman"/>
      <w:sz w:val="24"/>
      <w:lang w:eastAsia="en-AU"/>
    </w:rPr>
  </w:style>
  <w:style w:type="character" w:customStyle="1" w:styleId="apple-converted-space">
    <w:name w:val="apple-converted-space"/>
    <w:basedOn w:val="DefaultParagraphFont"/>
    <w:rsid w:val="00375206"/>
  </w:style>
  <w:style w:type="character" w:styleId="Strong">
    <w:name w:val="Strong"/>
    <w:basedOn w:val="DefaultParagraphFont"/>
    <w:uiPriority w:val="22"/>
    <w:qFormat/>
    <w:rsid w:val="00375206"/>
    <w:rPr>
      <w:b/>
      <w:bCs/>
    </w:rPr>
  </w:style>
  <w:style w:type="character" w:styleId="PlaceholderText">
    <w:name w:val="Placeholder Text"/>
    <w:basedOn w:val="DefaultParagraphFont"/>
    <w:uiPriority w:val="99"/>
    <w:semiHidden/>
    <w:rsid w:val="00375206"/>
    <w:rPr>
      <w:color w:val="808080"/>
    </w:rPr>
  </w:style>
  <w:style w:type="paragraph" w:customStyle="1" w:styleId="Figure">
    <w:name w:val="Figure"/>
    <w:basedOn w:val="BodyText"/>
    <w:rsid w:val="00375206"/>
    <w:pPr>
      <w:keepNext/>
      <w:spacing w:before="120" w:line="240" w:lineRule="atLeast"/>
      <w:jc w:val="center"/>
    </w:pPr>
    <w:rPr>
      <w:rFonts w:ascii="Times New Roman" w:hAnsi="Times New Roman"/>
      <w:sz w:val="26"/>
      <w:szCs w:val="20"/>
      <w:lang w:eastAsia="en-AU"/>
    </w:rPr>
  </w:style>
  <w:style w:type="paragraph" w:styleId="BodyText">
    <w:name w:val="Body Text"/>
    <w:basedOn w:val="Normal"/>
    <w:link w:val="BodyTextChar"/>
    <w:uiPriority w:val="99"/>
    <w:semiHidden/>
    <w:unhideWhenUsed/>
    <w:rsid w:val="00375206"/>
  </w:style>
  <w:style w:type="character" w:customStyle="1" w:styleId="BodyTextChar">
    <w:name w:val="Body Text Char"/>
    <w:basedOn w:val="DefaultParagraphFont"/>
    <w:link w:val="BodyText"/>
    <w:uiPriority w:val="99"/>
    <w:semiHidden/>
    <w:rsid w:val="00375206"/>
    <w:rPr>
      <w:rFonts w:ascii="Calibri" w:eastAsia="Times New Roman" w:hAnsi="Calibri" w:cs="Times New Roman"/>
      <w:sz w:val="20"/>
      <w:szCs w:val="24"/>
    </w:rPr>
  </w:style>
  <w:style w:type="paragraph" w:customStyle="1" w:styleId="TableText">
    <w:name w:val="Table Text"/>
    <w:basedOn w:val="Normal"/>
    <w:link w:val="TableTextChar"/>
    <w:rsid w:val="00375206"/>
    <w:rPr>
      <w:rFonts w:ascii="Century Gothic" w:hAnsi="Century Gothic"/>
      <w:color w:val="826E5A"/>
      <w:lang w:eastAsia="en-AU"/>
    </w:rPr>
  </w:style>
  <w:style w:type="character" w:customStyle="1" w:styleId="TableTextChar">
    <w:name w:val="Table Text Char"/>
    <w:link w:val="TableText"/>
    <w:rsid w:val="00375206"/>
    <w:rPr>
      <w:rFonts w:ascii="Century Gothic" w:eastAsia="Times New Roman" w:hAnsi="Century Gothic" w:cs="Times New Roman"/>
      <w:color w:val="826E5A"/>
      <w:szCs w:val="24"/>
      <w:lang w:eastAsia="en-AU"/>
    </w:rPr>
  </w:style>
  <w:style w:type="paragraph" w:customStyle="1" w:styleId="Tablecolumnheading">
    <w:name w:val="Table column heading"/>
    <w:basedOn w:val="TableText"/>
    <w:next w:val="TableText"/>
    <w:rsid w:val="00375206"/>
    <w:rPr>
      <w:b/>
      <w:color w:val="FFFFFF"/>
    </w:rPr>
  </w:style>
  <w:style w:type="paragraph" w:customStyle="1" w:styleId="Bullet1">
    <w:name w:val="Bullet 1"/>
    <w:basedOn w:val="Normal"/>
    <w:qFormat/>
    <w:rsid w:val="00375206"/>
    <w:pPr>
      <w:numPr>
        <w:numId w:val="7"/>
      </w:numPr>
      <w:spacing w:before="80" w:after="80"/>
    </w:pPr>
    <w:rPr>
      <w:rFonts w:cs="Calibri"/>
      <w:szCs w:val="22"/>
      <w:lang w:eastAsia="en-AU"/>
    </w:rPr>
  </w:style>
  <w:style w:type="paragraph" w:customStyle="1" w:styleId="Bullet2">
    <w:name w:val="Bullet 2"/>
    <w:basedOn w:val="Bullet1"/>
    <w:rsid w:val="00375206"/>
    <w:pPr>
      <w:numPr>
        <w:ilvl w:val="1"/>
      </w:numPr>
    </w:pPr>
  </w:style>
  <w:style w:type="paragraph" w:customStyle="1" w:styleId="Bullet3">
    <w:name w:val="Bullet 3"/>
    <w:basedOn w:val="Bullet2"/>
    <w:rsid w:val="00375206"/>
    <w:pPr>
      <w:numPr>
        <w:ilvl w:val="2"/>
      </w:numPr>
    </w:pPr>
  </w:style>
  <w:style w:type="paragraph" w:customStyle="1" w:styleId="Box">
    <w:name w:val="Box"/>
    <w:basedOn w:val="BodyText"/>
    <w:rsid w:val="00375206"/>
    <w:pPr>
      <w:keepNext/>
      <w:spacing w:before="120" w:line="280" w:lineRule="atLeast"/>
      <w:jc w:val="both"/>
    </w:pPr>
    <w:rPr>
      <w:szCs w:val="20"/>
      <w:lang w:eastAsia="en-AU"/>
    </w:rPr>
  </w:style>
  <w:style w:type="table" w:styleId="LightList-Accent1">
    <w:name w:val="Light List Accent 1"/>
    <w:basedOn w:val="TableNormal"/>
    <w:uiPriority w:val="61"/>
    <w:rsid w:val="00FD757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FD75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lainText">
    <w:name w:val="Plain Text"/>
    <w:basedOn w:val="Normal"/>
    <w:link w:val="PlainTextChar"/>
    <w:uiPriority w:val="99"/>
    <w:semiHidden/>
    <w:unhideWhenUsed/>
    <w:rsid w:val="00EF66F6"/>
    <w:pPr>
      <w:spacing w:after="0"/>
    </w:pPr>
    <w:rPr>
      <w:rFonts w:eastAsiaTheme="minorEastAsia"/>
      <w:szCs w:val="21"/>
      <w:lang w:eastAsia="en-AU"/>
    </w:rPr>
  </w:style>
  <w:style w:type="character" w:customStyle="1" w:styleId="PlainTextChar">
    <w:name w:val="Plain Text Char"/>
    <w:basedOn w:val="DefaultParagraphFont"/>
    <w:link w:val="PlainText"/>
    <w:uiPriority w:val="99"/>
    <w:semiHidden/>
    <w:rsid w:val="00EF66F6"/>
    <w:rPr>
      <w:rFonts w:ascii="Calibri" w:eastAsiaTheme="minorEastAsia" w:hAnsi="Calibri" w:cs="Times New Roman"/>
      <w:szCs w:val="21"/>
      <w:lang w:eastAsia="en-AU"/>
    </w:rPr>
  </w:style>
  <w:style w:type="paragraph" w:customStyle="1" w:styleId="Body2">
    <w:name w:val="Body 2"/>
    <w:rsid w:val="005C228B"/>
    <w:pPr>
      <w:pBdr>
        <w:top w:val="nil"/>
        <w:left w:val="nil"/>
        <w:bottom w:val="nil"/>
        <w:right w:val="nil"/>
        <w:between w:val="nil"/>
        <w:bar w:val="nil"/>
      </w:pBdr>
      <w:spacing w:after="0" w:line="240" w:lineRule="auto"/>
      <w:ind w:left="0"/>
    </w:pPr>
    <w:rPr>
      <w:rFonts w:ascii="Helvetica" w:eastAsia="Arial Unicode MS" w:hAnsi="Arial Unicode MS" w:cs="Arial Unicode MS"/>
      <w:color w:val="000000"/>
      <w:bdr w:val="nil"/>
      <w:lang w:val="en-US" w:eastAsia="en-AU"/>
    </w:rPr>
  </w:style>
  <w:style w:type="paragraph" w:customStyle="1" w:styleId="Body">
    <w:name w:val="Body"/>
    <w:rsid w:val="005C228B"/>
    <w:pPr>
      <w:pBdr>
        <w:top w:val="nil"/>
        <w:left w:val="nil"/>
        <w:bottom w:val="nil"/>
        <w:right w:val="nil"/>
        <w:between w:val="nil"/>
        <w:bar w:val="nil"/>
      </w:pBdr>
      <w:spacing w:before="160" w:after="0" w:line="288" w:lineRule="auto"/>
      <w:ind w:left="0"/>
    </w:pPr>
    <w:rPr>
      <w:rFonts w:ascii="Helvetica" w:eastAsia="Arial Unicode MS" w:hAnsi="Arial Unicode MS" w:cs="Arial Unicode MS"/>
      <w:color w:val="000000"/>
      <w:sz w:val="24"/>
      <w:szCs w:val="24"/>
      <w:bdr w:val="nil"/>
      <w:lang w:val="en-US" w:eastAsia="en-AU"/>
    </w:rPr>
  </w:style>
  <w:style w:type="character" w:styleId="CommentReference">
    <w:name w:val="annotation reference"/>
    <w:basedOn w:val="DefaultParagraphFont"/>
    <w:uiPriority w:val="99"/>
    <w:semiHidden/>
    <w:unhideWhenUsed/>
    <w:rsid w:val="00B421DE"/>
    <w:rPr>
      <w:sz w:val="16"/>
      <w:szCs w:val="16"/>
    </w:rPr>
  </w:style>
  <w:style w:type="paragraph" w:styleId="CommentText">
    <w:name w:val="annotation text"/>
    <w:basedOn w:val="Normal"/>
    <w:link w:val="CommentTextChar"/>
    <w:uiPriority w:val="99"/>
    <w:unhideWhenUsed/>
    <w:rsid w:val="00B421DE"/>
    <w:rPr>
      <w:rFonts w:eastAsiaTheme="minorHAnsi" w:cstheme="minorBidi"/>
      <w:szCs w:val="20"/>
    </w:rPr>
  </w:style>
  <w:style w:type="character" w:customStyle="1" w:styleId="CommentTextChar">
    <w:name w:val="Comment Text Char"/>
    <w:basedOn w:val="DefaultParagraphFont"/>
    <w:link w:val="CommentText"/>
    <w:uiPriority w:val="99"/>
    <w:rsid w:val="00B421DE"/>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B421DE"/>
    <w:rPr>
      <w:b/>
      <w:bCs/>
    </w:rPr>
  </w:style>
  <w:style w:type="character" w:customStyle="1" w:styleId="CommentSubjectChar">
    <w:name w:val="Comment Subject Char"/>
    <w:basedOn w:val="CommentTextChar"/>
    <w:link w:val="CommentSubject"/>
    <w:uiPriority w:val="99"/>
    <w:semiHidden/>
    <w:rsid w:val="00B421DE"/>
    <w:rPr>
      <w:rFonts w:ascii="Calibri" w:hAnsi="Calibri"/>
      <w:b/>
      <w:bCs/>
      <w:sz w:val="20"/>
      <w:szCs w:val="20"/>
    </w:rPr>
  </w:style>
  <w:style w:type="paragraph" w:customStyle="1" w:styleId="btbullet">
    <w:name w:val="bt_bullet"/>
    <w:basedOn w:val="Normal"/>
    <w:qFormat/>
    <w:rsid w:val="00B421DE"/>
    <w:pPr>
      <w:numPr>
        <w:numId w:val="9"/>
      </w:numPr>
      <w:tabs>
        <w:tab w:val="num" w:pos="360"/>
      </w:tabs>
      <w:spacing w:line="360" w:lineRule="auto"/>
      <w:ind w:left="284" w:firstLine="0"/>
    </w:pPr>
    <w:rPr>
      <w:lang w:val="en-US" w:eastAsia="en-AU"/>
    </w:rPr>
  </w:style>
  <w:style w:type="paragraph" w:styleId="Revision">
    <w:name w:val="Revision"/>
    <w:hidden/>
    <w:uiPriority w:val="99"/>
    <w:semiHidden/>
    <w:rsid w:val="00B421DE"/>
    <w:pPr>
      <w:spacing w:after="0" w:line="240" w:lineRule="auto"/>
      <w:ind w:left="0"/>
    </w:pPr>
  </w:style>
  <w:style w:type="table" w:styleId="LightList-Accent6">
    <w:name w:val="Light List Accent 6"/>
    <w:basedOn w:val="TableNormal"/>
    <w:uiPriority w:val="61"/>
    <w:rsid w:val="00B421DE"/>
    <w:pPr>
      <w:spacing w:after="0" w:line="240" w:lineRule="auto"/>
      <w:ind w:left="357" w:hanging="357"/>
    </w:pPr>
    <w:rPr>
      <w:rFonts w:eastAsia="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IntenseEmphasis">
    <w:name w:val="Intense Emphasis"/>
    <w:basedOn w:val="DefaultParagraphFont"/>
    <w:uiPriority w:val="21"/>
    <w:qFormat/>
    <w:rsid w:val="00B421DE"/>
    <w:rPr>
      <w:b/>
      <w:bCs/>
      <w:i/>
      <w:iCs/>
      <w:color w:val="4F81BD" w:themeColor="accent1"/>
    </w:rPr>
  </w:style>
  <w:style w:type="table" w:customStyle="1" w:styleId="LightList-Accent11">
    <w:name w:val="Light List - Accent 11"/>
    <w:basedOn w:val="TableNormal"/>
    <w:uiPriority w:val="61"/>
    <w:rsid w:val="00B421DE"/>
    <w:pPr>
      <w:spacing w:after="200"/>
      <w:ind w:left="0"/>
    </w:pPr>
    <w:rPr>
      <w:rFonts w:eastAsiaTheme="minorEastAsia"/>
      <w:lang w:val="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t">
    <w:name w:val="bt"/>
    <w:link w:val="btChar"/>
    <w:qFormat/>
    <w:rsid w:val="00B421DE"/>
    <w:pPr>
      <w:spacing w:before="180" w:after="240" w:line="270" w:lineRule="exact"/>
      <w:ind w:left="0"/>
    </w:pPr>
    <w:rPr>
      <w:rFonts w:ascii="Calibri" w:eastAsia="Times New Roman" w:hAnsi="Calibri" w:cs="Times New Roman"/>
      <w:sz w:val="20"/>
      <w:szCs w:val="24"/>
      <w:lang w:val="en-US" w:eastAsia="en-AU"/>
    </w:rPr>
  </w:style>
  <w:style w:type="character" w:customStyle="1" w:styleId="btChar">
    <w:name w:val="bt Char"/>
    <w:basedOn w:val="DefaultParagraphFont"/>
    <w:link w:val="bt"/>
    <w:rsid w:val="00B421DE"/>
    <w:rPr>
      <w:rFonts w:ascii="Calibri" w:eastAsia="Times New Roman" w:hAnsi="Calibri" w:cs="Times New Roman"/>
      <w:sz w:val="20"/>
      <w:szCs w:val="24"/>
      <w:lang w:val="en-US" w:eastAsia="en-AU"/>
    </w:rPr>
  </w:style>
  <w:style w:type="character" w:styleId="FollowedHyperlink">
    <w:name w:val="FollowedHyperlink"/>
    <w:basedOn w:val="DefaultParagraphFont"/>
    <w:uiPriority w:val="99"/>
    <w:semiHidden/>
    <w:unhideWhenUsed/>
    <w:rsid w:val="00B421DE"/>
    <w:rPr>
      <w:color w:val="800080" w:themeColor="followedHyperlink"/>
      <w:u w:val="single"/>
    </w:rPr>
  </w:style>
  <w:style w:type="paragraph" w:styleId="EndnoteText">
    <w:name w:val="endnote text"/>
    <w:basedOn w:val="Normal"/>
    <w:link w:val="EndnoteTextChar"/>
    <w:uiPriority w:val="99"/>
    <w:semiHidden/>
    <w:unhideWhenUsed/>
    <w:rsid w:val="00816AB2"/>
    <w:pPr>
      <w:spacing w:after="0"/>
    </w:pPr>
    <w:rPr>
      <w:szCs w:val="20"/>
    </w:rPr>
  </w:style>
  <w:style w:type="character" w:customStyle="1" w:styleId="EndnoteTextChar">
    <w:name w:val="Endnote Text Char"/>
    <w:basedOn w:val="DefaultParagraphFont"/>
    <w:link w:val="EndnoteText"/>
    <w:uiPriority w:val="99"/>
    <w:semiHidden/>
    <w:rsid w:val="00816AB2"/>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816AB2"/>
    <w:rPr>
      <w:vertAlign w:val="superscript"/>
    </w:rPr>
  </w:style>
  <w:style w:type="table" w:customStyle="1" w:styleId="ListTable3">
    <w:name w:val="List Table 3"/>
    <w:basedOn w:val="TableNormal"/>
    <w:uiPriority w:val="48"/>
    <w:rsid w:val="005C34A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Mention">
    <w:name w:val="Mention"/>
    <w:basedOn w:val="DefaultParagraphFont"/>
    <w:uiPriority w:val="99"/>
    <w:semiHidden/>
    <w:unhideWhenUsed/>
    <w:rsid w:val="000E0366"/>
    <w:rPr>
      <w:color w:val="2B579A"/>
      <w:shd w:val="clear" w:color="auto" w:fill="E6E6E6"/>
    </w:rPr>
  </w:style>
  <w:style w:type="paragraph" w:customStyle="1" w:styleId="TitlePagetext">
    <w:name w:val="Title Page text"/>
    <w:basedOn w:val="Normal"/>
    <w:rsid w:val="003D1F93"/>
    <w:pPr>
      <w:spacing w:before="80" w:after="100"/>
    </w:pPr>
    <w:rPr>
      <w:rFonts w:ascii="Times New Roman" w:hAnsi="Times New Roman"/>
      <w:sz w:val="26"/>
      <w:szCs w:val="26"/>
    </w:rPr>
  </w:style>
  <w:style w:type="character" w:styleId="HTMLCite">
    <w:name w:val="HTML Cite"/>
    <w:basedOn w:val="DefaultParagraphFont"/>
    <w:uiPriority w:val="99"/>
    <w:semiHidden/>
    <w:unhideWhenUsed/>
    <w:rsid w:val="003D1F93"/>
    <w:rPr>
      <w:i/>
      <w:iCs/>
    </w:rPr>
  </w:style>
  <w:style w:type="table" w:customStyle="1" w:styleId="GridTableLight">
    <w:name w:val="Grid Table Light"/>
    <w:basedOn w:val="TableNormal"/>
    <w:uiPriority w:val="40"/>
    <w:rsid w:val="006646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66673B"/>
    <w:rPr>
      <w:rFonts w:ascii="Calibri" w:eastAsia="Times New Roman" w:hAnsi="Calibri" w:cs="Arial"/>
      <w:szCs w:val="24"/>
    </w:rPr>
  </w:style>
  <w:style w:type="paragraph" w:customStyle="1" w:styleId="BodytextBlue">
    <w:name w:val="Body text + Blue"/>
    <w:basedOn w:val="Normal"/>
    <w:rsid w:val="00795EBA"/>
    <w:pPr>
      <w:spacing w:before="60" w:after="80"/>
      <w:ind w:left="1134"/>
    </w:pPr>
    <w:rPr>
      <w:rFonts w:ascii="Times New Roman" w:hAnsi="Times New Roman"/>
      <w:color w:val="0000FF"/>
      <w:sz w:val="20"/>
      <w:szCs w:val="2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20" w:line="276" w:lineRule="auto"/>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297B"/>
    <w:pPr>
      <w:spacing w:line="240" w:lineRule="auto"/>
      <w:ind w:left="0"/>
    </w:pPr>
    <w:rPr>
      <w:rFonts w:ascii="Calibri" w:eastAsia="Times New Roman" w:hAnsi="Calibri" w:cs="Times New Roman"/>
      <w:szCs w:val="24"/>
    </w:rPr>
  </w:style>
  <w:style w:type="paragraph" w:styleId="Heading1">
    <w:name w:val="heading 1"/>
    <w:basedOn w:val="Normal"/>
    <w:next w:val="Normal"/>
    <w:link w:val="Heading1Char"/>
    <w:uiPriority w:val="9"/>
    <w:qFormat/>
    <w:rsid w:val="00FC5226"/>
    <w:pPr>
      <w:keepNext/>
      <w:keepLines/>
      <w:numPr>
        <w:numId w:val="8"/>
      </w:numPr>
      <w:spacing w:before="480" w:after="0"/>
      <w:outlineLvl w:val="0"/>
    </w:pPr>
    <w:rPr>
      <w:rFonts w:eastAsiaTheme="majorEastAsia" w:cstheme="majorBidi"/>
      <w:b/>
      <w:bCs/>
      <w:caps/>
      <w:sz w:val="28"/>
      <w:szCs w:val="28"/>
    </w:rPr>
  </w:style>
  <w:style w:type="paragraph" w:styleId="Heading2">
    <w:name w:val="heading 2"/>
    <w:basedOn w:val="Normal"/>
    <w:next w:val="Normal"/>
    <w:link w:val="Heading2Char"/>
    <w:autoRedefine/>
    <w:uiPriority w:val="9"/>
    <w:unhideWhenUsed/>
    <w:qFormat/>
    <w:rsid w:val="00FC5226"/>
    <w:pPr>
      <w:keepNext/>
      <w:keepLines/>
      <w:numPr>
        <w:ilvl w:val="1"/>
        <w:numId w:val="8"/>
      </w:numPr>
      <w:ind w:left="578" w:hanging="578"/>
      <w:outlineLvl w:val="1"/>
    </w:pPr>
    <w:rPr>
      <w:rFonts w:ascii="CoM" w:eastAsiaTheme="majorEastAsia" w:hAnsi="CoM" w:cstheme="majorBidi"/>
      <w:bCs/>
      <w:sz w:val="32"/>
      <w:szCs w:val="32"/>
    </w:rPr>
  </w:style>
  <w:style w:type="paragraph" w:styleId="Heading3">
    <w:name w:val="heading 3"/>
    <w:basedOn w:val="Normal"/>
    <w:next w:val="Normal"/>
    <w:link w:val="Heading3Char"/>
    <w:uiPriority w:val="9"/>
    <w:unhideWhenUsed/>
    <w:qFormat/>
    <w:rsid w:val="00C019B5"/>
    <w:pPr>
      <w:keepNext/>
      <w:keepLines/>
      <w:numPr>
        <w:ilvl w:val="2"/>
        <w:numId w:val="8"/>
      </w:numPr>
      <w:outlineLvl w:val="2"/>
    </w:pPr>
    <w:rPr>
      <w:rFonts w:eastAsiaTheme="majorEastAsia" w:cstheme="majorBidi"/>
      <w:b/>
      <w:bCs/>
      <w:sz w:val="24"/>
    </w:rPr>
  </w:style>
  <w:style w:type="paragraph" w:styleId="Heading4">
    <w:name w:val="heading 4"/>
    <w:basedOn w:val="Normal"/>
    <w:next w:val="Normal"/>
    <w:link w:val="Heading4Char"/>
    <w:uiPriority w:val="9"/>
    <w:unhideWhenUsed/>
    <w:qFormat/>
    <w:rsid w:val="003F04AF"/>
    <w:pPr>
      <w:keepNext/>
      <w:keepLines/>
      <w:spacing w:before="120"/>
      <w:outlineLvl w:val="3"/>
    </w:pPr>
    <w:rPr>
      <w:rFonts w:eastAsiaTheme="majorEastAsia" w:cstheme="majorBidi"/>
      <w:b/>
      <w:bCs/>
      <w:iCs/>
      <w:color w:val="404040" w:themeColor="text1" w:themeTint="BF"/>
      <w:sz w:val="24"/>
    </w:rPr>
  </w:style>
  <w:style w:type="paragraph" w:styleId="Heading5">
    <w:name w:val="heading 5"/>
    <w:basedOn w:val="Normal"/>
    <w:next w:val="Normal"/>
    <w:link w:val="Heading5Char"/>
    <w:autoRedefine/>
    <w:uiPriority w:val="9"/>
    <w:unhideWhenUsed/>
    <w:qFormat/>
    <w:rsid w:val="003F04AF"/>
    <w:pPr>
      <w:keepNext/>
      <w:keepLines/>
      <w:outlineLvl w:val="4"/>
    </w:pPr>
    <w:rPr>
      <w:rFonts w:eastAsiaTheme="majorEastAsia" w:cstheme="majorBidi"/>
      <w:b/>
      <w:i/>
      <w:color w:val="000000" w:themeColor="text1"/>
    </w:rPr>
  </w:style>
  <w:style w:type="paragraph" w:styleId="Heading6">
    <w:name w:val="heading 6"/>
    <w:basedOn w:val="Normal"/>
    <w:next w:val="Normal"/>
    <w:link w:val="Heading6Char"/>
    <w:autoRedefine/>
    <w:uiPriority w:val="9"/>
    <w:unhideWhenUsed/>
    <w:qFormat/>
    <w:rsid w:val="0097567E"/>
    <w:pPr>
      <w:keepNext/>
      <w:keepLines/>
      <w:numPr>
        <w:ilvl w:val="5"/>
        <w:numId w:val="8"/>
      </w:numPr>
      <w:outlineLvl w:val="5"/>
    </w:pPr>
    <w:rPr>
      <w:rFonts w:eastAsiaTheme="majorEastAsia" w:cstheme="majorBidi"/>
      <w:b/>
      <w:i/>
      <w:iCs/>
      <w:color w:val="404040" w:themeColor="text1" w:themeTint="BF"/>
      <w:u w:val="single"/>
    </w:rPr>
  </w:style>
  <w:style w:type="paragraph" w:styleId="Heading7">
    <w:name w:val="heading 7"/>
    <w:basedOn w:val="Normal"/>
    <w:next w:val="Normal"/>
    <w:link w:val="Heading7Char"/>
    <w:uiPriority w:val="9"/>
    <w:unhideWhenUsed/>
    <w:qFormat/>
    <w:rsid w:val="00A275D9"/>
    <w:pPr>
      <w:keepNext/>
      <w:keepLines/>
      <w:numPr>
        <w:ilvl w:val="6"/>
        <w:numId w:val="8"/>
      </w:numPr>
      <w:outlineLvl w:val="6"/>
    </w:pPr>
    <w:rPr>
      <w:rFonts w:eastAsiaTheme="majorEastAsia" w:cstheme="majorBidi"/>
      <w:b/>
      <w:iCs/>
      <w:color w:val="404040" w:themeColor="text1" w:themeTint="BF"/>
    </w:rPr>
  </w:style>
  <w:style w:type="paragraph" w:styleId="Heading8">
    <w:name w:val="heading 8"/>
    <w:basedOn w:val="Normal"/>
    <w:next w:val="Normal"/>
    <w:link w:val="Heading8Char"/>
    <w:uiPriority w:val="9"/>
    <w:unhideWhenUsed/>
    <w:qFormat/>
    <w:rsid w:val="00503202"/>
    <w:pPr>
      <w:keepNext/>
      <w:keepLines/>
      <w:numPr>
        <w:ilvl w:val="7"/>
        <w:numId w:val="8"/>
      </w:numPr>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375206"/>
    <w:pPr>
      <w:keepNext/>
      <w:keepLines/>
      <w:numPr>
        <w:ilvl w:val="8"/>
        <w:numId w:val="8"/>
      </w:numPr>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226"/>
    <w:rPr>
      <w:rFonts w:ascii="Calibri" w:eastAsiaTheme="majorEastAsia" w:hAnsi="Calibri" w:cstheme="majorBidi"/>
      <w:b/>
      <w:bCs/>
      <w:caps/>
      <w:sz w:val="28"/>
      <w:szCs w:val="28"/>
    </w:rPr>
  </w:style>
  <w:style w:type="character" w:customStyle="1" w:styleId="Heading2Char">
    <w:name w:val="Heading 2 Char"/>
    <w:basedOn w:val="DefaultParagraphFont"/>
    <w:link w:val="Heading2"/>
    <w:uiPriority w:val="9"/>
    <w:rsid w:val="00FC5226"/>
    <w:rPr>
      <w:rFonts w:ascii="CoM" w:eastAsiaTheme="majorEastAsia" w:hAnsi="CoM" w:cstheme="majorBidi"/>
      <w:bCs/>
      <w:sz w:val="32"/>
      <w:szCs w:val="32"/>
    </w:rPr>
  </w:style>
  <w:style w:type="paragraph" w:styleId="Title">
    <w:name w:val="Title"/>
    <w:basedOn w:val="Normal"/>
    <w:next w:val="Normal"/>
    <w:link w:val="TitleChar"/>
    <w:uiPriority w:val="10"/>
    <w:qFormat/>
    <w:rsid w:val="00FF0CCB"/>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0CCB"/>
    <w:rPr>
      <w:rFonts w:ascii="Calibri" w:eastAsiaTheme="majorEastAsia" w:hAnsi="Calibr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C019B5"/>
    <w:rPr>
      <w:rFonts w:ascii="Calibri" w:eastAsiaTheme="majorEastAsia" w:hAnsi="Calibri" w:cstheme="majorBidi"/>
      <w:b/>
      <w:bCs/>
      <w:sz w:val="24"/>
      <w:szCs w:val="24"/>
    </w:rPr>
  </w:style>
  <w:style w:type="character" w:customStyle="1" w:styleId="Heading4Char">
    <w:name w:val="Heading 4 Char"/>
    <w:basedOn w:val="DefaultParagraphFont"/>
    <w:link w:val="Heading4"/>
    <w:uiPriority w:val="9"/>
    <w:rsid w:val="003F04AF"/>
    <w:rPr>
      <w:rFonts w:ascii="Calibri" w:eastAsiaTheme="majorEastAsia" w:hAnsi="Calibri" w:cstheme="majorBidi"/>
      <w:b/>
      <w:bCs/>
      <w:iCs/>
      <w:color w:val="404040" w:themeColor="text1" w:themeTint="BF"/>
      <w:sz w:val="24"/>
      <w:szCs w:val="24"/>
    </w:rPr>
  </w:style>
  <w:style w:type="character" w:customStyle="1" w:styleId="Heading5Char">
    <w:name w:val="Heading 5 Char"/>
    <w:basedOn w:val="DefaultParagraphFont"/>
    <w:link w:val="Heading5"/>
    <w:uiPriority w:val="9"/>
    <w:rsid w:val="003F04AF"/>
    <w:rPr>
      <w:rFonts w:ascii="Calibri" w:eastAsiaTheme="majorEastAsia" w:hAnsi="Calibri" w:cstheme="majorBidi"/>
      <w:b/>
      <w:i/>
      <w:color w:val="000000" w:themeColor="text1"/>
      <w:szCs w:val="24"/>
    </w:rPr>
  </w:style>
  <w:style w:type="character" w:customStyle="1" w:styleId="Heading6Char">
    <w:name w:val="Heading 6 Char"/>
    <w:basedOn w:val="DefaultParagraphFont"/>
    <w:link w:val="Heading6"/>
    <w:uiPriority w:val="9"/>
    <w:rsid w:val="0097567E"/>
    <w:rPr>
      <w:rFonts w:ascii="Calibri" w:eastAsiaTheme="majorEastAsia" w:hAnsi="Calibri" w:cstheme="majorBidi"/>
      <w:b/>
      <w:i/>
      <w:iCs/>
      <w:color w:val="404040" w:themeColor="text1" w:themeTint="BF"/>
      <w:szCs w:val="24"/>
      <w:u w:val="single"/>
    </w:rPr>
  </w:style>
  <w:style w:type="character" w:customStyle="1" w:styleId="Heading7Char">
    <w:name w:val="Heading 7 Char"/>
    <w:basedOn w:val="DefaultParagraphFont"/>
    <w:link w:val="Heading7"/>
    <w:uiPriority w:val="9"/>
    <w:rsid w:val="00375206"/>
    <w:rPr>
      <w:rFonts w:ascii="Calibri" w:eastAsiaTheme="majorEastAsia" w:hAnsi="Calibri" w:cstheme="majorBidi"/>
      <w:b/>
      <w:iCs/>
      <w:color w:val="404040" w:themeColor="text1" w:themeTint="BF"/>
      <w:szCs w:val="24"/>
    </w:rPr>
  </w:style>
  <w:style w:type="character" w:customStyle="1" w:styleId="Heading8Char">
    <w:name w:val="Heading 8 Char"/>
    <w:basedOn w:val="DefaultParagraphFont"/>
    <w:link w:val="Heading8"/>
    <w:uiPriority w:val="9"/>
    <w:rsid w:val="00375206"/>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375206"/>
    <w:rPr>
      <w:rFonts w:asciiTheme="majorHAnsi" w:eastAsiaTheme="majorEastAsia" w:hAnsiTheme="majorHAnsi" w:cstheme="majorBidi"/>
      <w:i/>
      <w:iCs/>
      <w:color w:val="404040" w:themeColor="text1" w:themeTint="BF"/>
      <w:szCs w:val="20"/>
    </w:rPr>
  </w:style>
  <w:style w:type="numbering" w:customStyle="1" w:styleId="Style6">
    <w:name w:val="Style6"/>
    <w:uiPriority w:val="99"/>
    <w:rsid w:val="00375206"/>
    <w:pPr>
      <w:numPr>
        <w:numId w:val="1"/>
      </w:numPr>
    </w:pPr>
  </w:style>
  <w:style w:type="numbering" w:customStyle="1" w:styleId="Style7">
    <w:name w:val="Style7"/>
    <w:uiPriority w:val="99"/>
    <w:rsid w:val="00375206"/>
    <w:pPr>
      <w:numPr>
        <w:numId w:val="2"/>
      </w:numPr>
    </w:pPr>
  </w:style>
  <w:style w:type="paragraph" w:styleId="ListParagraph">
    <w:name w:val="List Paragraph"/>
    <w:basedOn w:val="Normal"/>
    <w:link w:val="ListParagraphChar"/>
    <w:uiPriority w:val="34"/>
    <w:qFormat/>
    <w:rsid w:val="00375206"/>
    <w:pPr>
      <w:spacing w:after="200"/>
      <w:ind w:left="720"/>
      <w:contextualSpacing/>
    </w:pPr>
    <w:rPr>
      <w:rFonts w:cs="Arial"/>
    </w:rPr>
  </w:style>
  <w:style w:type="paragraph" w:styleId="Caption">
    <w:name w:val="caption"/>
    <w:basedOn w:val="Normal"/>
    <w:next w:val="Normal"/>
    <w:unhideWhenUsed/>
    <w:qFormat/>
    <w:rsid w:val="00FC5226"/>
    <w:pPr>
      <w:keepNext/>
      <w:jc w:val="center"/>
    </w:pPr>
    <w:rPr>
      <w:rFonts w:cs="Arial"/>
      <w:b/>
      <w:bCs/>
      <w:szCs w:val="18"/>
    </w:rPr>
  </w:style>
  <w:style w:type="paragraph" w:styleId="Subtitle">
    <w:name w:val="Subtitle"/>
    <w:basedOn w:val="Normal"/>
    <w:next w:val="Normal"/>
    <w:link w:val="SubtitleChar"/>
    <w:uiPriority w:val="11"/>
    <w:qFormat/>
    <w:rsid w:val="00375206"/>
    <w:pPr>
      <w:numPr>
        <w:ilvl w:val="1"/>
      </w:numPr>
      <w:ind w:left="1434" w:hanging="357"/>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375206"/>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375206"/>
    <w:pPr>
      <w:spacing w:line="240" w:lineRule="auto"/>
      <w:ind w:left="0"/>
    </w:pPr>
    <w:rPr>
      <w:rFonts w:ascii="Arial" w:eastAsiaTheme="minorEastAsia" w:hAnsi="Arial"/>
      <w:sz w:val="20"/>
      <w:szCs w:val="24"/>
    </w:rPr>
  </w:style>
  <w:style w:type="character" w:customStyle="1" w:styleId="NoSpacingChar">
    <w:name w:val="No Spacing Char"/>
    <w:basedOn w:val="DefaultParagraphFont"/>
    <w:link w:val="NoSpacing"/>
    <w:uiPriority w:val="1"/>
    <w:rsid w:val="00375206"/>
    <w:rPr>
      <w:rFonts w:ascii="Arial" w:eastAsiaTheme="minorEastAsia" w:hAnsi="Arial"/>
      <w:sz w:val="20"/>
      <w:szCs w:val="24"/>
    </w:rPr>
  </w:style>
  <w:style w:type="paragraph" w:styleId="TOCHeading">
    <w:name w:val="TOC Heading"/>
    <w:basedOn w:val="Heading1"/>
    <w:next w:val="Normal"/>
    <w:uiPriority w:val="39"/>
    <w:semiHidden/>
    <w:unhideWhenUsed/>
    <w:qFormat/>
    <w:rsid w:val="00375206"/>
    <w:pPr>
      <w:spacing w:after="120"/>
      <w:outlineLvl w:val="9"/>
    </w:pPr>
  </w:style>
  <w:style w:type="paragraph" w:styleId="DocumentMap">
    <w:name w:val="Document Map"/>
    <w:basedOn w:val="Normal"/>
    <w:link w:val="DocumentMapChar"/>
    <w:uiPriority w:val="99"/>
    <w:semiHidden/>
    <w:unhideWhenUsed/>
    <w:rsid w:val="0037520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375206"/>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37520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206"/>
    <w:rPr>
      <w:rFonts w:ascii="Tahoma" w:eastAsia="Times New Roman" w:hAnsi="Tahoma" w:cs="Tahoma"/>
      <w:sz w:val="16"/>
      <w:szCs w:val="16"/>
    </w:rPr>
  </w:style>
  <w:style w:type="paragraph" w:customStyle="1" w:styleId="DraftHeading2">
    <w:name w:val="Draft Heading 2"/>
    <w:basedOn w:val="Normal"/>
    <w:next w:val="Normal"/>
    <w:uiPriority w:val="99"/>
    <w:rsid w:val="00375206"/>
    <w:pPr>
      <w:overflowPunct w:val="0"/>
      <w:autoSpaceDE w:val="0"/>
      <w:autoSpaceDN w:val="0"/>
      <w:adjustRightInd w:val="0"/>
      <w:spacing w:before="120" w:after="0"/>
      <w:textAlignment w:val="baseline"/>
    </w:pPr>
    <w:rPr>
      <w:rFonts w:ascii="Times New Roman" w:hAnsi="Times New Roman"/>
      <w:sz w:val="24"/>
    </w:rPr>
  </w:style>
  <w:style w:type="paragraph" w:customStyle="1" w:styleId="DraftHeading3">
    <w:name w:val="Draft Heading 3"/>
    <w:basedOn w:val="Normal"/>
    <w:next w:val="Normal"/>
    <w:uiPriority w:val="99"/>
    <w:rsid w:val="00375206"/>
    <w:pPr>
      <w:overflowPunct w:val="0"/>
      <w:autoSpaceDE w:val="0"/>
      <w:autoSpaceDN w:val="0"/>
      <w:adjustRightInd w:val="0"/>
      <w:spacing w:before="120" w:after="0"/>
      <w:textAlignment w:val="baseline"/>
    </w:pPr>
    <w:rPr>
      <w:rFonts w:ascii="Times New Roman" w:hAnsi="Times New Roman"/>
      <w:sz w:val="24"/>
    </w:rPr>
  </w:style>
  <w:style w:type="paragraph" w:styleId="FootnoteText">
    <w:name w:val="footnote text"/>
    <w:basedOn w:val="Normal"/>
    <w:link w:val="FootnoteTextChar"/>
    <w:uiPriority w:val="99"/>
    <w:unhideWhenUsed/>
    <w:rsid w:val="00375206"/>
    <w:pPr>
      <w:spacing w:after="0"/>
    </w:pPr>
    <w:rPr>
      <w:szCs w:val="20"/>
    </w:rPr>
  </w:style>
  <w:style w:type="character" w:customStyle="1" w:styleId="FootnoteTextChar">
    <w:name w:val="Footnote Text Char"/>
    <w:basedOn w:val="DefaultParagraphFont"/>
    <w:link w:val="FootnoteText"/>
    <w:uiPriority w:val="99"/>
    <w:rsid w:val="00375206"/>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375206"/>
    <w:rPr>
      <w:vertAlign w:val="superscript"/>
    </w:rPr>
  </w:style>
  <w:style w:type="paragraph" w:styleId="Header">
    <w:name w:val="header"/>
    <w:basedOn w:val="Normal"/>
    <w:link w:val="HeaderChar"/>
    <w:uiPriority w:val="99"/>
    <w:unhideWhenUsed/>
    <w:rsid w:val="00375206"/>
    <w:pPr>
      <w:tabs>
        <w:tab w:val="center" w:pos="4513"/>
        <w:tab w:val="right" w:pos="9026"/>
      </w:tabs>
      <w:spacing w:after="0"/>
    </w:pPr>
  </w:style>
  <w:style w:type="character" w:customStyle="1" w:styleId="HeaderChar">
    <w:name w:val="Header Char"/>
    <w:basedOn w:val="DefaultParagraphFont"/>
    <w:link w:val="Header"/>
    <w:uiPriority w:val="99"/>
    <w:rsid w:val="00375206"/>
    <w:rPr>
      <w:rFonts w:ascii="Calibri" w:eastAsia="Times New Roman" w:hAnsi="Calibri" w:cs="Times New Roman"/>
      <w:sz w:val="20"/>
      <w:szCs w:val="24"/>
    </w:rPr>
  </w:style>
  <w:style w:type="paragraph" w:styleId="Footer">
    <w:name w:val="footer"/>
    <w:basedOn w:val="Normal"/>
    <w:link w:val="FooterChar"/>
    <w:uiPriority w:val="99"/>
    <w:unhideWhenUsed/>
    <w:rsid w:val="00375206"/>
    <w:pPr>
      <w:tabs>
        <w:tab w:val="center" w:pos="4513"/>
        <w:tab w:val="right" w:pos="9026"/>
      </w:tabs>
      <w:spacing w:after="0"/>
    </w:pPr>
  </w:style>
  <w:style w:type="character" w:customStyle="1" w:styleId="FooterChar">
    <w:name w:val="Footer Char"/>
    <w:basedOn w:val="DefaultParagraphFont"/>
    <w:link w:val="Footer"/>
    <w:uiPriority w:val="99"/>
    <w:rsid w:val="00375206"/>
    <w:rPr>
      <w:rFonts w:ascii="Calibri" w:eastAsia="Times New Roman" w:hAnsi="Calibri" w:cs="Times New Roman"/>
      <w:sz w:val="20"/>
      <w:szCs w:val="24"/>
    </w:rPr>
  </w:style>
  <w:style w:type="paragraph" w:styleId="NormalWeb">
    <w:name w:val="Normal (Web)"/>
    <w:basedOn w:val="Normal"/>
    <w:uiPriority w:val="99"/>
    <w:unhideWhenUsed/>
    <w:rsid w:val="00375206"/>
    <w:pPr>
      <w:spacing w:before="100" w:beforeAutospacing="1" w:after="100" w:afterAutospacing="1"/>
    </w:pPr>
    <w:rPr>
      <w:rFonts w:ascii="Times New Roman" w:hAnsi="Times New Roman"/>
      <w:sz w:val="24"/>
      <w:lang w:eastAsia="en-AU" w:bidi="he-IL"/>
    </w:rPr>
  </w:style>
  <w:style w:type="table" w:styleId="LightList-Accent2">
    <w:name w:val="Light List Accent 2"/>
    <w:basedOn w:val="TableNormal"/>
    <w:uiPriority w:val="61"/>
    <w:rsid w:val="00375206"/>
    <w:pPr>
      <w:spacing w:after="0" w:line="240" w:lineRule="auto"/>
      <w:ind w:left="0"/>
    </w:pPr>
    <w:rPr>
      <w:rFonts w:ascii="Arial" w:eastAsia="Times New Roman" w:hAnsi="Arial" w:cs="Arial"/>
      <w:sz w:val="20"/>
      <w:szCs w:val="20"/>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Hyperlink">
    <w:name w:val="Hyperlink"/>
    <w:basedOn w:val="DefaultParagraphFont"/>
    <w:uiPriority w:val="99"/>
    <w:unhideWhenUsed/>
    <w:rsid w:val="00375206"/>
    <w:rPr>
      <w:color w:val="0000FF" w:themeColor="hyperlink"/>
      <w:u w:val="single"/>
    </w:rPr>
  </w:style>
  <w:style w:type="paragraph" w:styleId="TableofFigures">
    <w:name w:val="table of figures"/>
    <w:basedOn w:val="Normal"/>
    <w:next w:val="Normal"/>
    <w:uiPriority w:val="99"/>
    <w:unhideWhenUsed/>
    <w:rsid w:val="00375206"/>
    <w:pPr>
      <w:spacing w:after="0"/>
    </w:pPr>
  </w:style>
  <w:style w:type="paragraph" w:styleId="TOC1">
    <w:name w:val="toc 1"/>
    <w:basedOn w:val="Normal"/>
    <w:next w:val="Normal"/>
    <w:autoRedefine/>
    <w:uiPriority w:val="39"/>
    <w:unhideWhenUsed/>
    <w:rsid w:val="00375206"/>
    <w:pPr>
      <w:spacing w:after="100"/>
    </w:pPr>
  </w:style>
  <w:style w:type="paragraph" w:styleId="TOC2">
    <w:name w:val="toc 2"/>
    <w:basedOn w:val="Normal"/>
    <w:next w:val="Normal"/>
    <w:autoRedefine/>
    <w:uiPriority w:val="39"/>
    <w:unhideWhenUsed/>
    <w:rsid w:val="00375206"/>
    <w:pPr>
      <w:spacing w:after="100"/>
      <w:ind w:left="200"/>
    </w:pPr>
  </w:style>
  <w:style w:type="paragraph" w:styleId="TOC3">
    <w:name w:val="toc 3"/>
    <w:basedOn w:val="Normal"/>
    <w:next w:val="Normal"/>
    <w:autoRedefine/>
    <w:uiPriority w:val="39"/>
    <w:unhideWhenUsed/>
    <w:rsid w:val="00375206"/>
    <w:pPr>
      <w:spacing w:after="100"/>
      <w:ind w:left="400"/>
    </w:pPr>
  </w:style>
  <w:style w:type="table" w:styleId="LightList-Accent4">
    <w:name w:val="Light List Accent 4"/>
    <w:basedOn w:val="TableNormal"/>
    <w:uiPriority w:val="61"/>
    <w:rsid w:val="00375206"/>
    <w:pPr>
      <w:spacing w:after="0" w:line="240" w:lineRule="auto"/>
      <w:ind w:left="0"/>
    </w:pPr>
    <w:rPr>
      <w:rFonts w:ascii="Arial" w:eastAsia="Times New Roman" w:hAnsi="Arial" w:cs="Arial"/>
      <w:sz w:val="20"/>
      <w:szCs w:val="20"/>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customStyle="1" w:styleId="TitlePage3">
    <w:name w:val="Title Page 3"/>
    <w:basedOn w:val="Normal"/>
    <w:uiPriority w:val="99"/>
    <w:rsid w:val="00375206"/>
    <w:pPr>
      <w:spacing w:before="20" w:after="0"/>
      <w:jc w:val="right"/>
    </w:pPr>
    <w:rPr>
      <w:caps/>
      <w:sz w:val="16"/>
    </w:rPr>
  </w:style>
  <w:style w:type="paragraph" w:customStyle="1" w:styleId="Para2">
    <w:name w:val="Para 2"/>
    <w:basedOn w:val="Normal"/>
    <w:rsid w:val="00375206"/>
    <w:pPr>
      <w:spacing w:line="300" w:lineRule="atLeast"/>
      <w:ind w:left="567"/>
    </w:pPr>
    <w:rPr>
      <w:rFonts w:ascii="Times New Roman" w:hAnsi="Times New Roman"/>
      <w:sz w:val="26"/>
      <w:szCs w:val="26"/>
    </w:rPr>
  </w:style>
  <w:style w:type="paragraph" w:customStyle="1" w:styleId="Quote1">
    <w:name w:val="Quote 1"/>
    <w:basedOn w:val="Normal"/>
    <w:link w:val="Quote1Char"/>
    <w:uiPriority w:val="99"/>
    <w:rsid w:val="00375206"/>
    <w:pPr>
      <w:ind w:left="1134" w:right="567"/>
    </w:pPr>
    <w:rPr>
      <w:rFonts w:ascii="Times New Roman" w:hAnsi="Times New Roman"/>
      <w:sz w:val="24"/>
    </w:rPr>
  </w:style>
  <w:style w:type="character" w:customStyle="1" w:styleId="Quote1Char">
    <w:name w:val="Quote 1 Char"/>
    <w:link w:val="Quote1"/>
    <w:uiPriority w:val="99"/>
    <w:rsid w:val="00375206"/>
    <w:rPr>
      <w:rFonts w:ascii="Times New Roman" w:eastAsia="Times New Roman" w:hAnsi="Times New Roman" w:cs="Times New Roman"/>
      <w:sz w:val="24"/>
      <w:szCs w:val="24"/>
    </w:rPr>
  </w:style>
  <w:style w:type="paragraph" w:customStyle="1" w:styleId="Para1">
    <w:name w:val="Para 1"/>
    <w:basedOn w:val="Normal"/>
    <w:link w:val="Para1Char1"/>
    <w:qFormat/>
    <w:rsid w:val="00220688"/>
    <w:pPr>
      <w:numPr>
        <w:numId w:val="3"/>
      </w:numPr>
      <w:spacing w:line="300" w:lineRule="atLeast"/>
    </w:pPr>
    <w:rPr>
      <w:szCs w:val="26"/>
    </w:rPr>
  </w:style>
  <w:style w:type="paragraph" w:customStyle="1" w:styleId="Para5">
    <w:name w:val="Para 5"/>
    <w:basedOn w:val="Para2"/>
    <w:rsid w:val="00375206"/>
    <w:pPr>
      <w:numPr>
        <w:numId w:val="4"/>
      </w:numPr>
    </w:pPr>
  </w:style>
  <w:style w:type="character" w:customStyle="1" w:styleId="Para1Char1">
    <w:name w:val="Para 1 Char1"/>
    <w:link w:val="Para1"/>
    <w:rsid w:val="00220688"/>
    <w:rPr>
      <w:rFonts w:ascii="Calibri" w:eastAsia="Times New Roman" w:hAnsi="Calibri" w:cs="Times New Roman"/>
      <w:szCs w:val="26"/>
    </w:rPr>
  </w:style>
  <w:style w:type="character" w:styleId="Emphasis">
    <w:name w:val="Emphasis"/>
    <w:basedOn w:val="DefaultParagraphFont"/>
    <w:uiPriority w:val="20"/>
    <w:qFormat/>
    <w:rsid w:val="00375206"/>
    <w:rPr>
      <w:i/>
      <w:iCs/>
    </w:rPr>
  </w:style>
  <w:style w:type="table" w:styleId="TableGrid">
    <w:name w:val="Table Grid"/>
    <w:basedOn w:val="TableNormal"/>
    <w:uiPriority w:val="59"/>
    <w:rsid w:val="00375206"/>
    <w:pPr>
      <w:spacing w:after="0" w:line="240" w:lineRule="auto"/>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SectionSub">
    <w:name w:val="Body Section (Sub)"/>
    <w:next w:val="Normal"/>
    <w:link w:val="BodySectionSubChar"/>
    <w:rsid w:val="00375206"/>
    <w:pPr>
      <w:overflowPunct w:val="0"/>
      <w:autoSpaceDE w:val="0"/>
      <w:autoSpaceDN w:val="0"/>
      <w:adjustRightInd w:val="0"/>
      <w:spacing w:before="120" w:after="0" w:line="240" w:lineRule="auto"/>
      <w:ind w:left="1361" w:hanging="357"/>
      <w:textAlignment w:val="baseline"/>
    </w:pPr>
    <w:rPr>
      <w:rFonts w:ascii="Times New Roman" w:eastAsia="Times New Roman" w:hAnsi="Times New Roman" w:cs="Times New Roman"/>
      <w:sz w:val="24"/>
      <w:szCs w:val="24"/>
    </w:rPr>
  </w:style>
  <w:style w:type="character" w:customStyle="1" w:styleId="BodySectionSubChar">
    <w:name w:val="Body Section (Sub) Char"/>
    <w:basedOn w:val="DefaultParagraphFont"/>
    <w:link w:val="BodySectionSub"/>
    <w:rsid w:val="00375206"/>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375206"/>
    <w:rPr>
      <w:i/>
      <w:iCs/>
      <w:color w:val="000000" w:themeColor="text1"/>
      <w:lang w:eastAsia="en-AU"/>
    </w:rPr>
  </w:style>
  <w:style w:type="character" w:customStyle="1" w:styleId="QuoteChar">
    <w:name w:val="Quote Char"/>
    <w:basedOn w:val="DefaultParagraphFont"/>
    <w:link w:val="Quote"/>
    <w:uiPriority w:val="29"/>
    <w:rsid w:val="00375206"/>
    <w:rPr>
      <w:rFonts w:ascii="Calibri" w:eastAsia="Times New Roman" w:hAnsi="Calibri" w:cs="Times New Roman"/>
      <w:i/>
      <w:iCs/>
      <w:color w:val="000000" w:themeColor="text1"/>
      <w:szCs w:val="24"/>
      <w:lang w:eastAsia="en-AU"/>
    </w:rPr>
  </w:style>
  <w:style w:type="paragraph" w:customStyle="1" w:styleId="DraftHeading4">
    <w:name w:val="Draft Heading 4"/>
    <w:basedOn w:val="Normal"/>
    <w:next w:val="Normal"/>
    <w:uiPriority w:val="99"/>
    <w:rsid w:val="00375206"/>
    <w:pPr>
      <w:overflowPunct w:val="0"/>
      <w:autoSpaceDE w:val="0"/>
      <w:autoSpaceDN w:val="0"/>
      <w:adjustRightInd w:val="0"/>
      <w:spacing w:before="120"/>
      <w:textAlignment w:val="baseline"/>
    </w:pPr>
    <w:rPr>
      <w:rFonts w:ascii="Times New Roman" w:hAnsi="Times New Roman"/>
      <w:sz w:val="24"/>
      <w:lang w:eastAsia="en-AU"/>
    </w:rPr>
  </w:style>
  <w:style w:type="paragraph" w:customStyle="1" w:styleId="FactSheetBullet1">
    <w:name w:val="Fact Sheet Bullet 1"/>
    <w:basedOn w:val="Normal"/>
    <w:rsid w:val="00375206"/>
    <w:pPr>
      <w:numPr>
        <w:numId w:val="6"/>
      </w:numPr>
      <w:spacing w:before="100" w:after="60"/>
      <w:ind w:left="284" w:hanging="284"/>
      <w:contextualSpacing/>
    </w:pPr>
    <w:rPr>
      <w:rFonts w:cs="Calibri"/>
      <w:szCs w:val="22"/>
      <w:lang w:eastAsia="en-AU"/>
    </w:rPr>
  </w:style>
  <w:style w:type="paragraph" w:customStyle="1" w:styleId="FactSheetBullet3">
    <w:name w:val="Fact Sheet Bullet 3"/>
    <w:basedOn w:val="FactSheetBullet2"/>
    <w:rsid w:val="00375206"/>
    <w:pPr>
      <w:numPr>
        <w:ilvl w:val="2"/>
      </w:numPr>
    </w:pPr>
  </w:style>
  <w:style w:type="paragraph" w:customStyle="1" w:styleId="FactSheetBullet2">
    <w:name w:val="Fact Sheet Bullet 2"/>
    <w:basedOn w:val="FactSheetBullet1"/>
    <w:rsid w:val="00375206"/>
    <w:pPr>
      <w:numPr>
        <w:ilvl w:val="1"/>
      </w:numPr>
    </w:pPr>
  </w:style>
  <w:style w:type="paragraph" w:customStyle="1" w:styleId="Default">
    <w:name w:val="Default"/>
    <w:rsid w:val="00375206"/>
    <w:pPr>
      <w:autoSpaceDE w:val="0"/>
      <w:autoSpaceDN w:val="0"/>
      <w:adjustRightInd w:val="0"/>
      <w:spacing w:after="0" w:line="240" w:lineRule="auto"/>
      <w:ind w:left="0"/>
    </w:pPr>
    <w:rPr>
      <w:rFonts w:ascii="Arial" w:eastAsia="Times New Roman" w:hAnsi="Arial" w:cs="Arial"/>
      <w:color w:val="000000"/>
      <w:sz w:val="24"/>
      <w:szCs w:val="24"/>
    </w:rPr>
  </w:style>
  <w:style w:type="paragraph" w:customStyle="1" w:styleId="bodytext4">
    <w:name w:val="body_text_4"/>
    <w:basedOn w:val="Normal"/>
    <w:rsid w:val="00375206"/>
    <w:pPr>
      <w:spacing w:before="100" w:beforeAutospacing="1" w:after="100" w:afterAutospacing="1"/>
    </w:pPr>
    <w:rPr>
      <w:rFonts w:ascii="Times New Roman" w:hAnsi="Times New Roman"/>
      <w:sz w:val="24"/>
      <w:lang w:eastAsia="en-AU"/>
    </w:rPr>
  </w:style>
  <w:style w:type="character" w:customStyle="1" w:styleId="apple-converted-space">
    <w:name w:val="apple-converted-space"/>
    <w:basedOn w:val="DefaultParagraphFont"/>
    <w:rsid w:val="00375206"/>
  </w:style>
  <w:style w:type="character" w:styleId="Strong">
    <w:name w:val="Strong"/>
    <w:basedOn w:val="DefaultParagraphFont"/>
    <w:uiPriority w:val="22"/>
    <w:qFormat/>
    <w:rsid w:val="00375206"/>
    <w:rPr>
      <w:b/>
      <w:bCs/>
    </w:rPr>
  </w:style>
  <w:style w:type="character" w:styleId="PlaceholderText">
    <w:name w:val="Placeholder Text"/>
    <w:basedOn w:val="DefaultParagraphFont"/>
    <w:uiPriority w:val="99"/>
    <w:semiHidden/>
    <w:rsid w:val="00375206"/>
    <w:rPr>
      <w:color w:val="808080"/>
    </w:rPr>
  </w:style>
  <w:style w:type="paragraph" w:customStyle="1" w:styleId="Figure">
    <w:name w:val="Figure"/>
    <w:basedOn w:val="BodyText"/>
    <w:rsid w:val="00375206"/>
    <w:pPr>
      <w:keepNext/>
      <w:spacing w:before="120" w:line="240" w:lineRule="atLeast"/>
      <w:jc w:val="center"/>
    </w:pPr>
    <w:rPr>
      <w:rFonts w:ascii="Times New Roman" w:hAnsi="Times New Roman"/>
      <w:sz w:val="26"/>
      <w:szCs w:val="20"/>
      <w:lang w:eastAsia="en-AU"/>
    </w:rPr>
  </w:style>
  <w:style w:type="paragraph" w:styleId="BodyText">
    <w:name w:val="Body Text"/>
    <w:basedOn w:val="Normal"/>
    <w:link w:val="BodyTextChar"/>
    <w:uiPriority w:val="99"/>
    <w:semiHidden/>
    <w:unhideWhenUsed/>
    <w:rsid w:val="00375206"/>
  </w:style>
  <w:style w:type="character" w:customStyle="1" w:styleId="BodyTextChar">
    <w:name w:val="Body Text Char"/>
    <w:basedOn w:val="DefaultParagraphFont"/>
    <w:link w:val="BodyText"/>
    <w:uiPriority w:val="99"/>
    <w:semiHidden/>
    <w:rsid w:val="00375206"/>
    <w:rPr>
      <w:rFonts w:ascii="Calibri" w:eastAsia="Times New Roman" w:hAnsi="Calibri" w:cs="Times New Roman"/>
      <w:sz w:val="20"/>
      <w:szCs w:val="24"/>
    </w:rPr>
  </w:style>
  <w:style w:type="paragraph" w:customStyle="1" w:styleId="TableText">
    <w:name w:val="Table Text"/>
    <w:basedOn w:val="Normal"/>
    <w:link w:val="TableTextChar"/>
    <w:rsid w:val="00375206"/>
    <w:rPr>
      <w:rFonts w:ascii="Century Gothic" w:hAnsi="Century Gothic"/>
      <w:color w:val="826E5A"/>
      <w:lang w:eastAsia="en-AU"/>
    </w:rPr>
  </w:style>
  <w:style w:type="character" w:customStyle="1" w:styleId="TableTextChar">
    <w:name w:val="Table Text Char"/>
    <w:link w:val="TableText"/>
    <w:rsid w:val="00375206"/>
    <w:rPr>
      <w:rFonts w:ascii="Century Gothic" w:eastAsia="Times New Roman" w:hAnsi="Century Gothic" w:cs="Times New Roman"/>
      <w:color w:val="826E5A"/>
      <w:szCs w:val="24"/>
      <w:lang w:eastAsia="en-AU"/>
    </w:rPr>
  </w:style>
  <w:style w:type="paragraph" w:customStyle="1" w:styleId="Tablecolumnheading">
    <w:name w:val="Table column heading"/>
    <w:basedOn w:val="TableText"/>
    <w:next w:val="TableText"/>
    <w:rsid w:val="00375206"/>
    <w:rPr>
      <w:b/>
      <w:color w:val="FFFFFF"/>
    </w:rPr>
  </w:style>
  <w:style w:type="paragraph" w:customStyle="1" w:styleId="Bullet1">
    <w:name w:val="Bullet 1"/>
    <w:basedOn w:val="Normal"/>
    <w:qFormat/>
    <w:rsid w:val="00375206"/>
    <w:pPr>
      <w:numPr>
        <w:numId w:val="7"/>
      </w:numPr>
      <w:spacing w:before="80" w:after="80"/>
    </w:pPr>
    <w:rPr>
      <w:rFonts w:cs="Calibri"/>
      <w:szCs w:val="22"/>
      <w:lang w:eastAsia="en-AU"/>
    </w:rPr>
  </w:style>
  <w:style w:type="paragraph" w:customStyle="1" w:styleId="Bullet2">
    <w:name w:val="Bullet 2"/>
    <w:basedOn w:val="Bullet1"/>
    <w:rsid w:val="00375206"/>
    <w:pPr>
      <w:numPr>
        <w:ilvl w:val="1"/>
      </w:numPr>
    </w:pPr>
  </w:style>
  <w:style w:type="paragraph" w:customStyle="1" w:styleId="Bullet3">
    <w:name w:val="Bullet 3"/>
    <w:basedOn w:val="Bullet2"/>
    <w:rsid w:val="00375206"/>
    <w:pPr>
      <w:numPr>
        <w:ilvl w:val="2"/>
      </w:numPr>
    </w:pPr>
  </w:style>
  <w:style w:type="paragraph" w:customStyle="1" w:styleId="Box">
    <w:name w:val="Box"/>
    <w:basedOn w:val="BodyText"/>
    <w:rsid w:val="00375206"/>
    <w:pPr>
      <w:keepNext/>
      <w:spacing w:before="120" w:line="280" w:lineRule="atLeast"/>
      <w:jc w:val="both"/>
    </w:pPr>
    <w:rPr>
      <w:szCs w:val="20"/>
      <w:lang w:eastAsia="en-AU"/>
    </w:rPr>
  </w:style>
  <w:style w:type="table" w:styleId="LightList-Accent1">
    <w:name w:val="Light List Accent 1"/>
    <w:basedOn w:val="TableNormal"/>
    <w:uiPriority w:val="61"/>
    <w:rsid w:val="00FD757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FD757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PlainText">
    <w:name w:val="Plain Text"/>
    <w:basedOn w:val="Normal"/>
    <w:link w:val="PlainTextChar"/>
    <w:uiPriority w:val="99"/>
    <w:semiHidden/>
    <w:unhideWhenUsed/>
    <w:rsid w:val="00EF66F6"/>
    <w:pPr>
      <w:spacing w:after="0"/>
    </w:pPr>
    <w:rPr>
      <w:rFonts w:eastAsiaTheme="minorEastAsia"/>
      <w:szCs w:val="21"/>
      <w:lang w:eastAsia="en-AU"/>
    </w:rPr>
  </w:style>
  <w:style w:type="character" w:customStyle="1" w:styleId="PlainTextChar">
    <w:name w:val="Plain Text Char"/>
    <w:basedOn w:val="DefaultParagraphFont"/>
    <w:link w:val="PlainText"/>
    <w:uiPriority w:val="99"/>
    <w:semiHidden/>
    <w:rsid w:val="00EF66F6"/>
    <w:rPr>
      <w:rFonts w:ascii="Calibri" w:eastAsiaTheme="minorEastAsia" w:hAnsi="Calibri" w:cs="Times New Roman"/>
      <w:szCs w:val="21"/>
      <w:lang w:eastAsia="en-AU"/>
    </w:rPr>
  </w:style>
  <w:style w:type="paragraph" w:customStyle="1" w:styleId="Body2">
    <w:name w:val="Body 2"/>
    <w:rsid w:val="005C228B"/>
    <w:pPr>
      <w:pBdr>
        <w:top w:val="nil"/>
        <w:left w:val="nil"/>
        <w:bottom w:val="nil"/>
        <w:right w:val="nil"/>
        <w:between w:val="nil"/>
        <w:bar w:val="nil"/>
      </w:pBdr>
      <w:spacing w:after="0" w:line="240" w:lineRule="auto"/>
      <w:ind w:left="0"/>
    </w:pPr>
    <w:rPr>
      <w:rFonts w:ascii="Helvetica" w:eastAsia="Arial Unicode MS" w:hAnsi="Arial Unicode MS" w:cs="Arial Unicode MS"/>
      <w:color w:val="000000"/>
      <w:bdr w:val="nil"/>
      <w:lang w:val="en-US" w:eastAsia="en-AU"/>
    </w:rPr>
  </w:style>
  <w:style w:type="paragraph" w:customStyle="1" w:styleId="Body">
    <w:name w:val="Body"/>
    <w:rsid w:val="005C228B"/>
    <w:pPr>
      <w:pBdr>
        <w:top w:val="nil"/>
        <w:left w:val="nil"/>
        <w:bottom w:val="nil"/>
        <w:right w:val="nil"/>
        <w:between w:val="nil"/>
        <w:bar w:val="nil"/>
      </w:pBdr>
      <w:spacing w:before="160" w:after="0" w:line="288" w:lineRule="auto"/>
      <w:ind w:left="0"/>
    </w:pPr>
    <w:rPr>
      <w:rFonts w:ascii="Helvetica" w:eastAsia="Arial Unicode MS" w:hAnsi="Arial Unicode MS" w:cs="Arial Unicode MS"/>
      <w:color w:val="000000"/>
      <w:sz w:val="24"/>
      <w:szCs w:val="24"/>
      <w:bdr w:val="nil"/>
      <w:lang w:val="en-US" w:eastAsia="en-AU"/>
    </w:rPr>
  </w:style>
  <w:style w:type="character" w:styleId="CommentReference">
    <w:name w:val="annotation reference"/>
    <w:basedOn w:val="DefaultParagraphFont"/>
    <w:uiPriority w:val="99"/>
    <w:semiHidden/>
    <w:unhideWhenUsed/>
    <w:rsid w:val="00B421DE"/>
    <w:rPr>
      <w:sz w:val="16"/>
      <w:szCs w:val="16"/>
    </w:rPr>
  </w:style>
  <w:style w:type="paragraph" w:styleId="CommentText">
    <w:name w:val="annotation text"/>
    <w:basedOn w:val="Normal"/>
    <w:link w:val="CommentTextChar"/>
    <w:uiPriority w:val="99"/>
    <w:unhideWhenUsed/>
    <w:rsid w:val="00B421DE"/>
    <w:rPr>
      <w:rFonts w:eastAsiaTheme="minorHAnsi" w:cstheme="minorBidi"/>
      <w:szCs w:val="20"/>
    </w:rPr>
  </w:style>
  <w:style w:type="character" w:customStyle="1" w:styleId="CommentTextChar">
    <w:name w:val="Comment Text Char"/>
    <w:basedOn w:val="DefaultParagraphFont"/>
    <w:link w:val="CommentText"/>
    <w:uiPriority w:val="99"/>
    <w:rsid w:val="00B421DE"/>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B421DE"/>
    <w:rPr>
      <w:b/>
      <w:bCs/>
    </w:rPr>
  </w:style>
  <w:style w:type="character" w:customStyle="1" w:styleId="CommentSubjectChar">
    <w:name w:val="Comment Subject Char"/>
    <w:basedOn w:val="CommentTextChar"/>
    <w:link w:val="CommentSubject"/>
    <w:uiPriority w:val="99"/>
    <w:semiHidden/>
    <w:rsid w:val="00B421DE"/>
    <w:rPr>
      <w:rFonts w:ascii="Calibri" w:hAnsi="Calibri"/>
      <w:b/>
      <w:bCs/>
      <w:sz w:val="20"/>
      <w:szCs w:val="20"/>
    </w:rPr>
  </w:style>
  <w:style w:type="paragraph" w:customStyle="1" w:styleId="btbullet">
    <w:name w:val="bt_bullet"/>
    <w:basedOn w:val="Normal"/>
    <w:qFormat/>
    <w:rsid w:val="00B421DE"/>
    <w:pPr>
      <w:numPr>
        <w:numId w:val="9"/>
      </w:numPr>
      <w:tabs>
        <w:tab w:val="num" w:pos="360"/>
      </w:tabs>
      <w:spacing w:line="360" w:lineRule="auto"/>
      <w:ind w:left="284" w:firstLine="0"/>
    </w:pPr>
    <w:rPr>
      <w:lang w:val="en-US" w:eastAsia="en-AU"/>
    </w:rPr>
  </w:style>
  <w:style w:type="paragraph" w:styleId="Revision">
    <w:name w:val="Revision"/>
    <w:hidden/>
    <w:uiPriority w:val="99"/>
    <w:semiHidden/>
    <w:rsid w:val="00B421DE"/>
    <w:pPr>
      <w:spacing w:after="0" w:line="240" w:lineRule="auto"/>
      <w:ind w:left="0"/>
    </w:pPr>
  </w:style>
  <w:style w:type="table" w:styleId="LightList-Accent6">
    <w:name w:val="Light List Accent 6"/>
    <w:basedOn w:val="TableNormal"/>
    <w:uiPriority w:val="61"/>
    <w:rsid w:val="00B421DE"/>
    <w:pPr>
      <w:spacing w:after="0" w:line="240" w:lineRule="auto"/>
      <w:ind w:left="357" w:hanging="357"/>
    </w:pPr>
    <w:rPr>
      <w:rFonts w:eastAsia="Times New Roman"/>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IntenseEmphasis">
    <w:name w:val="Intense Emphasis"/>
    <w:basedOn w:val="DefaultParagraphFont"/>
    <w:uiPriority w:val="21"/>
    <w:qFormat/>
    <w:rsid w:val="00B421DE"/>
    <w:rPr>
      <w:b/>
      <w:bCs/>
      <w:i/>
      <w:iCs/>
      <w:color w:val="4F81BD" w:themeColor="accent1"/>
    </w:rPr>
  </w:style>
  <w:style w:type="table" w:customStyle="1" w:styleId="LightList-Accent11">
    <w:name w:val="Light List - Accent 11"/>
    <w:basedOn w:val="TableNormal"/>
    <w:uiPriority w:val="61"/>
    <w:rsid w:val="00B421DE"/>
    <w:pPr>
      <w:spacing w:after="200"/>
      <w:ind w:left="0"/>
    </w:pPr>
    <w:rPr>
      <w:rFonts w:eastAsiaTheme="minorEastAsia"/>
      <w:lang w:val="en-US" w:bidi="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bt">
    <w:name w:val="bt"/>
    <w:link w:val="btChar"/>
    <w:qFormat/>
    <w:rsid w:val="00B421DE"/>
    <w:pPr>
      <w:spacing w:before="180" w:after="240" w:line="270" w:lineRule="exact"/>
      <w:ind w:left="0"/>
    </w:pPr>
    <w:rPr>
      <w:rFonts w:ascii="Calibri" w:eastAsia="Times New Roman" w:hAnsi="Calibri" w:cs="Times New Roman"/>
      <w:sz w:val="20"/>
      <w:szCs w:val="24"/>
      <w:lang w:val="en-US" w:eastAsia="en-AU"/>
    </w:rPr>
  </w:style>
  <w:style w:type="character" w:customStyle="1" w:styleId="btChar">
    <w:name w:val="bt Char"/>
    <w:basedOn w:val="DefaultParagraphFont"/>
    <w:link w:val="bt"/>
    <w:rsid w:val="00B421DE"/>
    <w:rPr>
      <w:rFonts w:ascii="Calibri" w:eastAsia="Times New Roman" w:hAnsi="Calibri" w:cs="Times New Roman"/>
      <w:sz w:val="20"/>
      <w:szCs w:val="24"/>
      <w:lang w:val="en-US" w:eastAsia="en-AU"/>
    </w:rPr>
  </w:style>
  <w:style w:type="character" w:styleId="FollowedHyperlink">
    <w:name w:val="FollowedHyperlink"/>
    <w:basedOn w:val="DefaultParagraphFont"/>
    <w:uiPriority w:val="99"/>
    <w:semiHidden/>
    <w:unhideWhenUsed/>
    <w:rsid w:val="00B421DE"/>
    <w:rPr>
      <w:color w:val="800080" w:themeColor="followedHyperlink"/>
      <w:u w:val="single"/>
    </w:rPr>
  </w:style>
  <w:style w:type="paragraph" w:styleId="EndnoteText">
    <w:name w:val="endnote text"/>
    <w:basedOn w:val="Normal"/>
    <w:link w:val="EndnoteTextChar"/>
    <w:uiPriority w:val="99"/>
    <w:semiHidden/>
    <w:unhideWhenUsed/>
    <w:rsid w:val="00816AB2"/>
    <w:pPr>
      <w:spacing w:after="0"/>
    </w:pPr>
    <w:rPr>
      <w:szCs w:val="20"/>
    </w:rPr>
  </w:style>
  <w:style w:type="character" w:customStyle="1" w:styleId="EndnoteTextChar">
    <w:name w:val="Endnote Text Char"/>
    <w:basedOn w:val="DefaultParagraphFont"/>
    <w:link w:val="EndnoteText"/>
    <w:uiPriority w:val="99"/>
    <w:semiHidden/>
    <w:rsid w:val="00816AB2"/>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816AB2"/>
    <w:rPr>
      <w:vertAlign w:val="superscript"/>
    </w:rPr>
  </w:style>
  <w:style w:type="table" w:customStyle="1" w:styleId="ListTable3">
    <w:name w:val="List Table 3"/>
    <w:basedOn w:val="TableNormal"/>
    <w:uiPriority w:val="48"/>
    <w:rsid w:val="005C34A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Mention">
    <w:name w:val="Mention"/>
    <w:basedOn w:val="DefaultParagraphFont"/>
    <w:uiPriority w:val="99"/>
    <w:semiHidden/>
    <w:unhideWhenUsed/>
    <w:rsid w:val="000E0366"/>
    <w:rPr>
      <w:color w:val="2B579A"/>
      <w:shd w:val="clear" w:color="auto" w:fill="E6E6E6"/>
    </w:rPr>
  </w:style>
  <w:style w:type="paragraph" w:customStyle="1" w:styleId="TitlePagetext">
    <w:name w:val="Title Page text"/>
    <w:basedOn w:val="Normal"/>
    <w:rsid w:val="003D1F93"/>
    <w:pPr>
      <w:spacing w:before="80" w:after="100"/>
    </w:pPr>
    <w:rPr>
      <w:rFonts w:ascii="Times New Roman" w:hAnsi="Times New Roman"/>
      <w:sz w:val="26"/>
      <w:szCs w:val="26"/>
    </w:rPr>
  </w:style>
  <w:style w:type="character" w:styleId="HTMLCite">
    <w:name w:val="HTML Cite"/>
    <w:basedOn w:val="DefaultParagraphFont"/>
    <w:uiPriority w:val="99"/>
    <w:semiHidden/>
    <w:unhideWhenUsed/>
    <w:rsid w:val="003D1F93"/>
    <w:rPr>
      <w:i/>
      <w:iCs/>
    </w:rPr>
  </w:style>
  <w:style w:type="table" w:customStyle="1" w:styleId="GridTableLight">
    <w:name w:val="Grid Table Light"/>
    <w:basedOn w:val="TableNormal"/>
    <w:uiPriority w:val="40"/>
    <w:rsid w:val="006646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66673B"/>
    <w:rPr>
      <w:rFonts w:ascii="Calibri" w:eastAsia="Times New Roman" w:hAnsi="Calibri" w:cs="Arial"/>
      <w:szCs w:val="24"/>
    </w:rPr>
  </w:style>
  <w:style w:type="paragraph" w:customStyle="1" w:styleId="BodytextBlue">
    <w:name w:val="Body text + Blue"/>
    <w:basedOn w:val="Normal"/>
    <w:rsid w:val="00795EBA"/>
    <w:pPr>
      <w:spacing w:before="60" w:after="80"/>
      <w:ind w:left="1134"/>
    </w:pPr>
    <w:rPr>
      <w:rFonts w:ascii="Times New Roman" w:hAnsi="Times New Roman"/>
      <w:color w:val="0000FF"/>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636366">
      <w:bodyDiv w:val="1"/>
      <w:marLeft w:val="0"/>
      <w:marRight w:val="0"/>
      <w:marTop w:val="0"/>
      <w:marBottom w:val="0"/>
      <w:divBdr>
        <w:top w:val="none" w:sz="0" w:space="0" w:color="auto"/>
        <w:left w:val="none" w:sz="0" w:space="0" w:color="auto"/>
        <w:bottom w:val="none" w:sz="0" w:space="0" w:color="auto"/>
        <w:right w:val="none" w:sz="0" w:space="0" w:color="auto"/>
      </w:divBdr>
    </w:div>
    <w:div w:id="75173401">
      <w:bodyDiv w:val="1"/>
      <w:marLeft w:val="0"/>
      <w:marRight w:val="0"/>
      <w:marTop w:val="0"/>
      <w:marBottom w:val="0"/>
      <w:divBdr>
        <w:top w:val="none" w:sz="0" w:space="0" w:color="auto"/>
        <w:left w:val="none" w:sz="0" w:space="0" w:color="auto"/>
        <w:bottom w:val="none" w:sz="0" w:space="0" w:color="auto"/>
        <w:right w:val="none" w:sz="0" w:space="0" w:color="auto"/>
      </w:divBdr>
    </w:div>
    <w:div w:id="81074062">
      <w:bodyDiv w:val="1"/>
      <w:marLeft w:val="0"/>
      <w:marRight w:val="0"/>
      <w:marTop w:val="0"/>
      <w:marBottom w:val="0"/>
      <w:divBdr>
        <w:top w:val="none" w:sz="0" w:space="0" w:color="auto"/>
        <w:left w:val="none" w:sz="0" w:space="0" w:color="auto"/>
        <w:bottom w:val="none" w:sz="0" w:space="0" w:color="auto"/>
        <w:right w:val="none" w:sz="0" w:space="0" w:color="auto"/>
      </w:divBdr>
    </w:div>
    <w:div w:id="100344601">
      <w:bodyDiv w:val="1"/>
      <w:marLeft w:val="0"/>
      <w:marRight w:val="0"/>
      <w:marTop w:val="0"/>
      <w:marBottom w:val="0"/>
      <w:divBdr>
        <w:top w:val="none" w:sz="0" w:space="0" w:color="auto"/>
        <w:left w:val="none" w:sz="0" w:space="0" w:color="auto"/>
        <w:bottom w:val="none" w:sz="0" w:space="0" w:color="auto"/>
        <w:right w:val="none" w:sz="0" w:space="0" w:color="auto"/>
      </w:divBdr>
    </w:div>
    <w:div w:id="102069862">
      <w:bodyDiv w:val="1"/>
      <w:marLeft w:val="0"/>
      <w:marRight w:val="0"/>
      <w:marTop w:val="0"/>
      <w:marBottom w:val="0"/>
      <w:divBdr>
        <w:top w:val="none" w:sz="0" w:space="0" w:color="auto"/>
        <w:left w:val="none" w:sz="0" w:space="0" w:color="auto"/>
        <w:bottom w:val="none" w:sz="0" w:space="0" w:color="auto"/>
        <w:right w:val="none" w:sz="0" w:space="0" w:color="auto"/>
      </w:divBdr>
    </w:div>
    <w:div w:id="144518159">
      <w:bodyDiv w:val="1"/>
      <w:marLeft w:val="0"/>
      <w:marRight w:val="0"/>
      <w:marTop w:val="0"/>
      <w:marBottom w:val="0"/>
      <w:divBdr>
        <w:top w:val="none" w:sz="0" w:space="0" w:color="auto"/>
        <w:left w:val="none" w:sz="0" w:space="0" w:color="auto"/>
        <w:bottom w:val="none" w:sz="0" w:space="0" w:color="auto"/>
        <w:right w:val="none" w:sz="0" w:space="0" w:color="auto"/>
      </w:divBdr>
    </w:div>
    <w:div w:id="171802255">
      <w:bodyDiv w:val="1"/>
      <w:marLeft w:val="0"/>
      <w:marRight w:val="0"/>
      <w:marTop w:val="0"/>
      <w:marBottom w:val="0"/>
      <w:divBdr>
        <w:top w:val="none" w:sz="0" w:space="0" w:color="auto"/>
        <w:left w:val="none" w:sz="0" w:space="0" w:color="auto"/>
        <w:bottom w:val="none" w:sz="0" w:space="0" w:color="auto"/>
        <w:right w:val="none" w:sz="0" w:space="0" w:color="auto"/>
      </w:divBdr>
    </w:div>
    <w:div w:id="190345764">
      <w:bodyDiv w:val="1"/>
      <w:marLeft w:val="0"/>
      <w:marRight w:val="0"/>
      <w:marTop w:val="0"/>
      <w:marBottom w:val="0"/>
      <w:divBdr>
        <w:top w:val="none" w:sz="0" w:space="0" w:color="auto"/>
        <w:left w:val="none" w:sz="0" w:space="0" w:color="auto"/>
        <w:bottom w:val="none" w:sz="0" w:space="0" w:color="auto"/>
        <w:right w:val="none" w:sz="0" w:space="0" w:color="auto"/>
      </w:divBdr>
    </w:div>
    <w:div w:id="194007820">
      <w:bodyDiv w:val="1"/>
      <w:marLeft w:val="0"/>
      <w:marRight w:val="0"/>
      <w:marTop w:val="0"/>
      <w:marBottom w:val="0"/>
      <w:divBdr>
        <w:top w:val="none" w:sz="0" w:space="0" w:color="auto"/>
        <w:left w:val="none" w:sz="0" w:space="0" w:color="auto"/>
        <w:bottom w:val="none" w:sz="0" w:space="0" w:color="auto"/>
        <w:right w:val="none" w:sz="0" w:space="0" w:color="auto"/>
      </w:divBdr>
    </w:div>
    <w:div w:id="244801166">
      <w:bodyDiv w:val="1"/>
      <w:marLeft w:val="0"/>
      <w:marRight w:val="0"/>
      <w:marTop w:val="0"/>
      <w:marBottom w:val="0"/>
      <w:divBdr>
        <w:top w:val="none" w:sz="0" w:space="0" w:color="auto"/>
        <w:left w:val="none" w:sz="0" w:space="0" w:color="auto"/>
        <w:bottom w:val="none" w:sz="0" w:space="0" w:color="auto"/>
        <w:right w:val="none" w:sz="0" w:space="0" w:color="auto"/>
      </w:divBdr>
    </w:div>
    <w:div w:id="298847298">
      <w:bodyDiv w:val="1"/>
      <w:marLeft w:val="0"/>
      <w:marRight w:val="0"/>
      <w:marTop w:val="0"/>
      <w:marBottom w:val="0"/>
      <w:divBdr>
        <w:top w:val="none" w:sz="0" w:space="0" w:color="auto"/>
        <w:left w:val="none" w:sz="0" w:space="0" w:color="auto"/>
        <w:bottom w:val="none" w:sz="0" w:space="0" w:color="auto"/>
        <w:right w:val="none" w:sz="0" w:space="0" w:color="auto"/>
      </w:divBdr>
    </w:div>
    <w:div w:id="302739846">
      <w:bodyDiv w:val="1"/>
      <w:marLeft w:val="0"/>
      <w:marRight w:val="0"/>
      <w:marTop w:val="0"/>
      <w:marBottom w:val="0"/>
      <w:divBdr>
        <w:top w:val="none" w:sz="0" w:space="0" w:color="auto"/>
        <w:left w:val="none" w:sz="0" w:space="0" w:color="auto"/>
        <w:bottom w:val="none" w:sz="0" w:space="0" w:color="auto"/>
        <w:right w:val="none" w:sz="0" w:space="0" w:color="auto"/>
      </w:divBdr>
    </w:div>
    <w:div w:id="311103498">
      <w:bodyDiv w:val="1"/>
      <w:marLeft w:val="0"/>
      <w:marRight w:val="0"/>
      <w:marTop w:val="0"/>
      <w:marBottom w:val="0"/>
      <w:divBdr>
        <w:top w:val="none" w:sz="0" w:space="0" w:color="auto"/>
        <w:left w:val="none" w:sz="0" w:space="0" w:color="auto"/>
        <w:bottom w:val="none" w:sz="0" w:space="0" w:color="auto"/>
        <w:right w:val="none" w:sz="0" w:space="0" w:color="auto"/>
      </w:divBdr>
    </w:div>
    <w:div w:id="333799943">
      <w:bodyDiv w:val="1"/>
      <w:marLeft w:val="0"/>
      <w:marRight w:val="0"/>
      <w:marTop w:val="0"/>
      <w:marBottom w:val="0"/>
      <w:divBdr>
        <w:top w:val="none" w:sz="0" w:space="0" w:color="auto"/>
        <w:left w:val="none" w:sz="0" w:space="0" w:color="auto"/>
        <w:bottom w:val="none" w:sz="0" w:space="0" w:color="auto"/>
        <w:right w:val="none" w:sz="0" w:space="0" w:color="auto"/>
      </w:divBdr>
    </w:div>
    <w:div w:id="344983853">
      <w:bodyDiv w:val="1"/>
      <w:marLeft w:val="0"/>
      <w:marRight w:val="0"/>
      <w:marTop w:val="0"/>
      <w:marBottom w:val="0"/>
      <w:divBdr>
        <w:top w:val="none" w:sz="0" w:space="0" w:color="auto"/>
        <w:left w:val="none" w:sz="0" w:space="0" w:color="auto"/>
        <w:bottom w:val="none" w:sz="0" w:space="0" w:color="auto"/>
        <w:right w:val="none" w:sz="0" w:space="0" w:color="auto"/>
      </w:divBdr>
    </w:div>
    <w:div w:id="349837392">
      <w:bodyDiv w:val="1"/>
      <w:marLeft w:val="0"/>
      <w:marRight w:val="0"/>
      <w:marTop w:val="0"/>
      <w:marBottom w:val="0"/>
      <w:divBdr>
        <w:top w:val="none" w:sz="0" w:space="0" w:color="auto"/>
        <w:left w:val="none" w:sz="0" w:space="0" w:color="auto"/>
        <w:bottom w:val="none" w:sz="0" w:space="0" w:color="auto"/>
        <w:right w:val="none" w:sz="0" w:space="0" w:color="auto"/>
      </w:divBdr>
    </w:div>
    <w:div w:id="417483305">
      <w:bodyDiv w:val="1"/>
      <w:marLeft w:val="0"/>
      <w:marRight w:val="0"/>
      <w:marTop w:val="0"/>
      <w:marBottom w:val="0"/>
      <w:divBdr>
        <w:top w:val="none" w:sz="0" w:space="0" w:color="auto"/>
        <w:left w:val="none" w:sz="0" w:space="0" w:color="auto"/>
        <w:bottom w:val="none" w:sz="0" w:space="0" w:color="auto"/>
        <w:right w:val="none" w:sz="0" w:space="0" w:color="auto"/>
      </w:divBdr>
    </w:div>
    <w:div w:id="471561425">
      <w:bodyDiv w:val="1"/>
      <w:marLeft w:val="0"/>
      <w:marRight w:val="0"/>
      <w:marTop w:val="0"/>
      <w:marBottom w:val="0"/>
      <w:divBdr>
        <w:top w:val="none" w:sz="0" w:space="0" w:color="auto"/>
        <w:left w:val="none" w:sz="0" w:space="0" w:color="auto"/>
        <w:bottom w:val="none" w:sz="0" w:space="0" w:color="auto"/>
        <w:right w:val="none" w:sz="0" w:space="0" w:color="auto"/>
      </w:divBdr>
    </w:div>
    <w:div w:id="506987707">
      <w:bodyDiv w:val="1"/>
      <w:marLeft w:val="0"/>
      <w:marRight w:val="0"/>
      <w:marTop w:val="0"/>
      <w:marBottom w:val="0"/>
      <w:divBdr>
        <w:top w:val="none" w:sz="0" w:space="0" w:color="auto"/>
        <w:left w:val="none" w:sz="0" w:space="0" w:color="auto"/>
        <w:bottom w:val="none" w:sz="0" w:space="0" w:color="auto"/>
        <w:right w:val="none" w:sz="0" w:space="0" w:color="auto"/>
      </w:divBdr>
    </w:div>
    <w:div w:id="518350474">
      <w:bodyDiv w:val="1"/>
      <w:marLeft w:val="0"/>
      <w:marRight w:val="0"/>
      <w:marTop w:val="0"/>
      <w:marBottom w:val="0"/>
      <w:divBdr>
        <w:top w:val="none" w:sz="0" w:space="0" w:color="auto"/>
        <w:left w:val="none" w:sz="0" w:space="0" w:color="auto"/>
        <w:bottom w:val="none" w:sz="0" w:space="0" w:color="auto"/>
        <w:right w:val="none" w:sz="0" w:space="0" w:color="auto"/>
      </w:divBdr>
    </w:div>
    <w:div w:id="571239836">
      <w:bodyDiv w:val="1"/>
      <w:marLeft w:val="0"/>
      <w:marRight w:val="0"/>
      <w:marTop w:val="0"/>
      <w:marBottom w:val="0"/>
      <w:divBdr>
        <w:top w:val="none" w:sz="0" w:space="0" w:color="auto"/>
        <w:left w:val="none" w:sz="0" w:space="0" w:color="auto"/>
        <w:bottom w:val="none" w:sz="0" w:space="0" w:color="auto"/>
        <w:right w:val="none" w:sz="0" w:space="0" w:color="auto"/>
      </w:divBdr>
    </w:div>
    <w:div w:id="575937593">
      <w:bodyDiv w:val="1"/>
      <w:marLeft w:val="0"/>
      <w:marRight w:val="0"/>
      <w:marTop w:val="0"/>
      <w:marBottom w:val="0"/>
      <w:divBdr>
        <w:top w:val="none" w:sz="0" w:space="0" w:color="auto"/>
        <w:left w:val="none" w:sz="0" w:space="0" w:color="auto"/>
        <w:bottom w:val="none" w:sz="0" w:space="0" w:color="auto"/>
        <w:right w:val="none" w:sz="0" w:space="0" w:color="auto"/>
      </w:divBdr>
    </w:div>
    <w:div w:id="599989013">
      <w:bodyDiv w:val="1"/>
      <w:marLeft w:val="0"/>
      <w:marRight w:val="0"/>
      <w:marTop w:val="0"/>
      <w:marBottom w:val="0"/>
      <w:divBdr>
        <w:top w:val="none" w:sz="0" w:space="0" w:color="auto"/>
        <w:left w:val="none" w:sz="0" w:space="0" w:color="auto"/>
        <w:bottom w:val="none" w:sz="0" w:space="0" w:color="auto"/>
        <w:right w:val="none" w:sz="0" w:space="0" w:color="auto"/>
      </w:divBdr>
    </w:div>
    <w:div w:id="607852126">
      <w:bodyDiv w:val="1"/>
      <w:marLeft w:val="0"/>
      <w:marRight w:val="0"/>
      <w:marTop w:val="0"/>
      <w:marBottom w:val="0"/>
      <w:divBdr>
        <w:top w:val="none" w:sz="0" w:space="0" w:color="auto"/>
        <w:left w:val="none" w:sz="0" w:space="0" w:color="auto"/>
        <w:bottom w:val="none" w:sz="0" w:space="0" w:color="auto"/>
        <w:right w:val="none" w:sz="0" w:space="0" w:color="auto"/>
      </w:divBdr>
    </w:div>
    <w:div w:id="608006710">
      <w:bodyDiv w:val="1"/>
      <w:marLeft w:val="0"/>
      <w:marRight w:val="0"/>
      <w:marTop w:val="0"/>
      <w:marBottom w:val="0"/>
      <w:divBdr>
        <w:top w:val="none" w:sz="0" w:space="0" w:color="auto"/>
        <w:left w:val="none" w:sz="0" w:space="0" w:color="auto"/>
        <w:bottom w:val="none" w:sz="0" w:space="0" w:color="auto"/>
        <w:right w:val="none" w:sz="0" w:space="0" w:color="auto"/>
      </w:divBdr>
    </w:div>
    <w:div w:id="615867416">
      <w:bodyDiv w:val="1"/>
      <w:marLeft w:val="0"/>
      <w:marRight w:val="0"/>
      <w:marTop w:val="0"/>
      <w:marBottom w:val="0"/>
      <w:divBdr>
        <w:top w:val="none" w:sz="0" w:space="0" w:color="auto"/>
        <w:left w:val="none" w:sz="0" w:space="0" w:color="auto"/>
        <w:bottom w:val="none" w:sz="0" w:space="0" w:color="auto"/>
        <w:right w:val="none" w:sz="0" w:space="0" w:color="auto"/>
      </w:divBdr>
    </w:div>
    <w:div w:id="629437290">
      <w:bodyDiv w:val="1"/>
      <w:marLeft w:val="0"/>
      <w:marRight w:val="0"/>
      <w:marTop w:val="0"/>
      <w:marBottom w:val="0"/>
      <w:divBdr>
        <w:top w:val="none" w:sz="0" w:space="0" w:color="auto"/>
        <w:left w:val="none" w:sz="0" w:space="0" w:color="auto"/>
        <w:bottom w:val="none" w:sz="0" w:space="0" w:color="auto"/>
        <w:right w:val="none" w:sz="0" w:space="0" w:color="auto"/>
      </w:divBdr>
      <w:divsChild>
        <w:div w:id="1732340083">
          <w:marLeft w:val="547"/>
          <w:marRight w:val="0"/>
          <w:marTop w:val="0"/>
          <w:marBottom w:val="0"/>
          <w:divBdr>
            <w:top w:val="none" w:sz="0" w:space="0" w:color="auto"/>
            <w:left w:val="none" w:sz="0" w:space="0" w:color="auto"/>
            <w:bottom w:val="none" w:sz="0" w:space="0" w:color="auto"/>
            <w:right w:val="none" w:sz="0" w:space="0" w:color="auto"/>
          </w:divBdr>
        </w:div>
        <w:div w:id="1143280839">
          <w:marLeft w:val="547"/>
          <w:marRight w:val="0"/>
          <w:marTop w:val="0"/>
          <w:marBottom w:val="0"/>
          <w:divBdr>
            <w:top w:val="none" w:sz="0" w:space="0" w:color="auto"/>
            <w:left w:val="none" w:sz="0" w:space="0" w:color="auto"/>
            <w:bottom w:val="none" w:sz="0" w:space="0" w:color="auto"/>
            <w:right w:val="none" w:sz="0" w:space="0" w:color="auto"/>
          </w:divBdr>
        </w:div>
      </w:divsChild>
    </w:div>
    <w:div w:id="665401870">
      <w:bodyDiv w:val="1"/>
      <w:marLeft w:val="0"/>
      <w:marRight w:val="0"/>
      <w:marTop w:val="0"/>
      <w:marBottom w:val="0"/>
      <w:divBdr>
        <w:top w:val="none" w:sz="0" w:space="0" w:color="auto"/>
        <w:left w:val="none" w:sz="0" w:space="0" w:color="auto"/>
        <w:bottom w:val="none" w:sz="0" w:space="0" w:color="auto"/>
        <w:right w:val="none" w:sz="0" w:space="0" w:color="auto"/>
      </w:divBdr>
    </w:div>
    <w:div w:id="745998159">
      <w:bodyDiv w:val="1"/>
      <w:marLeft w:val="0"/>
      <w:marRight w:val="0"/>
      <w:marTop w:val="0"/>
      <w:marBottom w:val="0"/>
      <w:divBdr>
        <w:top w:val="none" w:sz="0" w:space="0" w:color="auto"/>
        <w:left w:val="none" w:sz="0" w:space="0" w:color="auto"/>
        <w:bottom w:val="none" w:sz="0" w:space="0" w:color="auto"/>
        <w:right w:val="none" w:sz="0" w:space="0" w:color="auto"/>
      </w:divBdr>
    </w:div>
    <w:div w:id="848255685">
      <w:bodyDiv w:val="1"/>
      <w:marLeft w:val="0"/>
      <w:marRight w:val="0"/>
      <w:marTop w:val="0"/>
      <w:marBottom w:val="0"/>
      <w:divBdr>
        <w:top w:val="none" w:sz="0" w:space="0" w:color="auto"/>
        <w:left w:val="none" w:sz="0" w:space="0" w:color="auto"/>
        <w:bottom w:val="none" w:sz="0" w:space="0" w:color="auto"/>
        <w:right w:val="none" w:sz="0" w:space="0" w:color="auto"/>
      </w:divBdr>
    </w:div>
    <w:div w:id="878205273">
      <w:bodyDiv w:val="1"/>
      <w:marLeft w:val="0"/>
      <w:marRight w:val="0"/>
      <w:marTop w:val="0"/>
      <w:marBottom w:val="0"/>
      <w:divBdr>
        <w:top w:val="none" w:sz="0" w:space="0" w:color="auto"/>
        <w:left w:val="none" w:sz="0" w:space="0" w:color="auto"/>
        <w:bottom w:val="none" w:sz="0" w:space="0" w:color="auto"/>
        <w:right w:val="none" w:sz="0" w:space="0" w:color="auto"/>
      </w:divBdr>
    </w:div>
    <w:div w:id="935209198">
      <w:bodyDiv w:val="1"/>
      <w:marLeft w:val="0"/>
      <w:marRight w:val="0"/>
      <w:marTop w:val="0"/>
      <w:marBottom w:val="0"/>
      <w:divBdr>
        <w:top w:val="none" w:sz="0" w:space="0" w:color="auto"/>
        <w:left w:val="none" w:sz="0" w:space="0" w:color="auto"/>
        <w:bottom w:val="none" w:sz="0" w:space="0" w:color="auto"/>
        <w:right w:val="none" w:sz="0" w:space="0" w:color="auto"/>
      </w:divBdr>
    </w:div>
    <w:div w:id="937174840">
      <w:bodyDiv w:val="1"/>
      <w:marLeft w:val="0"/>
      <w:marRight w:val="0"/>
      <w:marTop w:val="0"/>
      <w:marBottom w:val="0"/>
      <w:divBdr>
        <w:top w:val="none" w:sz="0" w:space="0" w:color="auto"/>
        <w:left w:val="none" w:sz="0" w:space="0" w:color="auto"/>
        <w:bottom w:val="none" w:sz="0" w:space="0" w:color="auto"/>
        <w:right w:val="none" w:sz="0" w:space="0" w:color="auto"/>
      </w:divBdr>
    </w:div>
    <w:div w:id="997268817">
      <w:bodyDiv w:val="1"/>
      <w:marLeft w:val="0"/>
      <w:marRight w:val="0"/>
      <w:marTop w:val="0"/>
      <w:marBottom w:val="0"/>
      <w:divBdr>
        <w:top w:val="none" w:sz="0" w:space="0" w:color="auto"/>
        <w:left w:val="none" w:sz="0" w:space="0" w:color="auto"/>
        <w:bottom w:val="none" w:sz="0" w:space="0" w:color="auto"/>
        <w:right w:val="none" w:sz="0" w:space="0" w:color="auto"/>
      </w:divBdr>
    </w:div>
    <w:div w:id="1017342132">
      <w:bodyDiv w:val="1"/>
      <w:marLeft w:val="0"/>
      <w:marRight w:val="0"/>
      <w:marTop w:val="0"/>
      <w:marBottom w:val="0"/>
      <w:divBdr>
        <w:top w:val="none" w:sz="0" w:space="0" w:color="auto"/>
        <w:left w:val="none" w:sz="0" w:space="0" w:color="auto"/>
        <w:bottom w:val="none" w:sz="0" w:space="0" w:color="auto"/>
        <w:right w:val="none" w:sz="0" w:space="0" w:color="auto"/>
      </w:divBdr>
    </w:div>
    <w:div w:id="1029379353">
      <w:bodyDiv w:val="1"/>
      <w:marLeft w:val="0"/>
      <w:marRight w:val="0"/>
      <w:marTop w:val="0"/>
      <w:marBottom w:val="0"/>
      <w:divBdr>
        <w:top w:val="none" w:sz="0" w:space="0" w:color="auto"/>
        <w:left w:val="none" w:sz="0" w:space="0" w:color="auto"/>
        <w:bottom w:val="none" w:sz="0" w:space="0" w:color="auto"/>
        <w:right w:val="none" w:sz="0" w:space="0" w:color="auto"/>
      </w:divBdr>
    </w:div>
    <w:div w:id="1036538561">
      <w:bodyDiv w:val="1"/>
      <w:marLeft w:val="0"/>
      <w:marRight w:val="0"/>
      <w:marTop w:val="0"/>
      <w:marBottom w:val="0"/>
      <w:divBdr>
        <w:top w:val="none" w:sz="0" w:space="0" w:color="auto"/>
        <w:left w:val="none" w:sz="0" w:space="0" w:color="auto"/>
        <w:bottom w:val="none" w:sz="0" w:space="0" w:color="auto"/>
        <w:right w:val="none" w:sz="0" w:space="0" w:color="auto"/>
      </w:divBdr>
    </w:div>
    <w:div w:id="1048191276">
      <w:bodyDiv w:val="1"/>
      <w:marLeft w:val="0"/>
      <w:marRight w:val="0"/>
      <w:marTop w:val="0"/>
      <w:marBottom w:val="0"/>
      <w:divBdr>
        <w:top w:val="none" w:sz="0" w:space="0" w:color="auto"/>
        <w:left w:val="none" w:sz="0" w:space="0" w:color="auto"/>
        <w:bottom w:val="none" w:sz="0" w:space="0" w:color="auto"/>
        <w:right w:val="none" w:sz="0" w:space="0" w:color="auto"/>
      </w:divBdr>
    </w:div>
    <w:div w:id="1095396785">
      <w:bodyDiv w:val="1"/>
      <w:marLeft w:val="0"/>
      <w:marRight w:val="0"/>
      <w:marTop w:val="0"/>
      <w:marBottom w:val="0"/>
      <w:divBdr>
        <w:top w:val="none" w:sz="0" w:space="0" w:color="auto"/>
        <w:left w:val="none" w:sz="0" w:space="0" w:color="auto"/>
        <w:bottom w:val="none" w:sz="0" w:space="0" w:color="auto"/>
        <w:right w:val="none" w:sz="0" w:space="0" w:color="auto"/>
      </w:divBdr>
    </w:div>
    <w:div w:id="1101879053">
      <w:bodyDiv w:val="1"/>
      <w:marLeft w:val="0"/>
      <w:marRight w:val="0"/>
      <w:marTop w:val="0"/>
      <w:marBottom w:val="0"/>
      <w:divBdr>
        <w:top w:val="none" w:sz="0" w:space="0" w:color="auto"/>
        <w:left w:val="none" w:sz="0" w:space="0" w:color="auto"/>
        <w:bottom w:val="none" w:sz="0" w:space="0" w:color="auto"/>
        <w:right w:val="none" w:sz="0" w:space="0" w:color="auto"/>
      </w:divBdr>
    </w:div>
    <w:div w:id="1104034237">
      <w:bodyDiv w:val="1"/>
      <w:marLeft w:val="0"/>
      <w:marRight w:val="0"/>
      <w:marTop w:val="0"/>
      <w:marBottom w:val="0"/>
      <w:divBdr>
        <w:top w:val="none" w:sz="0" w:space="0" w:color="auto"/>
        <w:left w:val="none" w:sz="0" w:space="0" w:color="auto"/>
        <w:bottom w:val="none" w:sz="0" w:space="0" w:color="auto"/>
        <w:right w:val="none" w:sz="0" w:space="0" w:color="auto"/>
      </w:divBdr>
    </w:div>
    <w:div w:id="1166092299">
      <w:bodyDiv w:val="1"/>
      <w:marLeft w:val="0"/>
      <w:marRight w:val="0"/>
      <w:marTop w:val="0"/>
      <w:marBottom w:val="0"/>
      <w:divBdr>
        <w:top w:val="none" w:sz="0" w:space="0" w:color="auto"/>
        <w:left w:val="none" w:sz="0" w:space="0" w:color="auto"/>
        <w:bottom w:val="none" w:sz="0" w:space="0" w:color="auto"/>
        <w:right w:val="none" w:sz="0" w:space="0" w:color="auto"/>
      </w:divBdr>
    </w:div>
    <w:div w:id="1193686218">
      <w:bodyDiv w:val="1"/>
      <w:marLeft w:val="0"/>
      <w:marRight w:val="0"/>
      <w:marTop w:val="0"/>
      <w:marBottom w:val="0"/>
      <w:divBdr>
        <w:top w:val="none" w:sz="0" w:space="0" w:color="auto"/>
        <w:left w:val="none" w:sz="0" w:space="0" w:color="auto"/>
        <w:bottom w:val="none" w:sz="0" w:space="0" w:color="auto"/>
        <w:right w:val="none" w:sz="0" w:space="0" w:color="auto"/>
      </w:divBdr>
    </w:div>
    <w:div w:id="1198784633">
      <w:bodyDiv w:val="1"/>
      <w:marLeft w:val="0"/>
      <w:marRight w:val="0"/>
      <w:marTop w:val="0"/>
      <w:marBottom w:val="0"/>
      <w:divBdr>
        <w:top w:val="none" w:sz="0" w:space="0" w:color="auto"/>
        <w:left w:val="none" w:sz="0" w:space="0" w:color="auto"/>
        <w:bottom w:val="none" w:sz="0" w:space="0" w:color="auto"/>
        <w:right w:val="none" w:sz="0" w:space="0" w:color="auto"/>
      </w:divBdr>
    </w:div>
    <w:div w:id="1263562733">
      <w:bodyDiv w:val="1"/>
      <w:marLeft w:val="0"/>
      <w:marRight w:val="0"/>
      <w:marTop w:val="0"/>
      <w:marBottom w:val="0"/>
      <w:divBdr>
        <w:top w:val="none" w:sz="0" w:space="0" w:color="auto"/>
        <w:left w:val="none" w:sz="0" w:space="0" w:color="auto"/>
        <w:bottom w:val="none" w:sz="0" w:space="0" w:color="auto"/>
        <w:right w:val="none" w:sz="0" w:space="0" w:color="auto"/>
      </w:divBdr>
    </w:div>
    <w:div w:id="1268347728">
      <w:bodyDiv w:val="1"/>
      <w:marLeft w:val="0"/>
      <w:marRight w:val="0"/>
      <w:marTop w:val="0"/>
      <w:marBottom w:val="0"/>
      <w:divBdr>
        <w:top w:val="none" w:sz="0" w:space="0" w:color="auto"/>
        <w:left w:val="none" w:sz="0" w:space="0" w:color="auto"/>
        <w:bottom w:val="none" w:sz="0" w:space="0" w:color="auto"/>
        <w:right w:val="none" w:sz="0" w:space="0" w:color="auto"/>
      </w:divBdr>
    </w:div>
    <w:div w:id="1273123394">
      <w:bodyDiv w:val="1"/>
      <w:marLeft w:val="0"/>
      <w:marRight w:val="0"/>
      <w:marTop w:val="0"/>
      <w:marBottom w:val="0"/>
      <w:divBdr>
        <w:top w:val="none" w:sz="0" w:space="0" w:color="auto"/>
        <w:left w:val="none" w:sz="0" w:space="0" w:color="auto"/>
        <w:bottom w:val="none" w:sz="0" w:space="0" w:color="auto"/>
        <w:right w:val="none" w:sz="0" w:space="0" w:color="auto"/>
      </w:divBdr>
    </w:div>
    <w:div w:id="1279410476">
      <w:bodyDiv w:val="1"/>
      <w:marLeft w:val="0"/>
      <w:marRight w:val="0"/>
      <w:marTop w:val="0"/>
      <w:marBottom w:val="0"/>
      <w:divBdr>
        <w:top w:val="none" w:sz="0" w:space="0" w:color="auto"/>
        <w:left w:val="none" w:sz="0" w:space="0" w:color="auto"/>
        <w:bottom w:val="none" w:sz="0" w:space="0" w:color="auto"/>
        <w:right w:val="none" w:sz="0" w:space="0" w:color="auto"/>
      </w:divBdr>
    </w:div>
    <w:div w:id="1299726685">
      <w:bodyDiv w:val="1"/>
      <w:marLeft w:val="0"/>
      <w:marRight w:val="0"/>
      <w:marTop w:val="0"/>
      <w:marBottom w:val="0"/>
      <w:divBdr>
        <w:top w:val="none" w:sz="0" w:space="0" w:color="auto"/>
        <w:left w:val="none" w:sz="0" w:space="0" w:color="auto"/>
        <w:bottom w:val="none" w:sz="0" w:space="0" w:color="auto"/>
        <w:right w:val="none" w:sz="0" w:space="0" w:color="auto"/>
      </w:divBdr>
    </w:div>
    <w:div w:id="1328286298">
      <w:bodyDiv w:val="1"/>
      <w:marLeft w:val="0"/>
      <w:marRight w:val="0"/>
      <w:marTop w:val="0"/>
      <w:marBottom w:val="0"/>
      <w:divBdr>
        <w:top w:val="none" w:sz="0" w:space="0" w:color="auto"/>
        <w:left w:val="none" w:sz="0" w:space="0" w:color="auto"/>
        <w:bottom w:val="none" w:sz="0" w:space="0" w:color="auto"/>
        <w:right w:val="none" w:sz="0" w:space="0" w:color="auto"/>
      </w:divBdr>
    </w:div>
    <w:div w:id="1333677763">
      <w:bodyDiv w:val="1"/>
      <w:marLeft w:val="0"/>
      <w:marRight w:val="0"/>
      <w:marTop w:val="0"/>
      <w:marBottom w:val="0"/>
      <w:divBdr>
        <w:top w:val="none" w:sz="0" w:space="0" w:color="auto"/>
        <w:left w:val="none" w:sz="0" w:space="0" w:color="auto"/>
        <w:bottom w:val="none" w:sz="0" w:space="0" w:color="auto"/>
        <w:right w:val="none" w:sz="0" w:space="0" w:color="auto"/>
      </w:divBdr>
    </w:div>
    <w:div w:id="1352226436">
      <w:bodyDiv w:val="1"/>
      <w:marLeft w:val="0"/>
      <w:marRight w:val="0"/>
      <w:marTop w:val="0"/>
      <w:marBottom w:val="0"/>
      <w:divBdr>
        <w:top w:val="none" w:sz="0" w:space="0" w:color="auto"/>
        <w:left w:val="none" w:sz="0" w:space="0" w:color="auto"/>
        <w:bottom w:val="none" w:sz="0" w:space="0" w:color="auto"/>
        <w:right w:val="none" w:sz="0" w:space="0" w:color="auto"/>
      </w:divBdr>
    </w:div>
    <w:div w:id="1375154002">
      <w:bodyDiv w:val="1"/>
      <w:marLeft w:val="0"/>
      <w:marRight w:val="0"/>
      <w:marTop w:val="0"/>
      <w:marBottom w:val="0"/>
      <w:divBdr>
        <w:top w:val="none" w:sz="0" w:space="0" w:color="auto"/>
        <w:left w:val="none" w:sz="0" w:space="0" w:color="auto"/>
        <w:bottom w:val="none" w:sz="0" w:space="0" w:color="auto"/>
        <w:right w:val="none" w:sz="0" w:space="0" w:color="auto"/>
      </w:divBdr>
    </w:div>
    <w:div w:id="1376857059">
      <w:bodyDiv w:val="1"/>
      <w:marLeft w:val="0"/>
      <w:marRight w:val="0"/>
      <w:marTop w:val="0"/>
      <w:marBottom w:val="0"/>
      <w:divBdr>
        <w:top w:val="none" w:sz="0" w:space="0" w:color="auto"/>
        <w:left w:val="none" w:sz="0" w:space="0" w:color="auto"/>
        <w:bottom w:val="none" w:sz="0" w:space="0" w:color="auto"/>
        <w:right w:val="none" w:sz="0" w:space="0" w:color="auto"/>
      </w:divBdr>
    </w:div>
    <w:div w:id="1412316768">
      <w:bodyDiv w:val="1"/>
      <w:marLeft w:val="0"/>
      <w:marRight w:val="0"/>
      <w:marTop w:val="0"/>
      <w:marBottom w:val="0"/>
      <w:divBdr>
        <w:top w:val="none" w:sz="0" w:space="0" w:color="auto"/>
        <w:left w:val="none" w:sz="0" w:space="0" w:color="auto"/>
        <w:bottom w:val="none" w:sz="0" w:space="0" w:color="auto"/>
        <w:right w:val="none" w:sz="0" w:space="0" w:color="auto"/>
      </w:divBdr>
    </w:div>
    <w:div w:id="1422680216">
      <w:bodyDiv w:val="1"/>
      <w:marLeft w:val="0"/>
      <w:marRight w:val="0"/>
      <w:marTop w:val="0"/>
      <w:marBottom w:val="0"/>
      <w:divBdr>
        <w:top w:val="none" w:sz="0" w:space="0" w:color="auto"/>
        <w:left w:val="none" w:sz="0" w:space="0" w:color="auto"/>
        <w:bottom w:val="none" w:sz="0" w:space="0" w:color="auto"/>
        <w:right w:val="none" w:sz="0" w:space="0" w:color="auto"/>
      </w:divBdr>
    </w:div>
    <w:div w:id="1458795777">
      <w:bodyDiv w:val="1"/>
      <w:marLeft w:val="0"/>
      <w:marRight w:val="0"/>
      <w:marTop w:val="0"/>
      <w:marBottom w:val="0"/>
      <w:divBdr>
        <w:top w:val="none" w:sz="0" w:space="0" w:color="auto"/>
        <w:left w:val="none" w:sz="0" w:space="0" w:color="auto"/>
        <w:bottom w:val="none" w:sz="0" w:space="0" w:color="auto"/>
        <w:right w:val="none" w:sz="0" w:space="0" w:color="auto"/>
      </w:divBdr>
    </w:div>
    <w:div w:id="1499806298">
      <w:bodyDiv w:val="1"/>
      <w:marLeft w:val="0"/>
      <w:marRight w:val="0"/>
      <w:marTop w:val="0"/>
      <w:marBottom w:val="0"/>
      <w:divBdr>
        <w:top w:val="none" w:sz="0" w:space="0" w:color="auto"/>
        <w:left w:val="none" w:sz="0" w:space="0" w:color="auto"/>
        <w:bottom w:val="none" w:sz="0" w:space="0" w:color="auto"/>
        <w:right w:val="none" w:sz="0" w:space="0" w:color="auto"/>
      </w:divBdr>
    </w:div>
    <w:div w:id="1558469313">
      <w:bodyDiv w:val="1"/>
      <w:marLeft w:val="0"/>
      <w:marRight w:val="0"/>
      <w:marTop w:val="0"/>
      <w:marBottom w:val="0"/>
      <w:divBdr>
        <w:top w:val="none" w:sz="0" w:space="0" w:color="auto"/>
        <w:left w:val="none" w:sz="0" w:space="0" w:color="auto"/>
        <w:bottom w:val="none" w:sz="0" w:space="0" w:color="auto"/>
        <w:right w:val="none" w:sz="0" w:space="0" w:color="auto"/>
      </w:divBdr>
      <w:divsChild>
        <w:div w:id="528181746">
          <w:marLeft w:val="0"/>
          <w:marRight w:val="0"/>
          <w:marTop w:val="0"/>
          <w:marBottom w:val="0"/>
          <w:divBdr>
            <w:top w:val="none" w:sz="0" w:space="0" w:color="auto"/>
            <w:left w:val="none" w:sz="0" w:space="0" w:color="auto"/>
            <w:bottom w:val="none" w:sz="0" w:space="0" w:color="auto"/>
            <w:right w:val="none" w:sz="0" w:space="0" w:color="auto"/>
          </w:divBdr>
        </w:div>
        <w:div w:id="1085371696">
          <w:marLeft w:val="0"/>
          <w:marRight w:val="0"/>
          <w:marTop w:val="0"/>
          <w:marBottom w:val="0"/>
          <w:divBdr>
            <w:top w:val="none" w:sz="0" w:space="0" w:color="auto"/>
            <w:left w:val="none" w:sz="0" w:space="0" w:color="auto"/>
            <w:bottom w:val="none" w:sz="0" w:space="0" w:color="auto"/>
            <w:right w:val="none" w:sz="0" w:space="0" w:color="auto"/>
          </w:divBdr>
          <w:divsChild>
            <w:div w:id="172209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359832">
      <w:bodyDiv w:val="1"/>
      <w:marLeft w:val="0"/>
      <w:marRight w:val="0"/>
      <w:marTop w:val="0"/>
      <w:marBottom w:val="0"/>
      <w:divBdr>
        <w:top w:val="none" w:sz="0" w:space="0" w:color="auto"/>
        <w:left w:val="none" w:sz="0" w:space="0" w:color="auto"/>
        <w:bottom w:val="none" w:sz="0" w:space="0" w:color="auto"/>
        <w:right w:val="none" w:sz="0" w:space="0" w:color="auto"/>
      </w:divBdr>
    </w:div>
    <w:div w:id="1565753070">
      <w:bodyDiv w:val="1"/>
      <w:marLeft w:val="0"/>
      <w:marRight w:val="0"/>
      <w:marTop w:val="0"/>
      <w:marBottom w:val="0"/>
      <w:divBdr>
        <w:top w:val="none" w:sz="0" w:space="0" w:color="auto"/>
        <w:left w:val="none" w:sz="0" w:space="0" w:color="auto"/>
        <w:bottom w:val="none" w:sz="0" w:space="0" w:color="auto"/>
        <w:right w:val="none" w:sz="0" w:space="0" w:color="auto"/>
      </w:divBdr>
    </w:div>
    <w:div w:id="1578443890">
      <w:bodyDiv w:val="1"/>
      <w:marLeft w:val="0"/>
      <w:marRight w:val="0"/>
      <w:marTop w:val="0"/>
      <w:marBottom w:val="0"/>
      <w:divBdr>
        <w:top w:val="none" w:sz="0" w:space="0" w:color="auto"/>
        <w:left w:val="none" w:sz="0" w:space="0" w:color="auto"/>
        <w:bottom w:val="none" w:sz="0" w:space="0" w:color="auto"/>
        <w:right w:val="none" w:sz="0" w:space="0" w:color="auto"/>
      </w:divBdr>
    </w:div>
    <w:div w:id="1606692179">
      <w:bodyDiv w:val="1"/>
      <w:marLeft w:val="0"/>
      <w:marRight w:val="0"/>
      <w:marTop w:val="0"/>
      <w:marBottom w:val="0"/>
      <w:divBdr>
        <w:top w:val="none" w:sz="0" w:space="0" w:color="auto"/>
        <w:left w:val="none" w:sz="0" w:space="0" w:color="auto"/>
        <w:bottom w:val="none" w:sz="0" w:space="0" w:color="auto"/>
        <w:right w:val="none" w:sz="0" w:space="0" w:color="auto"/>
      </w:divBdr>
    </w:div>
    <w:div w:id="1608351368">
      <w:bodyDiv w:val="1"/>
      <w:marLeft w:val="0"/>
      <w:marRight w:val="0"/>
      <w:marTop w:val="0"/>
      <w:marBottom w:val="0"/>
      <w:divBdr>
        <w:top w:val="none" w:sz="0" w:space="0" w:color="auto"/>
        <w:left w:val="none" w:sz="0" w:space="0" w:color="auto"/>
        <w:bottom w:val="none" w:sz="0" w:space="0" w:color="auto"/>
        <w:right w:val="none" w:sz="0" w:space="0" w:color="auto"/>
      </w:divBdr>
    </w:div>
    <w:div w:id="1721400595">
      <w:bodyDiv w:val="1"/>
      <w:marLeft w:val="0"/>
      <w:marRight w:val="0"/>
      <w:marTop w:val="0"/>
      <w:marBottom w:val="0"/>
      <w:divBdr>
        <w:top w:val="none" w:sz="0" w:space="0" w:color="auto"/>
        <w:left w:val="none" w:sz="0" w:space="0" w:color="auto"/>
        <w:bottom w:val="none" w:sz="0" w:space="0" w:color="auto"/>
        <w:right w:val="none" w:sz="0" w:space="0" w:color="auto"/>
      </w:divBdr>
    </w:div>
    <w:div w:id="1800759666">
      <w:bodyDiv w:val="1"/>
      <w:marLeft w:val="0"/>
      <w:marRight w:val="0"/>
      <w:marTop w:val="0"/>
      <w:marBottom w:val="0"/>
      <w:divBdr>
        <w:top w:val="none" w:sz="0" w:space="0" w:color="auto"/>
        <w:left w:val="none" w:sz="0" w:space="0" w:color="auto"/>
        <w:bottom w:val="none" w:sz="0" w:space="0" w:color="auto"/>
        <w:right w:val="none" w:sz="0" w:space="0" w:color="auto"/>
      </w:divBdr>
    </w:div>
    <w:div w:id="1847280772">
      <w:bodyDiv w:val="1"/>
      <w:marLeft w:val="0"/>
      <w:marRight w:val="0"/>
      <w:marTop w:val="0"/>
      <w:marBottom w:val="0"/>
      <w:divBdr>
        <w:top w:val="none" w:sz="0" w:space="0" w:color="auto"/>
        <w:left w:val="none" w:sz="0" w:space="0" w:color="auto"/>
        <w:bottom w:val="none" w:sz="0" w:space="0" w:color="auto"/>
        <w:right w:val="none" w:sz="0" w:space="0" w:color="auto"/>
      </w:divBdr>
    </w:div>
    <w:div w:id="1848444619">
      <w:bodyDiv w:val="1"/>
      <w:marLeft w:val="0"/>
      <w:marRight w:val="0"/>
      <w:marTop w:val="0"/>
      <w:marBottom w:val="0"/>
      <w:divBdr>
        <w:top w:val="none" w:sz="0" w:space="0" w:color="auto"/>
        <w:left w:val="none" w:sz="0" w:space="0" w:color="auto"/>
        <w:bottom w:val="none" w:sz="0" w:space="0" w:color="auto"/>
        <w:right w:val="none" w:sz="0" w:space="0" w:color="auto"/>
      </w:divBdr>
    </w:div>
    <w:div w:id="1849825918">
      <w:bodyDiv w:val="1"/>
      <w:marLeft w:val="0"/>
      <w:marRight w:val="0"/>
      <w:marTop w:val="0"/>
      <w:marBottom w:val="0"/>
      <w:divBdr>
        <w:top w:val="none" w:sz="0" w:space="0" w:color="auto"/>
        <w:left w:val="none" w:sz="0" w:space="0" w:color="auto"/>
        <w:bottom w:val="none" w:sz="0" w:space="0" w:color="auto"/>
        <w:right w:val="none" w:sz="0" w:space="0" w:color="auto"/>
      </w:divBdr>
    </w:div>
    <w:div w:id="1862160167">
      <w:bodyDiv w:val="1"/>
      <w:marLeft w:val="0"/>
      <w:marRight w:val="0"/>
      <w:marTop w:val="0"/>
      <w:marBottom w:val="0"/>
      <w:divBdr>
        <w:top w:val="none" w:sz="0" w:space="0" w:color="auto"/>
        <w:left w:val="none" w:sz="0" w:space="0" w:color="auto"/>
        <w:bottom w:val="none" w:sz="0" w:space="0" w:color="auto"/>
        <w:right w:val="none" w:sz="0" w:space="0" w:color="auto"/>
      </w:divBdr>
    </w:div>
    <w:div w:id="1900094708">
      <w:bodyDiv w:val="1"/>
      <w:marLeft w:val="0"/>
      <w:marRight w:val="0"/>
      <w:marTop w:val="0"/>
      <w:marBottom w:val="0"/>
      <w:divBdr>
        <w:top w:val="none" w:sz="0" w:space="0" w:color="auto"/>
        <w:left w:val="none" w:sz="0" w:space="0" w:color="auto"/>
        <w:bottom w:val="none" w:sz="0" w:space="0" w:color="auto"/>
        <w:right w:val="none" w:sz="0" w:space="0" w:color="auto"/>
      </w:divBdr>
    </w:div>
    <w:div w:id="1920556886">
      <w:bodyDiv w:val="1"/>
      <w:marLeft w:val="0"/>
      <w:marRight w:val="0"/>
      <w:marTop w:val="0"/>
      <w:marBottom w:val="0"/>
      <w:divBdr>
        <w:top w:val="none" w:sz="0" w:space="0" w:color="auto"/>
        <w:left w:val="none" w:sz="0" w:space="0" w:color="auto"/>
        <w:bottom w:val="none" w:sz="0" w:space="0" w:color="auto"/>
        <w:right w:val="none" w:sz="0" w:space="0" w:color="auto"/>
      </w:divBdr>
    </w:div>
    <w:div w:id="1959337103">
      <w:bodyDiv w:val="1"/>
      <w:marLeft w:val="0"/>
      <w:marRight w:val="0"/>
      <w:marTop w:val="0"/>
      <w:marBottom w:val="0"/>
      <w:divBdr>
        <w:top w:val="none" w:sz="0" w:space="0" w:color="auto"/>
        <w:left w:val="none" w:sz="0" w:space="0" w:color="auto"/>
        <w:bottom w:val="none" w:sz="0" w:space="0" w:color="auto"/>
        <w:right w:val="none" w:sz="0" w:space="0" w:color="auto"/>
      </w:divBdr>
    </w:div>
    <w:div w:id="1997221488">
      <w:bodyDiv w:val="1"/>
      <w:marLeft w:val="0"/>
      <w:marRight w:val="0"/>
      <w:marTop w:val="0"/>
      <w:marBottom w:val="0"/>
      <w:divBdr>
        <w:top w:val="none" w:sz="0" w:space="0" w:color="auto"/>
        <w:left w:val="none" w:sz="0" w:space="0" w:color="auto"/>
        <w:bottom w:val="none" w:sz="0" w:space="0" w:color="auto"/>
        <w:right w:val="none" w:sz="0" w:space="0" w:color="auto"/>
      </w:divBdr>
    </w:div>
    <w:div w:id="1998342734">
      <w:bodyDiv w:val="1"/>
      <w:marLeft w:val="0"/>
      <w:marRight w:val="0"/>
      <w:marTop w:val="0"/>
      <w:marBottom w:val="0"/>
      <w:divBdr>
        <w:top w:val="none" w:sz="0" w:space="0" w:color="auto"/>
        <w:left w:val="none" w:sz="0" w:space="0" w:color="auto"/>
        <w:bottom w:val="none" w:sz="0" w:space="0" w:color="auto"/>
        <w:right w:val="none" w:sz="0" w:space="0" w:color="auto"/>
      </w:divBdr>
    </w:div>
    <w:div w:id="2113939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ustlii.edu.au/au/legis/vic/consol_act/cca1991166/s3.html" TargetMode="External"/><Relationship Id="rId18" Type="http://schemas.openxmlformats.org/officeDocument/2006/relationships/header" Target="header3.xml"/><Relationship Id="rId26" Type="http://schemas.openxmlformats.org/officeDocument/2006/relationships/chart" Target="charts/chart2.xml"/><Relationship Id="rId39" Type="http://schemas.openxmlformats.org/officeDocument/2006/relationships/hyperlink" Target="https://www.vcgr.vic.gov.au/Website/maps.nsf/bf369cd8063a2db3ca256689001797ff/dc793d3c74f201b5ca257f3e000a1bbd?OpenDocument" TargetMode="External"/><Relationship Id="rId21" Type="http://schemas.openxmlformats.org/officeDocument/2006/relationships/diagramLayout" Target="diagrams/layout1.xml"/><Relationship Id="rId34" Type="http://schemas.openxmlformats.org/officeDocument/2006/relationships/hyperlink" Target="https://www.vcgr.vic.gov.au/Website/maps.nsf/bf369cd8063a2db3ca256689001797ff/bdb161d855dcc475ca257f3e000a1b20?OpenDocument" TargetMode="External"/><Relationship Id="rId42" Type="http://schemas.openxmlformats.org/officeDocument/2006/relationships/hyperlink" Target="https://www.vcgr.vic.gov.au/Website/maps.nsf/bf369cd8063a2db3ca256689001797ff/cba090b3d8d3903eca257f3e000a1c19?OpenDocument" TargetMode="External"/><Relationship Id="rId47" Type="http://schemas.openxmlformats.org/officeDocument/2006/relationships/chart" Target="charts/chart5.xml"/><Relationship Id="rId50" Type="http://schemas.openxmlformats.org/officeDocument/2006/relationships/image" Target="media/image10.png"/><Relationship Id="rId55" Type="http://schemas.openxmlformats.org/officeDocument/2006/relationships/hyperlink" Target="https://www.vcgr.vic.gov.au/Website/maps.nsf/bf369cd8063a2db3ca256689001797ff/1a83fac8824f7c5cca257f3e000a1c0e?OpenDocument" TargetMode="External"/><Relationship Id="rId63" Type="http://schemas.openxmlformats.org/officeDocument/2006/relationships/image" Target="media/image12.png"/><Relationship Id="rId68"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ustlii.edu.au/au/legis/vic/consol_act/cca1991166/s3.html" TargetMode="External"/><Relationship Id="rId24" Type="http://schemas.microsoft.com/office/2007/relationships/diagramDrawing" Target="diagrams/drawing1.xml"/><Relationship Id="rId32" Type="http://schemas.openxmlformats.org/officeDocument/2006/relationships/image" Target="media/image5.png"/><Relationship Id="rId37" Type="http://schemas.openxmlformats.org/officeDocument/2006/relationships/hyperlink" Target="https://www.vcgr.vic.gov.au/Website/maps.nsf/bf369cd8063a2db3ca256689001797ff/5366a264b729ceffca257f3e000a1bec?OpenDocument" TargetMode="External"/><Relationship Id="rId40" Type="http://schemas.openxmlformats.org/officeDocument/2006/relationships/hyperlink" Target="https://www.vcgr.vic.gov.au/Website/maps.nsf/bf369cd8063a2db3ca256689001797ff/a0beb8a51e1c9781ca257f3e000a1c8f?OpenDocument" TargetMode="External"/><Relationship Id="rId45" Type="http://schemas.openxmlformats.org/officeDocument/2006/relationships/image" Target="media/image8.png"/><Relationship Id="rId53" Type="http://schemas.openxmlformats.org/officeDocument/2006/relationships/hyperlink" Target="https://www.vcgr.vic.gov.au/Website/maps.nsf/bf369cd8063a2db3ca256689001797ff/bdb161d855dcc475ca257f3e000a1b20?OpenDocument" TargetMode="External"/><Relationship Id="rId58" Type="http://schemas.openxmlformats.org/officeDocument/2006/relationships/hyperlink" Target="https://www.vcgr.vic.gov.au/Website/maps.nsf/bf369cd8063a2db3ca256689001797ff/dc793d3c74f201b5ca257f3e000a1bbd?OpenDocument" TargetMode="External"/><Relationship Id="rId66"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image" Target="media/image2.png"/><Relationship Id="rId36" Type="http://schemas.openxmlformats.org/officeDocument/2006/relationships/hyperlink" Target="https://www.vcgr.vic.gov.au/Website/maps.nsf/bf369cd8063a2db3ca256689001797ff/1a83fac8824f7c5cca257f3e000a1c0e?OpenDocument" TargetMode="External"/><Relationship Id="rId49" Type="http://schemas.openxmlformats.org/officeDocument/2006/relationships/image" Target="media/image9.png"/><Relationship Id="rId57" Type="http://schemas.openxmlformats.org/officeDocument/2006/relationships/hyperlink" Target="https://www.vcgr.vic.gov.au/Website/maps.nsf/bf369cd8063a2db3ca256689001797ff/fa29b5d84d17de6cca257f3e000a1bcf?OpenDocument" TargetMode="External"/><Relationship Id="rId61" Type="http://schemas.openxmlformats.org/officeDocument/2006/relationships/hyperlink" Target="https://www.vcgr.vic.gov.au/Website/maps.nsf/bf369cd8063a2db3ca256689001797ff/a1de9c721df1bbc2ca257f3e000a1c50?OpenDocument" TargetMode="Externa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4.png"/><Relationship Id="rId44" Type="http://schemas.openxmlformats.org/officeDocument/2006/relationships/image" Target="media/image7.png"/><Relationship Id="rId52" Type="http://schemas.openxmlformats.org/officeDocument/2006/relationships/hyperlink" Target="https://www.vcgr.vic.gov.au/Website/maps.nsf/bf369cd8063a2db3ca256689001797ff/a88b43e64f0b3e6eca257f3e000a1d0f?OpenDocument" TargetMode="External"/><Relationship Id="rId60" Type="http://schemas.openxmlformats.org/officeDocument/2006/relationships/hyperlink" Target="https://www.vcgr.vic.gov.au/Website/maps.nsf/bf369cd8063a2db3ca256689001797ff/6574d1907f060997ca257f3e000a1d14?OpenDocument" TargetMode="External"/><Relationship Id="rId65" Type="http://schemas.openxmlformats.org/officeDocument/2006/relationships/hyperlink" Target="http://vrgf2-funnelback01.squiz.net/search/click.cgi?rank=1&amp;collection=vrgf-web&amp;url=http%3A%2F%2Fwww.responsiblegambling.vic.gov.au%2F__data%2Fassets%2Fpdf_file%2F0014%2F20255%2FRisk-factors-for-problem-gambling-web.pdf&amp;index_url=http%3A%2F%2Fwww.responsiblegambling.vic.gov.au%2F__data%2Fassets%2Fpdf_file%2F0014%2F20255%2FRisk-factors-for-problem-gambling-web.pdf&amp;auth=Hq9lQREOn%2B9X3BUWYLVq4Q&amp;query=RISK+FACTORS+FOR+PROBLEM+GAMBLING%3A+ENVIRONMENTAL%2C+GEOGRAPHIC%2C+SOCIAL%2C+%E2%80%A6&amp;profile=_defaul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ustlii.edu.au/au/legis/vic/consol_act/cca1991166/s3.html" TargetMode="External"/><Relationship Id="rId22" Type="http://schemas.openxmlformats.org/officeDocument/2006/relationships/diagramQuickStyle" Target="diagrams/quickStyle1.xml"/><Relationship Id="rId27" Type="http://schemas.openxmlformats.org/officeDocument/2006/relationships/chart" Target="charts/chart3.xml"/><Relationship Id="rId30" Type="http://schemas.openxmlformats.org/officeDocument/2006/relationships/hyperlink" Target="https://map.aurin.org.au/" TargetMode="External"/><Relationship Id="rId35" Type="http://schemas.openxmlformats.org/officeDocument/2006/relationships/hyperlink" Target="https://www.vcgr.vic.gov.au/Website/maps.nsf/bf369cd8063a2db3ca256689001797ff/22504fc8b1a23a61ca257f3e000a1b49?OpenDocument" TargetMode="External"/><Relationship Id="rId43" Type="http://schemas.openxmlformats.org/officeDocument/2006/relationships/image" Target="media/image6.png"/><Relationship Id="rId48" Type="http://schemas.openxmlformats.org/officeDocument/2006/relationships/chart" Target="charts/chart6.xml"/><Relationship Id="rId56" Type="http://schemas.openxmlformats.org/officeDocument/2006/relationships/hyperlink" Target="https://www.vcgr.vic.gov.au/Website/maps.nsf/bf369cd8063a2db3ca256689001797ff/5366a264b729ceffca257f3e000a1bec?OpenDocument" TargetMode="External"/><Relationship Id="rId64" Type="http://schemas.openxmlformats.org/officeDocument/2006/relationships/hyperlink" Target="https://journal.anzsog.edu.au/publications" TargetMode="External"/><Relationship Id="rId69"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image" Target="media/image1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austlii.edu.au/au/legis/vic/consol_act/cca1991166/s3.html" TargetMode="External"/><Relationship Id="rId17" Type="http://schemas.openxmlformats.org/officeDocument/2006/relationships/footer" Target="footer2.xml"/><Relationship Id="rId25" Type="http://schemas.openxmlformats.org/officeDocument/2006/relationships/chart" Target="charts/chart1.xml"/><Relationship Id="rId33" Type="http://schemas.openxmlformats.org/officeDocument/2006/relationships/hyperlink" Target="https://www.vcgr.vic.gov.au/Website/maps.nsf/bf369cd8063a2db3ca256689001797ff/a88b43e64f0b3e6eca257f3e000a1d0f?OpenDocument" TargetMode="External"/><Relationship Id="rId38" Type="http://schemas.openxmlformats.org/officeDocument/2006/relationships/hyperlink" Target="https://www.vcgr.vic.gov.au/Website/maps.nsf/bf369cd8063a2db3ca256689001797ff/fa29b5d84d17de6cca257f3e000a1bcf?OpenDocument" TargetMode="External"/><Relationship Id="rId46" Type="http://schemas.openxmlformats.org/officeDocument/2006/relationships/chart" Target="charts/chart4.xml"/><Relationship Id="rId59" Type="http://schemas.openxmlformats.org/officeDocument/2006/relationships/hyperlink" Target="https://www.vcgr.vic.gov.au/Website/maps.nsf/bf369cd8063a2db3ca256689001797ff/a0beb8a51e1c9781ca257f3e000a1c8f?OpenDocument" TargetMode="External"/><Relationship Id="rId67" Type="http://schemas.openxmlformats.org/officeDocument/2006/relationships/header" Target="header5.xml"/><Relationship Id="rId20" Type="http://schemas.openxmlformats.org/officeDocument/2006/relationships/diagramData" Target="diagrams/data1.xml"/><Relationship Id="rId41" Type="http://schemas.openxmlformats.org/officeDocument/2006/relationships/hyperlink" Target="https://www.vcgr.vic.gov.au/Website/maps.nsf/bf369cd8063a2db3ca256689001797ff/a1de9c721df1bbc2ca257f3e000a1c50?OpenDocument" TargetMode="External"/><Relationship Id="rId54" Type="http://schemas.openxmlformats.org/officeDocument/2006/relationships/hyperlink" Target="https://www.vcgr.vic.gov.au/Website/maps.nsf/bf369cd8063a2db3ca256689001797ff/22504fc8b1a23a61ca257f3e000a1b49?OpenDocument" TargetMode="External"/><Relationship Id="rId62" Type="http://schemas.openxmlformats.org/officeDocument/2006/relationships/hyperlink" Target="https://www.vcgr.vic.gov.au/Website/maps.nsf/bf369cd8063a2db3ca256689001797ff/cba090b3d8d3903eca257f3e000a1c19?OpenDocument" TargetMode="External"/><Relationship Id="rId70"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journal.anzsog.edu.au/publications" TargetMode="External"/><Relationship Id="rId13" Type="http://schemas.openxmlformats.org/officeDocument/2006/relationships/hyperlink" Target="http://www.tobaccoinaustralia.org.au/15-4-overview-of-key-public-areas-and-environments" TargetMode="External"/><Relationship Id="rId3" Type="http://schemas.openxmlformats.org/officeDocument/2006/relationships/hyperlink" Target="https://www.communications.gov.au/what-we-do/television/broadcast-and-content-reform-package" TargetMode="External"/><Relationship Id="rId7" Type="http://schemas.openxmlformats.org/officeDocument/2006/relationships/hyperlink" Target="https://journal.anzsog.edu.au/publications" TargetMode="External"/><Relationship Id="rId12" Type="http://schemas.openxmlformats.org/officeDocument/2006/relationships/hyperlink" Target="https://journal.anzsog.edu.au/publications" TargetMode="External"/><Relationship Id="rId2" Type="http://schemas.openxmlformats.org/officeDocument/2006/relationships/hyperlink" Target="https://www.mhs.gov.au/media-releases/2017-04-28-ministers-agree-tackle-major-online-gambling-reform" TargetMode="External"/><Relationship Id="rId1" Type="http://schemas.openxmlformats.org/officeDocument/2006/relationships/hyperlink" Target="https://www.crownmelbourne.com.au/crown-rewards/about" TargetMode="External"/><Relationship Id="rId6" Type="http://schemas.openxmlformats.org/officeDocument/2006/relationships/hyperlink" Target="https://journal.anzsog.edu.au/publications" TargetMode="External"/><Relationship Id="rId11" Type="http://schemas.openxmlformats.org/officeDocument/2006/relationships/hyperlink" Target="https://journal.anzsog.edu.au/publications" TargetMode="External"/><Relationship Id="rId5" Type="http://schemas.openxmlformats.org/officeDocument/2006/relationships/hyperlink" Target="https://www.vcgr.vic.gov.au/CA25783200814C9F/towards2012/492888CCB00D6A47CA2578690009C905?OpenDocument" TargetMode="External"/><Relationship Id="rId10" Type="http://schemas.openxmlformats.org/officeDocument/2006/relationships/hyperlink" Target="https://journal.anzsog.edu.au/publications" TargetMode="External"/><Relationship Id="rId4" Type="http://schemas.openxmlformats.org/officeDocument/2006/relationships/hyperlink" Target="http://kidbet.com.au/parents/" TargetMode="External"/><Relationship Id="rId9" Type="http://schemas.openxmlformats.org/officeDocument/2006/relationships/hyperlink" Target="https://journal.anzsog.edu.au/publications" TargetMode="External"/><Relationship Id="rId14" Type="http://schemas.openxmlformats.org/officeDocument/2006/relationships/hyperlink" Target="https://www.health.govt.nz/publication/problem-gambling-and-family-violence-help-seeking-populations-co-occurrence-impact-and-copin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Bonnie%20Projects\melbourne%20gaming%20policy\data\population%20Co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Bonnie%20Projects\melbourne%20gaming%20policy\data\population%20Co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Bonnie%20Projects\melbourne%20gaming%20policy\data\seif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Bonnie%20Projects\melbourne%20gaming%20policy\data\vcglr\vcglr.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Bonnie%20Projects\melbourne%20gaming%20policy\data\vcglr\vcglr.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Bonnie%20Projects\melbourne%20gaming%20policy\data\vcglr\vcgl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5520-4C39-934E-449BD09B36F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5520-4C39-934E-449BD09B36F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5520-4C39-934E-449BD09B36F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5520-4C39-934E-449BD09B36F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5520-4C39-934E-449BD09B36F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5520-4C39-934E-449BD09B36F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5520-4C39-934E-449BD09B36F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520-4C39-934E-449BD09B36F6}"/>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Sheet2!$A$4:$A$11</c:f>
              <c:strCache>
                <c:ptCount val="8"/>
                <c:pt idx="0">
                  <c:v>Residents (under 15 years)</c:v>
                </c:pt>
                <c:pt idx="1">
                  <c:v>Residents (15 years plus)</c:v>
                </c:pt>
                <c:pt idx="2">
                  <c:v>Workers</c:v>
                </c:pt>
                <c:pt idx="3">
                  <c:v>Students</c:v>
                </c:pt>
                <c:pt idx="4">
                  <c:v>Metropolitan visitors</c:v>
                </c:pt>
                <c:pt idx="5">
                  <c:v>Regional visitors</c:v>
                </c:pt>
                <c:pt idx="6">
                  <c:v>Interstate visitors</c:v>
                </c:pt>
                <c:pt idx="7">
                  <c:v>International visitors</c:v>
                </c:pt>
              </c:strCache>
            </c:strRef>
          </c:cat>
          <c:val>
            <c:numRef>
              <c:f>Sheet2!$L$4:$L$11</c:f>
              <c:numCache>
                <c:formatCode>#,##0</c:formatCode>
                <c:ptCount val="8"/>
                <c:pt idx="0">
                  <c:v>8000</c:v>
                </c:pt>
                <c:pt idx="1">
                  <c:v>114000</c:v>
                </c:pt>
                <c:pt idx="2">
                  <c:v>141000</c:v>
                </c:pt>
                <c:pt idx="3">
                  <c:v>24000</c:v>
                </c:pt>
                <c:pt idx="4">
                  <c:v>39000</c:v>
                </c:pt>
                <c:pt idx="5">
                  <c:v>5000</c:v>
                </c:pt>
                <c:pt idx="6">
                  <c:v>26000</c:v>
                </c:pt>
                <c:pt idx="7">
                  <c:v>42000</c:v>
                </c:pt>
              </c:numCache>
            </c:numRef>
          </c:val>
          <c:extLst xmlns:c16r2="http://schemas.microsoft.com/office/drawing/2015/06/chart">
            <c:ext xmlns:c16="http://schemas.microsoft.com/office/drawing/2014/chart" uri="{C3380CC4-5D6E-409C-BE32-E72D297353CC}">
              <c16:uniqueId val="{00000010-5520-4C39-934E-449BD09B36F6}"/>
            </c:ext>
          </c:extLst>
        </c:ser>
        <c:dLbls>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Sheet1!$A$14</c:f>
              <c:strCache>
                <c:ptCount val="1"/>
                <c:pt idx="0">
                  <c:v>2014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Sheet1!$B$2:$H$2</c:f>
              <c:strCache>
                <c:ptCount val="7"/>
                <c:pt idx="0">
                  <c:v>Residents</c:v>
                </c:pt>
                <c:pt idx="1">
                  <c:v>Workers</c:v>
                </c:pt>
                <c:pt idx="2">
                  <c:v>Students</c:v>
                </c:pt>
                <c:pt idx="3">
                  <c:v>Metropolitan visitors</c:v>
                </c:pt>
                <c:pt idx="4">
                  <c:v>Regional visitors</c:v>
                </c:pt>
                <c:pt idx="5">
                  <c:v>Interstate visitors</c:v>
                </c:pt>
                <c:pt idx="6">
                  <c:v>International visitors</c:v>
                </c:pt>
              </c:strCache>
            </c:strRef>
          </c:cat>
          <c:val>
            <c:numRef>
              <c:f>Sheet1!$B$14:$H$14</c:f>
              <c:numCache>
                <c:formatCode>#,##0.0</c:formatCode>
                <c:ptCount val="7"/>
                <c:pt idx="0">
                  <c:v>14.285714285714285</c:v>
                </c:pt>
                <c:pt idx="1">
                  <c:v>45.199063231850118</c:v>
                </c:pt>
                <c:pt idx="2">
                  <c:v>7.9625292740046847</c:v>
                </c:pt>
                <c:pt idx="3">
                  <c:v>19.086651053864166</c:v>
                </c:pt>
                <c:pt idx="4">
                  <c:v>1.5222482435597189</c:v>
                </c:pt>
                <c:pt idx="5">
                  <c:v>3.629976580796253</c:v>
                </c:pt>
                <c:pt idx="6">
                  <c:v>5.269320843091335</c:v>
                </c:pt>
              </c:numCache>
            </c:numRef>
          </c:val>
          <c:extLst xmlns:c16r2="http://schemas.microsoft.com/office/drawing/2015/06/chart">
            <c:ext xmlns:c16="http://schemas.microsoft.com/office/drawing/2014/chart" uri="{C3380CC4-5D6E-409C-BE32-E72D297353CC}">
              <c16:uniqueId val="{00000000-195B-470E-9DA6-9CD8A2753AD0}"/>
            </c:ext>
          </c:extLst>
        </c:ser>
        <c:ser>
          <c:idx val="1"/>
          <c:order val="1"/>
          <c:tx>
            <c:strRef>
              <c:f>Sheet1!$A$32</c:f>
              <c:strCache>
                <c:ptCount val="1"/>
                <c:pt idx="0">
                  <c:v>2030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Sheet1!$B$2:$H$2</c:f>
              <c:strCache>
                <c:ptCount val="7"/>
                <c:pt idx="0">
                  <c:v>Residents</c:v>
                </c:pt>
                <c:pt idx="1">
                  <c:v>Workers</c:v>
                </c:pt>
                <c:pt idx="2">
                  <c:v>Students</c:v>
                </c:pt>
                <c:pt idx="3">
                  <c:v>Metropolitan visitors</c:v>
                </c:pt>
                <c:pt idx="4">
                  <c:v>Regional visitors</c:v>
                </c:pt>
                <c:pt idx="5">
                  <c:v>Interstate visitors</c:v>
                </c:pt>
                <c:pt idx="6">
                  <c:v>International visitors</c:v>
                </c:pt>
              </c:strCache>
            </c:strRef>
          </c:cat>
          <c:val>
            <c:numRef>
              <c:f>Sheet1!$B$32:$H$32</c:f>
              <c:numCache>
                <c:formatCode>0.0</c:formatCode>
                <c:ptCount val="7"/>
                <c:pt idx="0">
                  <c:v>17.118644067796609</c:v>
                </c:pt>
                <c:pt idx="1">
                  <c:v>44.576271186440678</c:v>
                </c:pt>
                <c:pt idx="2">
                  <c:v>8.4745762711864394</c:v>
                </c:pt>
                <c:pt idx="3">
                  <c:v>14.491525423728813</c:v>
                </c:pt>
                <c:pt idx="4">
                  <c:v>1.3559322033898304</c:v>
                </c:pt>
                <c:pt idx="5">
                  <c:v>3.1355932203389827</c:v>
                </c:pt>
                <c:pt idx="6">
                  <c:v>8.0508474576271176</c:v>
                </c:pt>
              </c:numCache>
            </c:numRef>
          </c:val>
          <c:extLst xmlns:c16r2="http://schemas.microsoft.com/office/drawing/2015/06/chart">
            <c:ext xmlns:c16="http://schemas.microsoft.com/office/drawing/2014/chart" uri="{C3380CC4-5D6E-409C-BE32-E72D297353CC}">
              <c16:uniqueId val="{00000001-195B-470E-9DA6-9CD8A2753AD0}"/>
            </c:ext>
          </c:extLst>
        </c:ser>
        <c:dLbls>
          <c:showLegendKey val="0"/>
          <c:showVal val="1"/>
          <c:showCatName val="0"/>
          <c:showSerName val="0"/>
          <c:showPercent val="0"/>
          <c:showBubbleSize val="0"/>
        </c:dLbls>
        <c:gapWidth val="150"/>
        <c:overlap val="-25"/>
        <c:axId val="388698496"/>
        <c:axId val="388699648"/>
      </c:barChart>
      <c:catAx>
        <c:axId val="388698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699648"/>
        <c:crosses val="autoZero"/>
        <c:auto val="1"/>
        <c:lblAlgn val="ctr"/>
        <c:lblOffset val="100"/>
        <c:noMultiLvlLbl val="0"/>
      </c:catAx>
      <c:valAx>
        <c:axId val="388699648"/>
        <c:scaling>
          <c:orientation val="minMax"/>
        </c:scaling>
        <c:delete val="1"/>
        <c:axPos val="b"/>
        <c:numFmt formatCode="#,##0.0" sourceLinked="1"/>
        <c:majorTickMark val="none"/>
        <c:minorTickMark val="none"/>
        <c:tickLblPos val="nextTo"/>
        <c:crossAx val="38869849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1"/>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8-5CE1-4874-BB0D-AE11CC62849D}"/>
              </c:ext>
            </c:extLst>
          </c:dPt>
          <c:dPt>
            <c:idx val="3"/>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7-5CE1-4874-BB0D-AE11CC62849D}"/>
              </c:ext>
            </c:extLst>
          </c:dPt>
          <c:dPt>
            <c:idx val="4"/>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6-5CE1-4874-BB0D-AE11CC62849D}"/>
              </c:ext>
            </c:extLst>
          </c:dPt>
          <c:dPt>
            <c:idx val="6"/>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5-5CE1-4874-BB0D-AE11CC62849D}"/>
              </c:ext>
            </c:extLst>
          </c:dPt>
          <c:dPt>
            <c:idx val="7"/>
            <c:invertIfNegative val="0"/>
            <c:bubble3D val="0"/>
            <c:spPr>
              <a:solidFill>
                <a:schemeClr val="tx1"/>
              </a:solidFill>
              <a:ln>
                <a:solidFill>
                  <a:schemeClr val="tx1"/>
                </a:solidFill>
              </a:ln>
              <a:effectLst/>
            </c:spPr>
            <c:extLst xmlns:c16r2="http://schemas.microsoft.com/office/drawing/2015/06/chart">
              <c:ext xmlns:c16="http://schemas.microsoft.com/office/drawing/2014/chart" uri="{C3380CC4-5D6E-409C-BE32-E72D297353CC}">
                <c16:uniqueId val="{00000001-5CE1-4874-BB0D-AE11CC62849D}"/>
              </c:ext>
            </c:extLst>
          </c:dPt>
          <c:dPt>
            <c:idx val="8"/>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2-5CE1-4874-BB0D-AE11CC62849D}"/>
              </c:ext>
            </c:extLst>
          </c:dPt>
          <c:dPt>
            <c:idx val="11"/>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4-5CE1-4874-BB0D-AE11CC62849D}"/>
              </c:ext>
            </c:extLst>
          </c:dPt>
          <c:dPt>
            <c:idx val="13"/>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3-5CE1-4874-BB0D-AE11CC6284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Sheet1!$B$5:$B$21</c:f>
              <c:strCache>
                <c:ptCount val="17"/>
                <c:pt idx="0">
                  <c:v>Carlton</c:v>
                </c:pt>
                <c:pt idx="1">
                  <c:v>Maribyrnong (C)</c:v>
                </c:pt>
                <c:pt idx="2">
                  <c:v>North Melbourne</c:v>
                </c:pt>
                <c:pt idx="3">
                  <c:v>Moreland (C)</c:v>
                </c:pt>
                <c:pt idx="4">
                  <c:v>Hobsons Bay (C)</c:v>
                </c:pt>
                <c:pt idx="5">
                  <c:v>Melbourne</c:v>
                </c:pt>
                <c:pt idx="6">
                  <c:v>Yarra (C)</c:v>
                </c:pt>
                <c:pt idx="7">
                  <c:v>Melbourne (C)</c:v>
                </c:pt>
                <c:pt idx="8">
                  <c:v>Moonee Valley (C)</c:v>
                </c:pt>
                <c:pt idx="9">
                  <c:v>Kensington</c:v>
                </c:pt>
                <c:pt idx="10">
                  <c:v>Parkville</c:v>
                </c:pt>
                <c:pt idx="11">
                  <c:v>Port Phillip (C)</c:v>
                </c:pt>
                <c:pt idx="12">
                  <c:v>Flemington Racecourse</c:v>
                </c:pt>
                <c:pt idx="13">
                  <c:v>Stonnington (C)</c:v>
                </c:pt>
                <c:pt idx="14">
                  <c:v>Docklands</c:v>
                </c:pt>
                <c:pt idx="15">
                  <c:v>South Yarra - West</c:v>
                </c:pt>
                <c:pt idx="16">
                  <c:v>East Melbourne</c:v>
                </c:pt>
              </c:strCache>
            </c:strRef>
          </c:cat>
          <c:val>
            <c:numRef>
              <c:f>Sheet1!$D$5:$D$21</c:f>
              <c:numCache>
                <c:formatCode>0</c:formatCode>
                <c:ptCount val="17"/>
                <c:pt idx="0">
                  <c:v>939.24243004000004</c:v>
                </c:pt>
                <c:pt idx="1">
                  <c:v>974.01340268000001</c:v>
                </c:pt>
                <c:pt idx="2">
                  <c:v>982.96814394</c:v>
                </c:pt>
                <c:pt idx="3">
                  <c:v>998.05662540000003</c:v>
                </c:pt>
                <c:pt idx="4">
                  <c:v>1001.7467369</c:v>
                </c:pt>
                <c:pt idx="5">
                  <c:v>1001.9986214</c:v>
                </c:pt>
                <c:pt idx="6">
                  <c:v>1019.0521358</c:v>
                </c:pt>
                <c:pt idx="7">
                  <c:v>1025.8138945000001</c:v>
                </c:pt>
                <c:pt idx="8">
                  <c:v>1027.1453498999999</c:v>
                </c:pt>
                <c:pt idx="9">
                  <c:v>1042.4608525000001</c:v>
                </c:pt>
                <c:pt idx="10">
                  <c:v>1052.9775697</c:v>
                </c:pt>
                <c:pt idx="11">
                  <c:v>1065.7187667999999</c:v>
                </c:pt>
                <c:pt idx="12">
                  <c:v>1074.2339188999999</c:v>
                </c:pt>
                <c:pt idx="13">
                  <c:v>1083.6948944000001</c:v>
                </c:pt>
                <c:pt idx="14">
                  <c:v>1089.9483743000001</c:v>
                </c:pt>
                <c:pt idx="15">
                  <c:v>1110.0357122</c:v>
                </c:pt>
                <c:pt idx="16">
                  <c:v>1116.6967781000001</c:v>
                </c:pt>
              </c:numCache>
            </c:numRef>
          </c:val>
          <c:extLst xmlns:c16r2="http://schemas.microsoft.com/office/drawing/2015/06/chart">
            <c:ext xmlns:c16="http://schemas.microsoft.com/office/drawing/2014/chart" uri="{C3380CC4-5D6E-409C-BE32-E72D297353CC}">
              <c16:uniqueId val="{00000000-5CE1-4874-BB0D-AE11CC62849D}"/>
            </c:ext>
          </c:extLst>
        </c:ser>
        <c:dLbls>
          <c:showLegendKey val="0"/>
          <c:showVal val="1"/>
          <c:showCatName val="0"/>
          <c:showSerName val="0"/>
          <c:showPercent val="0"/>
          <c:showBubbleSize val="0"/>
        </c:dLbls>
        <c:gapWidth val="75"/>
        <c:axId val="388726784"/>
        <c:axId val="388740992"/>
      </c:barChart>
      <c:catAx>
        <c:axId val="388726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740992"/>
        <c:crosses val="autoZero"/>
        <c:auto val="1"/>
        <c:lblAlgn val="ctr"/>
        <c:lblOffset val="100"/>
        <c:noMultiLvlLbl val="0"/>
      </c:catAx>
      <c:valAx>
        <c:axId val="38874099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87267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 melbourne'!$B$53:$B$59</c:f>
              <c:strCache>
                <c:ptCount val="7"/>
                <c:pt idx="0">
                  <c:v>Average expenditure clubs Melbourne LGA</c:v>
                </c:pt>
                <c:pt idx="1">
                  <c:v>Average expenditure metro clubs</c:v>
                </c:pt>
                <c:pt idx="2">
                  <c:v>Average expenditure hotels Melbourne LGA</c:v>
                </c:pt>
                <c:pt idx="3">
                  <c:v>Average expenditure metro hotels</c:v>
                </c:pt>
                <c:pt idx="4">
                  <c:v>Average expenditure venues in Hoddle Grid</c:v>
                </c:pt>
                <c:pt idx="5">
                  <c:v>Average expenditure  venues outside Hoddle Grid</c:v>
                </c:pt>
                <c:pt idx="6">
                  <c:v>Average expenditure per venue Melbourne LGA</c:v>
                </c:pt>
              </c:strCache>
            </c:strRef>
          </c:cat>
          <c:val>
            <c:numRef>
              <c:f>'4 melbourne'!$G$53:$G$59</c:f>
              <c:numCache>
                <c:formatCode>_-* #,##0_-;\-* #,##0_-;_-* "-"??_-;_-@_-</c:formatCode>
                <c:ptCount val="7"/>
                <c:pt idx="0" formatCode="_(&quot;$&quot;* #,##0.00_);_(&quot;$&quot;* \(#,##0.00\);_(&quot;$&quot;* &quot;-&quot;??_);_(@_)">
                  <c:v>5164578.7374999998</c:v>
                </c:pt>
                <c:pt idx="1">
                  <c:v>4375977.9370895531</c:v>
                </c:pt>
                <c:pt idx="2" formatCode="_(&quot;$&quot;* #,##0.00_);_(&quot;$&quot;* \(#,##0.00\);_(&quot;$&quot;* &quot;-&quot;??_);_(@_)">
                  <c:v>7388967.21</c:v>
                </c:pt>
                <c:pt idx="3">
                  <c:v>6237609.8399999999</c:v>
                </c:pt>
                <c:pt idx="4" formatCode="_(&quot;$&quot;* #,##0.00_);_(&quot;$&quot;* \(#,##0.00\);_(&quot;$&quot;* &quot;-&quot;??_);_(@_)">
                  <c:v>7648290.2344444441</c:v>
                </c:pt>
                <c:pt idx="5" formatCode="_(&quot;$&quot;* #,##0.00_);_(&quot;$&quot;* \(#,##0.00\);_(&quot;$&quot;* &quot;-&quot;??_);_(@_)">
                  <c:v>3645146.84</c:v>
                </c:pt>
                <c:pt idx="6" formatCode="&quot;$&quot;#,##0.00_);[Red]\(&quot;$&quot;#,##0.00\)">
                  <c:v>6647504.3858333342</c:v>
                </c:pt>
              </c:numCache>
            </c:numRef>
          </c:val>
          <c:extLst xmlns:c16r2="http://schemas.microsoft.com/office/drawing/2015/06/chart">
            <c:ext xmlns:c16="http://schemas.microsoft.com/office/drawing/2014/chart" uri="{C3380CC4-5D6E-409C-BE32-E72D297353CC}">
              <c16:uniqueId val="{00000000-12A1-47DA-8722-42CC2150B369}"/>
            </c:ext>
          </c:extLst>
        </c:ser>
        <c:dLbls>
          <c:showLegendKey val="0"/>
          <c:showVal val="1"/>
          <c:showCatName val="0"/>
          <c:showSerName val="0"/>
          <c:showPercent val="0"/>
          <c:showBubbleSize val="0"/>
        </c:dLbls>
        <c:gapWidth val="150"/>
        <c:overlap val="-25"/>
        <c:axId val="388747648"/>
        <c:axId val="400176256"/>
      </c:barChart>
      <c:catAx>
        <c:axId val="388747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176256"/>
        <c:crosses val="autoZero"/>
        <c:auto val="1"/>
        <c:lblAlgn val="ctr"/>
        <c:lblOffset val="100"/>
        <c:noMultiLvlLbl val="0"/>
      </c:catAx>
      <c:valAx>
        <c:axId val="400176256"/>
        <c:scaling>
          <c:orientation val="minMax"/>
        </c:scaling>
        <c:delete val="1"/>
        <c:axPos val="b"/>
        <c:numFmt formatCode="_(&quot;$&quot;* #,##0.00_);_(&quot;$&quot;* \(#,##0.00\);_(&quot;$&quot;* &quot;-&quot;??_);_(@_)" sourceLinked="1"/>
        <c:majorTickMark val="none"/>
        <c:minorTickMark val="none"/>
        <c:tickLblPos val="nextTo"/>
        <c:crossAx val="388747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92D050"/>
              </a:solidFill>
              <a:ln>
                <a:solidFill>
                  <a:srgbClr val="92D050"/>
                </a:solidFill>
              </a:ln>
              <a:effectLst/>
            </c:spPr>
            <c:extLst xmlns:c16r2="http://schemas.microsoft.com/office/drawing/2015/06/chart">
              <c:ext xmlns:c16="http://schemas.microsoft.com/office/drawing/2014/chart" uri="{C3380CC4-5D6E-409C-BE32-E72D297353CC}">
                <c16:uniqueId val="{00000001-BD08-49D1-A898-AF4F22E78246}"/>
              </c:ext>
            </c:extLst>
          </c:dPt>
          <c:dPt>
            <c:idx val="1"/>
            <c:invertIfNegative val="0"/>
            <c:bubble3D val="0"/>
            <c:spPr>
              <a:solidFill>
                <a:srgbClr val="92D050"/>
              </a:solidFill>
              <a:ln>
                <a:solidFill>
                  <a:srgbClr val="92D050"/>
                </a:solidFill>
              </a:ln>
              <a:effectLst/>
            </c:spPr>
            <c:extLst xmlns:c16r2="http://schemas.microsoft.com/office/drawing/2015/06/chart">
              <c:ext xmlns:c16="http://schemas.microsoft.com/office/drawing/2014/chart" uri="{C3380CC4-5D6E-409C-BE32-E72D297353CC}">
                <c16:uniqueId val="{00000003-BD08-49D1-A898-AF4F22E78246}"/>
              </c:ext>
            </c:extLst>
          </c:dPt>
          <c:dPt>
            <c:idx val="2"/>
            <c:invertIfNegative val="0"/>
            <c:bubble3D val="0"/>
            <c:spPr>
              <a:solidFill>
                <a:srgbClr val="92D050"/>
              </a:solidFill>
              <a:ln>
                <a:solidFill>
                  <a:srgbClr val="92D050"/>
                </a:solidFill>
              </a:ln>
              <a:effectLst/>
            </c:spPr>
            <c:extLst xmlns:c16r2="http://schemas.microsoft.com/office/drawing/2015/06/chart">
              <c:ext xmlns:c16="http://schemas.microsoft.com/office/drawing/2014/chart" uri="{C3380CC4-5D6E-409C-BE32-E72D297353CC}">
                <c16:uniqueId val="{00000005-BD08-49D1-A898-AF4F22E78246}"/>
              </c:ext>
            </c:extLst>
          </c:dPt>
          <c:dPt>
            <c:idx val="3"/>
            <c:invertIfNegative val="0"/>
            <c:bubble3D val="0"/>
            <c:spPr>
              <a:solidFill>
                <a:srgbClr val="92D050"/>
              </a:solidFill>
              <a:ln>
                <a:solidFill>
                  <a:srgbClr val="92D050"/>
                </a:solidFill>
              </a:ln>
              <a:effectLst/>
            </c:spPr>
            <c:extLst xmlns:c16r2="http://schemas.microsoft.com/office/drawing/2015/06/chart">
              <c:ext xmlns:c16="http://schemas.microsoft.com/office/drawing/2014/chart" uri="{C3380CC4-5D6E-409C-BE32-E72D297353CC}">
                <c16:uniqueId val="{00000007-BD08-49D1-A898-AF4F22E78246}"/>
              </c:ext>
            </c:extLst>
          </c:dPt>
          <c:dPt>
            <c:idx val="8"/>
            <c:invertIfNegative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B-BD08-49D1-A898-AF4F22E78246}"/>
              </c:ext>
            </c:extLst>
          </c:dPt>
          <c:dPt>
            <c:idx val="12"/>
            <c:invertIfNegative val="0"/>
            <c:bubble3D val="0"/>
            <c:spPr>
              <a:solidFill>
                <a:schemeClr val="tx1"/>
              </a:solidFill>
              <a:ln>
                <a:solidFill>
                  <a:sysClr val="windowText" lastClr="000000"/>
                </a:solidFill>
              </a:ln>
              <a:effectLst/>
            </c:spPr>
            <c:extLst xmlns:c16r2="http://schemas.microsoft.com/office/drawing/2015/06/chart">
              <c:ext xmlns:c16="http://schemas.microsoft.com/office/drawing/2014/chart" uri="{C3380CC4-5D6E-409C-BE32-E72D297353CC}">
                <c16:uniqueId val="{00000009-BD08-49D1-A898-AF4F22E78246}"/>
              </c:ext>
            </c:extLst>
          </c:dPt>
          <c:dLbls>
            <c:dLbl>
              <c:idx val="9"/>
              <c:layout>
                <c:manualLayout>
                  <c:x val="-1.6592937253127087E-16"/>
                  <c:y val="-3.91219300152140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31D6-44E3-8985-546EA4B502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 melbourne'!$B$39:$B$51</c:f>
              <c:strCache>
                <c:ptCount val="13"/>
                <c:pt idx="0">
                  <c:v>CELTIC CLUB</c:v>
                </c:pt>
                <c:pt idx="1">
                  <c:v>BATMAN'S HILL ON COLLINS</c:v>
                </c:pt>
                <c:pt idx="2">
                  <c:v>SHANGHAI CLUB</c:v>
                </c:pt>
                <c:pt idx="3">
                  <c:v>HEADQUARTERS TAVERN</c:v>
                </c:pt>
                <c:pt idx="4">
                  <c:v>THE MEETING PLACE</c:v>
                </c:pt>
                <c:pt idx="5">
                  <c:v>PLAYERS ON LYGON</c:v>
                </c:pt>
                <c:pt idx="6">
                  <c:v>MAIL EXCHANGE HOTEL</c:v>
                </c:pt>
                <c:pt idx="7">
                  <c:v>GOLDEN NUGGET</c:v>
                </c:pt>
                <c:pt idx="8">
                  <c:v>CLOCKS AT FLINDERS STREET STATION</c:v>
                </c:pt>
                <c:pt idx="9">
                  <c:v>MERCURE GRAND HOTEL ON SWANSTON</c:v>
                </c:pt>
                <c:pt idx="10">
                  <c:v>BOURKE HILL'S WELCOME STRANGER</c:v>
                </c:pt>
                <c:pt idx="11">
                  <c:v>AVERAGE MELBOURNE LGA</c:v>
                </c:pt>
                <c:pt idx="12">
                  <c:v>MELBOURNE LGA</c:v>
                </c:pt>
              </c:strCache>
            </c:strRef>
          </c:cat>
          <c:val>
            <c:numRef>
              <c:f>'4 melbourne'!$H$39:$H$51</c:f>
              <c:numCache>
                <c:formatCode>_("$"* #,##0.00_);_("$"* \(#,##0.00\);_("$"* "-"??_);_(@_)</c:formatCode>
                <c:ptCount val="13"/>
                <c:pt idx="0">
                  <c:v>24464.787073170733</c:v>
                </c:pt>
                <c:pt idx="1">
                  <c:v>96752.221818181817</c:v>
                </c:pt>
                <c:pt idx="2">
                  <c:v>74196.177500000005</c:v>
                </c:pt>
                <c:pt idx="3">
                  <c:v>45842.914499999999</c:v>
                </c:pt>
                <c:pt idx="4">
                  <c:v>111087.97196428571</c:v>
                </c:pt>
                <c:pt idx="5">
                  <c:v>105333.44</c:v>
                </c:pt>
                <c:pt idx="6">
                  <c:v>95905.276249999995</c:v>
                </c:pt>
                <c:pt idx="7">
                  <c:v>148517.64416666667</c:v>
                </c:pt>
                <c:pt idx="8">
                  <c:v>97668.990900000004</c:v>
                </c:pt>
                <c:pt idx="9">
                  <c:v>163983.69622222224</c:v>
                </c:pt>
                <c:pt idx="10" formatCode="&quot;$&quot;#,##0.00_);[Red]\(&quot;$&quot;#,##0.00\)">
                  <c:v>96375.312039452721</c:v>
                </c:pt>
                <c:pt idx="11" formatCode="&quot;$&quot;#,##0.00_);[Red]\(&quot;$&quot;#,##0.00\)">
                  <c:v>96375.312039452736</c:v>
                </c:pt>
                <c:pt idx="12">
                  <c:v>106930.36545576407</c:v>
                </c:pt>
              </c:numCache>
            </c:numRef>
          </c:val>
          <c:extLst xmlns:c16r2="http://schemas.microsoft.com/office/drawing/2015/06/chart">
            <c:ext xmlns:c16="http://schemas.microsoft.com/office/drawing/2014/chart" uri="{C3380CC4-5D6E-409C-BE32-E72D297353CC}">
              <c16:uniqueId val="{0000000A-BD08-49D1-A898-AF4F22E78246}"/>
            </c:ext>
          </c:extLst>
        </c:ser>
        <c:dLbls>
          <c:showLegendKey val="0"/>
          <c:showVal val="1"/>
          <c:showCatName val="0"/>
          <c:showSerName val="0"/>
          <c:showPercent val="0"/>
          <c:showBubbleSize val="0"/>
        </c:dLbls>
        <c:gapWidth val="150"/>
        <c:axId val="400195584"/>
        <c:axId val="400359808"/>
      </c:barChart>
      <c:catAx>
        <c:axId val="40019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00359808"/>
        <c:crosses val="autoZero"/>
        <c:auto val="1"/>
        <c:lblAlgn val="ctr"/>
        <c:lblOffset val="100"/>
        <c:noMultiLvlLbl val="0"/>
      </c:catAx>
      <c:valAx>
        <c:axId val="400359808"/>
        <c:scaling>
          <c:orientation val="minMax"/>
        </c:scaling>
        <c:delete val="1"/>
        <c:axPos val="b"/>
        <c:numFmt formatCode="_(&quot;$&quot;* #,##0.00_);_(&quot;$&quot;* \(#,##0.00\);_(&quot;$&quot;* &quot;-&quot;??_);_(@_)" sourceLinked="1"/>
        <c:majorTickMark val="none"/>
        <c:minorTickMark val="none"/>
        <c:tickLblPos val="nextTo"/>
        <c:crossAx val="40019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1"/>
          <c:order val="1"/>
          <c:tx>
            <c:strRef>
              <c:f>'4 melbourne'!$G$125</c:f>
              <c:strCache>
                <c:ptCount val="1"/>
                <c:pt idx="0">
                  <c:v>Expenditure</c:v>
                </c:pt>
              </c:strCache>
            </c:strRef>
          </c:tx>
          <c:invertIfNegative val="0"/>
          <c:dPt>
            <c:idx val="0"/>
            <c:invertIfNegative val="0"/>
            <c:bubble3D val="0"/>
            <c:extLst xmlns:c16r2="http://schemas.microsoft.com/office/drawing/2015/06/chart">
              <c:ext xmlns:c16="http://schemas.microsoft.com/office/drawing/2014/chart" uri="{C3380CC4-5D6E-409C-BE32-E72D297353CC}">
                <c16:uniqueId val="{00000001-3CAD-4C89-8A1E-836365F77FFC}"/>
              </c:ext>
            </c:extLst>
          </c:dPt>
          <c:dPt>
            <c:idx val="1"/>
            <c:invertIfNegative val="0"/>
            <c:bubble3D val="0"/>
            <c:extLst xmlns:c16r2="http://schemas.microsoft.com/office/drawing/2015/06/chart">
              <c:ext xmlns:c16="http://schemas.microsoft.com/office/drawing/2014/chart" uri="{C3380CC4-5D6E-409C-BE32-E72D297353CC}">
                <c16:uniqueId val="{00000003-3CAD-4C89-8A1E-836365F77FFC}"/>
              </c:ext>
            </c:extLst>
          </c:dPt>
          <c:dPt>
            <c:idx val="2"/>
            <c:invertIfNegative val="0"/>
            <c:bubble3D val="0"/>
            <c:extLst xmlns:c16r2="http://schemas.microsoft.com/office/drawing/2015/06/chart">
              <c:ext xmlns:c16="http://schemas.microsoft.com/office/drawing/2014/chart" uri="{C3380CC4-5D6E-409C-BE32-E72D297353CC}">
                <c16:uniqueId val="{00000005-3CAD-4C89-8A1E-836365F77FFC}"/>
              </c:ext>
            </c:extLst>
          </c:dPt>
          <c:dPt>
            <c:idx val="3"/>
            <c:invertIfNegative val="0"/>
            <c:bubble3D val="0"/>
            <c:extLst xmlns:c16r2="http://schemas.microsoft.com/office/drawing/2015/06/chart">
              <c:ext xmlns:c16="http://schemas.microsoft.com/office/drawing/2014/chart" uri="{C3380CC4-5D6E-409C-BE32-E72D297353CC}">
                <c16:uniqueId val="{00000007-3CAD-4C89-8A1E-836365F77FFC}"/>
              </c:ext>
            </c:extLst>
          </c:dPt>
          <c:cat>
            <c:strRef>
              <c:f>'4 melbourne'!$B$126:$B$137</c:f>
              <c:strCache>
                <c:ptCount val="12"/>
                <c:pt idx="0">
                  <c:v>CELTIC CLUB</c:v>
                </c:pt>
                <c:pt idx="1">
                  <c:v>HEADQUARTERS TAVERN</c:v>
                </c:pt>
                <c:pt idx="2">
                  <c:v>THE MEETING PLACE</c:v>
                </c:pt>
                <c:pt idx="3">
                  <c:v>CLOCKS AT FLINDERS STREET STATION</c:v>
                </c:pt>
                <c:pt idx="4">
                  <c:v>BATMAN'S HILL ON COLLINS</c:v>
                </c:pt>
                <c:pt idx="5">
                  <c:v>SHANGHAI CLUB</c:v>
                </c:pt>
                <c:pt idx="6">
                  <c:v>PLAYERS ON LYGON</c:v>
                </c:pt>
                <c:pt idx="7">
                  <c:v>MAIL EXCHANGE HOTEL</c:v>
                </c:pt>
                <c:pt idx="8">
                  <c:v>GOLDEN NUGGET</c:v>
                </c:pt>
                <c:pt idx="9">
                  <c:v>MERCURE GRAND HOTEL ON SWANSTON</c:v>
                </c:pt>
                <c:pt idx="10">
                  <c:v>BOURKE HILL'S WELCOME STRANGER</c:v>
                </c:pt>
                <c:pt idx="11">
                  <c:v>AVERAGE MELBOURNE LGA</c:v>
                </c:pt>
              </c:strCache>
            </c:strRef>
          </c:cat>
          <c:val>
            <c:numRef>
              <c:f>'4 melbourne'!$G$126:$G$137</c:f>
              <c:numCache>
                <c:formatCode>"$"#,##0.00_);[Red]\("$"#,##0.00\)</c:formatCode>
                <c:ptCount val="12"/>
                <c:pt idx="0">
                  <c:v>1003056.27</c:v>
                </c:pt>
                <c:pt idx="1">
                  <c:v>3667433.16</c:v>
                </c:pt>
                <c:pt idx="2">
                  <c:v>6220926.4299999997</c:v>
                </c:pt>
                <c:pt idx="3">
                  <c:v>9766899.0899999999</c:v>
                </c:pt>
                <c:pt idx="4">
                  <c:v>2128548.88</c:v>
                </c:pt>
                <c:pt idx="5">
                  <c:v>3561416.52</c:v>
                </c:pt>
                <c:pt idx="6">
                  <c:v>7268007.3600000003</c:v>
                </c:pt>
                <c:pt idx="7">
                  <c:v>7672422.0999999996</c:v>
                </c:pt>
                <c:pt idx="8">
                  <c:v>8911058.6500000004</c:v>
                </c:pt>
                <c:pt idx="9">
                  <c:v>14758532.66</c:v>
                </c:pt>
                <c:pt idx="10">
                  <c:v>14811751.51</c:v>
                </c:pt>
                <c:pt idx="11">
                  <c:v>7876699.6359999999</c:v>
                </c:pt>
              </c:numCache>
            </c:numRef>
          </c:val>
          <c:extLst xmlns:c16r2="http://schemas.microsoft.com/office/drawing/2015/06/chart">
            <c:ext xmlns:c16="http://schemas.microsoft.com/office/drawing/2014/chart" uri="{C3380CC4-5D6E-409C-BE32-E72D297353CC}">
              <c16:uniqueId val="{00000008-3CAD-4C89-8A1E-836365F77FFC}"/>
            </c:ext>
          </c:extLst>
        </c:ser>
        <c:dLbls>
          <c:showLegendKey val="0"/>
          <c:showVal val="0"/>
          <c:showCatName val="0"/>
          <c:showSerName val="0"/>
          <c:showPercent val="0"/>
          <c:showBubbleSize val="0"/>
        </c:dLbls>
        <c:gapWidth val="219"/>
        <c:axId val="400387456"/>
        <c:axId val="400401536"/>
      </c:barChart>
      <c:scatterChart>
        <c:scatterStyle val="lineMarker"/>
        <c:varyColors val="0"/>
        <c:ser>
          <c:idx val="0"/>
          <c:order val="0"/>
          <c:tx>
            <c:strRef>
              <c:f>'4 melbourne'!$D$125</c:f>
              <c:strCache>
                <c:ptCount val="1"/>
                <c:pt idx="0">
                  <c:v>Attached Entitlements</c:v>
                </c:pt>
              </c:strCache>
            </c:strRef>
          </c:tx>
          <c:spPr>
            <a:ln w="28575">
              <a:noFill/>
            </a:ln>
          </c:spPr>
          <c:xVal>
            <c:strRef>
              <c:f>'4 melbourne'!$B$126:$B$137</c:f>
              <c:strCache>
                <c:ptCount val="12"/>
                <c:pt idx="0">
                  <c:v>CELTIC CLUB</c:v>
                </c:pt>
                <c:pt idx="1">
                  <c:v>HEADQUARTERS TAVERN</c:v>
                </c:pt>
                <c:pt idx="2">
                  <c:v>THE MEETING PLACE</c:v>
                </c:pt>
                <c:pt idx="3">
                  <c:v>CLOCKS AT FLINDERS STREET STATION</c:v>
                </c:pt>
                <c:pt idx="4">
                  <c:v>BATMAN'S HILL ON COLLINS</c:v>
                </c:pt>
                <c:pt idx="5">
                  <c:v>SHANGHAI CLUB</c:v>
                </c:pt>
                <c:pt idx="6">
                  <c:v>PLAYERS ON LYGON</c:v>
                </c:pt>
                <c:pt idx="7">
                  <c:v>MAIL EXCHANGE HOTEL</c:v>
                </c:pt>
                <c:pt idx="8">
                  <c:v>GOLDEN NUGGET</c:v>
                </c:pt>
                <c:pt idx="9">
                  <c:v>MERCURE GRAND HOTEL ON SWANSTON</c:v>
                </c:pt>
                <c:pt idx="10">
                  <c:v>BOURKE HILL'S WELCOME STRANGER</c:v>
                </c:pt>
                <c:pt idx="11">
                  <c:v>AVERAGE MELBOURNE LGA</c:v>
                </c:pt>
              </c:strCache>
            </c:strRef>
          </c:xVal>
          <c:yVal>
            <c:numRef>
              <c:f>'4 melbourne'!$D$126:$D$137</c:f>
              <c:numCache>
                <c:formatCode>General</c:formatCode>
                <c:ptCount val="12"/>
                <c:pt idx="0">
                  <c:v>41</c:v>
                </c:pt>
                <c:pt idx="1">
                  <c:v>80</c:v>
                </c:pt>
                <c:pt idx="2">
                  <c:v>56</c:v>
                </c:pt>
                <c:pt idx="3">
                  <c:v>100</c:v>
                </c:pt>
                <c:pt idx="4">
                  <c:v>22</c:v>
                </c:pt>
                <c:pt idx="5">
                  <c:v>48</c:v>
                </c:pt>
                <c:pt idx="6">
                  <c:v>69</c:v>
                </c:pt>
                <c:pt idx="7">
                  <c:v>80</c:v>
                </c:pt>
                <c:pt idx="8">
                  <c:v>60</c:v>
                </c:pt>
                <c:pt idx="9">
                  <c:v>90</c:v>
                </c:pt>
                <c:pt idx="10">
                  <c:v>100</c:v>
                </c:pt>
                <c:pt idx="11" formatCode="0">
                  <c:v>70.5</c:v>
                </c:pt>
              </c:numCache>
            </c:numRef>
          </c:yVal>
          <c:smooth val="0"/>
          <c:extLst xmlns:c16r2="http://schemas.microsoft.com/office/drawing/2015/06/chart">
            <c:ext xmlns:c16="http://schemas.microsoft.com/office/drawing/2014/chart" uri="{C3380CC4-5D6E-409C-BE32-E72D297353CC}">
              <c16:uniqueId val="{00000009-3CAD-4C89-8A1E-836365F77FFC}"/>
            </c:ext>
          </c:extLst>
        </c:ser>
        <c:dLbls>
          <c:showLegendKey val="0"/>
          <c:showVal val="0"/>
          <c:showCatName val="0"/>
          <c:showSerName val="0"/>
          <c:showPercent val="0"/>
          <c:showBubbleSize val="0"/>
        </c:dLbls>
        <c:axId val="400417152"/>
        <c:axId val="400403072"/>
      </c:scatterChart>
      <c:catAx>
        <c:axId val="400387456"/>
        <c:scaling>
          <c:orientation val="minMax"/>
        </c:scaling>
        <c:delete val="0"/>
        <c:axPos val="b"/>
        <c:numFmt formatCode="General" sourceLinked="1"/>
        <c:majorTickMark val="none"/>
        <c:minorTickMark val="none"/>
        <c:tickLblPos val="nextTo"/>
        <c:txPr>
          <a:bodyPr rot="-60000000" vert="horz"/>
          <a:lstStyle/>
          <a:p>
            <a:pPr>
              <a:defRPr/>
            </a:pPr>
            <a:endParaRPr lang="en-US"/>
          </a:p>
        </c:txPr>
        <c:crossAx val="400401536"/>
        <c:crosses val="autoZero"/>
        <c:auto val="1"/>
        <c:lblAlgn val="ctr"/>
        <c:lblOffset val="100"/>
        <c:noMultiLvlLbl val="0"/>
      </c:catAx>
      <c:valAx>
        <c:axId val="400401536"/>
        <c:scaling>
          <c:orientation val="minMax"/>
        </c:scaling>
        <c:delete val="0"/>
        <c:axPos val="l"/>
        <c:majorGridlines/>
        <c:numFmt formatCode="&quot;$&quot;#,##0.00_);[Red]\(&quot;$&quot;#,##0.00\)" sourceLinked="1"/>
        <c:majorTickMark val="none"/>
        <c:minorTickMark val="none"/>
        <c:tickLblPos val="nextTo"/>
        <c:txPr>
          <a:bodyPr rot="-60000000" vert="horz"/>
          <a:lstStyle/>
          <a:p>
            <a:pPr>
              <a:defRPr/>
            </a:pPr>
            <a:endParaRPr lang="en-US"/>
          </a:p>
        </c:txPr>
        <c:crossAx val="400387456"/>
        <c:crosses val="autoZero"/>
        <c:crossBetween val="between"/>
      </c:valAx>
      <c:valAx>
        <c:axId val="400403072"/>
        <c:scaling>
          <c:orientation val="minMax"/>
        </c:scaling>
        <c:delete val="0"/>
        <c:axPos val="r"/>
        <c:numFmt formatCode="General" sourceLinked="1"/>
        <c:majorTickMark val="out"/>
        <c:minorTickMark val="none"/>
        <c:tickLblPos val="nextTo"/>
        <c:txPr>
          <a:bodyPr rot="-60000000" vert="horz"/>
          <a:lstStyle/>
          <a:p>
            <a:pPr>
              <a:defRPr/>
            </a:pPr>
            <a:endParaRPr lang="en-US"/>
          </a:p>
        </c:txPr>
        <c:crossAx val="400417152"/>
        <c:crosses val="max"/>
        <c:crossBetween val="midCat"/>
      </c:valAx>
      <c:valAx>
        <c:axId val="400417152"/>
        <c:scaling>
          <c:orientation val="minMax"/>
        </c:scaling>
        <c:delete val="1"/>
        <c:axPos val="b"/>
        <c:numFmt formatCode="General" sourceLinked="1"/>
        <c:majorTickMark val="out"/>
        <c:minorTickMark val="none"/>
        <c:tickLblPos val="nextTo"/>
        <c:crossAx val="400403072"/>
        <c:crosses val="autoZero"/>
        <c:crossBetween val="midCat"/>
      </c:valAx>
    </c:plotArea>
    <c:legend>
      <c:legendPos val="b"/>
      <c:overlay val="0"/>
      <c:txPr>
        <a:bodyPr rot="0" vert="horz"/>
        <a:lstStyle/>
        <a:p>
          <a:pPr>
            <a:defRPr/>
          </a:pPr>
          <a:endParaRPr lang="en-US"/>
        </a:p>
      </c:txPr>
    </c:legend>
    <c:plotVisOnly val="1"/>
    <c:dispBlanksAs val="gap"/>
    <c:showDLblsOverMax val="0"/>
  </c:chart>
  <c:externalData r:id="rId1">
    <c:autoUpdate val="0"/>
  </c:externalData>
  <c:userShapes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449121-52A2-49C6-909F-F37F48368BEF}" type="doc">
      <dgm:prSet loTypeId="urn:microsoft.com/office/officeart/2011/layout/TabList" loCatId="list" qsTypeId="urn:microsoft.com/office/officeart/2005/8/quickstyle/simple1" qsCatId="simple" csTypeId="urn:microsoft.com/office/officeart/2005/8/colors/accent1_2" csCatId="accent1" phldr="1"/>
      <dgm:spPr/>
      <dgm:t>
        <a:bodyPr/>
        <a:lstStyle/>
        <a:p>
          <a:endParaRPr lang="en-US"/>
        </a:p>
      </dgm:t>
    </dgm:pt>
    <dgm:pt modelId="{02D8760A-06E4-44D1-A18F-12FB7578924F}">
      <dgm:prSet phldrT="[Text]" custT="1"/>
      <dgm:spPr>
        <a:solidFill>
          <a:srgbClr val="00AECB"/>
        </a:solidFill>
        <a:ln>
          <a:noFill/>
        </a:ln>
      </dgm:spPr>
      <dgm:t>
        <a:bodyPr/>
        <a:lstStyle/>
        <a:p>
          <a:r>
            <a:rPr lang="en-US" sz="1000"/>
            <a:t>2. Stakeholder Engagement outcomes</a:t>
          </a:r>
        </a:p>
      </dgm:t>
    </dgm:pt>
    <dgm:pt modelId="{1C3A05AE-0E50-447D-88BF-2ADCC28106F3}" type="parTrans" cxnId="{ADCACB0F-67CF-4426-85D7-E6EDCB117354}">
      <dgm:prSet/>
      <dgm:spPr/>
      <dgm:t>
        <a:bodyPr/>
        <a:lstStyle/>
        <a:p>
          <a:endParaRPr lang="en-US" sz="1000"/>
        </a:p>
      </dgm:t>
    </dgm:pt>
    <dgm:pt modelId="{C5F08D95-0702-42BE-BF09-3F934FC1B576}" type="sibTrans" cxnId="{ADCACB0F-67CF-4426-85D7-E6EDCB117354}">
      <dgm:prSet/>
      <dgm:spPr/>
      <dgm:t>
        <a:bodyPr/>
        <a:lstStyle/>
        <a:p>
          <a:endParaRPr lang="en-US" sz="1000"/>
        </a:p>
      </dgm:t>
    </dgm:pt>
    <dgm:pt modelId="{21784849-3B95-4861-9536-606BA4EA1E1C}">
      <dgm:prSet phldrT="[Text]" custT="1"/>
      <dgm:spPr>
        <a:ln>
          <a:noFill/>
        </a:ln>
      </dgm:spPr>
      <dgm:t>
        <a:bodyPr/>
        <a:lstStyle/>
        <a:p>
          <a:r>
            <a:rPr lang="en-US" sz="1000"/>
            <a:t>Key agencies</a:t>
          </a:r>
        </a:p>
        <a:p>
          <a:r>
            <a:rPr lang="en-US" sz="1000"/>
            <a:t>Venue operators</a:t>
          </a:r>
        </a:p>
        <a:p>
          <a:endParaRPr lang="en-US" sz="1000"/>
        </a:p>
      </dgm:t>
    </dgm:pt>
    <dgm:pt modelId="{06D67D76-AD24-45A6-82C0-15175B3B8CF7}" type="parTrans" cxnId="{6EE0E5DC-85CE-4E18-83F6-6B62B93A947C}">
      <dgm:prSet/>
      <dgm:spPr/>
      <dgm:t>
        <a:bodyPr/>
        <a:lstStyle/>
        <a:p>
          <a:endParaRPr lang="en-US" sz="1000"/>
        </a:p>
      </dgm:t>
    </dgm:pt>
    <dgm:pt modelId="{649DE6E0-EE74-47C3-B901-77F2A9155CF3}" type="sibTrans" cxnId="{6EE0E5DC-85CE-4E18-83F6-6B62B93A947C}">
      <dgm:prSet/>
      <dgm:spPr/>
      <dgm:t>
        <a:bodyPr/>
        <a:lstStyle/>
        <a:p>
          <a:endParaRPr lang="en-US" sz="1000"/>
        </a:p>
      </dgm:t>
    </dgm:pt>
    <dgm:pt modelId="{B3543510-FD4C-4341-B72A-F9206DDD9BD7}">
      <dgm:prSet phldrT="[Text]" custT="1"/>
      <dgm:spPr>
        <a:solidFill>
          <a:srgbClr val="00AECB"/>
        </a:solidFill>
        <a:ln>
          <a:noFill/>
        </a:ln>
      </dgm:spPr>
      <dgm:t>
        <a:bodyPr/>
        <a:lstStyle/>
        <a:p>
          <a:r>
            <a:rPr lang="en-US" sz="1000"/>
            <a:t>4. City of Melbourne Gambling and Gaming Context</a:t>
          </a:r>
        </a:p>
      </dgm:t>
    </dgm:pt>
    <dgm:pt modelId="{2F62FC7C-597C-4CAA-9A3E-73D6A38C3680}" type="parTrans" cxnId="{5313C503-086F-49FF-A9A5-8681AFF07D3C}">
      <dgm:prSet/>
      <dgm:spPr/>
      <dgm:t>
        <a:bodyPr/>
        <a:lstStyle/>
        <a:p>
          <a:endParaRPr lang="en-US" sz="1000"/>
        </a:p>
      </dgm:t>
    </dgm:pt>
    <dgm:pt modelId="{649EDDE0-0215-4632-9655-CAAC091CF748}" type="sibTrans" cxnId="{5313C503-086F-49FF-A9A5-8681AFF07D3C}">
      <dgm:prSet/>
      <dgm:spPr/>
      <dgm:t>
        <a:bodyPr/>
        <a:lstStyle/>
        <a:p>
          <a:endParaRPr lang="en-US" sz="1000"/>
        </a:p>
      </dgm:t>
    </dgm:pt>
    <dgm:pt modelId="{2ABF0501-DE08-486F-80D5-4D10260FBD53}">
      <dgm:prSet phldrT="[Text]" custT="1"/>
      <dgm:spPr>
        <a:ln>
          <a:noFill/>
        </a:ln>
      </dgm:spPr>
      <dgm:t>
        <a:bodyPr/>
        <a:lstStyle/>
        <a:p>
          <a:r>
            <a:rPr lang="en-US" sz="1000"/>
            <a:t>Hotels and clubs with gaming machines</a:t>
          </a:r>
        </a:p>
        <a:p>
          <a:r>
            <a:rPr lang="en-US" sz="1000"/>
            <a:t>Crown Casino</a:t>
          </a:r>
        </a:p>
        <a:p>
          <a:r>
            <a:rPr lang="en-US" sz="1000"/>
            <a:t>Keno and wagering venues</a:t>
          </a:r>
        </a:p>
        <a:p>
          <a:endParaRPr lang="en-US" sz="1000">
            <a:ln>
              <a:noFill/>
            </a:ln>
          </a:endParaRPr>
        </a:p>
      </dgm:t>
    </dgm:pt>
    <dgm:pt modelId="{265E7A2D-6F8B-4788-8C8F-929E00660CA8}" type="parTrans" cxnId="{40E79539-D4C7-4754-AC0E-6106D9AEA5F3}">
      <dgm:prSet/>
      <dgm:spPr/>
      <dgm:t>
        <a:bodyPr/>
        <a:lstStyle/>
        <a:p>
          <a:endParaRPr lang="en-US" sz="1000"/>
        </a:p>
      </dgm:t>
    </dgm:pt>
    <dgm:pt modelId="{6B808C8A-7699-462C-BECD-7DA0FD071ED1}" type="sibTrans" cxnId="{40E79539-D4C7-4754-AC0E-6106D9AEA5F3}">
      <dgm:prSet/>
      <dgm:spPr/>
      <dgm:t>
        <a:bodyPr/>
        <a:lstStyle/>
        <a:p>
          <a:endParaRPr lang="en-US" sz="1000"/>
        </a:p>
      </dgm:t>
    </dgm:pt>
    <dgm:pt modelId="{EF9AE378-008D-4AD8-9FF6-D4FB254F0222}">
      <dgm:prSet phldrT="[Text]" custT="1"/>
      <dgm:spPr>
        <a:solidFill>
          <a:srgbClr val="00AECB"/>
        </a:solidFill>
        <a:ln>
          <a:noFill/>
        </a:ln>
      </dgm:spPr>
      <dgm:t>
        <a:bodyPr/>
        <a:lstStyle/>
        <a:p>
          <a:r>
            <a:rPr lang="en-US" sz="1000"/>
            <a:t>5. City of Melbourne Policy and Planning Framework</a:t>
          </a:r>
        </a:p>
      </dgm:t>
    </dgm:pt>
    <dgm:pt modelId="{DED710FB-BE13-4FA7-BB36-9527482F0481}" type="parTrans" cxnId="{97AFE0E1-5E87-43AF-98ED-FDC3BB8F50A7}">
      <dgm:prSet/>
      <dgm:spPr/>
      <dgm:t>
        <a:bodyPr/>
        <a:lstStyle/>
        <a:p>
          <a:endParaRPr lang="en-US" sz="1000"/>
        </a:p>
      </dgm:t>
    </dgm:pt>
    <dgm:pt modelId="{188CD9F7-2295-4674-82F9-569CFD6C4E36}" type="sibTrans" cxnId="{97AFE0E1-5E87-43AF-98ED-FDC3BB8F50A7}">
      <dgm:prSet/>
      <dgm:spPr/>
      <dgm:t>
        <a:bodyPr/>
        <a:lstStyle/>
        <a:p>
          <a:endParaRPr lang="en-US" sz="1000"/>
        </a:p>
      </dgm:t>
    </dgm:pt>
    <dgm:pt modelId="{61F3883E-9F9C-4D65-8AC9-DCFF079C95D1}">
      <dgm:prSet phldrT="[Text]" custT="1"/>
      <dgm:spPr>
        <a:solidFill>
          <a:srgbClr val="00AECB"/>
        </a:solidFill>
        <a:ln>
          <a:noFill/>
        </a:ln>
      </dgm:spPr>
      <dgm:t>
        <a:bodyPr/>
        <a:lstStyle/>
        <a:p>
          <a:r>
            <a:rPr lang="en-US" sz="1000"/>
            <a:t>7. Legislative Framework</a:t>
          </a:r>
        </a:p>
      </dgm:t>
    </dgm:pt>
    <dgm:pt modelId="{E8D10CA0-5B3F-4979-A299-9E00CBD68031}" type="parTrans" cxnId="{0A094507-7F8F-4195-8A54-CFDBB18814DD}">
      <dgm:prSet/>
      <dgm:spPr/>
      <dgm:t>
        <a:bodyPr/>
        <a:lstStyle/>
        <a:p>
          <a:endParaRPr lang="en-US" sz="1000"/>
        </a:p>
      </dgm:t>
    </dgm:pt>
    <dgm:pt modelId="{399CD26B-E121-473F-8884-54A3882C07A8}" type="sibTrans" cxnId="{0A094507-7F8F-4195-8A54-CFDBB18814DD}">
      <dgm:prSet/>
      <dgm:spPr/>
      <dgm:t>
        <a:bodyPr/>
        <a:lstStyle/>
        <a:p>
          <a:endParaRPr lang="en-US" sz="1000"/>
        </a:p>
      </dgm:t>
    </dgm:pt>
    <dgm:pt modelId="{AFAEA4BB-9B29-4112-829F-4A4FD6F0D4A4}">
      <dgm:prSet phldrT="[Text]" custT="1"/>
      <dgm:spPr>
        <a:ln>
          <a:noFill/>
        </a:ln>
        <a:effectLst/>
      </dgm:spPr>
      <dgm:t>
        <a:bodyPr/>
        <a:lstStyle/>
        <a:p>
          <a:r>
            <a:rPr lang="en-US" sz="1000"/>
            <a:t>Plan Melbourne</a:t>
          </a:r>
        </a:p>
        <a:p>
          <a:r>
            <a:rPr lang="en-US" sz="1000"/>
            <a:t>Council strategic and policy framework</a:t>
          </a:r>
        </a:p>
        <a:p>
          <a:r>
            <a:rPr lang="en-US" sz="1000"/>
            <a:t>Melbourne Planning Scheme</a:t>
          </a:r>
        </a:p>
      </dgm:t>
    </dgm:pt>
    <dgm:pt modelId="{7DCED037-918E-4EC9-98B4-568CD6DC4D71}" type="parTrans" cxnId="{48C06469-4385-4812-9E64-73041AE078A4}">
      <dgm:prSet/>
      <dgm:spPr/>
      <dgm:t>
        <a:bodyPr/>
        <a:lstStyle/>
        <a:p>
          <a:endParaRPr lang="en-US" sz="1000"/>
        </a:p>
      </dgm:t>
    </dgm:pt>
    <dgm:pt modelId="{9A3402CE-402B-4134-B907-C67DB1F8F578}" type="sibTrans" cxnId="{48C06469-4385-4812-9E64-73041AE078A4}">
      <dgm:prSet/>
      <dgm:spPr/>
      <dgm:t>
        <a:bodyPr/>
        <a:lstStyle/>
        <a:p>
          <a:endParaRPr lang="en-US" sz="1000"/>
        </a:p>
      </dgm:t>
    </dgm:pt>
    <dgm:pt modelId="{EA17D0BD-655E-4313-BA9F-962B04FA6CBF}">
      <dgm:prSet phldrT="[Text]" custT="1"/>
      <dgm:spPr>
        <a:solidFill>
          <a:srgbClr val="00AECB"/>
        </a:solidFill>
        <a:ln>
          <a:noFill/>
        </a:ln>
      </dgm:spPr>
      <dgm:t>
        <a:bodyPr/>
        <a:lstStyle/>
        <a:p>
          <a:r>
            <a:rPr lang="en-US" sz="1000"/>
            <a:t>3. City of Melbourne Strategic and Community Context</a:t>
          </a:r>
        </a:p>
      </dgm:t>
    </dgm:pt>
    <dgm:pt modelId="{47A31F87-C568-434A-A9F4-74E63879B415}" type="parTrans" cxnId="{EDFFD338-2CD1-48F4-B14A-D23DA1B7C856}">
      <dgm:prSet/>
      <dgm:spPr/>
      <dgm:t>
        <a:bodyPr/>
        <a:lstStyle/>
        <a:p>
          <a:endParaRPr lang="en-US" sz="1000"/>
        </a:p>
      </dgm:t>
    </dgm:pt>
    <dgm:pt modelId="{0C547F75-6C1E-453B-9543-66A7A904E5BD}" type="sibTrans" cxnId="{EDFFD338-2CD1-48F4-B14A-D23DA1B7C856}">
      <dgm:prSet/>
      <dgm:spPr/>
      <dgm:t>
        <a:bodyPr/>
        <a:lstStyle/>
        <a:p>
          <a:endParaRPr lang="en-US" sz="1000"/>
        </a:p>
      </dgm:t>
    </dgm:pt>
    <dgm:pt modelId="{F1E5662A-D54B-486D-8F6D-C5F2458F16E3}">
      <dgm:prSet phldrT="[Text]" custT="1"/>
      <dgm:spPr>
        <a:ln>
          <a:noFill/>
        </a:ln>
      </dgm:spPr>
      <dgm:t>
        <a:bodyPr/>
        <a:lstStyle/>
        <a:p>
          <a:r>
            <a:rPr lang="en-US" sz="1000"/>
            <a:t>Strategic role of the City of Melbourne</a:t>
          </a:r>
        </a:p>
        <a:p>
          <a:r>
            <a:rPr lang="en-US" sz="1000"/>
            <a:t>Community (residents, users and socio-economic profile)</a:t>
          </a:r>
        </a:p>
        <a:p>
          <a:endParaRPr lang="en-US" sz="1000"/>
        </a:p>
      </dgm:t>
    </dgm:pt>
    <dgm:pt modelId="{F7B99FC6-700A-4B47-9BB1-003DE83255CB}" type="parTrans" cxnId="{39590C5F-C7C3-4C7B-B547-BA48D9FDD521}">
      <dgm:prSet/>
      <dgm:spPr/>
      <dgm:t>
        <a:bodyPr/>
        <a:lstStyle/>
        <a:p>
          <a:endParaRPr lang="en-US" sz="1000"/>
        </a:p>
      </dgm:t>
    </dgm:pt>
    <dgm:pt modelId="{1FA6C6E7-4F43-40C5-A1A2-0A1D3EBD08F5}" type="sibTrans" cxnId="{39590C5F-C7C3-4C7B-B547-BA48D9FDD521}">
      <dgm:prSet/>
      <dgm:spPr/>
      <dgm:t>
        <a:bodyPr/>
        <a:lstStyle/>
        <a:p>
          <a:endParaRPr lang="en-US" sz="1000"/>
        </a:p>
      </dgm:t>
    </dgm:pt>
    <dgm:pt modelId="{4552D043-CE53-4E23-9750-91DC555A1795}">
      <dgm:prSet phldrT="[Text]" custT="1"/>
      <dgm:spPr/>
      <dgm:t>
        <a:bodyPr/>
        <a:lstStyle/>
        <a:p>
          <a:r>
            <a:rPr lang="en-US" sz="1000"/>
            <a:t>Planning and local government</a:t>
          </a:r>
        </a:p>
        <a:p>
          <a:r>
            <a:rPr lang="en-US" sz="1000"/>
            <a:t>Gambling and planning considerations</a:t>
          </a:r>
        </a:p>
        <a:p>
          <a:r>
            <a:rPr lang="en-US" sz="1000"/>
            <a:t>Harm minimisation</a:t>
          </a:r>
        </a:p>
        <a:p>
          <a:r>
            <a:rPr lang="en-US" sz="1000"/>
            <a:t>Council's roles</a:t>
          </a:r>
        </a:p>
      </dgm:t>
    </dgm:pt>
    <dgm:pt modelId="{C2876E8E-3082-4942-8987-B9AB2E29F67C}" type="parTrans" cxnId="{16C42D3A-E466-40CA-98B0-919943FF2739}">
      <dgm:prSet/>
      <dgm:spPr/>
      <dgm:t>
        <a:bodyPr/>
        <a:lstStyle/>
        <a:p>
          <a:endParaRPr lang="en-US" sz="1000"/>
        </a:p>
      </dgm:t>
    </dgm:pt>
    <dgm:pt modelId="{902D9EE3-AEAC-426F-BCB5-7467B91C6429}" type="sibTrans" cxnId="{16C42D3A-E466-40CA-98B0-919943FF2739}">
      <dgm:prSet/>
      <dgm:spPr/>
      <dgm:t>
        <a:bodyPr/>
        <a:lstStyle/>
        <a:p>
          <a:endParaRPr lang="en-US" sz="1000"/>
        </a:p>
      </dgm:t>
    </dgm:pt>
    <dgm:pt modelId="{D6C37484-F424-4FAE-B642-589D63B11637}">
      <dgm:prSet phldrT="[Text]" custT="1"/>
      <dgm:spPr>
        <a:solidFill>
          <a:srgbClr val="00AECB"/>
        </a:solidFill>
        <a:ln>
          <a:noFill/>
        </a:ln>
      </dgm:spPr>
      <dgm:t>
        <a:bodyPr/>
        <a:lstStyle/>
        <a:p>
          <a:r>
            <a:rPr lang="en-US" sz="1000"/>
            <a:t>6. Relevant gaming and planning decisions</a:t>
          </a:r>
        </a:p>
      </dgm:t>
    </dgm:pt>
    <dgm:pt modelId="{C6EA5819-8DE7-404A-AC8D-A61D79E8DEA1}" type="parTrans" cxnId="{63C8CC7E-B23B-4835-B887-1BEEE39C4103}">
      <dgm:prSet/>
      <dgm:spPr/>
      <dgm:t>
        <a:bodyPr/>
        <a:lstStyle/>
        <a:p>
          <a:endParaRPr lang="en-US" sz="1000"/>
        </a:p>
      </dgm:t>
    </dgm:pt>
    <dgm:pt modelId="{FF4A50C3-EF26-4AE4-9047-E03A9302E8B6}" type="sibTrans" cxnId="{63C8CC7E-B23B-4835-B887-1BEEE39C4103}">
      <dgm:prSet/>
      <dgm:spPr/>
      <dgm:t>
        <a:bodyPr/>
        <a:lstStyle/>
        <a:p>
          <a:endParaRPr lang="en-US" sz="1000"/>
        </a:p>
      </dgm:t>
    </dgm:pt>
    <dgm:pt modelId="{D830BBD7-8ED7-4B70-85A0-2B64BE8BDF5C}">
      <dgm:prSet phldrT="[Text]" custT="1"/>
      <dgm:spPr>
        <a:ln>
          <a:noFill/>
        </a:ln>
      </dgm:spPr>
      <dgm:t>
        <a:bodyPr/>
        <a:lstStyle/>
        <a:p>
          <a:r>
            <a:rPr lang="en-US" sz="1000"/>
            <a:t>City of Melbourne</a:t>
          </a:r>
        </a:p>
        <a:p>
          <a:r>
            <a:rPr lang="en-US" sz="1000"/>
            <a:t>Key principles from gaming and planning decisions</a:t>
          </a:r>
        </a:p>
        <a:p>
          <a:endParaRPr lang="en-US" sz="1000"/>
        </a:p>
        <a:p>
          <a:endParaRPr lang="en-US" sz="1000"/>
        </a:p>
      </dgm:t>
    </dgm:pt>
    <dgm:pt modelId="{D7CA5A1D-F0B2-430B-B140-FE9FB3B02F1B}" type="parTrans" cxnId="{903CC673-996F-45DD-9B62-067D997B9DA2}">
      <dgm:prSet/>
      <dgm:spPr/>
      <dgm:t>
        <a:bodyPr/>
        <a:lstStyle/>
        <a:p>
          <a:endParaRPr lang="en-US" sz="1000"/>
        </a:p>
      </dgm:t>
    </dgm:pt>
    <dgm:pt modelId="{CF1EEC18-217D-4422-9265-AF18A79284B2}" type="sibTrans" cxnId="{903CC673-996F-45DD-9B62-067D997B9DA2}">
      <dgm:prSet/>
      <dgm:spPr/>
      <dgm:t>
        <a:bodyPr/>
        <a:lstStyle/>
        <a:p>
          <a:endParaRPr lang="en-US" sz="1000"/>
        </a:p>
      </dgm:t>
    </dgm:pt>
    <dgm:pt modelId="{46B43A2E-50FB-44CC-AE03-84414390EC22}">
      <dgm:prSet phldrT="[Text]" custT="1"/>
      <dgm:spPr>
        <a:solidFill>
          <a:srgbClr val="00AECB"/>
        </a:solidFill>
        <a:ln>
          <a:noFill/>
        </a:ln>
      </dgm:spPr>
      <dgm:t>
        <a:bodyPr/>
        <a:lstStyle/>
        <a:p>
          <a:r>
            <a:rPr lang="en-US" sz="1000"/>
            <a:t>8. Framework for assessment of socio-economic impacts of gambling-related harm</a:t>
          </a:r>
        </a:p>
      </dgm:t>
    </dgm:pt>
    <dgm:pt modelId="{3E755F42-8632-44BC-B3F7-512749EAD68F}" type="parTrans" cxnId="{01DDF0B6-DA93-4BD4-84F2-A1CBC73710CC}">
      <dgm:prSet/>
      <dgm:spPr/>
      <dgm:t>
        <a:bodyPr/>
        <a:lstStyle/>
        <a:p>
          <a:endParaRPr lang="en-US" sz="1000"/>
        </a:p>
      </dgm:t>
    </dgm:pt>
    <dgm:pt modelId="{AA7E63FA-B683-4E94-9243-EE2DAB04D34C}" type="sibTrans" cxnId="{01DDF0B6-DA93-4BD4-84F2-A1CBC73710CC}">
      <dgm:prSet/>
      <dgm:spPr/>
      <dgm:t>
        <a:bodyPr/>
        <a:lstStyle/>
        <a:p>
          <a:endParaRPr lang="en-US" sz="1000"/>
        </a:p>
      </dgm:t>
    </dgm:pt>
    <dgm:pt modelId="{83F70BCA-B9A1-4EEB-A177-6C371C5E7687}">
      <dgm:prSet phldrT="[Text]" custT="1"/>
      <dgm:spPr/>
      <dgm:t>
        <a:bodyPr/>
        <a:lstStyle/>
        <a:p>
          <a:r>
            <a:rPr lang="en-US" sz="1000"/>
            <a:t>Participation in gambling activities</a:t>
          </a:r>
        </a:p>
        <a:p>
          <a:r>
            <a:rPr lang="en-US" sz="1000"/>
            <a:t>Prevalence of problem gambling</a:t>
          </a:r>
        </a:p>
        <a:p>
          <a:r>
            <a:rPr lang="en-US" sz="1000"/>
            <a:t>Determinants of gambling-related harms</a:t>
          </a:r>
        </a:p>
        <a:p>
          <a:r>
            <a:rPr lang="en-US" sz="1000"/>
            <a:t>Impacts of gambling</a:t>
          </a:r>
        </a:p>
      </dgm:t>
    </dgm:pt>
    <dgm:pt modelId="{B7378795-0954-4380-8AE1-F9C6D7AC13A6}" type="parTrans" cxnId="{B53E18E7-99E7-4B00-AE5A-3A6420FE4844}">
      <dgm:prSet/>
      <dgm:spPr/>
      <dgm:t>
        <a:bodyPr/>
        <a:lstStyle/>
        <a:p>
          <a:endParaRPr lang="en-US" sz="1000"/>
        </a:p>
      </dgm:t>
    </dgm:pt>
    <dgm:pt modelId="{FEC6F86B-BA13-4F77-A899-FAF5CFA8B0C7}" type="sibTrans" cxnId="{B53E18E7-99E7-4B00-AE5A-3A6420FE4844}">
      <dgm:prSet/>
      <dgm:spPr/>
      <dgm:t>
        <a:bodyPr/>
        <a:lstStyle/>
        <a:p>
          <a:endParaRPr lang="en-US" sz="1000"/>
        </a:p>
      </dgm:t>
    </dgm:pt>
    <dgm:pt modelId="{C49A490A-B48E-405B-BF1E-797E76F3FCC2}">
      <dgm:prSet phldrT="[Text]" custT="1"/>
      <dgm:spPr>
        <a:solidFill>
          <a:srgbClr val="00AECB"/>
        </a:solidFill>
        <a:ln>
          <a:noFill/>
        </a:ln>
      </dgm:spPr>
      <dgm:t>
        <a:bodyPr/>
        <a:lstStyle/>
        <a:p>
          <a:r>
            <a:rPr lang="en-US" sz="1000"/>
            <a:t>9. Framework for the revised Local Planning Policy for Gaming</a:t>
          </a:r>
        </a:p>
      </dgm:t>
    </dgm:pt>
    <dgm:pt modelId="{8AFA82B8-A56A-497A-9A33-64E1D6D7EAE4}" type="parTrans" cxnId="{307E0BEC-6456-4964-9ED9-88DFA2960E12}">
      <dgm:prSet/>
      <dgm:spPr/>
      <dgm:t>
        <a:bodyPr/>
        <a:lstStyle/>
        <a:p>
          <a:endParaRPr lang="en-US" sz="1000"/>
        </a:p>
      </dgm:t>
    </dgm:pt>
    <dgm:pt modelId="{E77448CC-30D4-4F1D-87B1-98F6E2E8F882}" type="sibTrans" cxnId="{307E0BEC-6456-4964-9ED9-88DFA2960E12}">
      <dgm:prSet/>
      <dgm:spPr/>
      <dgm:t>
        <a:bodyPr/>
        <a:lstStyle/>
        <a:p>
          <a:endParaRPr lang="en-US" sz="1000"/>
        </a:p>
      </dgm:t>
    </dgm:pt>
    <dgm:pt modelId="{5E447496-F416-4A7B-B2F3-E0557453D5F7}">
      <dgm:prSet phldrT="[Text]" custT="1"/>
      <dgm:spPr/>
      <dgm:t>
        <a:bodyPr/>
        <a:lstStyle/>
        <a:p>
          <a:r>
            <a:rPr lang="en-US" sz="1000"/>
            <a:t>Review of Municipal Strategic Statements</a:t>
          </a:r>
        </a:p>
        <a:p>
          <a:r>
            <a:rPr lang="en-US" sz="1000"/>
            <a:t>Review of local planning policies for electronic gaming</a:t>
          </a:r>
        </a:p>
        <a:p>
          <a:r>
            <a:rPr lang="en-US" sz="1000"/>
            <a:t>Review of Clause 52.28</a:t>
          </a:r>
        </a:p>
        <a:p>
          <a:endParaRPr lang="en-US" sz="1000"/>
        </a:p>
      </dgm:t>
    </dgm:pt>
    <dgm:pt modelId="{B6B8EC57-1E1F-4EF0-866E-E805D478AF85}" type="parTrans" cxnId="{BE595A66-39F1-4A50-84A9-D6504CB13169}">
      <dgm:prSet/>
      <dgm:spPr/>
      <dgm:t>
        <a:bodyPr/>
        <a:lstStyle/>
        <a:p>
          <a:endParaRPr lang="en-US" sz="1000"/>
        </a:p>
      </dgm:t>
    </dgm:pt>
    <dgm:pt modelId="{89D5FBEB-7237-46AD-A15F-ED94C9FB3868}" type="sibTrans" cxnId="{BE595A66-39F1-4A50-84A9-D6504CB13169}">
      <dgm:prSet/>
      <dgm:spPr/>
      <dgm:t>
        <a:bodyPr/>
        <a:lstStyle/>
        <a:p>
          <a:endParaRPr lang="en-US" sz="1000"/>
        </a:p>
      </dgm:t>
    </dgm:pt>
    <dgm:pt modelId="{EB863C52-0642-47F8-AAD4-B6B9C8560BA9}" type="pres">
      <dgm:prSet presAssocID="{EF449121-52A2-49C6-909F-F37F48368BEF}" presName="Name0" presStyleCnt="0">
        <dgm:presLayoutVars>
          <dgm:chMax/>
          <dgm:chPref val="3"/>
          <dgm:dir/>
          <dgm:animOne val="branch"/>
          <dgm:animLvl val="lvl"/>
        </dgm:presLayoutVars>
      </dgm:prSet>
      <dgm:spPr/>
      <dgm:t>
        <a:bodyPr/>
        <a:lstStyle/>
        <a:p>
          <a:endParaRPr lang="en-AU"/>
        </a:p>
      </dgm:t>
    </dgm:pt>
    <dgm:pt modelId="{DAB486EE-9D51-4B0E-92A9-4F4E21DEA1CD}" type="pres">
      <dgm:prSet presAssocID="{02D8760A-06E4-44D1-A18F-12FB7578924F}" presName="composite" presStyleCnt="0"/>
      <dgm:spPr/>
      <dgm:t>
        <a:bodyPr/>
        <a:lstStyle/>
        <a:p>
          <a:endParaRPr lang="en-AU"/>
        </a:p>
      </dgm:t>
    </dgm:pt>
    <dgm:pt modelId="{3F2C6D69-0B91-4DEE-B254-26178B4CE2BC}" type="pres">
      <dgm:prSet presAssocID="{02D8760A-06E4-44D1-A18F-12FB7578924F}" presName="FirstChild" presStyleLbl="revTx" presStyleIdx="0" presStyleCnt="8">
        <dgm:presLayoutVars>
          <dgm:chMax val="0"/>
          <dgm:chPref val="0"/>
          <dgm:bulletEnabled val="1"/>
        </dgm:presLayoutVars>
      </dgm:prSet>
      <dgm:spPr/>
      <dgm:t>
        <a:bodyPr/>
        <a:lstStyle/>
        <a:p>
          <a:endParaRPr lang="en-AU"/>
        </a:p>
      </dgm:t>
    </dgm:pt>
    <dgm:pt modelId="{548ADFAC-D703-4560-85BA-D9DE17A0F973}" type="pres">
      <dgm:prSet presAssocID="{02D8760A-06E4-44D1-A18F-12FB7578924F}" presName="Parent" presStyleLbl="alignNode1" presStyleIdx="0" presStyleCnt="8" custLinFactNeighborY="-1667">
        <dgm:presLayoutVars>
          <dgm:chMax val="3"/>
          <dgm:chPref val="3"/>
          <dgm:bulletEnabled val="1"/>
        </dgm:presLayoutVars>
      </dgm:prSet>
      <dgm:spPr/>
      <dgm:t>
        <a:bodyPr/>
        <a:lstStyle/>
        <a:p>
          <a:endParaRPr lang="en-AU"/>
        </a:p>
      </dgm:t>
    </dgm:pt>
    <dgm:pt modelId="{8E444A65-D0E6-4129-9E4F-6AE03C63ECC5}" type="pres">
      <dgm:prSet presAssocID="{02D8760A-06E4-44D1-A18F-12FB7578924F}" presName="Accent" presStyleLbl="parChTrans1D1" presStyleIdx="0" presStyleCnt="8"/>
      <dgm:spPr/>
      <dgm:t>
        <a:bodyPr/>
        <a:lstStyle/>
        <a:p>
          <a:endParaRPr lang="en-AU"/>
        </a:p>
      </dgm:t>
    </dgm:pt>
    <dgm:pt modelId="{E14FE726-5190-46BA-9197-140B5D68FF8F}" type="pres">
      <dgm:prSet presAssocID="{C5F08D95-0702-42BE-BF09-3F934FC1B576}" presName="sibTrans" presStyleCnt="0"/>
      <dgm:spPr/>
      <dgm:t>
        <a:bodyPr/>
        <a:lstStyle/>
        <a:p>
          <a:endParaRPr lang="en-AU"/>
        </a:p>
      </dgm:t>
    </dgm:pt>
    <dgm:pt modelId="{41586EDD-94E6-4A46-A4C0-56D5846153DC}" type="pres">
      <dgm:prSet presAssocID="{EA17D0BD-655E-4313-BA9F-962B04FA6CBF}" presName="composite" presStyleCnt="0"/>
      <dgm:spPr/>
      <dgm:t>
        <a:bodyPr/>
        <a:lstStyle/>
        <a:p>
          <a:endParaRPr lang="en-AU"/>
        </a:p>
      </dgm:t>
    </dgm:pt>
    <dgm:pt modelId="{CC8B7AEF-9423-45AF-95CA-9BA3CBB6A917}" type="pres">
      <dgm:prSet presAssocID="{EA17D0BD-655E-4313-BA9F-962B04FA6CBF}" presName="FirstChild" presStyleLbl="revTx" presStyleIdx="1" presStyleCnt="8">
        <dgm:presLayoutVars>
          <dgm:chMax val="0"/>
          <dgm:chPref val="0"/>
          <dgm:bulletEnabled val="1"/>
        </dgm:presLayoutVars>
      </dgm:prSet>
      <dgm:spPr/>
      <dgm:t>
        <a:bodyPr/>
        <a:lstStyle/>
        <a:p>
          <a:endParaRPr lang="en-AU"/>
        </a:p>
      </dgm:t>
    </dgm:pt>
    <dgm:pt modelId="{C548CDAA-AFC4-4A1A-BF56-3B0C81E6F807}" type="pres">
      <dgm:prSet presAssocID="{EA17D0BD-655E-4313-BA9F-962B04FA6CBF}" presName="Parent" presStyleLbl="alignNode1" presStyleIdx="1" presStyleCnt="8">
        <dgm:presLayoutVars>
          <dgm:chMax val="3"/>
          <dgm:chPref val="3"/>
          <dgm:bulletEnabled val="1"/>
        </dgm:presLayoutVars>
      </dgm:prSet>
      <dgm:spPr/>
      <dgm:t>
        <a:bodyPr/>
        <a:lstStyle/>
        <a:p>
          <a:endParaRPr lang="en-AU"/>
        </a:p>
      </dgm:t>
    </dgm:pt>
    <dgm:pt modelId="{A1025BC1-80FA-439C-9D73-5E4FE0245D1B}" type="pres">
      <dgm:prSet presAssocID="{EA17D0BD-655E-4313-BA9F-962B04FA6CBF}" presName="Accent" presStyleLbl="parChTrans1D1" presStyleIdx="1" presStyleCnt="8"/>
      <dgm:spPr/>
      <dgm:t>
        <a:bodyPr/>
        <a:lstStyle/>
        <a:p>
          <a:endParaRPr lang="en-AU"/>
        </a:p>
      </dgm:t>
    </dgm:pt>
    <dgm:pt modelId="{CBBAFC43-CCDC-4DC0-A3CE-18F78EE99FA0}" type="pres">
      <dgm:prSet presAssocID="{0C547F75-6C1E-453B-9543-66A7A904E5BD}" presName="sibTrans" presStyleCnt="0"/>
      <dgm:spPr/>
      <dgm:t>
        <a:bodyPr/>
        <a:lstStyle/>
        <a:p>
          <a:endParaRPr lang="en-AU"/>
        </a:p>
      </dgm:t>
    </dgm:pt>
    <dgm:pt modelId="{AD18F51A-AF42-4CF4-B334-4189517000E0}" type="pres">
      <dgm:prSet presAssocID="{B3543510-FD4C-4341-B72A-F9206DDD9BD7}" presName="composite" presStyleCnt="0"/>
      <dgm:spPr/>
      <dgm:t>
        <a:bodyPr/>
        <a:lstStyle/>
        <a:p>
          <a:endParaRPr lang="en-AU"/>
        </a:p>
      </dgm:t>
    </dgm:pt>
    <dgm:pt modelId="{ABBC5B1D-9475-44B2-8869-9D4CE71B730C}" type="pres">
      <dgm:prSet presAssocID="{B3543510-FD4C-4341-B72A-F9206DDD9BD7}" presName="FirstChild" presStyleLbl="revTx" presStyleIdx="2" presStyleCnt="8">
        <dgm:presLayoutVars>
          <dgm:chMax val="0"/>
          <dgm:chPref val="0"/>
          <dgm:bulletEnabled val="1"/>
        </dgm:presLayoutVars>
      </dgm:prSet>
      <dgm:spPr/>
      <dgm:t>
        <a:bodyPr/>
        <a:lstStyle/>
        <a:p>
          <a:endParaRPr lang="en-AU"/>
        </a:p>
      </dgm:t>
    </dgm:pt>
    <dgm:pt modelId="{EBB5E2E9-3DE3-4E1A-9BA0-CFD9A77296CA}" type="pres">
      <dgm:prSet presAssocID="{B3543510-FD4C-4341-B72A-F9206DDD9BD7}" presName="Parent" presStyleLbl="alignNode1" presStyleIdx="2" presStyleCnt="8">
        <dgm:presLayoutVars>
          <dgm:chMax val="3"/>
          <dgm:chPref val="3"/>
          <dgm:bulletEnabled val="1"/>
        </dgm:presLayoutVars>
      </dgm:prSet>
      <dgm:spPr/>
      <dgm:t>
        <a:bodyPr/>
        <a:lstStyle/>
        <a:p>
          <a:endParaRPr lang="en-AU"/>
        </a:p>
      </dgm:t>
    </dgm:pt>
    <dgm:pt modelId="{577FEBD2-7606-4550-B260-93EAA6264123}" type="pres">
      <dgm:prSet presAssocID="{B3543510-FD4C-4341-B72A-F9206DDD9BD7}" presName="Accent" presStyleLbl="parChTrans1D1" presStyleIdx="2" presStyleCnt="8"/>
      <dgm:spPr/>
      <dgm:t>
        <a:bodyPr/>
        <a:lstStyle/>
        <a:p>
          <a:endParaRPr lang="en-AU"/>
        </a:p>
      </dgm:t>
    </dgm:pt>
    <dgm:pt modelId="{ACE9E72D-EFBC-4B72-A36A-ED51A8170CC7}" type="pres">
      <dgm:prSet presAssocID="{649EDDE0-0215-4632-9655-CAAC091CF748}" presName="sibTrans" presStyleCnt="0"/>
      <dgm:spPr/>
      <dgm:t>
        <a:bodyPr/>
        <a:lstStyle/>
        <a:p>
          <a:endParaRPr lang="en-AU"/>
        </a:p>
      </dgm:t>
    </dgm:pt>
    <dgm:pt modelId="{FB55E30B-B1A4-47AA-A6AB-15DE47332145}" type="pres">
      <dgm:prSet presAssocID="{EF9AE378-008D-4AD8-9FF6-D4FB254F0222}" presName="composite" presStyleCnt="0"/>
      <dgm:spPr/>
      <dgm:t>
        <a:bodyPr/>
        <a:lstStyle/>
        <a:p>
          <a:endParaRPr lang="en-AU"/>
        </a:p>
      </dgm:t>
    </dgm:pt>
    <dgm:pt modelId="{7250F07D-6DDD-44B8-97EB-038157257402}" type="pres">
      <dgm:prSet presAssocID="{EF9AE378-008D-4AD8-9FF6-D4FB254F0222}" presName="FirstChild" presStyleLbl="revTx" presStyleIdx="3" presStyleCnt="8">
        <dgm:presLayoutVars>
          <dgm:chMax val="0"/>
          <dgm:chPref val="0"/>
          <dgm:bulletEnabled val="1"/>
        </dgm:presLayoutVars>
      </dgm:prSet>
      <dgm:spPr/>
      <dgm:t>
        <a:bodyPr/>
        <a:lstStyle/>
        <a:p>
          <a:endParaRPr lang="en-AU"/>
        </a:p>
      </dgm:t>
    </dgm:pt>
    <dgm:pt modelId="{1CB7ECE2-61EC-40E1-9B42-EE276316E43A}" type="pres">
      <dgm:prSet presAssocID="{EF9AE378-008D-4AD8-9FF6-D4FB254F0222}" presName="Parent" presStyleLbl="alignNode1" presStyleIdx="3" presStyleCnt="8">
        <dgm:presLayoutVars>
          <dgm:chMax val="3"/>
          <dgm:chPref val="3"/>
          <dgm:bulletEnabled val="1"/>
        </dgm:presLayoutVars>
      </dgm:prSet>
      <dgm:spPr/>
      <dgm:t>
        <a:bodyPr/>
        <a:lstStyle/>
        <a:p>
          <a:endParaRPr lang="en-AU"/>
        </a:p>
      </dgm:t>
    </dgm:pt>
    <dgm:pt modelId="{BE425117-8F06-4C9D-B04D-9F16CE647D9D}" type="pres">
      <dgm:prSet presAssocID="{EF9AE378-008D-4AD8-9FF6-D4FB254F0222}" presName="Accent" presStyleLbl="parChTrans1D1" presStyleIdx="3" presStyleCnt="8"/>
      <dgm:spPr/>
      <dgm:t>
        <a:bodyPr/>
        <a:lstStyle/>
        <a:p>
          <a:endParaRPr lang="en-AU"/>
        </a:p>
      </dgm:t>
    </dgm:pt>
    <dgm:pt modelId="{AF10539C-8271-47A7-A370-A26E90785DF5}" type="pres">
      <dgm:prSet presAssocID="{188CD9F7-2295-4674-82F9-569CFD6C4E36}" presName="sibTrans" presStyleCnt="0"/>
      <dgm:spPr/>
      <dgm:t>
        <a:bodyPr/>
        <a:lstStyle/>
        <a:p>
          <a:endParaRPr lang="en-AU"/>
        </a:p>
      </dgm:t>
    </dgm:pt>
    <dgm:pt modelId="{E76E4481-5E48-46B3-B8DA-A44905AAA948}" type="pres">
      <dgm:prSet presAssocID="{D6C37484-F424-4FAE-B642-589D63B11637}" presName="composite" presStyleCnt="0"/>
      <dgm:spPr/>
      <dgm:t>
        <a:bodyPr/>
        <a:lstStyle/>
        <a:p>
          <a:endParaRPr lang="en-AU"/>
        </a:p>
      </dgm:t>
    </dgm:pt>
    <dgm:pt modelId="{E8823814-892D-4B25-900D-E1F2958F4B1B}" type="pres">
      <dgm:prSet presAssocID="{D6C37484-F424-4FAE-B642-589D63B11637}" presName="FirstChild" presStyleLbl="revTx" presStyleIdx="4" presStyleCnt="8">
        <dgm:presLayoutVars>
          <dgm:chMax val="0"/>
          <dgm:chPref val="0"/>
          <dgm:bulletEnabled val="1"/>
        </dgm:presLayoutVars>
      </dgm:prSet>
      <dgm:spPr/>
      <dgm:t>
        <a:bodyPr/>
        <a:lstStyle/>
        <a:p>
          <a:endParaRPr lang="en-AU"/>
        </a:p>
      </dgm:t>
    </dgm:pt>
    <dgm:pt modelId="{5C29DE3F-7C15-400C-A6A8-CF461F2B7ED9}" type="pres">
      <dgm:prSet presAssocID="{D6C37484-F424-4FAE-B642-589D63B11637}" presName="Parent" presStyleLbl="alignNode1" presStyleIdx="4" presStyleCnt="8">
        <dgm:presLayoutVars>
          <dgm:chMax val="3"/>
          <dgm:chPref val="3"/>
          <dgm:bulletEnabled val="1"/>
        </dgm:presLayoutVars>
      </dgm:prSet>
      <dgm:spPr/>
      <dgm:t>
        <a:bodyPr/>
        <a:lstStyle/>
        <a:p>
          <a:endParaRPr lang="en-AU"/>
        </a:p>
      </dgm:t>
    </dgm:pt>
    <dgm:pt modelId="{14B0195D-ECE2-402F-A59B-55A9532CDD2C}" type="pres">
      <dgm:prSet presAssocID="{D6C37484-F424-4FAE-B642-589D63B11637}" presName="Accent" presStyleLbl="parChTrans1D1" presStyleIdx="4" presStyleCnt="8"/>
      <dgm:spPr/>
      <dgm:t>
        <a:bodyPr/>
        <a:lstStyle/>
        <a:p>
          <a:endParaRPr lang="en-AU"/>
        </a:p>
      </dgm:t>
    </dgm:pt>
    <dgm:pt modelId="{8CDE1953-041E-4575-966A-F716E749A054}" type="pres">
      <dgm:prSet presAssocID="{FF4A50C3-EF26-4AE4-9047-E03A9302E8B6}" presName="sibTrans" presStyleCnt="0"/>
      <dgm:spPr/>
      <dgm:t>
        <a:bodyPr/>
        <a:lstStyle/>
        <a:p>
          <a:endParaRPr lang="en-AU"/>
        </a:p>
      </dgm:t>
    </dgm:pt>
    <dgm:pt modelId="{CE6E0C32-384B-4B6D-8D6B-EF261C431C6C}" type="pres">
      <dgm:prSet presAssocID="{61F3883E-9F9C-4D65-8AC9-DCFF079C95D1}" presName="composite" presStyleCnt="0"/>
      <dgm:spPr/>
      <dgm:t>
        <a:bodyPr/>
        <a:lstStyle/>
        <a:p>
          <a:endParaRPr lang="en-AU"/>
        </a:p>
      </dgm:t>
    </dgm:pt>
    <dgm:pt modelId="{317E773A-E0F1-4437-ACF9-C5CAEDA1784F}" type="pres">
      <dgm:prSet presAssocID="{61F3883E-9F9C-4D65-8AC9-DCFF079C95D1}" presName="FirstChild" presStyleLbl="revTx" presStyleIdx="5" presStyleCnt="8">
        <dgm:presLayoutVars>
          <dgm:chMax val="0"/>
          <dgm:chPref val="0"/>
          <dgm:bulletEnabled val="1"/>
        </dgm:presLayoutVars>
      </dgm:prSet>
      <dgm:spPr/>
      <dgm:t>
        <a:bodyPr/>
        <a:lstStyle/>
        <a:p>
          <a:endParaRPr lang="en-AU"/>
        </a:p>
      </dgm:t>
    </dgm:pt>
    <dgm:pt modelId="{0DAFD11C-3D21-4108-81BA-151DBD41B906}" type="pres">
      <dgm:prSet presAssocID="{61F3883E-9F9C-4D65-8AC9-DCFF079C95D1}" presName="Parent" presStyleLbl="alignNode1" presStyleIdx="5" presStyleCnt="8">
        <dgm:presLayoutVars>
          <dgm:chMax val="3"/>
          <dgm:chPref val="3"/>
          <dgm:bulletEnabled val="1"/>
        </dgm:presLayoutVars>
      </dgm:prSet>
      <dgm:spPr/>
      <dgm:t>
        <a:bodyPr/>
        <a:lstStyle/>
        <a:p>
          <a:endParaRPr lang="en-AU"/>
        </a:p>
      </dgm:t>
    </dgm:pt>
    <dgm:pt modelId="{74FFE2DA-7AB2-4787-A360-3EA605E13B04}" type="pres">
      <dgm:prSet presAssocID="{61F3883E-9F9C-4D65-8AC9-DCFF079C95D1}" presName="Accent" presStyleLbl="parChTrans1D1" presStyleIdx="5" presStyleCnt="8"/>
      <dgm:spPr/>
      <dgm:t>
        <a:bodyPr/>
        <a:lstStyle/>
        <a:p>
          <a:endParaRPr lang="en-AU"/>
        </a:p>
      </dgm:t>
    </dgm:pt>
    <dgm:pt modelId="{8BCA22D9-6387-41AF-92BB-B30921D92D4E}" type="pres">
      <dgm:prSet presAssocID="{399CD26B-E121-473F-8884-54A3882C07A8}" presName="sibTrans" presStyleCnt="0"/>
      <dgm:spPr/>
      <dgm:t>
        <a:bodyPr/>
        <a:lstStyle/>
        <a:p>
          <a:endParaRPr lang="en-AU"/>
        </a:p>
      </dgm:t>
    </dgm:pt>
    <dgm:pt modelId="{DC0E2189-8057-47B3-888B-FF17E70C14E2}" type="pres">
      <dgm:prSet presAssocID="{46B43A2E-50FB-44CC-AE03-84414390EC22}" presName="composite" presStyleCnt="0"/>
      <dgm:spPr/>
      <dgm:t>
        <a:bodyPr/>
        <a:lstStyle/>
        <a:p>
          <a:endParaRPr lang="en-AU"/>
        </a:p>
      </dgm:t>
    </dgm:pt>
    <dgm:pt modelId="{5099D93A-06B3-49C3-AA42-6D87040C4631}" type="pres">
      <dgm:prSet presAssocID="{46B43A2E-50FB-44CC-AE03-84414390EC22}" presName="FirstChild" presStyleLbl="revTx" presStyleIdx="6" presStyleCnt="8">
        <dgm:presLayoutVars>
          <dgm:chMax val="0"/>
          <dgm:chPref val="0"/>
          <dgm:bulletEnabled val="1"/>
        </dgm:presLayoutVars>
      </dgm:prSet>
      <dgm:spPr/>
      <dgm:t>
        <a:bodyPr/>
        <a:lstStyle/>
        <a:p>
          <a:endParaRPr lang="en-AU"/>
        </a:p>
      </dgm:t>
    </dgm:pt>
    <dgm:pt modelId="{6EBBFF33-9BD7-42C5-8D06-09DF138A9F53}" type="pres">
      <dgm:prSet presAssocID="{46B43A2E-50FB-44CC-AE03-84414390EC22}" presName="Parent" presStyleLbl="alignNode1" presStyleIdx="6" presStyleCnt="8">
        <dgm:presLayoutVars>
          <dgm:chMax val="3"/>
          <dgm:chPref val="3"/>
          <dgm:bulletEnabled val="1"/>
        </dgm:presLayoutVars>
      </dgm:prSet>
      <dgm:spPr/>
      <dgm:t>
        <a:bodyPr/>
        <a:lstStyle/>
        <a:p>
          <a:endParaRPr lang="en-AU"/>
        </a:p>
      </dgm:t>
    </dgm:pt>
    <dgm:pt modelId="{E4D03086-014A-44FC-A57D-2174C2BB734C}" type="pres">
      <dgm:prSet presAssocID="{46B43A2E-50FB-44CC-AE03-84414390EC22}" presName="Accent" presStyleLbl="parChTrans1D1" presStyleIdx="6" presStyleCnt="8"/>
      <dgm:spPr/>
      <dgm:t>
        <a:bodyPr/>
        <a:lstStyle/>
        <a:p>
          <a:endParaRPr lang="en-AU"/>
        </a:p>
      </dgm:t>
    </dgm:pt>
    <dgm:pt modelId="{370FD727-BEE1-4410-93FA-36407699F8B5}" type="pres">
      <dgm:prSet presAssocID="{AA7E63FA-B683-4E94-9243-EE2DAB04D34C}" presName="sibTrans" presStyleCnt="0"/>
      <dgm:spPr/>
      <dgm:t>
        <a:bodyPr/>
        <a:lstStyle/>
        <a:p>
          <a:endParaRPr lang="en-AU"/>
        </a:p>
      </dgm:t>
    </dgm:pt>
    <dgm:pt modelId="{730A5671-1D96-4B09-8BDB-1E73ECF198DD}" type="pres">
      <dgm:prSet presAssocID="{C49A490A-B48E-405B-BF1E-797E76F3FCC2}" presName="composite" presStyleCnt="0"/>
      <dgm:spPr/>
      <dgm:t>
        <a:bodyPr/>
        <a:lstStyle/>
        <a:p>
          <a:endParaRPr lang="en-AU"/>
        </a:p>
      </dgm:t>
    </dgm:pt>
    <dgm:pt modelId="{1CCF1A9E-A656-4495-A6FE-D1A9FB403E71}" type="pres">
      <dgm:prSet presAssocID="{C49A490A-B48E-405B-BF1E-797E76F3FCC2}" presName="FirstChild" presStyleLbl="revTx" presStyleIdx="7" presStyleCnt="8">
        <dgm:presLayoutVars>
          <dgm:chMax val="0"/>
          <dgm:chPref val="0"/>
          <dgm:bulletEnabled val="1"/>
        </dgm:presLayoutVars>
      </dgm:prSet>
      <dgm:spPr/>
      <dgm:t>
        <a:bodyPr/>
        <a:lstStyle/>
        <a:p>
          <a:endParaRPr lang="en-AU"/>
        </a:p>
      </dgm:t>
    </dgm:pt>
    <dgm:pt modelId="{2BFF0FA8-3F28-4FAC-B853-AB914B1F6A50}" type="pres">
      <dgm:prSet presAssocID="{C49A490A-B48E-405B-BF1E-797E76F3FCC2}" presName="Parent" presStyleLbl="alignNode1" presStyleIdx="7" presStyleCnt="8">
        <dgm:presLayoutVars>
          <dgm:chMax val="3"/>
          <dgm:chPref val="3"/>
          <dgm:bulletEnabled val="1"/>
        </dgm:presLayoutVars>
      </dgm:prSet>
      <dgm:spPr/>
      <dgm:t>
        <a:bodyPr/>
        <a:lstStyle/>
        <a:p>
          <a:endParaRPr lang="en-AU"/>
        </a:p>
      </dgm:t>
    </dgm:pt>
    <dgm:pt modelId="{DF34356E-4000-48B7-A6DA-D516BB701123}" type="pres">
      <dgm:prSet presAssocID="{C49A490A-B48E-405B-BF1E-797E76F3FCC2}" presName="Accent" presStyleLbl="parChTrans1D1" presStyleIdx="7" presStyleCnt="8"/>
      <dgm:spPr/>
      <dgm:t>
        <a:bodyPr/>
        <a:lstStyle/>
        <a:p>
          <a:endParaRPr lang="en-AU"/>
        </a:p>
      </dgm:t>
    </dgm:pt>
  </dgm:ptLst>
  <dgm:cxnLst>
    <dgm:cxn modelId="{1A0076D5-F353-45BB-B1C9-9F82A3A530E6}" type="presOf" srcId="{C49A490A-B48E-405B-BF1E-797E76F3FCC2}" destId="{2BFF0FA8-3F28-4FAC-B853-AB914B1F6A50}" srcOrd="0" destOrd="0" presId="urn:microsoft.com/office/officeart/2011/layout/TabList"/>
    <dgm:cxn modelId="{6EE0E5DC-85CE-4E18-83F6-6B62B93A947C}" srcId="{02D8760A-06E4-44D1-A18F-12FB7578924F}" destId="{21784849-3B95-4861-9536-606BA4EA1E1C}" srcOrd="0" destOrd="0" parTransId="{06D67D76-AD24-45A6-82C0-15175B3B8CF7}" sibTransId="{649DE6E0-EE74-47C3-B901-77F2A9155CF3}"/>
    <dgm:cxn modelId="{F93837CB-5A2D-44C2-A95D-9A7721A19FC8}" type="presOf" srcId="{EF449121-52A2-49C6-909F-F37F48368BEF}" destId="{EB863C52-0642-47F8-AAD4-B6B9C8560BA9}" srcOrd="0" destOrd="0" presId="urn:microsoft.com/office/officeart/2011/layout/TabList"/>
    <dgm:cxn modelId="{ADCACB0F-67CF-4426-85D7-E6EDCB117354}" srcId="{EF449121-52A2-49C6-909F-F37F48368BEF}" destId="{02D8760A-06E4-44D1-A18F-12FB7578924F}" srcOrd="0" destOrd="0" parTransId="{1C3A05AE-0E50-447D-88BF-2ADCC28106F3}" sibTransId="{C5F08D95-0702-42BE-BF09-3F934FC1B576}"/>
    <dgm:cxn modelId="{B53E18E7-99E7-4B00-AE5A-3A6420FE4844}" srcId="{46B43A2E-50FB-44CC-AE03-84414390EC22}" destId="{83F70BCA-B9A1-4EEB-A177-6C371C5E7687}" srcOrd="0" destOrd="0" parTransId="{B7378795-0954-4380-8AE1-F9C6D7AC13A6}" sibTransId="{FEC6F86B-BA13-4F77-A899-FAF5CFA8B0C7}"/>
    <dgm:cxn modelId="{48C06469-4385-4812-9E64-73041AE078A4}" srcId="{EF9AE378-008D-4AD8-9FF6-D4FB254F0222}" destId="{AFAEA4BB-9B29-4112-829F-4A4FD6F0D4A4}" srcOrd="0" destOrd="0" parTransId="{7DCED037-918E-4EC9-98B4-568CD6DC4D71}" sibTransId="{9A3402CE-402B-4134-B907-C67DB1F8F578}"/>
    <dgm:cxn modelId="{63C8CC7E-B23B-4835-B887-1BEEE39C4103}" srcId="{EF449121-52A2-49C6-909F-F37F48368BEF}" destId="{D6C37484-F424-4FAE-B642-589D63B11637}" srcOrd="4" destOrd="0" parTransId="{C6EA5819-8DE7-404A-AC8D-A61D79E8DEA1}" sibTransId="{FF4A50C3-EF26-4AE4-9047-E03A9302E8B6}"/>
    <dgm:cxn modelId="{97AFE0E1-5E87-43AF-98ED-FDC3BB8F50A7}" srcId="{EF449121-52A2-49C6-909F-F37F48368BEF}" destId="{EF9AE378-008D-4AD8-9FF6-D4FB254F0222}" srcOrd="3" destOrd="0" parTransId="{DED710FB-BE13-4FA7-BB36-9527482F0481}" sibTransId="{188CD9F7-2295-4674-82F9-569CFD6C4E36}"/>
    <dgm:cxn modelId="{903CC673-996F-45DD-9B62-067D997B9DA2}" srcId="{D6C37484-F424-4FAE-B642-589D63B11637}" destId="{D830BBD7-8ED7-4B70-85A0-2B64BE8BDF5C}" srcOrd="0" destOrd="0" parTransId="{D7CA5A1D-F0B2-430B-B140-FE9FB3B02F1B}" sibTransId="{CF1EEC18-217D-4422-9265-AF18A79284B2}"/>
    <dgm:cxn modelId="{39590C5F-C7C3-4C7B-B547-BA48D9FDD521}" srcId="{EA17D0BD-655E-4313-BA9F-962B04FA6CBF}" destId="{F1E5662A-D54B-486D-8F6D-C5F2458F16E3}" srcOrd="0" destOrd="0" parTransId="{F7B99FC6-700A-4B47-9BB1-003DE83255CB}" sibTransId="{1FA6C6E7-4F43-40C5-A1A2-0A1D3EBD08F5}"/>
    <dgm:cxn modelId="{961BF37F-9901-49EB-9A1F-7B1A105F8FE1}" type="presOf" srcId="{4552D043-CE53-4E23-9750-91DC555A1795}" destId="{317E773A-E0F1-4437-ACF9-C5CAEDA1784F}" srcOrd="0" destOrd="0" presId="urn:microsoft.com/office/officeart/2011/layout/TabList"/>
    <dgm:cxn modelId="{0F4FE783-A7AB-4CF7-9912-38FF5F55DDF5}" type="presOf" srcId="{AFAEA4BB-9B29-4112-829F-4A4FD6F0D4A4}" destId="{7250F07D-6DDD-44B8-97EB-038157257402}" srcOrd="0" destOrd="0" presId="urn:microsoft.com/office/officeart/2011/layout/TabList"/>
    <dgm:cxn modelId="{DBC99015-2CE6-4C09-893A-6DA7D65A984D}" type="presOf" srcId="{EF9AE378-008D-4AD8-9FF6-D4FB254F0222}" destId="{1CB7ECE2-61EC-40E1-9B42-EE276316E43A}" srcOrd="0" destOrd="0" presId="urn:microsoft.com/office/officeart/2011/layout/TabList"/>
    <dgm:cxn modelId="{307E0BEC-6456-4964-9ED9-88DFA2960E12}" srcId="{EF449121-52A2-49C6-909F-F37F48368BEF}" destId="{C49A490A-B48E-405B-BF1E-797E76F3FCC2}" srcOrd="7" destOrd="0" parTransId="{8AFA82B8-A56A-497A-9A33-64E1D6D7EAE4}" sibTransId="{E77448CC-30D4-4F1D-87B1-98F6E2E8F882}"/>
    <dgm:cxn modelId="{16C42D3A-E466-40CA-98B0-919943FF2739}" srcId="{61F3883E-9F9C-4D65-8AC9-DCFF079C95D1}" destId="{4552D043-CE53-4E23-9750-91DC555A1795}" srcOrd="0" destOrd="0" parTransId="{C2876E8E-3082-4942-8987-B9AB2E29F67C}" sibTransId="{902D9EE3-AEAC-426F-BCB5-7467B91C6429}"/>
    <dgm:cxn modelId="{18849C8C-B82B-4491-896B-E2216BE53B2E}" type="presOf" srcId="{02D8760A-06E4-44D1-A18F-12FB7578924F}" destId="{548ADFAC-D703-4560-85BA-D9DE17A0F973}" srcOrd="0" destOrd="0" presId="urn:microsoft.com/office/officeart/2011/layout/TabList"/>
    <dgm:cxn modelId="{40E79539-D4C7-4754-AC0E-6106D9AEA5F3}" srcId="{B3543510-FD4C-4341-B72A-F9206DDD9BD7}" destId="{2ABF0501-DE08-486F-80D5-4D10260FBD53}" srcOrd="0" destOrd="0" parTransId="{265E7A2D-6F8B-4788-8C8F-929E00660CA8}" sibTransId="{6B808C8A-7699-462C-BECD-7DA0FD071ED1}"/>
    <dgm:cxn modelId="{136DB413-4D66-4D27-8699-7A12979400AD}" type="presOf" srcId="{B3543510-FD4C-4341-B72A-F9206DDD9BD7}" destId="{EBB5E2E9-3DE3-4E1A-9BA0-CFD9A77296CA}" srcOrd="0" destOrd="0" presId="urn:microsoft.com/office/officeart/2011/layout/TabList"/>
    <dgm:cxn modelId="{0A094507-7F8F-4195-8A54-CFDBB18814DD}" srcId="{EF449121-52A2-49C6-909F-F37F48368BEF}" destId="{61F3883E-9F9C-4D65-8AC9-DCFF079C95D1}" srcOrd="5" destOrd="0" parTransId="{E8D10CA0-5B3F-4979-A299-9E00CBD68031}" sibTransId="{399CD26B-E121-473F-8884-54A3882C07A8}"/>
    <dgm:cxn modelId="{BE595A66-39F1-4A50-84A9-D6504CB13169}" srcId="{C49A490A-B48E-405B-BF1E-797E76F3FCC2}" destId="{5E447496-F416-4A7B-B2F3-E0557453D5F7}" srcOrd="0" destOrd="0" parTransId="{B6B8EC57-1E1F-4EF0-866E-E805D478AF85}" sibTransId="{89D5FBEB-7237-46AD-A15F-ED94C9FB3868}"/>
    <dgm:cxn modelId="{E4026F2B-3687-458C-A6A1-14719FB30767}" type="presOf" srcId="{5E447496-F416-4A7B-B2F3-E0557453D5F7}" destId="{1CCF1A9E-A656-4495-A6FE-D1A9FB403E71}" srcOrd="0" destOrd="0" presId="urn:microsoft.com/office/officeart/2011/layout/TabList"/>
    <dgm:cxn modelId="{01DDF0B6-DA93-4BD4-84F2-A1CBC73710CC}" srcId="{EF449121-52A2-49C6-909F-F37F48368BEF}" destId="{46B43A2E-50FB-44CC-AE03-84414390EC22}" srcOrd="6" destOrd="0" parTransId="{3E755F42-8632-44BC-B3F7-512749EAD68F}" sibTransId="{AA7E63FA-B683-4E94-9243-EE2DAB04D34C}"/>
    <dgm:cxn modelId="{5313C503-086F-49FF-A9A5-8681AFF07D3C}" srcId="{EF449121-52A2-49C6-909F-F37F48368BEF}" destId="{B3543510-FD4C-4341-B72A-F9206DDD9BD7}" srcOrd="2" destOrd="0" parTransId="{2F62FC7C-597C-4CAA-9A3E-73D6A38C3680}" sibTransId="{649EDDE0-0215-4632-9655-CAAC091CF748}"/>
    <dgm:cxn modelId="{2465A85F-9294-4FDD-A3EF-6FEEBE206CD0}" type="presOf" srcId="{83F70BCA-B9A1-4EEB-A177-6C371C5E7687}" destId="{5099D93A-06B3-49C3-AA42-6D87040C4631}" srcOrd="0" destOrd="0" presId="urn:microsoft.com/office/officeart/2011/layout/TabList"/>
    <dgm:cxn modelId="{EDFFD338-2CD1-48F4-B14A-D23DA1B7C856}" srcId="{EF449121-52A2-49C6-909F-F37F48368BEF}" destId="{EA17D0BD-655E-4313-BA9F-962B04FA6CBF}" srcOrd="1" destOrd="0" parTransId="{47A31F87-C568-434A-A9F4-74E63879B415}" sibTransId="{0C547F75-6C1E-453B-9543-66A7A904E5BD}"/>
    <dgm:cxn modelId="{224FC786-083B-4DDE-809A-D995D02B580A}" type="presOf" srcId="{D830BBD7-8ED7-4B70-85A0-2B64BE8BDF5C}" destId="{E8823814-892D-4B25-900D-E1F2958F4B1B}" srcOrd="0" destOrd="0" presId="urn:microsoft.com/office/officeart/2011/layout/TabList"/>
    <dgm:cxn modelId="{E3288A59-AD58-4588-84C6-9A8D5B1E469C}" type="presOf" srcId="{46B43A2E-50FB-44CC-AE03-84414390EC22}" destId="{6EBBFF33-9BD7-42C5-8D06-09DF138A9F53}" srcOrd="0" destOrd="0" presId="urn:microsoft.com/office/officeart/2011/layout/TabList"/>
    <dgm:cxn modelId="{E941807D-6CC7-4313-822C-895AC4D2E813}" type="presOf" srcId="{21784849-3B95-4861-9536-606BA4EA1E1C}" destId="{3F2C6D69-0B91-4DEE-B254-26178B4CE2BC}" srcOrd="0" destOrd="0" presId="urn:microsoft.com/office/officeart/2011/layout/TabList"/>
    <dgm:cxn modelId="{DCAA4DA6-FD0C-46A0-9248-9FE436F117F0}" type="presOf" srcId="{EA17D0BD-655E-4313-BA9F-962B04FA6CBF}" destId="{C548CDAA-AFC4-4A1A-BF56-3B0C81E6F807}" srcOrd="0" destOrd="0" presId="urn:microsoft.com/office/officeart/2011/layout/TabList"/>
    <dgm:cxn modelId="{0F986D71-8607-4258-938A-B7F7C082F75B}" type="presOf" srcId="{F1E5662A-D54B-486D-8F6D-C5F2458F16E3}" destId="{CC8B7AEF-9423-45AF-95CA-9BA3CBB6A917}" srcOrd="0" destOrd="0" presId="urn:microsoft.com/office/officeart/2011/layout/TabList"/>
    <dgm:cxn modelId="{6E32F0E8-4F9E-472A-8D8A-F38053EAF751}" type="presOf" srcId="{D6C37484-F424-4FAE-B642-589D63B11637}" destId="{5C29DE3F-7C15-400C-A6A8-CF461F2B7ED9}" srcOrd="0" destOrd="0" presId="urn:microsoft.com/office/officeart/2011/layout/TabList"/>
    <dgm:cxn modelId="{9114A053-6A25-469C-9101-DF61090E80D0}" type="presOf" srcId="{61F3883E-9F9C-4D65-8AC9-DCFF079C95D1}" destId="{0DAFD11C-3D21-4108-81BA-151DBD41B906}" srcOrd="0" destOrd="0" presId="urn:microsoft.com/office/officeart/2011/layout/TabList"/>
    <dgm:cxn modelId="{9AB7ABAA-5E6E-42E9-AD1B-7B3C967DF8C1}" type="presOf" srcId="{2ABF0501-DE08-486F-80D5-4D10260FBD53}" destId="{ABBC5B1D-9475-44B2-8869-9D4CE71B730C}" srcOrd="0" destOrd="0" presId="urn:microsoft.com/office/officeart/2011/layout/TabList"/>
    <dgm:cxn modelId="{D563D2E6-6089-45DA-A787-A06920666111}" type="presParOf" srcId="{EB863C52-0642-47F8-AAD4-B6B9C8560BA9}" destId="{DAB486EE-9D51-4B0E-92A9-4F4E21DEA1CD}" srcOrd="0" destOrd="0" presId="urn:microsoft.com/office/officeart/2011/layout/TabList"/>
    <dgm:cxn modelId="{6E9BED3C-48E3-4BBF-A524-67C9C7723509}" type="presParOf" srcId="{DAB486EE-9D51-4B0E-92A9-4F4E21DEA1CD}" destId="{3F2C6D69-0B91-4DEE-B254-26178B4CE2BC}" srcOrd="0" destOrd="0" presId="urn:microsoft.com/office/officeart/2011/layout/TabList"/>
    <dgm:cxn modelId="{55AEFBD2-A12D-4A3C-98B5-306B510AA3CE}" type="presParOf" srcId="{DAB486EE-9D51-4B0E-92A9-4F4E21DEA1CD}" destId="{548ADFAC-D703-4560-85BA-D9DE17A0F973}" srcOrd="1" destOrd="0" presId="urn:microsoft.com/office/officeart/2011/layout/TabList"/>
    <dgm:cxn modelId="{BC3738CF-FBE5-4F97-9853-861C46A55AF8}" type="presParOf" srcId="{DAB486EE-9D51-4B0E-92A9-4F4E21DEA1CD}" destId="{8E444A65-D0E6-4129-9E4F-6AE03C63ECC5}" srcOrd="2" destOrd="0" presId="urn:microsoft.com/office/officeart/2011/layout/TabList"/>
    <dgm:cxn modelId="{CCD28BA0-C707-4BD5-86F0-B27168266D70}" type="presParOf" srcId="{EB863C52-0642-47F8-AAD4-B6B9C8560BA9}" destId="{E14FE726-5190-46BA-9197-140B5D68FF8F}" srcOrd="1" destOrd="0" presId="urn:microsoft.com/office/officeart/2011/layout/TabList"/>
    <dgm:cxn modelId="{B3256A22-7FE9-4EB0-ACA0-489F14EA1EEA}" type="presParOf" srcId="{EB863C52-0642-47F8-AAD4-B6B9C8560BA9}" destId="{41586EDD-94E6-4A46-A4C0-56D5846153DC}" srcOrd="2" destOrd="0" presId="urn:microsoft.com/office/officeart/2011/layout/TabList"/>
    <dgm:cxn modelId="{AADBED3C-1BF2-493D-BD7F-AF2068A87A8C}" type="presParOf" srcId="{41586EDD-94E6-4A46-A4C0-56D5846153DC}" destId="{CC8B7AEF-9423-45AF-95CA-9BA3CBB6A917}" srcOrd="0" destOrd="0" presId="urn:microsoft.com/office/officeart/2011/layout/TabList"/>
    <dgm:cxn modelId="{FC5708AF-F1F6-40BE-9738-FC520313D8CF}" type="presParOf" srcId="{41586EDD-94E6-4A46-A4C0-56D5846153DC}" destId="{C548CDAA-AFC4-4A1A-BF56-3B0C81E6F807}" srcOrd="1" destOrd="0" presId="urn:microsoft.com/office/officeart/2011/layout/TabList"/>
    <dgm:cxn modelId="{EACA5B8C-E93B-4316-B4B6-3B5DC9D4F1AF}" type="presParOf" srcId="{41586EDD-94E6-4A46-A4C0-56D5846153DC}" destId="{A1025BC1-80FA-439C-9D73-5E4FE0245D1B}" srcOrd="2" destOrd="0" presId="urn:microsoft.com/office/officeart/2011/layout/TabList"/>
    <dgm:cxn modelId="{7F0CEAD8-9C65-4B19-B409-2A7B90531A11}" type="presParOf" srcId="{EB863C52-0642-47F8-AAD4-B6B9C8560BA9}" destId="{CBBAFC43-CCDC-4DC0-A3CE-18F78EE99FA0}" srcOrd="3" destOrd="0" presId="urn:microsoft.com/office/officeart/2011/layout/TabList"/>
    <dgm:cxn modelId="{84AA4352-CC50-4F0F-93F5-9BB5E080033D}" type="presParOf" srcId="{EB863C52-0642-47F8-AAD4-B6B9C8560BA9}" destId="{AD18F51A-AF42-4CF4-B334-4189517000E0}" srcOrd="4" destOrd="0" presId="urn:microsoft.com/office/officeart/2011/layout/TabList"/>
    <dgm:cxn modelId="{1D79AEF8-F692-4902-8F12-4880A13CE915}" type="presParOf" srcId="{AD18F51A-AF42-4CF4-B334-4189517000E0}" destId="{ABBC5B1D-9475-44B2-8869-9D4CE71B730C}" srcOrd="0" destOrd="0" presId="urn:microsoft.com/office/officeart/2011/layout/TabList"/>
    <dgm:cxn modelId="{94349BCF-01AD-4435-A43C-5B0667C77D73}" type="presParOf" srcId="{AD18F51A-AF42-4CF4-B334-4189517000E0}" destId="{EBB5E2E9-3DE3-4E1A-9BA0-CFD9A77296CA}" srcOrd="1" destOrd="0" presId="urn:microsoft.com/office/officeart/2011/layout/TabList"/>
    <dgm:cxn modelId="{DF4E4E70-6051-488E-BC4C-BA66387729EF}" type="presParOf" srcId="{AD18F51A-AF42-4CF4-B334-4189517000E0}" destId="{577FEBD2-7606-4550-B260-93EAA6264123}" srcOrd="2" destOrd="0" presId="urn:microsoft.com/office/officeart/2011/layout/TabList"/>
    <dgm:cxn modelId="{3226D412-7823-432F-A36A-A7B7520D4FDF}" type="presParOf" srcId="{EB863C52-0642-47F8-AAD4-B6B9C8560BA9}" destId="{ACE9E72D-EFBC-4B72-A36A-ED51A8170CC7}" srcOrd="5" destOrd="0" presId="urn:microsoft.com/office/officeart/2011/layout/TabList"/>
    <dgm:cxn modelId="{14E48603-5AE4-45AD-AF85-E8CD02CB4B25}" type="presParOf" srcId="{EB863C52-0642-47F8-AAD4-B6B9C8560BA9}" destId="{FB55E30B-B1A4-47AA-A6AB-15DE47332145}" srcOrd="6" destOrd="0" presId="urn:microsoft.com/office/officeart/2011/layout/TabList"/>
    <dgm:cxn modelId="{A5D9661E-866A-4344-94BA-9C01405C59D7}" type="presParOf" srcId="{FB55E30B-B1A4-47AA-A6AB-15DE47332145}" destId="{7250F07D-6DDD-44B8-97EB-038157257402}" srcOrd="0" destOrd="0" presId="urn:microsoft.com/office/officeart/2011/layout/TabList"/>
    <dgm:cxn modelId="{8D5CE7E6-F4A4-4844-A0C0-8FFE8AB7D633}" type="presParOf" srcId="{FB55E30B-B1A4-47AA-A6AB-15DE47332145}" destId="{1CB7ECE2-61EC-40E1-9B42-EE276316E43A}" srcOrd="1" destOrd="0" presId="urn:microsoft.com/office/officeart/2011/layout/TabList"/>
    <dgm:cxn modelId="{E6F7318E-570A-4B39-953B-B5BDD521BDED}" type="presParOf" srcId="{FB55E30B-B1A4-47AA-A6AB-15DE47332145}" destId="{BE425117-8F06-4C9D-B04D-9F16CE647D9D}" srcOrd="2" destOrd="0" presId="urn:microsoft.com/office/officeart/2011/layout/TabList"/>
    <dgm:cxn modelId="{9BE0B9D5-F200-4493-8BEB-6485CE452FFC}" type="presParOf" srcId="{EB863C52-0642-47F8-AAD4-B6B9C8560BA9}" destId="{AF10539C-8271-47A7-A370-A26E90785DF5}" srcOrd="7" destOrd="0" presId="urn:microsoft.com/office/officeart/2011/layout/TabList"/>
    <dgm:cxn modelId="{4D7A7AFD-85E5-4F65-82E5-B0E77C711866}" type="presParOf" srcId="{EB863C52-0642-47F8-AAD4-B6B9C8560BA9}" destId="{E76E4481-5E48-46B3-B8DA-A44905AAA948}" srcOrd="8" destOrd="0" presId="urn:microsoft.com/office/officeart/2011/layout/TabList"/>
    <dgm:cxn modelId="{A26D1D06-5EC5-49D1-9635-2DF007B80817}" type="presParOf" srcId="{E76E4481-5E48-46B3-B8DA-A44905AAA948}" destId="{E8823814-892D-4B25-900D-E1F2958F4B1B}" srcOrd="0" destOrd="0" presId="urn:microsoft.com/office/officeart/2011/layout/TabList"/>
    <dgm:cxn modelId="{B75C8CD0-B3EE-4A30-9553-9FC49C40B517}" type="presParOf" srcId="{E76E4481-5E48-46B3-B8DA-A44905AAA948}" destId="{5C29DE3F-7C15-400C-A6A8-CF461F2B7ED9}" srcOrd="1" destOrd="0" presId="urn:microsoft.com/office/officeart/2011/layout/TabList"/>
    <dgm:cxn modelId="{01D988B6-45A5-4B8B-8AC2-2BBD341177B6}" type="presParOf" srcId="{E76E4481-5E48-46B3-B8DA-A44905AAA948}" destId="{14B0195D-ECE2-402F-A59B-55A9532CDD2C}" srcOrd="2" destOrd="0" presId="urn:microsoft.com/office/officeart/2011/layout/TabList"/>
    <dgm:cxn modelId="{975D22EC-6CFA-4E5D-BD8A-B04D2E5C2BA3}" type="presParOf" srcId="{EB863C52-0642-47F8-AAD4-B6B9C8560BA9}" destId="{8CDE1953-041E-4575-966A-F716E749A054}" srcOrd="9" destOrd="0" presId="urn:microsoft.com/office/officeart/2011/layout/TabList"/>
    <dgm:cxn modelId="{83F4CB1E-367C-4783-BAB5-A1F45AFB6892}" type="presParOf" srcId="{EB863C52-0642-47F8-AAD4-B6B9C8560BA9}" destId="{CE6E0C32-384B-4B6D-8D6B-EF261C431C6C}" srcOrd="10" destOrd="0" presId="urn:microsoft.com/office/officeart/2011/layout/TabList"/>
    <dgm:cxn modelId="{EFEB4768-DC7D-4729-9D7F-FBFFF26C6825}" type="presParOf" srcId="{CE6E0C32-384B-4B6D-8D6B-EF261C431C6C}" destId="{317E773A-E0F1-4437-ACF9-C5CAEDA1784F}" srcOrd="0" destOrd="0" presId="urn:microsoft.com/office/officeart/2011/layout/TabList"/>
    <dgm:cxn modelId="{DCABC8D4-A778-42AB-B452-5A2C625C7D73}" type="presParOf" srcId="{CE6E0C32-384B-4B6D-8D6B-EF261C431C6C}" destId="{0DAFD11C-3D21-4108-81BA-151DBD41B906}" srcOrd="1" destOrd="0" presId="urn:microsoft.com/office/officeart/2011/layout/TabList"/>
    <dgm:cxn modelId="{CF5EA74B-9F0A-439C-B310-4EA46E8037E4}" type="presParOf" srcId="{CE6E0C32-384B-4B6D-8D6B-EF261C431C6C}" destId="{74FFE2DA-7AB2-4787-A360-3EA605E13B04}" srcOrd="2" destOrd="0" presId="urn:microsoft.com/office/officeart/2011/layout/TabList"/>
    <dgm:cxn modelId="{F453E20A-2E20-4D00-B638-880FAA0BC6DE}" type="presParOf" srcId="{EB863C52-0642-47F8-AAD4-B6B9C8560BA9}" destId="{8BCA22D9-6387-41AF-92BB-B30921D92D4E}" srcOrd="11" destOrd="0" presId="urn:microsoft.com/office/officeart/2011/layout/TabList"/>
    <dgm:cxn modelId="{29466F39-D515-40BC-BE6F-82351264E2C8}" type="presParOf" srcId="{EB863C52-0642-47F8-AAD4-B6B9C8560BA9}" destId="{DC0E2189-8057-47B3-888B-FF17E70C14E2}" srcOrd="12" destOrd="0" presId="urn:microsoft.com/office/officeart/2011/layout/TabList"/>
    <dgm:cxn modelId="{26C4C1DA-13E6-4B78-9A4B-D260A74B2282}" type="presParOf" srcId="{DC0E2189-8057-47B3-888B-FF17E70C14E2}" destId="{5099D93A-06B3-49C3-AA42-6D87040C4631}" srcOrd="0" destOrd="0" presId="urn:microsoft.com/office/officeart/2011/layout/TabList"/>
    <dgm:cxn modelId="{8959B1FB-85D5-4BD6-8CC3-F4C2626578BC}" type="presParOf" srcId="{DC0E2189-8057-47B3-888B-FF17E70C14E2}" destId="{6EBBFF33-9BD7-42C5-8D06-09DF138A9F53}" srcOrd="1" destOrd="0" presId="urn:microsoft.com/office/officeart/2011/layout/TabList"/>
    <dgm:cxn modelId="{8C55FB55-001D-48E2-AE0E-5D51CA29BB17}" type="presParOf" srcId="{DC0E2189-8057-47B3-888B-FF17E70C14E2}" destId="{E4D03086-014A-44FC-A57D-2174C2BB734C}" srcOrd="2" destOrd="0" presId="urn:microsoft.com/office/officeart/2011/layout/TabList"/>
    <dgm:cxn modelId="{A4190893-0FBF-493B-B3EE-CA63F1E431B6}" type="presParOf" srcId="{EB863C52-0642-47F8-AAD4-B6B9C8560BA9}" destId="{370FD727-BEE1-4410-93FA-36407699F8B5}" srcOrd="13" destOrd="0" presId="urn:microsoft.com/office/officeart/2011/layout/TabList"/>
    <dgm:cxn modelId="{6BDE2C97-DC25-41D7-82E2-346966635F53}" type="presParOf" srcId="{EB863C52-0642-47F8-AAD4-B6B9C8560BA9}" destId="{730A5671-1D96-4B09-8BDB-1E73ECF198DD}" srcOrd="14" destOrd="0" presId="urn:microsoft.com/office/officeart/2011/layout/TabList"/>
    <dgm:cxn modelId="{F1B9BFE9-A72C-41CC-A80B-8D2107ED04B0}" type="presParOf" srcId="{730A5671-1D96-4B09-8BDB-1E73ECF198DD}" destId="{1CCF1A9E-A656-4495-A6FE-D1A9FB403E71}" srcOrd="0" destOrd="0" presId="urn:microsoft.com/office/officeart/2011/layout/TabList"/>
    <dgm:cxn modelId="{F18DB549-203F-4DA6-A558-5E8957CA1F0C}" type="presParOf" srcId="{730A5671-1D96-4B09-8BDB-1E73ECF198DD}" destId="{2BFF0FA8-3F28-4FAC-B853-AB914B1F6A50}" srcOrd="1" destOrd="0" presId="urn:microsoft.com/office/officeart/2011/layout/TabList"/>
    <dgm:cxn modelId="{2CB06FDC-96E0-4598-B0DF-852D81E7D638}" type="presParOf" srcId="{730A5671-1D96-4B09-8BDB-1E73ECF198DD}" destId="{DF34356E-4000-48B7-A6DA-D516BB701123}" srcOrd="2" destOrd="0" presId="urn:microsoft.com/office/officeart/2011/layout/TabList"/>
  </dgm:cxnLst>
  <dgm:bg/>
  <dgm:whole/>
  <dgm:extLst>
    <a:ext uri="http://schemas.microsoft.com/office/drawing/2008/diagram">
      <dsp:dataModelExt xmlns:dsp="http://schemas.microsoft.com/office/drawing/2008/diagram" relId="rId2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34356E-4000-48B7-A6DA-D516BB701123}">
      <dsp:nvSpPr>
        <dsp:cNvPr id="0" name=""/>
        <dsp:cNvSpPr/>
      </dsp:nvSpPr>
      <dsp:spPr>
        <a:xfrm>
          <a:off x="0" y="7618605"/>
          <a:ext cx="5475605"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D03086-014A-44FC-A57D-2174C2BB734C}">
      <dsp:nvSpPr>
        <dsp:cNvPr id="0" name=""/>
        <dsp:cNvSpPr/>
      </dsp:nvSpPr>
      <dsp:spPr>
        <a:xfrm>
          <a:off x="0" y="6661151"/>
          <a:ext cx="5475605"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FFE2DA-7AB2-4787-A360-3EA605E13B04}">
      <dsp:nvSpPr>
        <dsp:cNvPr id="0" name=""/>
        <dsp:cNvSpPr/>
      </dsp:nvSpPr>
      <dsp:spPr>
        <a:xfrm>
          <a:off x="0" y="5703698"/>
          <a:ext cx="5475605"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B0195D-ECE2-402F-A59B-55A9532CDD2C}">
      <dsp:nvSpPr>
        <dsp:cNvPr id="0" name=""/>
        <dsp:cNvSpPr/>
      </dsp:nvSpPr>
      <dsp:spPr>
        <a:xfrm>
          <a:off x="0" y="4746244"/>
          <a:ext cx="5475605"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425117-8F06-4C9D-B04D-9F16CE647D9D}">
      <dsp:nvSpPr>
        <dsp:cNvPr id="0" name=""/>
        <dsp:cNvSpPr/>
      </dsp:nvSpPr>
      <dsp:spPr>
        <a:xfrm>
          <a:off x="0" y="3788790"/>
          <a:ext cx="5475605"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77FEBD2-7606-4550-B260-93EAA6264123}">
      <dsp:nvSpPr>
        <dsp:cNvPr id="0" name=""/>
        <dsp:cNvSpPr/>
      </dsp:nvSpPr>
      <dsp:spPr>
        <a:xfrm>
          <a:off x="0" y="2831336"/>
          <a:ext cx="5475605"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025BC1-80FA-439C-9D73-5E4FE0245D1B}">
      <dsp:nvSpPr>
        <dsp:cNvPr id="0" name=""/>
        <dsp:cNvSpPr/>
      </dsp:nvSpPr>
      <dsp:spPr>
        <a:xfrm>
          <a:off x="0" y="1873882"/>
          <a:ext cx="5475605"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444A65-D0E6-4129-9E4F-6AE03C63ECC5}">
      <dsp:nvSpPr>
        <dsp:cNvPr id="0" name=""/>
        <dsp:cNvSpPr/>
      </dsp:nvSpPr>
      <dsp:spPr>
        <a:xfrm>
          <a:off x="0" y="916429"/>
          <a:ext cx="5475605" cy="0"/>
        </a:xfrm>
        <a:prstGeom prst="line">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2C6D69-0B91-4DEE-B254-26178B4CE2BC}">
      <dsp:nvSpPr>
        <dsp:cNvPr id="0" name=""/>
        <dsp:cNvSpPr/>
      </dsp:nvSpPr>
      <dsp:spPr>
        <a:xfrm>
          <a:off x="1423657" y="4568"/>
          <a:ext cx="4051947" cy="911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lvl="0" algn="l" defTabSz="444500">
            <a:lnSpc>
              <a:spcPct val="90000"/>
            </a:lnSpc>
            <a:spcBef>
              <a:spcPct val="0"/>
            </a:spcBef>
            <a:spcAft>
              <a:spcPct val="35000"/>
            </a:spcAft>
          </a:pPr>
          <a:r>
            <a:rPr lang="en-US" sz="1000" kern="1200"/>
            <a:t>Key agencies</a:t>
          </a:r>
        </a:p>
        <a:p>
          <a:pPr lvl="0" algn="l" defTabSz="444500">
            <a:lnSpc>
              <a:spcPct val="90000"/>
            </a:lnSpc>
            <a:spcBef>
              <a:spcPct val="0"/>
            </a:spcBef>
            <a:spcAft>
              <a:spcPct val="35000"/>
            </a:spcAft>
          </a:pPr>
          <a:r>
            <a:rPr lang="en-US" sz="1000" kern="1200"/>
            <a:t>Venue operators</a:t>
          </a:r>
        </a:p>
        <a:p>
          <a:pPr lvl="0" algn="l" defTabSz="444500">
            <a:lnSpc>
              <a:spcPct val="90000"/>
            </a:lnSpc>
            <a:spcBef>
              <a:spcPct val="0"/>
            </a:spcBef>
            <a:spcAft>
              <a:spcPct val="35000"/>
            </a:spcAft>
          </a:pPr>
          <a:endParaRPr lang="en-US" sz="1000" kern="1200"/>
        </a:p>
      </dsp:txBody>
      <dsp:txXfrm>
        <a:off x="1423657" y="4568"/>
        <a:ext cx="4051947" cy="911860"/>
      </dsp:txXfrm>
    </dsp:sp>
    <dsp:sp modelId="{548ADFAC-D703-4560-85BA-D9DE17A0F973}">
      <dsp:nvSpPr>
        <dsp:cNvPr id="0" name=""/>
        <dsp:cNvSpPr/>
      </dsp:nvSpPr>
      <dsp:spPr>
        <a:xfrm>
          <a:off x="0" y="0"/>
          <a:ext cx="1423657" cy="911860"/>
        </a:xfrm>
        <a:prstGeom prst="round2SameRect">
          <a:avLst>
            <a:gd name="adj1" fmla="val 16670"/>
            <a:gd name="adj2" fmla="val 0"/>
          </a:avLst>
        </a:prstGeom>
        <a:solidFill>
          <a:srgbClr val="00AECB"/>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2. Stakeholder Engagement outcomes</a:t>
          </a:r>
        </a:p>
      </dsp:txBody>
      <dsp:txXfrm>
        <a:off x="44521" y="44521"/>
        <a:ext cx="1334615" cy="867339"/>
      </dsp:txXfrm>
    </dsp:sp>
    <dsp:sp modelId="{CC8B7AEF-9423-45AF-95CA-9BA3CBB6A917}">
      <dsp:nvSpPr>
        <dsp:cNvPr id="0" name=""/>
        <dsp:cNvSpPr/>
      </dsp:nvSpPr>
      <dsp:spPr>
        <a:xfrm>
          <a:off x="1423657" y="962022"/>
          <a:ext cx="4051947" cy="911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lvl="0" algn="l" defTabSz="444500">
            <a:lnSpc>
              <a:spcPct val="90000"/>
            </a:lnSpc>
            <a:spcBef>
              <a:spcPct val="0"/>
            </a:spcBef>
            <a:spcAft>
              <a:spcPct val="35000"/>
            </a:spcAft>
          </a:pPr>
          <a:r>
            <a:rPr lang="en-US" sz="1000" kern="1200"/>
            <a:t>Strategic role of the City of Melbourne</a:t>
          </a:r>
        </a:p>
        <a:p>
          <a:pPr lvl="0" algn="l" defTabSz="444500">
            <a:lnSpc>
              <a:spcPct val="90000"/>
            </a:lnSpc>
            <a:spcBef>
              <a:spcPct val="0"/>
            </a:spcBef>
            <a:spcAft>
              <a:spcPct val="35000"/>
            </a:spcAft>
          </a:pPr>
          <a:r>
            <a:rPr lang="en-US" sz="1000" kern="1200"/>
            <a:t>Community (residents, users and socio-economic profile)</a:t>
          </a:r>
        </a:p>
        <a:p>
          <a:pPr lvl="0" algn="l" defTabSz="444500">
            <a:lnSpc>
              <a:spcPct val="90000"/>
            </a:lnSpc>
            <a:spcBef>
              <a:spcPct val="0"/>
            </a:spcBef>
            <a:spcAft>
              <a:spcPct val="35000"/>
            </a:spcAft>
          </a:pPr>
          <a:endParaRPr lang="en-US" sz="1000" kern="1200"/>
        </a:p>
      </dsp:txBody>
      <dsp:txXfrm>
        <a:off x="1423657" y="962022"/>
        <a:ext cx="4051947" cy="911860"/>
      </dsp:txXfrm>
    </dsp:sp>
    <dsp:sp modelId="{C548CDAA-AFC4-4A1A-BF56-3B0C81E6F807}">
      <dsp:nvSpPr>
        <dsp:cNvPr id="0" name=""/>
        <dsp:cNvSpPr/>
      </dsp:nvSpPr>
      <dsp:spPr>
        <a:xfrm>
          <a:off x="0" y="962022"/>
          <a:ext cx="1423657" cy="911860"/>
        </a:xfrm>
        <a:prstGeom prst="round2SameRect">
          <a:avLst>
            <a:gd name="adj1" fmla="val 16670"/>
            <a:gd name="adj2" fmla="val 0"/>
          </a:avLst>
        </a:prstGeom>
        <a:solidFill>
          <a:srgbClr val="00AECB"/>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3. City of Melbourne Strategic and Community Context</a:t>
          </a:r>
        </a:p>
      </dsp:txBody>
      <dsp:txXfrm>
        <a:off x="44521" y="1006543"/>
        <a:ext cx="1334615" cy="867339"/>
      </dsp:txXfrm>
    </dsp:sp>
    <dsp:sp modelId="{ABBC5B1D-9475-44B2-8869-9D4CE71B730C}">
      <dsp:nvSpPr>
        <dsp:cNvPr id="0" name=""/>
        <dsp:cNvSpPr/>
      </dsp:nvSpPr>
      <dsp:spPr>
        <a:xfrm>
          <a:off x="1423657" y="1919475"/>
          <a:ext cx="4051947" cy="911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lvl="0" algn="l" defTabSz="444500">
            <a:lnSpc>
              <a:spcPct val="90000"/>
            </a:lnSpc>
            <a:spcBef>
              <a:spcPct val="0"/>
            </a:spcBef>
            <a:spcAft>
              <a:spcPct val="35000"/>
            </a:spcAft>
          </a:pPr>
          <a:r>
            <a:rPr lang="en-US" sz="1000" kern="1200"/>
            <a:t>Hotels and clubs with gaming machines</a:t>
          </a:r>
        </a:p>
        <a:p>
          <a:pPr lvl="0" algn="l" defTabSz="444500">
            <a:lnSpc>
              <a:spcPct val="90000"/>
            </a:lnSpc>
            <a:spcBef>
              <a:spcPct val="0"/>
            </a:spcBef>
            <a:spcAft>
              <a:spcPct val="35000"/>
            </a:spcAft>
          </a:pPr>
          <a:r>
            <a:rPr lang="en-US" sz="1000" kern="1200"/>
            <a:t>Crown Casino</a:t>
          </a:r>
        </a:p>
        <a:p>
          <a:pPr lvl="0" algn="l" defTabSz="444500">
            <a:lnSpc>
              <a:spcPct val="90000"/>
            </a:lnSpc>
            <a:spcBef>
              <a:spcPct val="0"/>
            </a:spcBef>
            <a:spcAft>
              <a:spcPct val="35000"/>
            </a:spcAft>
          </a:pPr>
          <a:r>
            <a:rPr lang="en-US" sz="1000" kern="1200"/>
            <a:t>Keno and wagering venues</a:t>
          </a:r>
        </a:p>
        <a:p>
          <a:pPr lvl="0" algn="l" defTabSz="444500">
            <a:lnSpc>
              <a:spcPct val="90000"/>
            </a:lnSpc>
            <a:spcBef>
              <a:spcPct val="0"/>
            </a:spcBef>
            <a:spcAft>
              <a:spcPct val="35000"/>
            </a:spcAft>
          </a:pPr>
          <a:endParaRPr lang="en-US" sz="1000" kern="1200">
            <a:ln>
              <a:noFill/>
            </a:ln>
          </a:endParaRPr>
        </a:p>
      </dsp:txBody>
      <dsp:txXfrm>
        <a:off x="1423657" y="1919475"/>
        <a:ext cx="4051947" cy="911860"/>
      </dsp:txXfrm>
    </dsp:sp>
    <dsp:sp modelId="{EBB5E2E9-3DE3-4E1A-9BA0-CFD9A77296CA}">
      <dsp:nvSpPr>
        <dsp:cNvPr id="0" name=""/>
        <dsp:cNvSpPr/>
      </dsp:nvSpPr>
      <dsp:spPr>
        <a:xfrm>
          <a:off x="0" y="1919475"/>
          <a:ext cx="1423657" cy="911860"/>
        </a:xfrm>
        <a:prstGeom prst="round2SameRect">
          <a:avLst>
            <a:gd name="adj1" fmla="val 16670"/>
            <a:gd name="adj2" fmla="val 0"/>
          </a:avLst>
        </a:prstGeom>
        <a:solidFill>
          <a:srgbClr val="00AECB"/>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4. City of Melbourne Gambling and Gaming Context</a:t>
          </a:r>
        </a:p>
      </dsp:txBody>
      <dsp:txXfrm>
        <a:off x="44521" y="1963996"/>
        <a:ext cx="1334615" cy="867339"/>
      </dsp:txXfrm>
    </dsp:sp>
    <dsp:sp modelId="{7250F07D-6DDD-44B8-97EB-038157257402}">
      <dsp:nvSpPr>
        <dsp:cNvPr id="0" name=""/>
        <dsp:cNvSpPr/>
      </dsp:nvSpPr>
      <dsp:spPr>
        <a:xfrm>
          <a:off x="1423657" y="2876929"/>
          <a:ext cx="4051947" cy="911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lvl="0" algn="l" defTabSz="444500">
            <a:lnSpc>
              <a:spcPct val="90000"/>
            </a:lnSpc>
            <a:spcBef>
              <a:spcPct val="0"/>
            </a:spcBef>
            <a:spcAft>
              <a:spcPct val="35000"/>
            </a:spcAft>
          </a:pPr>
          <a:r>
            <a:rPr lang="en-US" sz="1000" kern="1200"/>
            <a:t>Plan Melbourne</a:t>
          </a:r>
        </a:p>
        <a:p>
          <a:pPr lvl="0" algn="l" defTabSz="444500">
            <a:lnSpc>
              <a:spcPct val="90000"/>
            </a:lnSpc>
            <a:spcBef>
              <a:spcPct val="0"/>
            </a:spcBef>
            <a:spcAft>
              <a:spcPct val="35000"/>
            </a:spcAft>
          </a:pPr>
          <a:r>
            <a:rPr lang="en-US" sz="1000" kern="1200"/>
            <a:t>Council strategic and policy framework</a:t>
          </a:r>
        </a:p>
        <a:p>
          <a:pPr lvl="0" algn="l" defTabSz="444500">
            <a:lnSpc>
              <a:spcPct val="90000"/>
            </a:lnSpc>
            <a:spcBef>
              <a:spcPct val="0"/>
            </a:spcBef>
            <a:spcAft>
              <a:spcPct val="35000"/>
            </a:spcAft>
          </a:pPr>
          <a:r>
            <a:rPr lang="en-US" sz="1000" kern="1200"/>
            <a:t>Melbourne Planning Scheme</a:t>
          </a:r>
        </a:p>
      </dsp:txBody>
      <dsp:txXfrm>
        <a:off x="1423657" y="2876929"/>
        <a:ext cx="4051947" cy="911860"/>
      </dsp:txXfrm>
    </dsp:sp>
    <dsp:sp modelId="{1CB7ECE2-61EC-40E1-9B42-EE276316E43A}">
      <dsp:nvSpPr>
        <dsp:cNvPr id="0" name=""/>
        <dsp:cNvSpPr/>
      </dsp:nvSpPr>
      <dsp:spPr>
        <a:xfrm>
          <a:off x="0" y="2876929"/>
          <a:ext cx="1423657" cy="911860"/>
        </a:xfrm>
        <a:prstGeom prst="round2SameRect">
          <a:avLst>
            <a:gd name="adj1" fmla="val 16670"/>
            <a:gd name="adj2" fmla="val 0"/>
          </a:avLst>
        </a:prstGeom>
        <a:solidFill>
          <a:srgbClr val="00AECB"/>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5. City of Melbourne Policy and Planning Framework</a:t>
          </a:r>
        </a:p>
      </dsp:txBody>
      <dsp:txXfrm>
        <a:off x="44521" y="2921450"/>
        <a:ext cx="1334615" cy="867339"/>
      </dsp:txXfrm>
    </dsp:sp>
    <dsp:sp modelId="{E8823814-892D-4B25-900D-E1F2958F4B1B}">
      <dsp:nvSpPr>
        <dsp:cNvPr id="0" name=""/>
        <dsp:cNvSpPr/>
      </dsp:nvSpPr>
      <dsp:spPr>
        <a:xfrm>
          <a:off x="1423657" y="3834383"/>
          <a:ext cx="4051947" cy="911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lvl="0" algn="l" defTabSz="444500">
            <a:lnSpc>
              <a:spcPct val="90000"/>
            </a:lnSpc>
            <a:spcBef>
              <a:spcPct val="0"/>
            </a:spcBef>
            <a:spcAft>
              <a:spcPct val="35000"/>
            </a:spcAft>
          </a:pPr>
          <a:r>
            <a:rPr lang="en-US" sz="1000" kern="1200"/>
            <a:t>City of Melbourne</a:t>
          </a:r>
        </a:p>
        <a:p>
          <a:pPr lvl="0" algn="l" defTabSz="444500">
            <a:lnSpc>
              <a:spcPct val="90000"/>
            </a:lnSpc>
            <a:spcBef>
              <a:spcPct val="0"/>
            </a:spcBef>
            <a:spcAft>
              <a:spcPct val="35000"/>
            </a:spcAft>
          </a:pPr>
          <a:r>
            <a:rPr lang="en-US" sz="1000" kern="1200"/>
            <a:t>Key principles from gaming and planning decisions</a:t>
          </a:r>
        </a:p>
        <a:p>
          <a:pPr lvl="0" algn="l" defTabSz="444500">
            <a:lnSpc>
              <a:spcPct val="90000"/>
            </a:lnSpc>
            <a:spcBef>
              <a:spcPct val="0"/>
            </a:spcBef>
            <a:spcAft>
              <a:spcPct val="35000"/>
            </a:spcAft>
          </a:pPr>
          <a:endParaRPr lang="en-US" sz="1000" kern="1200"/>
        </a:p>
        <a:p>
          <a:pPr lvl="0" algn="l" defTabSz="444500">
            <a:lnSpc>
              <a:spcPct val="90000"/>
            </a:lnSpc>
            <a:spcBef>
              <a:spcPct val="0"/>
            </a:spcBef>
            <a:spcAft>
              <a:spcPct val="35000"/>
            </a:spcAft>
          </a:pPr>
          <a:endParaRPr lang="en-US" sz="1000" kern="1200"/>
        </a:p>
      </dsp:txBody>
      <dsp:txXfrm>
        <a:off x="1423657" y="3834383"/>
        <a:ext cx="4051947" cy="911860"/>
      </dsp:txXfrm>
    </dsp:sp>
    <dsp:sp modelId="{5C29DE3F-7C15-400C-A6A8-CF461F2B7ED9}">
      <dsp:nvSpPr>
        <dsp:cNvPr id="0" name=""/>
        <dsp:cNvSpPr/>
      </dsp:nvSpPr>
      <dsp:spPr>
        <a:xfrm>
          <a:off x="0" y="3834383"/>
          <a:ext cx="1423657" cy="911860"/>
        </a:xfrm>
        <a:prstGeom prst="round2SameRect">
          <a:avLst>
            <a:gd name="adj1" fmla="val 16670"/>
            <a:gd name="adj2" fmla="val 0"/>
          </a:avLst>
        </a:prstGeom>
        <a:solidFill>
          <a:srgbClr val="00AECB"/>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6. Relevant gaming and planning decisions</a:t>
          </a:r>
        </a:p>
      </dsp:txBody>
      <dsp:txXfrm>
        <a:off x="44521" y="3878904"/>
        <a:ext cx="1334615" cy="867339"/>
      </dsp:txXfrm>
    </dsp:sp>
    <dsp:sp modelId="{317E773A-E0F1-4437-ACF9-C5CAEDA1784F}">
      <dsp:nvSpPr>
        <dsp:cNvPr id="0" name=""/>
        <dsp:cNvSpPr/>
      </dsp:nvSpPr>
      <dsp:spPr>
        <a:xfrm>
          <a:off x="1423657" y="4791837"/>
          <a:ext cx="4051947" cy="911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lvl="0" algn="l" defTabSz="444500">
            <a:lnSpc>
              <a:spcPct val="90000"/>
            </a:lnSpc>
            <a:spcBef>
              <a:spcPct val="0"/>
            </a:spcBef>
            <a:spcAft>
              <a:spcPct val="35000"/>
            </a:spcAft>
          </a:pPr>
          <a:r>
            <a:rPr lang="en-US" sz="1000" kern="1200"/>
            <a:t>Planning and local government</a:t>
          </a:r>
        </a:p>
        <a:p>
          <a:pPr lvl="0" algn="l" defTabSz="444500">
            <a:lnSpc>
              <a:spcPct val="90000"/>
            </a:lnSpc>
            <a:spcBef>
              <a:spcPct val="0"/>
            </a:spcBef>
            <a:spcAft>
              <a:spcPct val="35000"/>
            </a:spcAft>
          </a:pPr>
          <a:r>
            <a:rPr lang="en-US" sz="1000" kern="1200"/>
            <a:t>Gambling and planning considerations</a:t>
          </a:r>
        </a:p>
        <a:p>
          <a:pPr lvl="0" algn="l" defTabSz="444500">
            <a:lnSpc>
              <a:spcPct val="90000"/>
            </a:lnSpc>
            <a:spcBef>
              <a:spcPct val="0"/>
            </a:spcBef>
            <a:spcAft>
              <a:spcPct val="35000"/>
            </a:spcAft>
          </a:pPr>
          <a:r>
            <a:rPr lang="en-US" sz="1000" kern="1200"/>
            <a:t>Harm minimisation</a:t>
          </a:r>
        </a:p>
        <a:p>
          <a:pPr lvl="0" algn="l" defTabSz="444500">
            <a:lnSpc>
              <a:spcPct val="90000"/>
            </a:lnSpc>
            <a:spcBef>
              <a:spcPct val="0"/>
            </a:spcBef>
            <a:spcAft>
              <a:spcPct val="35000"/>
            </a:spcAft>
          </a:pPr>
          <a:r>
            <a:rPr lang="en-US" sz="1000" kern="1200"/>
            <a:t>Council's roles</a:t>
          </a:r>
        </a:p>
      </dsp:txBody>
      <dsp:txXfrm>
        <a:off x="1423657" y="4791837"/>
        <a:ext cx="4051947" cy="911860"/>
      </dsp:txXfrm>
    </dsp:sp>
    <dsp:sp modelId="{0DAFD11C-3D21-4108-81BA-151DBD41B906}">
      <dsp:nvSpPr>
        <dsp:cNvPr id="0" name=""/>
        <dsp:cNvSpPr/>
      </dsp:nvSpPr>
      <dsp:spPr>
        <a:xfrm>
          <a:off x="0" y="4791837"/>
          <a:ext cx="1423657" cy="911860"/>
        </a:xfrm>
        <a:prstGeom prst="round2SameRect">
          <a:avLst>
            <a:gd name="adj1" fmla="val 16670"/>
            <a:gd name="adj2" fmla="val 0"/>
          </a:avLst>
        </a:prstGeom>
        <a:solidFill>
          <a:srgbClr val="00AECB"/>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7. Legislative Framework</a:t>
          </a:r>
        </a:p>
      </dsp:txBody>
      <dsp:txXfrm>
        <a:off x="44521" y="4836358"/>
        <a:ext cx="1334615" cy="867339"/>
      </dsp:txXfrm>
    </dsp:sp>
    <dsp:sp modelId="{5099D93A-06B3-49C3-AA42-6D87040C4631}">
      <dsp:nvSpPr>
        <dsp:cNvPr id="0" name=""/>
        <dsp:cNvSpPr/>
      </dsp:nvSpPr>
      <dsp:spPr>
        <a:xfrm>
          <a:off x="1423657" y="5749291"/>
          <a:ext cx="4051947" cy="911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lvl="0" algn="l" defTabSz="444500">
            <a:lnSpc>
              <a:spcPct val="90000"/>
            </a:lnSpc>
            <a:spcBef>
              <a:spcPct val="0"/>
            </a:spcBef>
            <a:spcAft>
              <a:spcPct val="35000"/>
            </a:spcAft>
          </a:pPr>
          <a:r>
            <a:rPr lang="en-US" sz="1000" kern="1200"/>
            <a:t>Participation in gambling activities</a:t>
          </a:r>
        </a:p>
        <a:p>
          <a:pPr lvl="0" algn="l" defTabSz="444500">
            <a:lnSpc>
              <a:spcPct val="90000"/>
            </a:lnSpc>
            <a:spcBef>
              <a:spcPct val="0"/>
            </a:spcBef>
            <a:spcAft>
              <a:spcPct val="35000"/>
            </a:spcAft>
          </a:pPr>
          <a:r>
            <a:rPr lang="en-US" sz="1000" kern="1200"/>
            <a:t>Prevalence of problem gambling</a:t>
          </a:r>
        </a:p>
        <a:p>
          <a:pPr lvl="0" algn="l" defTabSz="444500">
            <a:lnSpc>
              <a:spcPct val="90000"/>
            </a:lnSpc>
            <a:spcBef>
              <a:spcPct val="0"/>
            </a:spcBef>
            <a:spcAft>
              <a:spcPct val="35000"/>
            </a:spcAft>
          </a:pPr>
          <a:r>
            <a:rPr lang="en-US" sz="1000" kern="1200"/>
            <a:t>Determinants of gambling-related harms</a:t>
          </a:r>
        </a:p>
        <a:p>
          <a:pPr lvl="0" algn="l" defTabSz="444500">
            <a:lnSpc>
              <a:spcPct val="90000"/>
            </a:lnSpc>
            <a:spcBef>
              <a:spcPct val="0"/>
            </a:spcBef>
            <a:spcAft>
              <a:spcPct val="35000"/>
            </a:spcAft>
          </a:pPr>
          <a:r>
            <a:rPr lang="en-US" sz="1000" kern="1200"/>
            <a:t>Impacts of gambling</a:t>
          </a:r>
        </a:p>
      </dsp:txBody>
      <dsp:txXfrm>
        <a:off x="1423657" y="5749291"/>
        <a:ext cx="4051947" cy="911860"/>
      </dsp:txXfrm>
    </dsp:sp>
    <dsp:sp modelId="{6EBBFF33-9BD7-42C5-8D06-09DF138A9F53}">
      <dsp:nvSpPr>
        <dsp:cNvPr id="0" name=""/>
        <dsp:cNvSpPr/>
      </dsp:nvSpPr>
      <dsp:spPr>
        <a:xfrm>
          <a:off x="0" y="5749291"/>
          <a:ext cx="1423657" cy="911860"/>
        </a:xfrm>
        <a:prstGeom prst="round2SameRect">
          <a:avLst>
            <a:gd name="adj1" fmla="val 16670"/>
            <a:gd name="adj2" fmla="val 0"/>
          </a:avLst>
        </a:prstGeom>
        <a:solidFill>
          <a:srgbClr val="00AECB"/>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8. Framework for assessment of socio-economic impacts of gambling-related harm</a:t>
          </a:r>
        </a:p>
      </dsp:txBody>
      <dsp:txXfrm>
        <a:off x="44521" y="5793812"/>
        <a:ext cx="1334615" cy="867339"/>
      </dsp:txXfrm>
    </dsp:sp>
    <dsp:sp modelId="{1CCF1A9E-A656-4495-A6FE-D1A9FB403E71}">
      <dsp:nvSpPr>
        <dsp:cNvPr id="0" name=""/>
        <dsp:cNvSpPr/>
      </dsp:nvSpPr>
      <dsp:spPr>
        <a:xfrm>
          <a:off x="1423657" y="6706744"/>
          <a:ext cx="4051947" cy="911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050" tIns="19050" rIns="19050" bIns="19050" numCol="1" spcCol="1270" anchor="b" anchorCtr="0">
          <a:noAutofit/>
        </a:bodyPr>
        <a:lstStyle/>
        <a:p>
          <a:pPr lvl="0" algn="l" defTabSz="444500">
            <a:lnSpc>
              <a:spcPct val="90000"/>
            </a:lnSpc>
            <a:spcBef>
              <a:spcPct val="0"/>
            </a:spcBef>
            <a:spcAft>
              <a:spcPct val="35000"/>
            </a:spcAft>
          </a:pPr>
          <a:r>
            <a:rPr lang="en-US" sz="1000" kern="1200"/>
            <a:t>Review of Municipal Strategic Statements</a:t>
          </a:r>
        </a:p>
        <a:p>
          <a:pPr lvl="0" algn="l" defTabSz="444500">
            <a:lnSpc>
              <a:spcPct val="90000"/>
            </a:lnSpc>
            <a:spcBef>
              <a:spcPct val="0"/>
            </a:spcBef>
            <a:spcAft>
              <a:spcPct val="35000"/>
            </a:spcAft>
          </a:pPr>
          <a:r>
            <a:rPr lang="en-US" sz="1000" kern="1200"/>
            <a:t>Review of local planning policies for electronic gaming</a:t>
          </a:r>
        </a:p>
        <a:p>
          <a:pPr lvl="0" algn="l" defTabSz="444500">
            <a:lnSpc>
              <a:spcPct val="90000"/>
            </a:lnSpc>
            <a:spcBef>
              <a:spcPct val="0"/>
            </a:spcBef>
            <a:spcAft>
              <a:spcPct val="35000"/>
            </a:spcAft>
          </a:pPr>
          <a:r>
            <a:rPr lang="en-US" sz="1000" kern="1200"/>
            <a:t>Review of Clause 52.28</a:t>
          </a:r>
        </a:p>
        <a:p>
          <a:pPr lvl="0" algn="l" defTabSz="444500">
            <a:lnSpc>
              <a:spcPct val="90000"/>
            </a:lnSpc>
            <a:spcBef>
              <a:spcPct val="0"/>
            </a:spcBef>
            <a:spcAft>
              <a:spcPct val="35000"/>
            </a:spcAft>
          </a:pPr>
          <a:endParaRPr lang="en-US" sz="1000" kern="1200"/>
        </a:p>
      </dsp:txBody>
      <dsp:txXfrm>
        <a:off x="1423657" y="6706744"/>
        <a:ext cx="4051947" cy="911860"/>
      </dsp:txXfrm>
    </dsp:sp>
    <dsp:sp modelId="{2BFF0FA8-3F28-4FAC-B853-AB914B1F6A50}">
      <dsp:nvSpPr>
        <dsp:cNvPr id="0" name=""/>
        <dsp:cNvSpPr/>
      </dsp:nvSpPr>
      <dsp:spPr>
        <a:xfrm>
          <a:off x="0" y="6706744"/>
          <a:ext cx="1423657" cy="911860"/>
        </a:xfrm>
        <a:prstGeom prst="round2SameRect">
          <a:avLst>
            <a:gd name="adj1" fmla="val 16670"/>
            <a:gd name="adj2" fmla="val 0"/>
          </a:avLst>
        </a:prstGeom>
        <a:solidFill>
          <a:srgbClr val="00AECB"/>
        </a:soli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t>9. Framework for the revised Local Planning Policy for Gaming</a:t>
          </a:r>
        </a:p>
      </dsp:txBody>
      <dsp:txXfrm>
        <a:off x="44521" y="6751265"/>
        <a:ext cx="1334615" cy="867339"/>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0.1529</cdr:x>
      <cdr:y>0.03031</cdr:y>
    </cdr:from>
    <cdr:to>
      <cdr:x>0.43256</cdr:x>
      <cdr:y>0.12275</cdr:y>
    </cdr:to>
    <cdr:sp macro="" textlink="">
      <cdr:nvSpPr>
        <cdr:cNvPr id="2" name="Double Bracket 1"/>
        <cdr:cNvSpPr/>
      </cdr:nvSpPr>
      <cdr:spPr>
        <a:xfrm xmlns:a="http://schemas.openxmlformats.org/drawingml/2006/main">
          <a:off x="879676" y="115748"/>
          <a:ext cx="1608881" cy="353027"/>
        </a:xfrm>
        <a:prstGeom xmlns:a="http://schemas.openxmlformats.org/drawingml/2006/main" prst="bracketPair">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pPr algn="ctr"/>
          <a:r>
            <a:rPr lang="en-US"/>
            <a:t>Clubs</a:t>
          </a:r>
        </a:p>
      </cdr:txBody>
    </cdr:sp>
  </cdr:relSizeAnchor>
  <cdr:relSizeAnchor xmlns:cdr="http://schemas.openxmlformats.org/drawingml/2006/chartDrawing">
    <cdr:from>
      <cdr:x>0.44161</cdr:x>
      <cdr:y>0</cdr:y>
    </cdr:from>
    <cdr:to>
      <cdr:x>0.93554</cdr:x>
      <cdr:y>0.09244</cdr:y>
    </cdr:to>
    <cdr:sp macro="" textlink="">
      <cdr:nvSpPr>
        <cdr:cNvPr id="3" name="Double Bracket 2"/>
        <cdr:cNvSpPr/>
      </cdr:nvSpPr>
      <cdr:spPr>
        <a:xfrm xmlns:a="http://schemas.openxmlformats.org/drawingml/2006/main">
          <a:off x="2540643" y="0"/>
          <a:ext cx="2841585" cy="353027"/>
        </a:xfrm>
        <a:prstGeom xmlns:a="http://schemas.openxmlformats.org/drawingml/2006/main" prst="bracketPair">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US"/>
            <a:t>Hotels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4EC31-900E-430B-AC52-7BA693DC6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27</Pages>
  <Words>35893</Words>
  <Characters>204594</Characters>
  <Application>Microsoft Office Word</Application>
  <DocSecurity>0</DocSecurity>
  <Lines>1704</Lines>
  <Paragraphs>480</Paragraphs>
  <ScaleCrop>false</ScaleCrop>
  <HeadingPairs>
    <vt:vector size="2" baseType="variant">
      <vt:variant>
        <vt:lpstr>Title</vt:lpstr>
      </vt:variant>
      <vt:variant>
        <vt:i4>1</vt:i4>
      </vt:variant>
    </vt:vector>
  </HeadingPairs>
  <TitlesOfParts>
    <vt:vector size="1" baseType="lpstr">
      <vt:lpstr>City of Melbourne Electronic Gaming Decision-Making Framework and Gaming Policy Review</vt:lpstr>
    </vt:vector>
  </TitlesOfParts>
  <Company>Microsoft</Company>
  <LinksUpToDate>false</LinksUpToDate>
  <CharactersWithSpaces>240007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Melbourne Electronic Gaming Decision-Making Framework and Gaming Policy Review</dc:title>
  <dc:subject>Background Report</dc:subject>
  <dc:creator>July 2017</dc:creator>
  <cp:lastModifiedBy>Colin Charman</cp:lastModifiedBy>
  <cp:revision>6</cp:revision>
  <cp:lastPrinted>2017-09-21T06:15:00Z</cp:lastPrinted>
  <dcterms:created xsi:type="dcterms:W3CDTF">2017-10-10T05:24:00Z</dcterms:created>
  <dcterms:modified xsi:type="dcterms:W3CDTF">2018-04-30T00:35:00Z</dcterms:modified>
</cp:coreProperties>
</file>