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B40" w:rsidRDefault="002D1BA2" w:rsidP="00A83CEA">
      <w:pPr>
        <w:rPr>
          <w:rFonts w:ascii="CoM" w:eastAsiaTheme="majorEastAsia" w:hAnsi="CoM" w:cs="Arial"/>
          <w:sz w:val="62"/>
          <w:szCs w:val="56"/>
        </w:rPr>
      </w:pPr>
      <w:bookmarkStart w:id="0" w:name="_GoBack"/>
      <w:bookmarkEnd w:id="0"/>
      <w:r>
        <w:rPr>
          <w:noProof/>
          <w:lang w:eastAsia="en-AU"/>
        </w:rPr>
        <w:drawing>
          <wp:anchor distT="0" distB="0" distL="114300" distR="114300" simplePos="0" relativeHeight="251668480" behindDoc="1" locked="0" layoutInCell="1" allowOverlap="1" wp14:anchorId="0D298128" wp14:editId="3562A5CE">
            <wp:simplePos x="0" y="0"/>
            <wp:positionH relativeFrom="column">
              <wp:posOffset>-949960</wp:posOffset>
            </wp:positionH>
            <wp:positionV relativeFrom="paragraph">
              <wp:posOffset>-919158</wp:posOffset>
            </wp:positionV>
            <wp:extent cx="7599680" cy="1034986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680" cy="10349865"/>
                    </a:xfrm>
                    <a:prstGeom prst="rect">
                      <a:avLst/>
                    </a:prstGeom>
                    <a:noFill/>
                  </pic:spPr>
                </pic:pic>
              </a:graphicData>
            </a:graphic>
            <wp14:sizeRelH relativeFrom="page">
              <wp14:pctWidth>0</wp14:pctWidth>
            </wp14:sizeRelH>
            <wp14:sizeRelV relativeFrom="page">
              <wp14:pctHeight>0</wp14:pctHeight>
            </wp14:sizeRelV>
          </wp:anchor>
        </w:drawing>
      </w:r>
    </w:p>
    <w:p w:rsidR="00A83CEA" w:rsidRDefault="00A83CEA" w:rsidP="00A83CEA">
      <w:pPr>
        <w:rPr>
          <w:rFonts w:ascii="Arial" w:hAnsi="Arial" w:cs="Arial"/>
        </w:rPr>
      </w:pPr>
      <w:bookmarkStart w:id="1" w:name="_Toc493151578"/>
      <w:bookmarkStart w:id="2" w:name="_Toc493151891"/>
      <w:bookmarkStart w:id="3" w:name="_Toc493152112"/>
      <w:bookmarkStart w:id="4" w:name="_Toc491963989"/>
      <w:bookmarkStart w:id="5" w:name="_Toc493151582"/>
      <w:bookmarkStart w:id="6" w:name="_Toc493151895"/>
      <w:bookmarkStart w:id="7" w:name="_Toc493152116"/>
      <w:bookmarkStart w:id="8" w:name="_Toc491963991"/>
      <w:bookmarkStart w:id="9" w:name="_Toc493151584"/>
      <w:bookmarkStart w:id="10" w:name="_Toc493151897"/>
      <w:bookmarkStart w:id="11" w:name="_Toc493152118"/>
      <w:bookmarkStart w:id="12" w:name="_Toc491958974"/>
      <w:bookmarkStart w:id="13" w:name="_Toc491959202"/>
      <w:bookmarkStart w:id="14" w:name="_Toc491963993"/>
      <w:bookmarkStart w:id="15" w:name="_Toc493151586"/>
      <w:bookmarkStart w:id="16" w:name="_Toc493151899"/>
      <w:bookmarkStart w:id="17" w:name="_Toc493152120"/>
      <w:bookmarkStart w:id="18" w:name="_Toc491958975"/>
      <w:bookmarkStart w:id="19" w:name="_Toc491959203"/>
      <w:bookmarkStart w:id="20" w:name="_Toc491963994"/>
      <w:bookmarkStart w:id="21" w:name="_Toc493151587"/>
      <w:bookmarkStart w:id="22" w:name="_Toc493151900"/>
      <w:bookmarkStart w:id="23" w:name="_Toc493152121"/>
      <w:bookmarkStart w:id="24" w:name="_Toc493151594"/>
      <w:bookmarkStart w:id="25" w:name="_Toc493151907"/>
      <w:bookmarkStart w:id="26" w:name="_Toc493152128"/>
      <w:bookmarkStart w:id="27" w:name="_Toc491964001"/>
      <w:bookmarkStart w:id="28" w:name="_Toc493151595"/>
      <w:bookmarkStart w:id="29" w:name="_Toc493151908"/>
      <w:bookmarkStart w:id="30" w:name="_Toc493152129"/>
      <w:bookmarkStart w:id="31" w:name="_Toc491958980"/>
      <w:bookmarkStart w:id="32" w:name="_Toc491959208"/>
      <w:bookmarkStart w:id="33" w:name="_Toc491964005"/>
      <w:bookmarkStart w:id="34" w:name="_Toc493151599"/>
      <w:bookmarkStart w:id="35" w:name="_Toc493151912"/>
      <w:bookmarkStart w:id="36" w:name="_Toc493152133"/>
      <w:bookmarkStart w:id="37" w:name="_Toc491958981"/>
      <w:bookmarkStart w:id="38" w:name="_Toc491959209"/>
      <w:bookmarkStart w:id="39" w:name="_Toc491964006"/>
      <w:bookmarkStart w:id="40" w:name="_Toc493151600"/>
      <w:bookmarkStart w:id="41" w:name="_Toc493151913"/>
      <w:bookmarkStart w:id="42" w:name="_Toc493152134"/>
      <w:bookmarkStart w:id="43" w:name="_Toc491958982"/>
      <w:bookmarkStart w:id="44" w:name="_Toc491959210"/>
      <w:bookmarkStart w:id="45" w:name="_Toc491964007"/>
      <w:bookmarkStart w:id="46" w:name="_Toc493151601"/>
      <w:bookmarkStart w:id="47" w:name="_Toc493151914"/>
      <w:bookmarkStart w:id="48" w:name="_Toc493152135"/>
      <w:bookmarkStart w:id="49" w:name="_Toc491958983"/>
      <w:bookmarkStart w:id="50" w:name="_Toc491959211"/>
      <w:bookmarkStart w:id="51" w:name="_Toc491964008"/>
      <w:bookmarkStart w:id="52" w:name="_Toc493151602"/>
      <w:bookmarkStart w:id="53" w:name="_Toc493151915"/>
      <w:bookmarkStart w:id="54" w:name="_Toc493152136"/>
      <w:bookmarkStart w:id="55" w:name="_Toc491958993"/>
      <w:bookmarkStart w:id="56" w:name="_Toc491959221"/>
      <w:bookmarkStart w:id="57" w:name="_Toc491964018"/>
      <w:bookmarkStart w:id="58" w:name="_Toc493151612"/>
      <w:bookmarkStart w:id="59" w:name="_Toc493151925"/>
      <w:bookmarkStart w:id="60" w:name="_Toc493152146"/>
      <w:bookmarkStart w:id="61" w:name="_Toc491958995"/>
      <w:bookmarkStart w:id="62" w:name="_Toc491959223"/>
      <w:bookmarkStart w:id="63" w:name="_Toc491964020"/>
      <w:bookmarkStart w:id="64" w:name="_Toc493151614"/>
      <w:bookmarkStart w:id="65" w:name="_Toc493151927"/>
      <w:bookmarkStart w:id="66" w:name="_Toc493152148"/>
      <w:bookmarkStart w:id="67" w:name="_Toc493151621"/>
      <w:bookmarkStart w:id="68" w:name="_Toc493151934"/>
      <w:bookmarkStart w:id="69" w:name="_Toc493152155"/>
      <w:bookmarkStart w:id="70" w:name="_Toc493151622"/>
      <w:bookmarkStart w:id="71" w:name="_Toc493151935"/>
      <w:bookmarkStart w:id="72" w:name="_Toc493152156"/>
      <w:bookmarkStart w:id="73" w:name="_Toc493151623"/>
      <w:bookmarkStart w:id="74" w:name="_Toc493151936"/>
      <w:bookmarkStart w:id="75" w:name="_Toc493152157"/>
      <w:bookmarkStart w:id="76" w:name="_Toc493151624"/>
      <w:bookmarkStart w:id="77" w:name="_Toc493151937"/>
      <w:bookmarkStart w:id="78" w:name="_Toc493152158"/>
      <w:bookmarkStart w:id="79" w:name="_Toc493151625"/>
      <w:bookmarkStart w:id="80" w:name="_Toc493151938"/>
      <w:bookmarkStart w:id="81" w:name="_Toc493152159"/>
      <w:bookmarkStart w:id="82" w:name="_Toc493151626"/>
      <w:bookmarkStart w:id="83" w:name="_Toc493151939"/>
      <w:bookmarkStart w:id="84" w:name="_Toc493152160"/>
      <w:bookmarkStart w:id="85" w:name="_Toc493151627"/>
      <w:bookmarkStart w:id="86" w:name="_Toc493151940"/>
      <w:bookmarkStart w:id="87" w:name="_Toc493152161"/>
      <w:bookmarkStart w:id="88" w:name="_Toc493151628"/>
      <w:bookmarkStart w:id="89" w:name="_Toc493151941"/>
      <w:bookmarkStart w:id="90" w:name="_Toc493152162"/>
      <w:bookmarkStart w:id="91" w:name="_Toc493151629"/>
      <w:bookmarkStart w:id="92" w:name="_Toc493151942"/>
      <w:bookmarkStart w:id="93" w:name="_Toc493152163"/>
      <w:bookmarkStart w:id="94" w:name="_Toc493151630"/>
      <w:bookmarkStart w:id="95" w:name="_Toc493151943"/>
      <w:bookmarkStart w:id="96" w:name="_Toc493152164"/>
      <w:bookmarkStart w:id="97" w:name="_Toc493151631"/>
      <w:bookmarkStart w:id="98" w:name="_Toc493151944"/>
      <w:bookmarkStart w:id="99" w:name="_Toc493152165"/>
      <w:bookmarkStart w:id="100" w:name="_Toc493151637"/>
      <w:bookmarkStart w:id="101" w:name="_Toc493151950"/>
      <w:bookmarkStart w:id="102" w:name="_Toc493152171"/>
      <w:bookmarkStart w:id="103" w:name="_Toc493151639"/>
      <w:bookmarkStart w:id="104" w:name="_Toc493151952"/>
      <w:bookmarkStart w:id="105" w:name="_Toc493152173"/>
      <w:bookmarkStart w:id="106" w:name="_Toc493151641"/>
      <w:bookmarkStart w:id="107" w:name="_Toc493151954"/>
      <w:bookmarkStart w:id="108" w:name="_Toc493152175"/>
      <w:bookmarkStart w:id="109" w:name="_Toc493151642"/>
      <w:bookmarkStart w:id="110" w:name="_Toc493151955"/>
      <w:bookmarkStart w:id="111" w:name="_Toc493152176"/>
      <w:bookmarkStart w:id="112" w:name="_Toc493151643"/>
      <w:bookmarkStart w:id="113" w:name="_Toc493151956"/>
      <w:bookmarkStart w:id="114" w:name="_Toc493152177"/>
      <w:bookmarkStart w:id="115" w:name="_Toc493151644"/>
      <w:bookmarkStart w:id="116" w:name="_Toc493151957"/>
      <w:bookmarkStart w:id="117" w:name="_Toc493152178"/>
      <w:bookmarkStart w:id="118" w:name="_Toc493151645"/>
      <w:bookmarkStart w:id="119" w:name="_Toc493151958"/>
      <w:bookmarkStart w:id="120" w:name="_Toc493152179"/>
      <w:bookmarkStart w:id="121" w:name="_Toc493151646"/>
      <w:bookmarkStart w:id="122" w:name="_Toc493151959"/>
      <w:bookmarkStart w:id="123" w:name="_Toc493152180"/>
      <w:bookmarkStart w:id="124" w:name="_Toc493151648"/>
      <w:bookmarkStart w:id="125" w:name="_Toc493151961"/>
      <w:bookmarkStart w:id="126" w:name="_Toc493152182"/>
      <w:bookmarkStart w:id="127" w:name="_Toc493151654"/>
      <w:bookmarkStart w:id="128" w:name="_Toc493151967"/>
      <w:bookmarkStart w:id="129" w:name="_Toc493152188"/>
      <w:bookmarkStart w:id="130" w:name="_Toc493151656"/>
      <w:bookmarkStart w:id="131" w:name="_Toc493151969"/>
      <w:bookmarkStart w:id="132" w:name="_Toc493152190"/>
      <w:bookmarkStart w:id="133" w:name="_Toc491964027"/>
      <w:bookmarkStart w:id="134" w:name="_Toc493151664"/>
      <w:bookmarkStart w:id="135" w:name="_Toc493151977"/>
      <w:bookmarkStart w:id="136" w:name="_Toc493152198"/>
      <w:bookmarkStart w:id="137" w:name="_Toc491964028"/>
      <w:bookmarkStart w:id="138" w:name="_Toc493151665"/>
      <w:bookmarkStart w:id="139" w:name="_Toc493151978"/>
      <w:bookmarkStart w:id="140" w:name="_Toc493152199"/>
      <w:bookmarkStart w:id="141" w:name="_Toc491964030"/>
      <w:bookmarkStart w:id="142" w:name="_Toc493151667"/>
      <w:bookmarkStart w:id="143" w:name="_Toc493151980"/>
      <w:bookmarkStart w:id="144" w:name="_Toc493152201"/>
      <w:bookmarkStart w:id="145" w:name="_Toc491964073"/>
      <w:bookmarkStart w:id="146" w:name="_Toc493151710"/>
      <w:bookmarkStart w:id="147" w:name="_Toc493152023"/>
      <w:bookmarkStart w:id="148" w:name="_Toc493152244"/>
      <w:bookmarkStart w:id="149" w:name="_Toc491964075"/>
      <w:bookmarkStart w:id="150" w:name="_Toc493151712"/>
      <w:bookmarkStart w:id="151" w:name="_Toc493152025"/>
      <w:bookmarkStart w:id="152" w:name="_Toc493152246"/>
      <w:bookmarkStart w:id="153" w:name="_Toc491964114"/>
      <w:bookmarkStart w:id="154" w:name="_Toc493151755"/>
      <w:bookmarkStart w:id="155" w:name="_Toc493152068"/>
      <w:bookmarkStart w:id="156" w:name="_Toc493152289"/>
      <w:bookmarkStart w:id="157" w:name="_Toc491959014"/>
      <w:bookmarkStart w:id="158" w:name="_Toc491959242"/>
      <w:bookmarkStart w:id="159" w:name="_Toc491964115"/>
      <w:bookmarkStart w:id="160" w:name="_Toc493151756"/>
      <w:bookmarkStart w:id="161" w:name="_Toc493152069"/>
      <w:bookmarkStart w:id="162" w:name="_Toc493152290"/>
      <w:bookmarkStart w:id="163" w:name="_Toc491959016"/>
      <w:bookmarkStart w:id="164" w:name="_Toc491959244"/>
      <w:bookmarkStart w:id="165" w:name="_Toc491964117"/>
      <w:bookmarkStart w:id="166" w:name="_Toc493151758"/>
      <w:bookmarkStart w:id="167" w:name="_Toc493152071"/>
      <w:bookmarkStart w:id="168" w:name="_Toc493152292"/>
      <w:bookmarkStart w:id="169" w:name="_Toc491959018"/>
      <w:bookmarkStart w:id="170" w:name="_Toc491959246"/>
      <w:bookmarkStart w:id="171" w:name="_Toc491964119"/>
      <w:bookmarkStart w:id="172" w:name="_Toc493151760"/>
      <w:bookmarkStart w:id="173" w:name="_Toc493152073"/>
      <w:bookmarkStart w:id="174" w:name="_Toc493152294"/>
      <w:bookmarkStart w:id="175" w:name="_Toc491959021"/>
      <w:bookmarkStart w:id="176" w:name="_Toc491959249"/>
      <w:bookmarkStart w:id="177" w:name="_Toc491964122"/>
      <w:bookmarkStart w:id="178" w:name="_Toc493151763"/>
      <w:bookmarkStart w:id="179" w:name="_Toc493152076"/>
      <w:bookmarkStart w:id="180" w:name="_Toc493152297"/>
      <w:bookmarkStart w:id="181" w:name="_Toc491964124"/>
      <w:bookmarkStart w:id="182" w:name="_Toc493151765"/>
      <w:bookmarkStart w:id="183" w:name="_Toc493152078"/>
      <w:bookmarkStart w:id="184" w:name="_Toc493152299"/>
      <w:bookmarkStart w:id="185" w:name="_Toc491964125"/>
      <w:bookmarkStart w:id="186" w:name="_Toc493151766"/>
      <w:bookmarkStart w:id="187" w:name="_Toc493152079"/>
      <w:bookmarkStart w:id="188" w:name="_Toc493152300"/>
      <w:bookmarkStart w:id="189" w:name="_Toc493151775"/>
      <w:bookmarkStart w:id="190" w:name="_Toc493152087"/>
      <w:bookmarkStart w:id="191" w:name="_Toc493152308"/>
      <w:bookmarkStart w:id="192" w:name="_Toc491964133"/>
      <w:bookmarkStart w:id="193" w:name="_Toc493151779"/>
      <w:bookmarkStart w:id="194" w:name="_Toc493152091"/>
      <w:bookmarkStart w:id="195" w:name="_Toc493152312"/>
      <w:bookmarkStart w:id="196" w:name="_Toc491964135"/>
      <w:bookmarkStart w:id="197" w:name="_Toc493151781"/>
      <w:bookmarkStart w:id="198" w:name="_Toc493152093"/>
      <w:bookmarkStart w:id="199" w:name="_Toc493152314"/>
      <w:bookmarkStart w:id="200" w:name="_Toc491964136"/>
      <w:bookmarkStart w:id="201" w:name="_Toc493151782"/>
      <w:bookmarkStart w:id="202" w:name="_Toc493152094"/>
      <w:bookmarkStart w:id="203" w:name="_Toc493152315"/>
      <w:bookmarkStart w:id="204" w:name="_Toc491964137"/>
      <w:bookmarkStart w:id="205" w:name="_Toc493151783"/>
      <w:bookmarkStart w:id="206" w:name="_Toc493152095"/>
      <w:bookmarkStart w:id="207" w:name="_Toc493152316"/>
      <w:bookmarkStart w:id="208" w:name="_Toc493151786"/>
      <w:bookmarkStart w:id="209" w:name="_Toc493152098"/>
      <w:bookmarkStart w:id="210" w:name="_Toc493152319"/>
      <w:bookmarkStart w:id="211" w:name="_Toc49195903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sdt>
      <w:sdtPr>
        <w:rPr>
          <w:rFonts w:ascii="Arial" w:hAnsi="Arial" w:cs="Arial"/>
        </w:rPr>
        <w:id w:val="2094047026"/>
        <w:docPartObj>
          <w:docPartGallery w:val="Cover Pages"/>
          <w:docPartUnique/>
        </w:docPartObj>
      </w:sdtPr>
      <w:sdtEndPr/>
      <w:sdtContent>
        <w:p w:rsidR="00A83CEA" w:rsidRDefault="00A83CEA" w:rsidP="00A83CEA">
          <w:pPr>
            <w:rPr>
              <w:rFonts w:ascii="Arial" w:hAnsi="Arial" w:cs="Arial"/>
            </w:rPr>
          </w:pPr>
          <w:r>
            <w:rPr>
              <w:noProof/>
              <w:lang w:eastAsia="en-AU"/>
            </w:rPr>
            <w:drawing>
              <wp:anchor distT="0" distB="0" distL="114300" distR="114300" simplePos="0" relativeHeight="251670528" behindDoc="0" locked="0" layoutInCell="1" allowOverlap="1" wp14:anchorId="74C6E419" wp14:editId="64877C86">
                <wp:simplePos x="0" y="0"/>
                <wp:positionH relativeFrom="column">
                  <wp:posOffset>3814445</wp:posOffset>
                </wp:positionH>
                <wp:positionV relativeFrom="paragraph">
                  <wp:posOffset>10873105</wp:posOffset>
                </wp:positionV>
                <wp:extent cx="1273810" cy="957580"/>
                <wp:effectExtent l="0" t="0" r="2540" b="0"/>
                <wp:wrapNone/>
                <wp:docPr id="19" name="Picture 19" descr="sym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ymplan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3810" cy="957580"/>
                        </a:xfrm>
                        <a:prstGeom prst="rect">
                          <a:avLst/>
                        </a:prstGeom>
                        <a:noFill/>
                      </pic:spPr>
                    </pic:pic>
                  </a:graphicData>
                </a:graphic>
                <wp14:sizeRelH relativeFrom="page">
                  <wp14:pctWidth>0</wp14:pctWidth>
                </wp14:sizeRelH>
                <wp14:sizeRelV relativeFrom="page">
                  <wp14:pctHeight>0</wp14:pctHeight>
                </wp14:sizeRelV>
              </wp:anchor>
            </w:drawing>
          </w:r>
        </w:p>
        <w:p w:rsidR="00A83CEA" w:rsidRDefault="00A83CEA" w:rsidP="00A83CEA">
          <w:pPr>
            <w:rPr>
              <w:rFonts w:ascii="Arial" w:hAnsi="Arial" w:cs="Arial"/>
            </w:rPr>
          </w:pPr>
        </w:p>
        <w:p w:rsidR="00A83CEA" w:rsidRDefault="002D1BA2" w:rsidP="00A83CEA">
          <w:pPr>
            <w:rPr>
              <w:rFonts w:ascii="Arial" w:eastAsiaTheme="majorEastAsia" w:hAnsi="Arial" w:cs="Arial"/>
              <w:b/>
              <w:bCs/>
              <w:color w:val="17365D" w:themeColor="text2" w:themeShade="BF"/>
              <w:sz w:val="28"/>
              <w:szCs w:val="28"/>
            </w:rPr>
          </w:pPr>
          <w:r w:rsidRPr="00A83CEA">
            <w:rPr>
              <w:rFonts w:ascii="Arial" w:hAnsi="Arial" w:cs="Arial"/>
              <w:noProof/>
              <w:lang w:eastAsia="en-AU"/>
            </w:rPr>
            <mc:AlternateContent>
              <mc:Choice Requires="wps">
                <w:drawing>
                  <wp:anchor distT="0" distB="0" distL="114300" distR="114300" simplePos="0" relativeHeight="251672576" behindDoc="0" locked="0" layoutInCell="1" allowOverlap="1" wp14:anchorId="53FD53AA" wp14:editId="7CEF3E3A">
                    <wp:simplePos x="0" y="0"/>
                    <wp:positionH relativeFrom="column">
                      <wp:posOffset>-949960</wp:posOffset>
                    </wp:positionH>
                    <wp:positionV relativeFrom="paragraph">
                      <wp:posOffset>1610995</wp:posOffset>
                    </wp:positionV>
                    <wp:extent cx="7599680" cy="1403985"/>
                    <wp:effectExtent l="0" t="0" r="127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403985"/>
                            </a:xfrm>
                            <a:prstGeom prst="rect">
                              <a:avLst/>
                            </a:prstGeom>
                            <a:solidFill>
                              <a:srgbClr val="FFFFFF"/>
                            </a:solidFill>
                            <a:ln w="9525">
                              <a:noFill/>
                              <a:miter lim="800000"/>
                              <a:headEnd/>
                              <a:tailEnd/>
                            </a:ln>
                          </wps:spPr>
                          <wps:txbx>
                            <w:txbxContent>
                              <w:p w:rsidR="000C0A4F" w:rsidRPr="008E3F04" w:rsidRDefault="000C0A4F" w:rsidP="008E3F04">
                                <w:pPr>
                                  <w:jc w:val="center"/>
                                  <w:rPr>
                                    <w:rFonts w:ascii="CoM" w:hAnsi="CoM"/>
                                    <w:sz w:val="62"/>
                                    <w:szCs w:val="62"/>
                                  </w:rPr>
                                </w:pPr>
                                <w:r w:rsidRPr="008E3F04">
                                  <w:rPr>
                                    <w:rFonts w:ascii="CoM" w:hAnsi="CoM"/>
                                    <w:sz w:val="62"/>
                                    <w:szCs w:val="62"/>
                                  </w:rPr>
                                  <w:t>City of Melbourne</w:t>
                                </w:r>
                              </w:p>
                              <w:p w:rsidR="000C0A4F" w:rsidRPr="008E3F04" w:rsidRDefault="000C0A4F" w:rsidP="008E3F04">
                                <w:pPr>
                                  <w:jc w:val="center"/>
                                  <w:rPr>
                                    <w:rFonts w:ascii="CoM" w:hAnsi="CoM"/>
                                    <w:sz w:val="62"/>
                                    <w:szCs w:val="62"/>
                                  </w:rPr>
                                </w:pPr>
                                <w:r w:rsidRPr="008E3F04">
                                  <w:rPr>
                                    <w:rFonts w:ascii="CoM" w:hAnsi="CoM"/>
                                    <w:sz w:val="62"/>
                                    <w:szCs w:val="62"/>
                                  </w:rPr>
                                  <w:t xml:space="preserve">Draft </w:t>
                                </w:r>
                                <w:r>
                                  <w:rPr>
                                    <w:rFonts w:ascii="CoM" w:hAnsi="CoM"/>
                                    <w:sz w:val="62"/>
                                    <w:szCs w:val="62"/>
                                  </w:rPr>
                                  <w:t>e</w:t>
                                </w:r>
                                <w:r w:rsidRPr="008E3F04">
                                  <w:rPr>
                                    <w:rFonts w:ascii="CoM" w:hAnsi="CoM"/>
                                    <w:sz w:val="62"/>
                                    <w:szCs w:val="62"/>
                                  </w:rPr>
                                  <w:t>lectronic gaming</w:t>
                                </w:r>
                                <w:r>
                                  <w:rPr>
                                    <w:rFonts w:ascii="CoM" w:hAnsi="CoM"/>
                                    <w:sz w:val="62"/>
                                    <w:szCs w:val="62"/>
                                  </w:rPr>
                                  <w:t xml:space="preserve"> Machine</w:t>
                                </w:r>
                              </w:p>
                              <w:p w:rsidR="000C0A4F" w:rsidRPr="008E3F04" w:rsidRDefault="000C0A4F" w:rsidP="008E3F04">
                                <w:pPr>
                                  <w:jc w:val="center"/>
                                  <w:rPr>
                                    <w:rFonts w:ascii="CoM" w:hAnsi="CoM"/>
                                    <w:sz w:val="62"/>
                                    <w:szCs w:val="62"/>
                                  </w:rPr>
                                </w:pPr>
                                <w:r w:rsidRPr="008E3F04">
                                  <w:rPr>
                                    <w:rFonts w:ascii="CoM" w:hAnsi="CoM"/>
                                    <w:sz w:val="62"/>
                                    <w:szCs w:val="62"/>
                                  </w:rPr>
                                  <w:t>Decision</w:t>
                                </w:r>
                                <w:r>
                                  <w:rPr>
                                    <w:rFonts w:ascii="CoM" w:hAnsi="CoM"/>
                                    <w:sz w:val="62"/>
                                    <w:szCs w:val="62"/>
                                  </w:rPr>
                                  <w:t>-</w:t>
                                </w:r>
                                <w:r w:rsidRPr="008E3F04">
                                  <w:rPr>
                                    <w:rFonts w:ascii="CoM" w:hAnsi="CoM"/>
                                    <w:sz w:val="62"/>
                                    <w:szCs w:val="62"/>
                                  </w:rPr>
                                  <w:t xml:space="preserve">making </w:t>
                                </w:r>
                                <w:r>
                                  <w:rPr>
                                    <w:rFonts w:ascii="CoM" w:hAnsi="CoM"/>
                                    <w:sz w:val="62"/>
                                    <w:szCs w:val="62"/>
                                  </w:rPr>
                                  <w:t>f</w:t>
                                </w:r>
                                <w:r w:rsidRPr="008E3F04">
                                  <w:rPr>
                                    <w:rFonts w:ascii="CoM" w:hAnsi="CoM"/>
                                    <w:sz w:val="62"/>
                                    <w:szCs w:val="62"/>
                                  </w:rPr>
                                  <w:t>ramework</w:t>
                                </w:r>
                              </w:p>
                              <w:p w:rsidR="000C0A4F" w:rsidRPr="008E3F04" w:rsidRDefault="000C0A4F" w:rsidP="008E3F04">
                                <w:pPr>
                                  <w:jc w:val="center"/>
                                  <w:rPr>
                                    <w:rFonts w:ascii="CoM" w:hAnsi="CoM"/>
                                    <w:sz w:val="40"/>
                                    <w:szCs w:val="40"/>
                                  </w:rPr>
                                </w:pPr>
                                <w:r w:rsidRPr="008E3F04">
                                  <w:rPr>
                                    <w:rFonts w:ascii="CoM" w:hAnsi="CoM"/>
                                    <w:sz w:val="40"/>
                                    <w:szCs w:val="40"/>
                                  </w:rPr>
                                  <w:t>October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4.8pt;margin-top:126.85pt;width:598.4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" stroked="f">
                    <v:textbox style="mso-fit-shape-to-text:t">
                      <w:txbxContent>
                        <w:p w:rsidR="000C0A4F" w:rsidRPr="008E3F04" w:rsidRDefault="000C0A4F" w:rsidP="008E3F04">
                          <w:pPr>
                            <w:jc w:val="center"/>
                            <w:rPr>
                              <w:rFonts w:ascii="CoM" w:hAnsi="CoM"/>
                              <w:sz w:val="62"/>
                              <w:szCs w:val="62"/>
                            </w:rPr>
                          </w:pPr>
                          <w:r w:rsidRPr="008E3F04">
                            <w:rPr>
                              <w:rFonts w:ascii="CoM" w:hAnsi="CoM"/>
                              <w:sz w:val="62"/>
                              <w:szCs w:val="62"/>
                            </w:rPr>
                            <w:t>City of Melbourne</w:t>
                          </w:r>
                        </w:p>
                        <w:p w:rsidR="000C0A4F" w:rsidRPr="008E3F04" w:rsidRDefault="000C0A4F" w:rsidP="008E3F04">
                          <w:pPr>
                            <w:jc w:val="center"/>
                            <w:rPr>
                              <w:rFonts w:ascii="CoM" w:hAnsi="CoM"/>
                              <w:sz w:val="62"/>
                              <w:szCs w:val="62"/>
                            </w:rPr>
                          </w:pPr>
                          <w:r w:rsidRPr="008E3F04">
                            <w:rPr>
                              <w:rFonts w:ascii="CoM" w:hAnsi="CoM"/>
                              <w:sz w:val="62"/>
                              <w:szCs w:val="62"/>
                            </w:rPr>
                            <w:t xml:space="preserve">Draft </w:t>
                          </w:r>
                          <w:r>
                            <w:rPr>
                              <w:rFonts w:ascii="CoM" w:hAnsi="CoM"/>
                              <w:sz w:val="62"/>
                              <w:szCs w:val="62"/>
                            </w:rPr>
                            <w:t>e</w:t>
                          </w:r>
                          <w:r w:rsidRPr="008E3F04">
                            <w:rPr>
                              <w:rFonts w:ascii="CoM" w:hAnsi="CoM"/>
                              <w:sz w:val="62"/>
                              <w:szCs w:val="62"/>
                            </w:rPr>
                            <w:t>lectronic gaming</w:t>
                          </w:r>
                          <w:r>
                            <w:rPr>
                              <w:rFonts w:ascii="CoM" w:hAnsi="CoM"/>
                              <w:sz w:val="62"/>
                              <w:szCs w:val="62"/>
                            </w:rPr>
                            <w:t xml:space="preserve"> Machine</w:t>
                          </w:r>
                        </w:p>
                        <w:p w:rsidR="000C0A4F" w:rsidRPr="008E3F04" w:rsidRDefault="000C0A4F" w:rsidP="008E3F04">
                          <w:pPr>
                            <w:jc w:val="center"/>
                            <w:rPr>
                              <w:rFonts w:ascii="CoM" w:hAnsi="CoM"/>
                              <w:sz w:val="62"/>
                              <w:szCs w:val="62"/>
                            </w:rPr>
                          </w:pPr>
                          <w:r w:rsidRPr="008E3F04">
                            <w:rPr>
                              <w:rFonts w:ascii="CoM" w:hAnsi="CoM"/>
                              <w:sz w:val="62"/>
                              <w:szCs w:val="62"/>
                            </w:rPr>
                            <w:t>Decision</w:t>
                          </w:r>
                          <w:r>
                            <w:rPr>
                              <w:rFonts w:ascii="CoM" w:hAnsi="CoM"/>
                              <w:sz w:val="62"/>
                              <w:szCs w:val="62"/>
                            </w:rPr>
                            <w:t>-</w:t>
                          </w:r>
                          <w:r w:rsidRPr="008E3F04">
                            <w:rPr>
                              <w:rFonts w:ascii="CoM" w:hAnsi="CoM"/>
                              <w:sz w:val="62"/>
                              <w:szCs w:val="62"/>
                            </w:rPr>
                            <w:t xml:space="preserve">making </w:t>
                          </w:r>
                          <w:r>
                            <w:rPr>
                              <w:rFonts w:ascii="CoM" w:hAnsi="CoM"/>
                              <w:sz w:val="62"/>
                              <w:szCs w:val="62"/>
                            </w:rPr>
                            <w:t>f</w:t>
                          </w:r>
                          <w:r w:rsidRPr="008E3F04">
                            <w:rPr>
                              <w:rFonts w:ascii="CoM" w:hAnsi="CoM"/>
                              <w:sz w:val="62"/>
                              <w:szCs w:val="62"/>
                            </w:rPr>
                            <w:t>ramework</w:t>
                          </w:r>
                        </w:p>
                        <w:p w:rsidR="000C0A4F" w:rsidRPr="008E3F04" w:rsidRDefault="000C0A4F" w:rsidP="008E3F04">
                          <w:pPr>
                            <w:jc w:val="center"/>
                            <w:rPr>
                              <w:rFonts w:ascii="CoM" w:hAnsi="CoM"/>
                              <w:sz w:val="40"/>
                              <w:szCs w:val="40"/>
                            </w:rPr>
                          </w:pPr>
                          <w:r w:rsidRPr="008E3F04">
                            <w:rPr>
                              <w:rFonts w:ascii="CoM" w:hAnsi="CoM"/>
                              <w:sz w:val="40"/>
                              <w:szCs w:val="40"/>
                            </w:rPr>
                            <w:t>October 2017</w:t>
                          </w:r>
                        </w:p>
                      </w:txbxContent>
                    </v:textbox>
                  </v:shape>
                </w:pict>
              </mc:Fallback>
            </mc:AlternateContent>
          </w:r>
          <w:r w:rsidR="00A83CEA">
            <w:rPr>
              <w:rFonts w:ascii="Arial" w:hAnsi="Arial" w:cs="Arial"/>
            </w:rPr>
            <w:br w:type="page"/>
          </w:r>
        </w:p>
      </w:sdtContent>
    </w:sdt>
    <w:p w:rsidR="00A83CEA" w:rsidRDefault="00A83CEA" w:rsidP="00A83CEA">
      <w:pPr>
        <w:rPr>
          <w:rFonts w:ascii="Arial" w:hAnsi="Arial" w:cs="Arial"/>
          <w:lang w:val="en-US"/>
        </w:rPr>
      </w:pPr>
    </w:p>
    <w:p w:rsidR="00A83CEA" w:rsidRDefault="00A83CEA" w:rsidP="00A83CEA">
      <w:pPr>
        <w:rPr>
          <w:rFonts w:ascii="Arial" w:hAnsi="Arial" w:cs="Arial"/>
          <w:b/>
          <w:bCs/>
          <w:lang w:val="en-US"/>
        </w:rPr>
      </w:pPr>
    </w:p>
    <w:p w:rsidR="00A83CEA" w:rsidRDefault="00A83CEA" w:rsidP="00A83CEA">
      <w:pPr>
        <w:rPr>
          <w:rFonts w:ascii="Arial" w:hAnsi="Arial" w:cs="Arial"/>
          <w:bCs/>
          <w:lang w:val="en-US"/>
        </w:rPr>
      </w:pPr>
      <w:r>
        <w:rPr>
          <w:rFonts w:ascii="Arial" w:hAnsi="Arial" w:cs="Arial"/>
          <w:bCs/>
          <w:lang w:val="en-US"/>
        </w:rPr>
        <w:t>This report was prepared by Symplan on behalf of the City of Melbourne.</w:t>
      </w: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43325C" w:rsidRDefault="0043325C"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p>
    <w:p w:rsidR="00A83CEA" w:rsidRDefault="00A83CEA" w:rsidP="00A83CEA">
      <w:pPr>
        <w:rPr>
          <w:rFonts w:ascii="Arial" w:hAnsi="Arial" w:cs="Arial"/>
          <w:b/>
          <w:bCs/>
          <w:lang w:val="en-US"/>
        </w:rPr>
      </w:pPr>
      <w:r>
        <w:rPr>
          <w:rFonts w:ascii="Arial" w:hAnsi="Arial" w:cs="Arial"/>
          <w:b/>
          <w:bCs/>
          <w:lang w:val="en-US"/>
        </w:rPr>
        <w:t>Disclaimer</w:t>
      </w:r>
    </w:p>
    <w:p w:rsidR="00A83CEA" w:rsidRDefault="00A83CEA" w:rsidP="00A83CEA">
      <w:pPr>
        <w:rPr>
          <w:rFonts w:ascii="Arial" w:hAnsi="Arial" w:cs="Arial"/>
          <w:iCs/>
        </w:rPr>
      </w:pPr>
      <w:r>
        <w:rPr>
          <w:rFonts w:ascii="Arial" w:hAnsi="Arial" w:cs="Arial"/>
          <w:iCs/>
        </w:rPr>
        <w:t>Symplan produces work of the highest professional and academic standards. Although Symplan has taken all the necessary steps to ensure that an accurate document has been prepared, we accept no responsibility or liability for damages or loss incurred as a result of reliance placed upon either the report or its contents. Readers should therefore rely on their own skill and judgement when applying any information or analysis presented in this report to particular issues or circumstances.</w:t>
      </w:r>
    </w:p>
    <w:p w:rsidR="00A83CEA" w:rsidRDefault="00A83CEA" w:rsidP="00A83CEA">
      <w:pPr>
        <w:rPr>
          <w:rFonts w:ascii="Arial" w:hAnsi="Arial" w:cs="Arial"/>
          <w:lang w:val="en-US"/>
        </w:rPr>
      </w:pPr>
      <w:r>
        <w:rPr>
          <w:rFonts w:ascii="Arial" w:hAnsi="Arial" w:cs="Arial"/>
          <w:lang w:val="en-US"/>
        </w:rPr>
        <w:t>© Symplan 2017</w:t>
      </w:r>
    </w:p>
    <w:p w:rsidR="00A83CEA" w:rsidRDefault="00A83CEA" w:rsidP="00A83CEA">
      <w:pPr>
        <w:spacing w:after="0"/>
        <w:rPr>
          <w:rFonts w:ascii="Arial" w:hAnsi="Arial" w:cs="Arial"/>
        </w:rPr>
        <w:sectPr w:rsidR="00A83CEA" w:rsidSect="00B30F5B">
          <w:footerReference w:type="default" r:id="rId11"/>
          <w:footerReference w:type="first" r:id="rId12"/>
          <w:pgSz w:w="11906" w:h="16838"/>
          <w:pgMar w:top="1440" w:right="1440" w:bottom="1440" w:left="1440" w:header="709" w:footer="709" w:gutter="0"/>
          <w:cols w:space="720"/>
        </w:sectPr>
      </w:pPr>
    </w:p>
    <w:sdt>
      <w:sdtPr>
        <w:rPr>
          <w:rFonts w:ascii="Arial" w:eastAsia="Times New Roman" w:hAnsi="Arial" w:cs="Arial"/>
          <w:b/>
          <w:bCs w:val="0"/>
          <w:sz w:val="22"/>
          <w:szCs w:val="22"/>
        </w:rPr>
        <w:id w:val="-1793965128"/>
        <w:docPartObj>
          <w:docPartGallery w:val="Table of Contents"/>
          <w:docPartUnique/>
        </w:docPartObj>
      </w:sdtPr>
      <w:sdtEndPr/>
      <w:sdtContent>
        <w:p w:rsidR="00A83CEA" w:rsidRPr="00C8531A" w:rsidRDefault="00A83CEA" w:rsidP="00A83CEA">
          <w:pPr>
            <w:pStyle w:val="TOCHeading"/>
            <w:numPr>
              <w:ilvl w:val="0"/>
              <w:numId w:val="0"/>
            </w:numPr>
            <w:spacing w:before="0"/>
            <w:rPr>
              <w:rFonts w:ascii="Arial" w:hAnsi="Arial" w:cs="Arial"/>
              <w:sz w:val="22"/>
              <w:szCs w:val="22"/>
            </w:rPr>
          </w:pPr>
          <w:r w:rsidRPr="00C8531A">
            <w:rPr>
              <w:rStyle w:val="Heading1Char"/>
              <w:rFonts w:ascii="Arial" w:hAnsi="Arial" w:cs="Arial"/>
              <w:bCs/>
              <w:sz w:val="22"/>
              <w:szCs w:val="22"/>
            </w:rPr>
            <w:t>Contents</w:t>
          </w:r>
        </w:p>
        <w:p w:rsidR="006835A8" w:rsidRPr="006835A8" w:rsidRDefault="00A83CEA">
          <w:pPr>
            <w:pStyle w:val="TOC1"/>
            <w:tabs>
              <w:tab w:val="right" w:leader="dot" w:pos="9016"/>
            </w:tabs>
            <w:rPr>
              <w:rFonts w:ascii="Arial" w:eastAsiaTheme="minorEastAsia" w:hAnsi="Arial" w:cs="Arial"/>
              <w:noProof/>
              <w:sz w:val="22"/>
              <w:szCs w:val="22"/>
              <w:lang w:eastAsia="en-AU"/>
            </w:rPr>
          </w:pPr>
          <w:r w:rsidRPr="00C8531A">
            <w:rPr>
              <w:rFonts w:ascii="Arial" w:hAnsi="Arial" w:cs="Arial"/>
              <w:sz w:val="22"/>
              <w:szCs w:val="22"/>
            </w:rPr>
            <w:fldChar w:fldCharType="begin"/>
          </w:r>
          <w:r w:rsidRPr="00C8531A">
            <w:rPr>
              <w:rFonts w:ascii="Arial" w:hAnsi="Arial" w:cs="Arial"/>
              <w:sz w:val="22"/>
              <w:szCs w:val="22"/>
            </w:rPr>
            <w:instrText xml:space="preserve"> TOC \o "1-2" \h \z \u </w:instrText>
          </w:r>
          <w:r w:rsidRPr="00C8531A">
            <w:rPr>
              <w:rFonts w:ascii="Arial" w:hAnsi="Arial" w:cs="Arial"/>
              <w:sz w:val="22"/>
              <w:szCs w:val="22"/>
            </w:rPr>
            <w:fldChar w:fldCharType="separate"/>
          </w:r>
          <w:hyperlink w:anchor="_Toc494291023" w:history="1">
            <w:r w:rsidR="006835A8" w:rsidRPr="006835A8">
              <w:rPr>
                <w:rStyle w:val="Hyperlink"/>
                <w:rFonts w:ascii="Arial" w:eastAsiaTheme="majorEastAsia" w:hAnsi="Arial" w:cs="Arial"/>
                <w:noProof/>
              </w:rPr>
              <w:t>Executive summary</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_Toc494291023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3</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24" w:history="1">
            <w:r w:rsidR="006835A8" w:rsidRPr="006835A8">
              <w:rPr>
                <w:rStyle w:val="Hyperlink"/>
                <w:rFonts w:ascii="Arial" w:eastAsiaTheme="majorEastAsia" w:hAnsi="Arial" w:cs="Arial"/>
                <w:noProof/>
              </w:rPr>
              <w:t>1</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Introduction</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_Toc494291024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4</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25" w:history="1">
            <w:r w:rsidR="006835A8" w:rsidRPr="006835A8">
              <w:rPr>
                <w:rStyle w:val="Hyperlink"/>
                <w:rFonts w:ascii="Arial" w:eastAsiaTheme="majorEastAsia" w:hAnsi="Arial" w:cs="Arial"/>
                <w:noProof/>
              </w:rPr>
              <w:t>2</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Harm minimisation</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_Toc494291025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4</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26" w:history="1">
            <w:r w:rsidR="006835A8" w:rsidRPr="006835A8">
              <w:rPr>
                <w:rStyle w:val="Hyperlink"/>
                <w:rFonts w:ascii="Arial" w:eastAsiaTheme="majorEastAsia" w:hAnsi="Arial" w:cs="Arial"/>
                <w:noProof/>
              </w:rPr>
              <w:t>3</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The City of Melbourne context</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_Toc494291026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4</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27" w:history="1">
            <w:r w:rsidR="006835A8" w:rsidRPr="006835A8">
              <w:rPr>
                <w:rStyle w:val="Hyperlink"/>
                <w:rFonts w:ascii="Arial" w:eastAsiaTheme="majorEastAsia" w:hAnsi="Arial" w:cs="Arial"/>
                <w:noProof/>
              </w:rPr>
              <w:t>3.1</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The role of the city</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_Toc494291027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4</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28" w:history="1">
            <w:r w:rsidR="006835A8" w:rsidRPr="006835A8">
              <w:rPr>
                <w:rStyle w:val="Hyperlink"/>
                <w:rFonts w:ascii="Arial" w:eastAsiaTheme="majorEastAsia" w:hAnsi="Arial" w:cs="Arial"/>
                <w:noProof/>
              </w:rPr>
              <w:t>3.2</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Gaming data</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_Toc494291028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5</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29" w:history="1">
            <w:r w:rsidR="006835A8" w:rsidRPr="006835A8">
              <w:rPr>
                <w:rStyle w:val="Hyperlink"/>
                <w:rFonts w:ascii="Arial" w:eastAsiaTheme="majorEastAsia" w:hAnsi="Arial" w:cs="Arial"/>
                <w:noProof/>
              </w:rPr>
              <w:t>3.3</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City of Melbourne gaming venues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_Toc494291029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6</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30" w:history="1">
            <w:r w:rsidR="006835A8" w:rsidRPr="006835A8">
              <w:rPr>
                <w:rStyle w:val="Hyperlink"/>
                <w:rFonts w:ascii="Arial" w:eastAsiaTheme="majorEastAsia" w:hAnsi="Arial" w:cs="Arial"/>
                <w:noProof/>
              </w:rPr>
              <w:t>4</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Impacts of gaming, gambling related harms and prevalence of gaming</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_Toc494291030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7</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1" w:history="1">
            <w:r w:rsidR="006835A8" w:rsidRPr="006835A8">
              <w:rPr>
                <w:rStyle w:val="Hyperlink"/>
                <w:rFonts w:ascii="Arial" w:eastAsiaTheme="majorEastAsia" w:hAnsi="Arial" w:cs="Arial"/>
                <w:noProof/>
              </w:rPr>
              <w:t>4.1</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Impacts of EGMs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_Toc494291031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7</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2" w:history="1">
            <w:r w:rsidR="006835A8" w:rsidRPr="006835A8">
              <w:rPr>
                <w:rStyle w:val="Hyperlink"/>
                <w:rFonts w:ascii="Arial" w:eastAsiaTheme="majorEastAsia" w:hAnsi="Arial" w:cs="Arial"/>
                <w:noProof/>
              </w:rPr>
              <w:t>4.2</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Risk of gambling related harms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_Toc494291032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8</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3" w:history="1">
            <w:r w:rsidR="006835A8" w:rsidRPr="006835A8">
              <w:rPr>
                <w:rStyle w:val="Hyperlink"/>
                <w:rFonts w:ascii="Arial" w:eastAsiaTheme="majorEastAsia" w:hAnsi="Arial" w:cs="Arial"/>
                <w:noProof/>
              </w:rPr>
              <w:t>4.3</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Factors increasing the potential for gambling related harms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_Toc494291033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9</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4" w:history="1">
            <w:r w:rsidR="006835A8" w:rsidRPr="006835A8">
              <w:rPr>
                <w:rStyle w:val="Hyperlink"/>
                <w:rFonts w:ascii="Arial" w:eastAsiaTheme="majorEastAsia" w:hAnsi="Arial" w:cs="Arial"/>
                <w:noProof/>
              </w:rPr>
              <w:t>4.4</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Vulnerability in the city of Melbourne</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_Toc494291034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9</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35" w:history="1">
            <w:r w:rsidR="006835A8" w:rsidRPr="006835A8">
              <w:rPr>
                <w:rStyle w:val="Hyperlink"/>
                <w:rFonts w:ascii="Arial" w:eastAsiaTheme="majorEastAsia" w:hAnsi="Arial" w:cs="Arial"/>
                <w:noProof/>
              </w:rPr>
              <w:t>5</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The regulatory context</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_Toc494291035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10</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6" w:history="1">
            <w:r w:rsidR="006835A8" w:rsidRPr="006835A8">
              <w:rPr>
                <w:rStyle w:val="Hyperlink"/>
                <w:rFonts w:ascii="Arial" w:eastAsiaTheme="majorEastAsia" w:hAnsi="Arial" w:cs="Arial"/>
                <w:noProof/>
              </w:rPr>
              <w:t>5.1</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Gambling Regulation Act 2003</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_Toc494291036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10</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7" w:history="1">
            <w:r w:rsidR="006835A8" w:rsidRPr="006835A8">
              <w:rPr>
                <w:rStyle w:val="Hyperlink"/>
                <w:rFonts w:ascii="Arial" w:eastAsiaTheme="majorEastAsia" w:hAnsi="Arial" w:cs="Arial"/>
                <w:noProof/>
              </w:rPr>
              <w:t>5.2</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Municipal and regional caps within the City of Melbourne</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_Toc494291037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10</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8" w:history="1">
            <w:r w:rsidR="006835A8" w:rsidRPr="006835A8">
              <w:rPr>
                <w:rStyle w:val="Hyperlink"/>
                <w:rFonts w:ascii="Arial" w:eastAsiaTheme="majorEastAsia" w:hAnsi="Arial" w:cs="Arial"/>
                <w:noProof/>
              </w:rPr>
              <w:t>5.3</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Planning and Environment Act 1987</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_Toc494291038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12</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39" w:history="1">
            <w:r w:rsidR="006835A8" w:rsidRPr="006835A8">
              <w:rPr>
                <w:rStyle w:val="Hyperlink"/>
                <w:rFonts w:ascii="Arial" w:eastAsiaTheme="majorEastAsia" w:hAnsi="Arial" w:cs="Arial"/>
                <w:noProof/>
              </w:rPr>
              <w:t>5.4</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Council’s roles and responsibilities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_Toc494291039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12</w:t>
            </w:r>
            <w:r w:rsidR="006835A8" w:rsidRPr="006835A8">
              <w:rPr>
                <w:rFonts w:ascii="Arial" w:hAnsi="Arial" w:cs="Arial"/>
                <w:noProof/>
                <w:webHidden/>
              </w:rPr>
              <w:fldChar w:fldCharType="end"/>
            </w:r>
          </w:hyperlink>
        </w:p>
        <w:p w:rsidR="006835A8" w:rsidRPr="006835A8" w:rsidRDefault="00DA5951">
          <w:pPr>
            <w:pStyle w:val="TOC1"/>
            <w:tabs>
              <w:tab w:val="left" w:pos="400"/>
              <w:tab w:val="right" w:leader="dot" w:pos="9016"/>
            </w:tabs>
            <w:rPr>
              <w:rFonts w:ascii="Arial" w:eastAsiaTheme="minorEastAsia" w:hAnsi="Arial" w:cs="Arial"/>
              <w:noProof/>
              <w:sz w:val="22"/>
              <w:szCs w:val="22"/>
              <w:lang w:eastAsia="en-AU"/>
            </w:rPr>
          </w:pPr>
          <w:hyperlink w:anchor="_Toc494291040" w:history="1">
            <w:r w:rsidR="006835A8" w:rsidRPr="006835A8">
              <w:rPr>
                <w:rStyle w:val="Hyperlink"/>
                <w:rFonts w:ascii="Arial" w:eastAsiaTheme="majorEastAsia" w:hAnsi="Arial" w:cs="Arial"/>
                <w:noProof/>
              </w:rPr>
              <w:t>6</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Decision-making framework</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_Toc494291040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15</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41" w:history="1">
            <w:r w:rsidR="006835A8" w:rsidRPr="006835A8">
              <w:rPr>
                <w:rStyle w:val="Hyperlink"/>
                <w:rFonts w:ascii="Arial" w:eastAsiaTheme="majorEastAsia" w:hAnsi="Arial" w:cs="Arial"/>
                <w:noProof/>
              </w:rPr>
              <w:t>6.1</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Principles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_Toc494291041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15</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42" w:history="1">
            <w:r w:rsidR="006835A8" w:rsidRPr="006835A8">
              <w:rPr>
                <w:rStyle w:val="Hyperlink"/>
                <w:rFonts w:ascii="Arial" w:eastAsiaTheme="majorEastAsia" w:hAnsi="Arial" w:cs="Arial"/>
                <w:noProof/>
              </w:rPr>
              <w:t>6.2</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Relevant considerations under the two Applicable Acts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_Toc494291042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16</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43" w:history="1">
            <w:r w:rsidR="006835A8" w:rsidRPr="006835A8">
              <w:rPr>
                <w:rStyle w:val="Hyperlink"/>
                <w:rFonts w:ascii="Arial" w:eastAsiaTheme="majorEastAsia" w:hAnsi="Arial" w:cs="Arial"/>
                <w:noProof/>
              </w:rPr>
              <w:t>6.3</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Strategic action framework</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_Toc494291043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17</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44" w:history="1">
            <w:r w:rsidR="006835A8" w:rsidRPr="006835A8">
              <w:rPr>
                <w:rStyle w:val="Hyperlink"/>
                <w:rFonts w:ascii="Arial" w:eastAsiaTheme="majorEastAsia" w:hAnsi="Arial" w:cs="Arial"/>
                <w:noProof/>
              </w:rPr>
              <w:t>6.4</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Social and economic impact assessment tool</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_Toc494291044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20</w:t>
            </w:r>
            <w:r w:rsidR="006835A8" w:rsidRPr="006835A8">
              <w:rPr>
                <w:rFonts w:ascii="Arial" w:hAnsi="Arial" w:cs="Arial"/>
                <w:noProof/>
                <w:webHidden/>
              </w:rPr>
              <w:fldChar w:fldCharType="end"/>
            </w:r>
          </w:hyperlink>
        </w:p>
        <w:p w:rsidR="006835A8" w:rsidRPr="006835A8" w:rsidRDefault="00DA5951">
          <w:pPr>
            <w:pStyle w:val="TOC2"/>
            <w:tabs>
              <w:tab w:val="left" w:pos="800"/>
              <w:tab w:val="right" w:leader="dot" w:pos="9016"/>
            </w:tabs>
            <w:rPr>
              <w:rFonts w:ascii="Arial" w:eastAsiaTheme="minorEastAsia" w:hAnsi="Arial" w:cs="Arial"/>
              <w:noProof/>
              <w:sz w:val="22"/>
              <w:szCs w:val="22"/>
              <w:lang w:eastAsia="en-AU"/>
            </w:rPr>
          </w:pPr>
          <w:hyperlink w:anchor="_Toc494291045" w:history="1">
            <w:r w:rsidR="006835A8" w:rsidRPr="006835A8">
              <w:rPr>
                <w:rStyle w:val="Hyperlink"/>
                <w:rFonts w:ascii="Arial" w:eastAsiaTheme="majorEastAsia" w:hAnsi="Arial" w:cs="Arial"/>
                <w:noProof/>
              </w:rPr>
              <w:t>6.5</w:t>
            </w:r>
            <w:r w:rsidR="006835A8" w:rsidRPr="006835A8">
              <w:rPr>
                <w:rFonts w:ascii="Arial" w:eastAsiaTheme="minorEastAsia" w:hAnsi="Arial" w:cs="Arial"/>
                <w:noProof/>
                <w:sz w:val="22"/>
                <w:szCs w:val="22"/>
                <w:lang w:eastAsia="en-AU"/>
              </w:rPr>
              <w:tab/>
            </w:r>
            <w:r w:rsidR="006835A8" w:rsidRPr="006835A8">
              <w:rPr>
                <w:rStyle w:val="Hyperlink"/>
                <w:rFonts w:ascii="Arial" w:eastAsiaTheme="majorEastAsia" w:hAnsi="Arial" w:cs="Arial"/>
                <w:noProof/>
              </w:rPr>
              <w:t>Monitoring and review</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_Toc494291045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20</w:t>
            </w:r>
            <w:r w:rsidR="006835A8" w:rsidRPr="006835A8">
              <w:rPr>
                <w:rFonts w:ascii="Arial" w:hAnsi="Arial" w:cs="Arial"/>
                <w:noProof/>
                <w:webHidden/>
              </w:rPr>
              <w:fldChar w:fldCharType="end"/>
            </w:r>
          </w:hyperlink>
        </w:p>
        <w:p w:rsidR="006835A8" w:rsidRPr="006835A8" w:rsidRDefault="00DA5951">
          <w:pPr>
            <w:pStyle w:val="TOC1"/>
            <w:tabs>
              <w:tab w:val="right" w:leader="dot" w:pos="9016"/>
            </w:tabs>
            <w:rPr>
              <w:rFonts w:ascii="Arial" w:eastAsiaTheme="minorEastAsia" w:hAnsi="Arial" w:cs="Arial"/>
              <w:noProof/>
              <w:sz w:val="22"/>
              <w:szCs w:val="22"/>
              <w:lang w:eastAsia="en-AU"/>
            </w:rPr>
          </w:pPr>
          <w:hyperlink w:anchor="_Toc494291046" w:history="1">
            <w:r w:rsidR="006835A8" w:rsidRPr="006835A8">
              <w:rPr>
                <w:rStyle w:val="Hyperlink"/>
                <w:rFonts w:ascii="Arial" w:eastAsiaTheme="majorEastAsia" w:hAnsi="Arial" w:cs="Arial"/>
                <w:noProof/>
              </w:rPr>
              <w:t>Appendix 1 – Bibliography</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_Toc494291046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21</w:t>
            </w:r>
            <w:r w:rsidR="006835A8" w:rsidRPr="006835A8">
              <w:rPr>
                <w:rFonts w:ascii="Arial" w:hAnsi="Arial" w:cs="Arial"/>
                <w:noProof/>
                <w:webHidden/>
              </w:rPr>
              <w:fldChar w:fldCharType="end"/>
            </w:r>
          </w:hyperlink>
        </w:p>
        <w:p w:rsidR="006835A8" w:rsidRPr="006835A8" w:rsidRDefault="00DA5951">
          <w:pPr>
            <w:pStyle w:val="TOC1"/>
            <w:tabs>
              <w:tab w:val="right" w:leader="dot" w:pos="9016"/>
            </w:tabs>
            <w:rPr>
              <w:rFonts w:ascii="Arial" w:eastAsiaTheme="minorEastAsia" w:hAnsi="Arial" w:cs="Arial"/>
              <w:noProof/>
              <w:sz w:val="22"/>
              <w:szCs w:val="22"/>
              <w:lang w:eastAsia="en-AU"/>
            </w:rPr>
          </w:pPr>
          <w:hyperlink w:anchor="_Toc494291047" w:history="1">
            <w:r w:rsidR="006835A8" w:rsidRPr="006835A8">
              <w:rPr>
                <w:rStyle w:val="Hyperlink"/>
                <w:rFonts w:ascii="Arial" w:eastAsiaTheme="majorEastAsia" w:hAnsi="Arial" w:cs="Arial"/>
                <w:noProof/>
              </w:rPr>
              <w:t>Appendix 2 – Social and Economic Impact Assessment Tool</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_Toc494291047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23</w:t>
            </w:r>
            <w:r w:rsidR="006835A8" w:rsidRPr="006835A8">
              <w:rPr>
                <w:rFonts w:ascii="Arial" w:hAnsi="Arial" w:cs="Arial"/>
                <w:noProof/>
                <w:webHidden/>
              </w:rPr>
              <w:fldChar w:fldCharType="end"/>
            </w:r>
          </w:hyperlink>
        </w:p>
        <w:p w:rsidR="006835A8" w:rsidRPr="006835A8" w:rsidRDefault="00DA5951">
          <w:pPr>
            <w:pStyle w:val="TOC2"/>
            <w:tabs>
              <w:tab w:val="right" w:leader="dot" w:pos="9016"/>
            </w:tabs>
            <w:rPr>
              <w:rFonts w:ascii="Arial" w:eastAsiaTheme="minorEastAsia" w:hAnsi="Arial" w:cs="Arial"/>
              <w:noProof/>
              <w:sz w:val="22"/>
              <w:szCs w:val="22"/>
              <w:lang w:eastAsia="en-AU"/>
            </w:rPr>
          </w:pPr>
          <w:hyperlink w:anchor="_Toc494291048" w:history="1">
            <w:r w:rsidR="006835A8" w:rsidRPr="006835A8">
              <w:rPr>
                <w:rStyle w:val="Hyperlink"/>
                <w:rFonts w:ascii="Arial" w:eastAsiaTheme="majorEastAsia" w:hAnsi="Arial" w:cs="Arial"/>
                <w:noProof/>
              </w:rPr>
              <w:t>Application details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_Toc494291048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23</w:t>
            </w:r>
            <w:r w:rsidR="006835A8" w:rsidRPr="006835A8">
              <w:rPr>
                <w:rFonts w:ascii="Arial" w:hAnsi="Arial" w:cs="Arial"/>
                <w:noProof/>
                <w:webHidden/>
              </w:rPr>
              <w:fldChar w:fldCharType="end"/>
            </w:r>
          </w:hyperlink>
        </w:p>
        <w:p w:rsidR="006835A8" w:rsidRPr="006835A8" w:rsidRDefault="00DA5951">
          <w:pPr>
            <w:pStyle w:val="TOC2"/>
            <w:tabs>
              <w:tab w:val="right" w:leader="dot" w:pos="9016"/>
            </w:tabs>
            <w:rPr>
              <w:rFonts w:ascii="Arial" w:eastAsiaTheme="minorEastAsia" w:hAnsi="Arial" w:cs="Arial"/>
              <w:noProof/>
              <w:sz w:val="22"/>
              <w:szCs w:val="22"/>
              <w:lang w:eastAsia="en-AU"/>
            </w:rPr>
          </w:pPr>
          <w:hyperlink w:anchor="_Toc494291049" w:history="1">
            <w:r w:rsidR="006835A8" w:rsidRPr="006835A8">
              <w:rPr>
                <w:rStyle w:val="Hyperlink"/>
                <w:rFonts w:ascii="Arial" w:eastAsiaTheme="majorEastAsia" w:hAnsi="Arial" w:cs="Arial"/>
                <w:noProof/>
              </w:rPr>
              <w:t>Risk and protective factors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_Toc494291049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23</w:t>
            </w:r>
            <w:r w:rsidR="006835A8" w:rsidRPr="006835A8">
              <w:rPr>
                <w:rFonts w:ascii="Arial" w:hAnsi="Arial" w:cs="Arial"/>
                <w:noProof/>
                <w:webHidden/>
              </w:rPr>
              <w:fldChar w:fldCharType="end"/>
            </w:r>
          </w:hyperlink>
        </w:p>
        <w:p w:rsidR="006835A8" w:rsidRPr="006835A8" w:rsidRDefault="00DA5951">
          <w:pPr>
            <w:pStyle w:val="TOC2"/>
            <w:tabs>
              <w:tab w:val="right" w:leader="dot" w:pos="9016"/>
            </w:tabs>
            <w:rPr>
              <w:rFonts w:ascii="Arial" w:eastAsiaTheme="minorEastAsia" w:hAnsi="Arial" w:cs="Arial"/>
              <w:noProof/>
              <w:sz w:val="22"/>
              <w:szCs w:val="22"/>
              <w:lang w:eastAsia="en-AU"/>
            </w:rPr>
          </w:pPr>
          <w:hyperlink w:anchor="_Toc494291050" w:history="1">
            <w:r w:rsidR="006835A8" w:rsidRPr="006835A8">
              <w:rPr>
                <w:rStyle w:val="Hyperlink"/>
                <w:rFonts w:ascii="Arial" w:eastAsiaTheme="majorEastAsia" w:hAnsi="Arial" w:cs="Arial"/>
                <w:noProof/>
              </w:rPr>
              <w:t>Impact assessment</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_Toc494291050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29</w:t>
            </w:r>
            <w:r w:rsidR="006835A8" w:rsidRPr="006835A8">
              <w:rPr>
                <w:rFonts w:ascii="Arial" w:hAnsi="Arial" w:cs="Arial"/>
                <w:noProof/>
                <w:webHidden/>
              </w:rPr>
              <w:fldChar w:fldCharType="end"/>
            </w:r>
          </w:hyperlink>
        </w:p>
        <w:p w:rsidR="006835A8" w:rsidRPr="006835A8" w:rsidRDefault="00DA5951">
          <w:pPr>
            <w:pStyle w:val="TOC1"/>
            <w:tabs>
              <w:tab w:val="right" w:leader="dot" w:pos="9016"/>
            </w:tabs>
            <w:rPr>
              <w:rFonts w:ascii="Arial" w:eastAsiaTheme="minorEastAsia" w:hAnsi="Arial" w:cs="Arial"/>
              <w:noProof/>
              <w:sz w:val="22"/>
              <w:szCs w:val="22"/>
              <w:lang w:eastAsia="en-AU"/>
            </w:rPr>
          </w:pPr>
          <w:hyperlink w:anchor="_Toc494291051" w:history="1">
            <w:r w:rsidR="006835A8" w:rsidRPr="006835A8">
              <w:rPr>
                <w:rStyle w:val="Hyperlink"/>
                <w:rFonts w:ascii="Arial" w:eastAsiaTheme="majorEastAsia" w:hAnsi="Arial" w:cs="Arial"/>
                <w:noProof/>
              </w:rPr>
              <w:t>Appendix 3 Key EGM data 2015–16</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_Toc494291051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31</w:t>
            </w:r>
            <w:r w:rsidR="006835A8" w:rsidRPr="006835A8">
              <w:rPr>
                <w:rFonts w:ascii="Arial" w:hAnsi="Arial" w:cs="Arial"/>
                <w:noProof/>
                <w:webHidden/>
              </w:rPr>
              <w:fldChar w:fldCharType="end"/>
            </w:r>
          </w:hyperlink>
        </w:p>
        <w:p w:rsidR="006835A8" w:rsidRDefault="00DA5951">
          <w:pPr>
            <w:pStyle w:val="TOC1"/>
            <w:tabs>
              <w:tab w:val="right" w:leader="dot" w:pos="9016"/>
            </w:tabs>
            <w:rPr>
              <w:rFonts w:asciiTheme="minorHAnsi" w:eastAsiaTheme="minorEastAsia" w:hAnsiTheme="minorHAnsi" w:cstheme="minorBidi"/>
              <w:noProof/>
              <w:sz w:val="22"/>
              <w:szCs w:val="22"/>
              <w:lang w:eastAsia="en-AU"/>
            </w:rPr>
          </w:pPr>
          <w:hyperlink w:anchor="_Toc494291052" w:history="1">
            <w:r w:rsidR="006835A8" w:rsidRPr="006835A8">
              <w:rPr>
                <w:rStyle w:val="Hyperlink"/>
                <w:rFonts w:ascii="Arial" w:eastAsiaTheme="majorEastAsia" w:hAnsi="Arial" w:cs="Arial"/>
                <w:noProof/>
              </w:rPr>
              <w:t>References</w:t>
            </w:r>
            <w:r w:rsidR="006835A8" w:rsidRPr="006835A8">
              <w:rPr>
                <w:rFonts w:ascii="Arial" w:hAnsi="Arial" w:cs="Arial"/>
                <w:noProof/>
                <w:webHidden/>
              </w:rPr>
              <w:tab/>
            </w:r>
            <w:r w:rsidR="006835A8" w:rsidRPr="006835A8">
              <w:rPr>
                <w:rFonts w:ascii="Arial" w:hAnsi="Arial" w:cs="Arial"/>
                <w:noProof/>
                <w:webHidden/>
              </w:rPr>
              <w:fldChar w:fldCharType="begin"/>
            </w:r>
            <w:r w:rsidR="006835A8" w:rsidRPr="006835A8">
              <w:rPr>
                <w:rFonts w:ascii="Arial" w:hAnsi="Arial" w:cs="Arial"/>
                <w:noProof/>
                <w:webHidden/>
              </w:rPr>
              <w:instrText xml:space="preserve"> PAGEREF _Toc494291052 \h </w:instrText>
            </w:r>
            <w:r w:rsidR="006835A8" w:rsidRPr="006835A8">
              <w:rPr>
                <w:rFonts w:ascii="Arial" w:hAnsi="Arial" w:cs="Arial"/>
                <w:noProof/>
                <w:webHidden/>
              </w:rPr>
            </w:r>
            <w:r w:rsidR="006835A8" w:rsidRPr="006835A8">
              <w:rPr>
                <w:rFonts w:ascii="Arial" w:hAnsi="Arial" w:cs="Arial"/>
                <w:noProof/>
                <w:webHidden/>
              </w:rPr>
              <w:fldChar w:fldCharType="separate"/>
            </w:r>
            <w:r w:rsidR="006835A8" w:rsidRPr="006835A8">
              <w:rPr>
                <w:rFonts w:ascii="Arial" w:hAnsi="Arial" w:cs="Arial"/>
                <w:noProof/>
                <w:webHidden/>
              </w:rPr>
              <w:t>32</w:t>
            </w:r>
            <w:r w:rsidR="006835A8" w:rsidRPr="006835A8">
              <w:rPr>
                <w:rFonts w:ascii="Arial" w:hAnsi="Arial" w:cs="Arial"/>
                <w:noProof/>
                <w:webHidden/>
              </w:rPr>
              <w:fldChar w:fldCharType="end"/>
            </w:r>
          </w:hyperlink>
        </w:p>
        <w:p w:rsidR="00A83CEA" w:rsidRDefault="00A83CEA" w:rsidP="00A83CEA">
          <w:pPr>
            <w:rPr>
              <w:rFonts w:ascii="Arial" w:hAnsi="Arial" w:cs="Arial"/>
            </w:rPr>
          </w:pPr>
          <w:r w:rsidRPr="00C8531A">
            <w:rPr>
              <w:rFonts w:ascii="Arial" w:hAnsi="Arial" w:cs="Arial"/>
              <w:sz w:val="22"/>
              <w:szCs w:val="22"/>
            </w:rPr>
            <w:fldChar w:fldCharType="end"/>
          </w:r>
        </w:p>
      </w:sdtContent>
    </w:sdt>
    <w:p w:rsidR="00A83CEA" w:rsidRDefault="00A83CEA" w:rsidP="00A83CEA">
      <w:pPr>
        <w:spacing w:line="276" w:lineRule="auto"/>
        <w:rPr>
          <w:rFonts w:ascii="Arial" w:hAnsi="Arial" w:cs="Arial"/>
          <w:b/>
          <w:sz w:val="30"/>
        </w:rPr>
      </w:pPr>
      <w:r>
        <w:rPr>
          <w:rFonts w:ascii="Arial" w:hAnsi="Arial" w:cs="Arial"/>
          <w:b/>
          <w:sz w:val="30"/>
        </w:rPr>
        <w:br w:type="page"/>
        <w:t>Figures</w:t>
      </w:r>
    </w:p>
    <w:p w:rsidR="00084F6F" w:rsidRDefault="00084F6F" w:rsidP="00A83CEA">
      <w:pPr>
        <w:pStyle w:val="TableofFigures"/>
        <w:tabs>
          <w:tab w:val="right" w:leader="dot" w:pos="9016"/>
        </w:tabs>
        <w:rPr>
          <w:rFonts w:ascii="Arial" w:hAnsi="Arial" w:cs="Arial"/>
        </w:rPr>
      </w:pPr>
      <w:r>
        <w:rPr>
          <w:rFonts w:ascii="Arial" w:hAnsi="Arial"/>
        </w:rPr>
        <w:t>Figure 1 – Estimated daily population within the City of Melbourne</w:t>
      </w:r>
      <w:r>
        <w:rPr>
          <w:rFonts w:ascii="Arial" w:hAnsi="Arial" w:cs="Arial"/>
          <w:webHidden/>
        </w:rPr>
        <w:tab/>
        <w:t>5</w:t>
      </w:r>
    </w:p>
    <w:p w:rsidR="005232A7" w:rsidRPr="005232A7" w:rsidRDefault="00084F6F">
      <w:pPr>
        <w:pStyle w:val="TableofFigures"/>
        <w:tabs>
          <w:tab w:val="right" w:leader="dot" w:pos="9016"/>
        </w:tabs>
        <w:rPr>
          <w:rFonts w:ascii="Arial" w:hAnsi="Arial" w:cs="Arial"/>
        </w:rPr>
      </w:pPr>
      <w:r>
        <w:rPr>
          <w:rFonts w:ascii="Arial" w:hAnsi="Arial" w:cs="Arial"/>
        </w:rPr>
        <w:t>Figure 2</w:t>
      </w:r>
      <w:r w:rsidR="00A83CEA">
        <w:rPr>
          <w:rFonts w:ascii="Arial" w:hAnsi="Arial" w:cs="Arial"/>
        </w:rPr>
        <w:t xml:space="preserve"> – Capped and uncapped areas within the City of Melbourne</w:t>
      </w:r>
      <w:r w:rsidR="00A83CEA">
        <w:rPr>
          <w:rFonts w:ascii="Arial" w:hAnsi="Arial" w:cs="Arial"/>
          <w:webHidden/>
        </w:rPr>
        <w:tab/>
        <w:t>9</w:t>
      </w:r>
    </w:p>
    <w:p w:rsidR="00C96E68" w:rsidRDefault="00C96E68" w:rsidP="00C96E68">
      <w:pPr>
        <w:pStyle w:val="TableofFigures"/>
        <w:tabs>
          <w:tab w:val="right" w:leader="dot" w:pos="9016"/>
        </w:tabs>
        <w:rPr>
          <w:rFonts w:ascii="Arial" w:hAnsi="Arial" w:cs="Arial"/>
        </w:rPr>
      </w:pPr>
      <w:r>
        <w:rPr>
          <w:rFonts w:ascii="Arial" w:hAnsi="Arial"/>
        </w:rPr>
        <w:t>Figure 3 – Council roles and responsibilities</w:t>
      </w:r>
      <w:r>
        <w:rPr>
          <w:rFonts w:ascii="Arial" w:hAnsi="Arial" w:cs="Arial"/>
          <w:webHidden/>
        </w:rPr>
        <w:tab/>
        <w:t>14</w:t>
      </w:r>
    </w:p>
    <w:p w:rsidR="00C96E68" w:rsidRPr="008F077E" w:rsidRDefault="00C96E68" w:rsidP="00C96E68">
      <w:pPr>
        <w:pStyle w:val="TableofFigures"/>
        <w:tabs>
          <w:tab w:val="right" w:leader="dot" w:pos="9016"/>
        </w:tabs>
        <w:rPr>
          <w:rFonts w:ascii="Arial" w:hAnsi="Arial" w:cs="Arial"/>
        </w:rPr>
      </w:pPr>
    </w:p>
    <w:p w:rsidR="00A83CEA" w:rsidRDefault="00A83CEA" w:rsidP="00A83CEA">
      <w:pPr>
        <w:rPr>
          <w:rFonts w:ascii="Arial" w:hAnsi="Arial" w:cs="Arial"/>
        </w:rPr>
      </w:pPr>
    </w:p>
    <w:p w:rsidR="00A83CEA" w:rsidRDefault="00A83CEA" w:rsidP="00A83CEA">
      <w:pPr>
        <w:rPr>
          <w:rFonts w:ascii="Arial" w:hAnsi="Arial" w:cs="Arial"/>
          <w:b/>
          <w:sz w:val="30"/>
        </w:rPr>
      </w:pPr>
      <w:r>
        <w:rPr>
          <w:rFonts w:ascii="Arial" w:hAnsi="Arial" w:cs="Arial"/>
          <w:b/>
          <w:sz w:val="30"/>
        </w:rPr>
        <w:t>Tables</w:t>
      </w:r>
    </w:p>
    <w:p w:rsidR="00BD6E05" w:rsidRDefault="00A83CEA">
      <w:pPr>
        <w:pStyle w:val="TableofFigures"/>
        <w:tabs>
          <w:tab w:val="right" w:leader="dot" w:pos="9016"/>
        </w:tabs>
        <w:rPr>
          <w:rFonts w:asciiTheme="minorHAnsi" w:eastAsiaTheme="minorEastAsia" w:hAnsiTheme="minorHAnsi" w:cstheme="minorBidi"/>
          <w:noProof/>
          <w:sz w:val="22"/>
          <w:szCs w:val="22"/>
          <w:lang w:eastAsia="en-AU"/>
        </w:rPr>
      </w:pPr>
      <w:r w:rsidRPr="003B7BE5">
        <w:rPr>
          <w:rFonts w:ascii="Arial" w:hAnsi="Arial" w:cs="Arial"/>
          <w:sz w:val="22"/>
          <w:szCs w:val="22"/>
        </w:rPr>
        <w:fldChar w:fldCharType="begin"/>
      </w:r>
      <w:r w:rsidRPr="003B7BE5">
        <w:rPr>
          <w:rFonts w:ascii="Arial" w:hAnsi="Arial" w:cs="Arial"/>
          <w:sz w:val="22"/>
          <w:szCs w:val="22"/>
        </w:rPr>
        <w:instrText xml:space="preserve"> TOC \h \z \c "Table" </w:instrText>
      </w:r>
      <w:r w:rsidRPr="003B7BE5">
        <w:rPr>
          <w:rFonts w:ascii="Arial" w:hAnsi="Arial" w:cs="Arial"/>
          <w:sz w:val="22"/>
          <w:szCs w:val="22"/>
        </w:rPr>
        <w:fldChar w:fldCharType="separate"/>
      </w:r>
      <w:hyperlink w:anchor="_Toc494291122" w:history="1">
        <w:r w:rsidR="00BD6E05" w:rsidRPr="00284240">
          <w:rPr>
            <w:rStyle w:val="Hyperlink"/>
            <w:rFonts w:ascii="Arial" w:eastAsiaTheme="majorEastAsia" w:hAnsi="Arial"/>
            <w:noProof/>
          </w:rPr>
          <w:t>Table 1 – Factors increasing the potential for</w:t>
        </w:r>
        <w:r w:rsidR="00BD6E05" w:rsidRPr="00284240">
          <w:rPr>
            <w:rStyle w:val="Hyperlink"/>
            <w:rFonts w:ascii="CoM" w:eastAsiaTheme="majorEastAsia" w:hAnsi="CoM"/>
            <w:noProof/>
          </w:rPr>
          <w:t xml:space="preserve"> </w:t>
        </w:r>
        <w:r w:rsidR="00BD6E05" w:rsidRPr="00284240">
          <w:rPr>
            <w:rStyle w:val="Hyperlink"/>
            <w:rFonts w:ascii="Arial" w:eastAsiaTheme="majorEastAsia" w:hAnsi="Arial"/>
            <w:noProof/>
          </w:rPr>
          <w:t>gambling-related harms</w:t>
        </w:r>
        <w:r w:rsidR="00BD6E05">
          <w:rPr>
            <w:noProof/>
            <w:webHidden/>
          </w:rPr>
          <w:tab/>
        </w:r>
        <w:r w:rsidR="00BD6E05">
          <w:rPr>
            <w:noProof/>
            <w:webHidden/>
          </w:rPr>
          <w:fldChar w:fldCharType="begin"/>
        </w:r>
        <w:r w:rsidR="00BD6E05">
          <w:rPr>
            <w:noProof/>
            <w:webHidden/>
          </w:rPr>
          <w:instrText xml:space="preserve"> PAGEREF _Toc494291122 \h </w:instrText>
        </w:r>
        <w:r w:rsidR="00BD6E05">
          <w:rPr>
            <w:noProof/>
            <w:webHidden/>
          </w:rPr>
        </w:r>
        <w:r w:rsidR="00BD6E05">
          <w:rPr>
            <w:noProof/>
            <w:webHidden/>
          </w:rPr>
          <w:fldChar w:fldCharType="separate"/>
        </w:r>
        <w:r w:rsidR="00BD6E05">
          <w:rPr>
            <w:noProof/>
            <w:webHidden/>
          </w:rPr>
          <w:t>9</w:t>
        </w:r>
        <w:r w:rsidR="00BD6E05">
          <w:rPr>
            <w:noProof/>
            <w:webHidden/>
          </w:rPr>
          <w:fldChar w:fldCharType="end"/>
        </w:r>
      </w:hyperlink>
    </w:p>
    <w:p w:rsidR="00BD6E05" w:rsidRDefault="00DA5951">
      <w:pPr>
        <w:pStyle w:val="TableofFigures"/>
        <w:tabs>
          <w:tab w:val="right" w:leader="dot" w:pos="9016"/>
        </w:tabs>
        <w:rPr>
          <w:rFonts w:asciiTheme="minorHAnsi" w:eastAsiaTheme="minorEastAsia" w:hAnsiTheme="minorHAnsi" w:cstheme="minorBidi"/>
          <w:noProof/>
          <w:sz w:val="22"/>
          <w:szCs w:val="22"/>
          <w:lang w:eastAsia="en-AU"/>
        </w:rPr>
      </w:pPr>
      <w:hyperlink w:anchor="_Toc494291123" w:history="1">
        <w:r w:rsidR="00BD6E05" w:rsidRPr="00284240">
          <w:rPr>
            <w:rStyle w:val="Hyperlink"/>
            <w:rFonts w:ascii="Arial" w:eastAsiaTheme="majorEastAsia" w:hAnsi="Arial"/>
            <w:noProof/>
          </w:rPr>
          <w:t>Table 2 –</w:t>
        </w:r>
        <w:r w:rsidR="00BD6E05">
          <w:rPr>
            <w:rStyle w:val="Hyperlink"/>
            <w:rFonts w:ascii="Arial" w:eastAsiaTheme="majorEastAsia" w:hAnsi="Arial"/>
            <w:noProof/>
          </w:rPr>
          <w:t xml:space="preserve"> </w:t>
        </w:r>
        <w:r w:rsidR="00BD6E05" w:rsidRPr="00284240">
          <w:rPr>
            <w:rStyle w:val="Hyperlink"/>
            <w:rFonts w:ascii="Arial" w:eastAsiaTheme="majorEastAsia" w:hAnsi="Arial"/>
            <w:noProof/>
          </w:rPr>
          <w:t>Planning and gaming considerations under the relevant legislation:</w:t>
        </w:r>
        <w:r w:rsidR="00BD6E05">
          <w:rPr>
            <w:noProof/>
            <w:webHidden/>
          </w:rPr>
          <w:tab/>
        </w:r>
        <w:r w:rsidR="00BD6E05">
          <w:rPr>
            <w:noProof/>
            <w:webHidden/>
          </w:rPr>
          <w:fldChar w:fldCharType="begin"/>
        </w:r>
        <w:r w:rsidR="00BD6E05">
          <w:rPr>
            <w:noProof/>
            <w:webHidden/>
          </w:rPr>
          <w:instrText xml:space="preserve"> PAGEREF _Toc494291123 \h </w:instrText>
        </w:r>
        <w:r w:rsidR="00BD6E05">
          <w:rPr>
            <w:noProof/>
            <w:webHidden/>
          </w:rPr>
        </w:r>
        <w:r w:rsidR="00BD6E05">
          <w:rPr>
            <w:noProof/>
            <w:webHidden/>
          </w:rPr>
          <w:fldChar w:fldCharType="separate"/>
        </w:r>
        <w:r w:rsidR="00BD6E05">
          <w:rPr>
            <w:noProof/>
            <w:webHidden/>
          </w:rPr>
          <w:t>16</w:t>
        </w:r>
        <w:r w:rsidR="00BD6E05">
          <w:rPr>
            <w:noProof/>
            <w:webHidden/>
          </w:rPr>
          <w:fldChar w:fldCharType="end"/>
        </w:r>
      </w:hyperlink>
    </w:p>
    <w:p w:rsidR="00BD6E05" w:rsidRPr="00BD6E05" w:rsidRDefault="00DA5951">
      <w:pPr>
        <w:pStyle w:val="TableofFigures"/>
        <w:tabs>
          <w:tab w:val="right" w:leader="dot" w:pos="9016"/>
        </w:tabs>
        <w:rPr>
          <w:rFonts w:asciiTheme="minorHAnsi" w:eastAsiaTheme="minorEastAsia" w:hAnsiTheme="minorHAnsi" w:cstheme="minorBidi"/>
          <w:noProof/>
          <w:sz w:val="22"/>
          <w:szCs w:val="22"/>
          <w:lang w:eastAsia="en-AU"/>
        </w:rPr>
      </w:pPr>
      <w:hyperlink w:anchor="_Toc494291124" w:history="1">
        <w:r w:rsidR="00BD6E05" w:rsidRPr="00BD6E05">
          <w:rPr>
            <w:rStyle w:val="Hyperlink"/>
            <w:rFonts w:ascii="Arial" w:eastAsiaTheme="majorEastAsia" w:hAnsi="Arial" w:cs="Arial"/>
            <w:bCs/>
            <w:noProof/>
          </w:rPr>
          <w:t>Table 3 – Strategic Action Framework</w:t>
        </w:r>
        <w:r w:rsidR="00BD6E05" w:rsidRPr="00BD6E05">
          <w:rPr>
            <w:noProof/>
            <w:webHidden/>
          </w:rPr>
          <w:tab/>
        </w:r>
        <w:r w:rsidR="00BD6E05" w:rsidRPr="00BD6E05">
          <w:rPr>
            <w:noProof/>
            <w:webHidden/>
          </w:rPr>
          <w:fldChar w:fldCharType="begin"/>
        </w:r>
        <w:r w:rsidR="00BD6E05" w:rsidRPr="00BD6E05">
          <w:rPr>
            <w:noProof/>
            <w:webHidden/>
          </w:rPr>
          <w:instrText xml:space="preserve"> PAGEREF _Toc494291124 \h </w:instrText>
        </w:r>
        <w:r w:rsidR="00BD6E05" w:rsidRPr="00BD6E05">
          <w:rPr>
            <w:noProof/>
            <w:webHidden/>
          </w:rPr>
        </w:r>
        <w:r w:rsidR="00BD6E05" w:rsidRPr="00BD6E05">
          <w:rPr>
            <w:noProof/>
            <w:webHidden/>
          </w:rPr>
          <w:fldChar w:fldCharType="separate"/>
        </w:r>
        <w:r w:rsidR="00BD6E05" w:rsidRPr="00BD6E05">
          <w:rPr>
            <w:noProof/>
            <w:webHidden/>
          </w:rPr>
          <w:t>18</w:t>
        </w:r>
        <w:r w:rsidR="00BD6E05" w:rsidRPr="00BD6E05">
          <w:rPr>
            <w:noProof/>
            <w:webHidden/>
          </w:rPr>
          <w:fldChar w:fldCharType="end"/>
        </w:r>
      </w:hyperlink>
    </w:p>
    <w:p w:rsidR="00C96E68" w:rsidRDefault="00A83CEA" w:rsidP="00C96E68">
      <w:pPr>
        <w:pStyle w:val="TableofFigures"/>
        <w:tabs>
          <w:tab w:val="right" w:leader="dot" w:pos="9016"/>
        </w:tabs>
        <w:rPr>
          <w:rFonts w:asciiTheme="minorHAnsi" w:eastAsiaTheme="minorEastAsia" w:hAnsiTheme="minorHAnsi" w:cstheme="minorBidi"/>
          <w:noProof/>
          <w:sz w:val="22"/>
          <w:szCs w:val="22"/>
          <w:lang w:eastAsia="en-AU"/>
        </w:rPr>
      </w:pPr>
      <w:r w:rsidRPr="003B7BE5">
        <w:rPr>
          <w:rFonts w:ascii="Arial" w:hAnsi="Arial" w:cs="Arial"/>
          <w:sz w:val="22"/>
          <w:szCs w:val="22"/>
        </w:rPr>
        <w:fldChar w:fldCharType="end"/>
      </w:r>
      <w:r w:rsidR="00BD6E05">
        <w:rPr>
          <w:rFonts w:asciiTheme="minorHAnsi" w:eastAsiaTheme="minorEastAsia" w:hAnsiTheme="minorHAnsi" w:cstheme="minorBidi"/>
          <w:noProof/>
          <w:sz w:val="22"/>
          <w:szCs w:val="22"/>
          <w:lang w:eastAsia="en-AU"/>
        </w:rPr>
        <w:t xml:space="preserve"> </w:t>
      </w:r>
    </w:p>
    <w:p w:rsidR="00A83CEA" w:rsidRDefault="00A83CEA" w:rsidP="00A83CEA">
      <w:pPr>
        <w:rPr>
          <w:rFonts w:ascii="Arial" w:hAnsi="Arial" w:cs="Arial"/>
        </w:rPr>
      </w:pPr>
    </w:p>
    <w:p w:rsidR="00A83CEA" w:rsidRDefault="00A83CEA" w:rsidP="00A83CEA">
      <w:pPr>
        <w:spacing w:line="276" w:lineRule="auto"/>
        <w:ind w:left="720"/>
        <w:rPr>
          <w:rFonts w:ascii="Arial" w:hAnsi="Arial" w:cs="Arial"/>
        </w:rPr>
      </w:pPr>
      <w:r>
        <w:rPr>
          <w:rFonts w:ascii="Arial" w:hAnsi="Arial" w:cs="Arial"/>
        </w:rPr>
        <w:br w:type="page"/>
      </w:r>
    </w:p>
    <w:p w:rsidR="00A83CEA" w:rsidRDefault="00A83CEA" w:rsidP="00A83CEA">
      <w:pPr>
        <w:pStyle w:val="Style1"/>
        <w:numPr>
          <w:ilvl w:val="0"/>
          <w:numId w:val="0"/>
        </w:numPr>
        <w:spacing w:after="120"/>
        <w:rPr>
          <w:b w:val="0"/>
        </w:rPr>
      </w:pPr>
      <w:bookmarkStart w:id="212" w:name="_Toc494291023"/>
      <w:r>
        <w:rPr>
          <w:b w:val="0"/>
        </w:rPr>
        <w:t>Executive summary</w:t>
      </w:r>
      <w:bookmarkEnd w:id="212"/>
    </w:p>
    <w:p w:rsidR="00A83CEA" w:rsidRDefault="00A83CEA" w:rsidP="00A83CEA">
      <w:pPr>
        <w:rPr>
          <w:rFonts w:ascii="Arial" w:hAnsi="Arial" w:cs="Arial"/>
          <w:sz w:val="22"/>
          <w:szCs w:val="22"/>
        </w:rPr>
      </w:pPr>
      <w:r>
        <w:rPr>
          <w:rFonts w:ascii="Arial" w:hAnsi="Arial" w:cs="Arial"/>
          <w:sz w:val="22"/>
          <w:szCs w:val="22"/>
        </w:rPr>
        <w:t>This Decision Making Framework outlines the objectives and actions Council will adopt i</w:t>
      </w:r>
      <w:r w:rsidR="000313F1">
        <w:rPr>
          <w:rFonts w:ascii="Arial" w:hAnsi="Arial" w:cs="Arial"/>
          <w:sz w:val="22"/>
          <w:szCs w:val="22"/>
        </w:rPr>
        <w:t xml:space="preserve">n order to minimise </w:t>
      </w:r>
      <w:r w:rsidR="00A7320E">
        <w:rPr>
          <w:rFonts w:ascii="Arial" w:hAnsi="Arial" w:cs="Arial"/>
          <w:sz w:val="22"/>
          <w:szCs w:val="22"/>
        </w:rPr>
        <w:t>Electronic Gaming Machines (</w:t>
      </w:r>
      <w:r w:rsidR="000313F1">
        <w:rPr>
          <w:rFonts w:ascii="Arial" w:hAnsi="Arial" w:cs="Arial"/>
          <w:sz w:val="22"/>
          <w:szCs w:val="22"/>
        </w:rPr>
        <w:t>EGM</w:t>
      </w:r>
      <w:r w:rsidR="00A7320E">
        <w:rPr>
          <w:rFonts w:ascii="Arial" w:hAnsi="Arial" w:cs="Arial"/>
          <w:sz w:val="22"/>
          <w:szCs w:val="22"/>
        </w:rPr>
        <w:t>)</w:t>
      </w:r>
      <w:r w:rsidR="000313F1">
        <w:rPr>
          <w:rFonts w:ascii="Arial" w:hAnsi="Arial" w:cs="Arial"/>
          <w:sz w:val="22"/>
          <w:szCs w:val="22"/>
        </w:rPr>
        <w:t xml:space="preserve"> harm. </w:t>
      </w:r>
      <w:r>
        <w:rPr>
          <w:rFonts w:ascii="Arial" w:hAnsi="Arial" w:cs="Arial"/>
          <w:sz w:val="22"/>
          <w:szCs w:val="22"/>
        </w:rPr>
        <w:t>Once adopted by Council, the decision making framework will underpin decisions Council makes in fulfilling its statutory roles in preventing and minimising harms associated with gaming. This includes making submissions to the Victorian Commission for Gambling and Liquor Regulation</w:t>
      </w:r>
      <w:r w:rsidR="000F08FD">
        <w:rPr>
          <w:rFonts w:ascii="Arial" w:hAnsi="Arial" w:cs="Arial"/>
          <w:sz w:val="22"/>
          <w:szCs w:val="22"/>
        </w:rPr>
        <w:t xml:space="preserve"> (VCGLR)</w:t>
      </w:r>
      <w:r>
        <w:rPr>
          <w:rFonts w:ascii="Arial" w:hAnsi="Arial" w:cs="Arial"/>
          <w:sz w:val="22"/>
          <w:szCs w:val="22"/>
        </w:rPr>
        <w:t xml:space="preserve"> under the </w:t>
      </w:r>
      <w:r>
        <w:rPr>
          <w:rFonts w:ascii="Arial" w:hAnsi="Arial" w:cs="Arial"/>
          <w:i/>
          <w:sz w:val="22"/>
          <w:szCs w:val="22"/>
        </w:rPr>
        <w:t xml:space="preserve">Gambling Regulation Act 2003 </w:t>
      </w:r>
      <w:r>
        <w:rPr>
          <w:rFonts w:ascii="Arial" w:hAnsi="Arial" w:cs="Arial"/>
          <w:sz w:val="22"/>
          <w:szCs w:val="22"/>
        </w:rPr>
        <w:t xml:space="preserve">on applications for gaming approval, and assessing applications for planning permits to install and use Electronic Gaming Machines (EGMs) under the </w:t>
      </w:r>
      <w:r>
        <w:rPr>
          <w:rFonts w:ascii="Arial" w:hAnsi="Arial" w:cs="Arial"/>
          <w:i/>
          <w:sz w:val="22"/>
          <w:szCs w:val="22"/>
        </w:rPr>
        <w:t xml:space="preserve">Planning and Environment Act 1987 </w:t>
      </w:r>
      <w:r w:rsidR="000313F1">
        <w:rPr>
          <w:rFonts w:ascii="Arial" w:hAnsi="Arial" w:cs="Arial"/>
          <w:sz w:val="22"/>
          <w:szCs w:val="22"/>
        </w:rPr>
        <w:t xml:space="preserve">and Melbourne Planning Scheme. </w:t>
      </w:r>
      <w:r>
        <w:rPr>
          <w:rFonts w:ascii="Arial" w:hAnsi="Arial" w:cs="Arial"/>
          <w:sz w:val="22"/>
          <w:szCs w:val="22"/>
        </w:rPr>
        <w:t>The draft Framework also outlines opportunities for Council to engage with this issue through advocacy, partnerships and service provision.</w:t>
      </w:r>
    </w:p>
    <w:p w:rsidR="00A83CEA" w:rsidRDefault="00A83CEA" w:rsidP="00A83CEA">
      <w:pPr>
        <w:rPr>
          <w:rFonts w:ascii="Arial" w:hAnsi="Arial" w:cs="Arial"/>
          <w:sz w:val="22"/>
          <w:szCs w:val="22"/>
        </w:rPr>
      </w:pPr>
      <w:r>
        <w:rPr>
          <w:rFonts w:ascii="Arial" w:hAnsi="Arial" w:cs="Arial"/>
          <w:sz w:val="22"/>
          <w:szCs w:val="22"/>
        </w:rPr>
        <w:t>The preparation of this Decision Making Framework does not in any way mean that Council supports gaming. However gaming is a legal activity and Council has a role in the prevention of gam</w:t>
      </w:r>
      <w:r w:rsidR="00C8531A">
        <w:rPr>
          <w:rFonts w:ascii="Arial" w:hAnsi="Arial" w:cs="Arial"/>
          <w:sz w:val="22"/>
          <w:szCs w:val="22"/>
        </w:rPr>
        <w:t>bl</w:t>
      </w:r>
      <w:r>
        <w:rPr>
          <w:rFonts w:ascii="Arial" w:hAnsi="Arial" w:cs="Arial"/>
          <w:sz w:val="22"/>
          <w:szCs w:val="22"/>
        </w:rPr>
        <w:t>ing related harm.</w:t>
      </w:r>
    </w:p>
    <w:p w:rsidR="00A83CEA" w:rsidRDefault="00A83CEA" w:rsidP="00A83CEA">
      <w:pPr>
        <w:rPr>
          <w:rFonts w:ascii="Arial" w:hAnsi="Arial" w:cs="Arial"/>
          <w:sz w:val="22"/>
          <w:szCs w:val="22"/>
        </w:rPr>
      </w:pPr>
      <w:r>
        <w:rPr>
          <w:rFonts w:ascii="Arial" w:hAnsi="Arial" w:cs="Arial"/>
          <w:sz w:val="22"/>
          <w:szCs w:val="22"/>
        </w:rPr>
        <w:t xml:space="preserve">The City of Melbourne is Victoria’s Capital City and the heart of metropolitan Melbourne. It is the location of much of Victoria’s premier economic and cultural infrastructure, providing a world class range of commercial, cultural, leisure, entertainment, research, education and residential uses. EGMs form part of the entertainment offer in the City. </w:t>
      </w:r>
    </w:p>
    <w:p w:rsidR="00A83CEA" w:rsidRDefault="00A83CEA" w:rsidP="00A83CEA">
      <w:pPr>
        <w:rPr>
          <w:rFonts w:ascii="Arial" w:hAnsi="Arial" w:cs="Arial"/>
          <w:sz w:val="22"/>
          <w:szCs w:val="22"/>
        </w:rPr>
      </w:pPr>
      <w:r>
        <w:rPr>
          <w:rFonts w:ascii="Arial" w:hAnsi="Arial" w:cs="Arial"/>
          <w:sz w:val="22"/>
          <w:szCs w:val="22"/>
        </w:rPr>
        <w:t>EGMs are recognised as the form of gambling associated with the greatest harms for individual users, their famil</w:t>
      </w:r>
      <w:r w:rsidR="000313F1">
        <w:rPr>
          <w:rFonts w:ascii="Arial" w:hAnsi="Arial" w:cs="Arial"/>
          <w:sz w:val="22"/>
          <w:szCs w:val="22"/>
        </w:rPr>
        <w:t>ies and the broader community.</w:t>
      </w:r>
    </w:p>
    <w:p w:rsidR="00A83CEA" w:rsidRDefault="00A83CEA" w:rsidP="00A83CEA">
      <w:pPr>
        <w:rPr>
          <w:rFonts w:ascii="Arial" w:hAnsi="Arial" w:cs="Arial"/>
          <w:sz w:val="22"/>
          <w:szCs w:val="22"/>
        </w:rPr>
      </w:pPr>
      <w:r>
        <w:rPr>
          <w:rFonts w:ascii="Arial" w:hAnsi="Arial" w:cs="Arial"/>
          <w:sz w:val="22"/>
          <w:szCs w:val="22"/>
        </w:rPr>
        <w:t>The social and economic impacts of gambling-related harm include:</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fina</w:t>
      </w:r>
      <w:r w:rsidR="00E70697">
        <w:rPr>
          <w:rFonts w:ascii="Arial" w:hAnsi="Arial"/>
          <w:sz w:val="22"/>
          <w:szCs w:val="22"/>
          <w:lang w:val="en" w:eastAsia="en-AU"/>
        </w:rPr>
        <w:t>ncial harm</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relationship di</w:t>
      </w:r>
      <w:r w:rsidR="00E70697">
        <w:rPr>
          <w:rFonts w:ascii="Arial" w:hAnsi="Arial"/>
          <w:sz w:val="22"/>
          <w:szCs w:val="22"/>
          <w:lang w:val="en" w:eastAsia="en-AU"/>
        </w:rPr>
        <w:t>sruption, conflict or breakdown</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emot</w:t>
      </w:r>
      <w:r w:rsidR="00E70697">
        <w:rPr>
          <w:rFonts w:ascii="Arial" w:hAnsi="Arial"/>
          <w:sz w:val="22"/>
          <w:szCs w:val="22"/>
          <w:lang w:val="en" w:eastAsia="en-AU"/>
        </w:rPr>
        <w:t>ional or psychological distress</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 xml:space="preserve">reduction in physical </w:t>
      </w:r>
      <w:r w:rsidR="00E70697">
        <w:rPr>
          <w:rFonts w:ascii="Arial" w:hAnsi="Arial"/>
          <w:sz w:val="22"/>
          <w:szCs w:val="22"/>
          <w:lang w:val="en" w:eastAsia="en-AU"/>
        </w:rPr>
        <w:t>and mental health and wellbeing</w:t>
      </w:r>
    </w:p>
    <w:p w:rsidR="00A83CEA" w:rsidRDefault="00E70697"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cultural harm</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reduc</w:t>
      </w:r>
      <w:r w:rsidR="00E70697">
        <w:rPr>
          <w:rFonts w:ascii="Arial" w:hAnsi="Arial"/>
          <w:sz w:val="22"/>
          <w:szCs w:val="22"/>
          <w:lang w:val="en" w:eastAsia="en-AU"/>
        </w:rPr>
        <w:t>ed performance at work or study</w:t>
      </w:r>
    </w:p>
    <w:p w:rsidR="00A83CEA" w:rsidRDefault="00E70697"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criminal activity</w:t>
      </w:r>
    </w:p>
    <w:p w:rsidR="00A83CEA" w:rsidRDefault="00A83CEA" w:rsidP="00A83CEA">
      <w:pPr>
        <w:pStyle w:val="ListParagraph"/>
        <w:numPr>
          <w:ilvl w:val="0"/>
          <w:numId w:val="119"/>
        </w:numPr>
        <w:spacing w:after="120"/>
        <w:ind w:left="714" w:hanging="357"/>
        <w:rPr>
          <w:rFonts w:ascii="Arial" w:hAnsi="Arial"/>
          <w:sz w:val="22"/>
          <w:szCs w:val="22"/>
          <w:lang w:val="en" w:eastAsia="en-AU"/>
        </w:rPr>
      </w:pPr>
      <w:r>
        <w:rPr>
          <w:rFonts w:ascii="Arial" w:hAnsi="Arial"/>
          <w:sz w:val="22"/>
          <w:szCs w:val="22"/>
          <w:lang w:val="en" w:eastAsia="en-AU"/>
        </w:rPr>
        <w:t>community and service delivery.</w:t>
      </w:r>
    </w:p>
    <w:p w:rsidR="00A83CEA" w:rsidRDefault="00A83CEA" w:rsidP="00A83CEA">
      <w:pPr>
        <w:rPr>
          <w:rFonts w:ascii="Arial" w:hAnsi="Arial" w:cs="Arial"/>
          <w:sz w:val="22"/>
          <w:szCs w:val="22"/>
        </w:rPr>
      </w:pPr>
      <w:r>
        <w:rPr>
          <w:rFonts w:ascii="Arial" w:hAnsi="Arial" w:cs="Arial"/>
          <w:sz w:val="22"/>
          <w:szCs w:val="22"/>
        </w:rPr>
        <w:t>There are also social and economic benefits associated with EGMs such as:</w:t>
      </w:r>
    </w:p>
    <w:p w:rsidR="00A83CEA" w:rsidRDefault="00A83CEA" w:rsidP="00A83CEA">
      <w:pPr>
        <w:pStyle w:val="ListParagraph"/>
        <w:numPr>
          <w:ilvl w:val="0"/>
          <w:numId w:val="120"/>
        </w:numPr>
        <w:spacing w:after="120"/>
        <w:rPr>
          <w:rFonts w:ascii="Arial" w:hAnsi="Arial"/>
          <w:sz w:val="22"/>
          <w:szCs w:val="22"/>
        </w:rPr>
      </w:pPr>
      <w:r>
        <w:rPr>
          <w:rFonts w:ascii="Arial" w:hAnsi="Arial"/>
          <w:sz w:val="22"/>
          <w:szCs w:val="22"/>
        </w:rPr>
        <w:t>provision of social, leisure and recreat</w:t>
      </w:r>
      <w:r w:rsidR="00E70697">
        <w:rPr>
          <w:rFonts w:ascii="Arial" w:hAnsi="Arial"/>
          <w:sz w:val="22"/>
          <w:szCs w:val="22"/>
        </w:rPr>
        <w:t>ional activities and facilities</w:t>
      </w:r>
    </w:p>
    <w:p w:rsidR="00A83CEA" w:rsidRDefault="00A83CEA" w:rsidP="00A83CEA">
      <w:pPr>
        <w:pStyle w:val="ListParagraph"/>
        <w:numPr>
          <w:ilvl w:val="0"/>
          <w:numId w:val="120"/>
        </w:numPr>
        <w:spacing w:after="120"/>
        <w:rPr>
          <w:rFonts w:ascii="Arial" w:hAnsi="Arial"/>
          <w:sz w:val="22"/>
          <w:szCs w:val="22"/>
        </w:rPr>
      </w:pPr>
      <w:r>
        <w:rPr>
          <w:rFonts w:ascii="Arial" w:hAnsi="Arial"/>
          <w:sz w:val="22"/>
          <w:szCs w:val="22"/>
        </w:rPr>
        <w:t>revenue generation for the State</w:t>
      </w:r>
      <w:r w:rsidR="00E70697">
        <w:rPr>
          <w:rFonts w:ascii="Arial" w:hAnsi="Arial"/>
          <w:sz w:val="22"/>
          <w:szCs w:val="22"/>
        </w:rPr>
        <w:t xml:space="preserve"> government and venue operators</w:t>
      </w:r>
    </w:p>
    <w:p w:rsidR="00A83CEA" w:rsidRDefault="00A83CEA" w:rsidP="00A83CEA">
      <w:pPr>
        <w:pStyle w:val="ListParagraph"/>
        <w:numPr>
          <w:ilvl w:val="0"/>
          <w:numId w:val="120"/>
        </w:numPr>
        <w:spacing w:after="120"/>
        <w:rPr>
          <w:rFonts w:ascii="Arial" w:hAnsi="Arial"/>
          <w:sz w:val="22"/>
          <w:szCs w:val="22"/>
        </w:rPr>
      </w:pPr>
      <w:r>
        <w:rPr>
          <w:rFonts w:ascii="Arial" w:hAnsi="Arial"/>
          <w:sz w:val="22"/>
          <w:szCs w:val="22"/>
        </w:rPr>
        <w:t>allocation of cash and in-kind community</w:t>
      </w:r>
      <w:r w:rsidR="00E70697">
        <w:rPr>
          <w:rFonts w:ascii="Arial" w:hAnsi="Arial"/>
          <w:sz w:val="22"/>
          <w:szCs w:val="22"/>
        </w:rPr>
        <w:t xml:space="preserve"> contributions</w:t>
      </w:r>
    </w:p>
    <w:p w:rsidR="00A83CEA" w:rsidRDefault="00A83CEA" w:rsidP="00A83CEA">
      <w:pPr>
        <w:pStyle w:val="ListParagraph"/>
        <w:numPr>
          <w:ilvl w:val="0"/>
          <w:numId w:val="120"/>
        </w:numPr>
        <w:spacing w:after="120"/>
        <w:rPr>
          <w:rFonts w:ascii="Arial" w:hAnsi="Arial"/>
          <w:sz w:val="22"/>
          <w:szCs w:val="22"/>
        </w:rPr>
      </w:pPr>
      <w:r>
        <w:rPr>
          <w:rFonts w:ascii="Arial" w:hAnsi="Arial"/>
          <w:sz w:val="22"/>
          <w:szCs w:val="22"/>
        </w:rPr>
        <w:t>venue investment, employment, and tourism.</w:t>
      </w:r>
    </w:p>
    <w:p w:rsidR="00A83CEA" w:rsidRDefault="00D1399D" w:rsidP="00A83CEA">
      <w:pPr>
        <w:rPr>
          <w:rFonts w:ascii="Arial" w:hAnsi="Arial" w:cs="Arial"/>
          <w:sz w:val="22"/>
          <w:szCs w:val="22"/>
        </w:rPr>
      </w:pPr>
      <w:r>
        <w:rPr>
          <w:rFonts w:ascii="Arial" w:hAnsi="Arial" w:cs="Arial"/>
          <w:sz w:val="22"/>
          <w:szCs w:val="22"/>
        </w:rPr>
        <w:t xml:space="preserve">The use and/or installation of </w:t>
      </w:r>
      <w:r w:rsidR="00A83CEA">
        <w:rPr>
          <w:rFonts w:ascii="Arial" w:hAnsi="Arial" w:cs="Arial"/>
          <w:sz w:val="22"/>
          <w:szCs w:val="22"/>
        </w:rPr>
        <w:t xml:space="preserve">EGMs require two separate approvals - a license from the VCGLR under the </w:t>
      </w:r>
      <w:r w:rsidR="00A83CEA" w:rsidRPr="00E16A9C">
        <w:rPr>
          <w:rFonts w:ascii="Arial" w:hAnsi="Arial" w:cs="Arial"/>
          <w:i/>
          <w:sz w:val="22"/>
          <w:szCs w:val="22"/>
        </w:rPr>
        <w:t>Gambling Regulation Act 2003</w:t>
      </w:r>
      <w:r w:rsidR="00A83CEA">
        <w:rPr>
          <w:rFonts w:ascii="Arial" w:hAnsi="Arial" w:cs="Arial"/>
          <w:sz w:val="22"/>
          <w:szCs w:val="22"/>
        </w:rPr>
        <w:t xml:space="preserve">, and planning approval from the responsible authority under the </w:t>
      </w:r>
      <w:r w:rsidR="00A83CEA" w:rsidRPr="00AF1ADB">
        <w:rPr>
          <w:rFonts w:ascii="Arial" w:hAnsi="Arial" w:cs="Arial"/>
          <w:i/>
          <w:sz w:val="22"/>
          <w:szCs w:val="22"/>
        </w:rPr>
        <w:t>Planning and Environment Act 1987</w:t>
      </w:r>
      <w:r w:rsidR="00A83CEA">
        <w:rPr>
          <w:rFonts w:ascii="Arial" w:hAnsi="Arial" w:cs="Arial"/>
          <w:sz w:val="22"/>
          <w:szCs w:val="22"/>
        </w:rPr>
        <w:t xml:space="preserve">.  </w:t>
      </w:r>
    </w:p>
    <w:p w:rsidR="00A83CEA" w:rsidRDefault="00A83CEA" w:rsidP="00A83CEA">
      <w:pPr>
        <w:rPr>
          <w:rFonts w:ascii="Arial" w:hAnsi="Arial" w:cs="Arial"/>
          <w:sz w:val="22"/>
          <w:szCs w:val="22"/>
        </w:rPr>
      </w:pPr>
      <w:r>
        <w:rPr>
          <w:rFonts w:ascii="Arial" w:hAnsi="Arial" w:cs="Arial"/>
          <w:sz w:val="22"/>
          <w:szCs w:val="22"/>
        </w:rPr>
        <w:t xml:space="preserve">Key considerations under both the </w:t>
      </w:r>
      <w:r>
        <w:rPr>
          <w:rFonts w:ascii="Arial" w:hAnsi="Arial" w:cs="Arial"/>
          <w:i/>
          <w:sz w:val="22"/>
          <w:szCs w:val="22"/>
        </w:rPr>
        <w:t xml:space="preserve">Gambling Regulation Act 2003 </w:t>
      </w:r>
      <w:r>
        <w:rPr>
          <w:rFonts w:ascii="Arial" w:hAnsi="Arial" w:cs="Arial"/>
          <w:sz w:val="22"/>
          <w:szCs w:val="22"/>
        </w:rPr>
        <w:t xml:space="preserve">and the </w:t>
      </w:r>
      <w:r>
        <w:rPr>
          <w:rFonts w:ascii="Arial" w:hAnsi="Arial" w:cs="Arial"/>
          <w:i/>
          <w:sz w:val="22"/>
          <w:szCs w:val="22"/>
        </w:rPr>
        <w:t xml:space="preserve">Planning and Environment Act 1987 </w:t>
      </w:r>
      <w:r>
        <w:rPr>
          <w:rFonts w:ascii="Arial" w:hAnsi="Arial" w:cs="Arial"/>
          <w:sz w:val="22"/>
          <w:szCs w:val="22"/>
        </w:rPr>
        <w:t xml:space="preserve">are the potential social and economic impacts of the proposal on the community. </w:t>
      </w:r>
    </w:p>
    <w:p w:rsidR="00A83CEA" w:rsidRDefault="00A83CEA" w:rsidP="00A83CEA">
      <w:pPr>
        <w:rPr>
          <w:rFonts w:ascii="Arial" w:hAnsi="Arial" w:cs="Arial"/>
          <w:sz w:val="22"/>
          <w:szCs w:val="22"/>
        </w:rPr>
      </w:pPr>
      <w:r>
        <w:rPr>
          <w:rFonts w:ascii="Arial" w:hAnsi="Arial" w:cs="Arial"/>
          <w:sz w:val="22"/>
          <w:szCs w:val="22"/>
        </w:rPr>
        <w:t xml:space="preserve">While the </w:t>
      </w:r>
      <w:r>
        <w:rPr>
          <w:rFonts w:ascii="Arial" w:hAnsi="Arial" w:cs="Arial"/>
          <w:i/>
          <w:sz w:val="22"/>
          <w:szCs w:val="22"/>
        </w:rPr>
        <w:t xml:space="preserve">Gambling Regulation Act 2003 </w:t>
      </w:r>
      <w:r>
        <w:rPr>
          <w:rFonts w:ascii="Arial" w:hAnsi="Arial" w:cs="Arial"/>
          <w:sz w:val="22"/>
          <w:szCs w:val="22"/>
        </w:rPr>
        <w:t xml:space="preserve">focuses on the suitability of the venue, the key land use planning considerations under the </w:t>
      </w:r>
      <w:r>
        <w:rPr>
          <w:rFonts w:ascii="Arial" w:hAnsi="Arial" w:cs="Arial"/>
          <w:i/>
          <w:sz w:val="22"/>
          <w:szCs w:val="22"/>
        </w:rPr>
        <w:t>Planning and Environment Act 1987</w:t>
      </w:r>
      <w:r>
        <w:rPr>
          <w:rFonts w:ascii="Arial" w:hAnsi="Arial" w:cs="Arial"/>
          <w:sz w:val="22"/>
          <w:szCs w:val="22"/>
        </w:rPr>
        <w:t xml:space="preserve"> are the suitability of the location and premises. </w:t>
      </w:r>
    </w:p>
    <w:p w:rsidR="00A83CEA" w:rsidRDefault="00A83CEA" w:rsidP="00A83CEA">
      <w:pPr>
        <w:rPr>
          <w:rFonts w:ascii="Arial" w:hAnsi="Arial"/>
          <w:sz w:val="22"/>
          <w:szCs w:val="22"/>
        </w:rPr>
      </w:pPr>
    </w:p>
    <w:p w:rsidR="00A83CEA" w:rsidRDefault="00A83CEA" w:rsidP="00A83CEA">
      <w:pPr>
        <w:pStyle w:val="Heading1"/>
        <w:numPr>
          <w:ilvl w:val="0"/>
          <w:numId w:val="111"/>
        </w:numPr>
        <w:spacing w:before="240" w:line="256" w:lineRule="auto"/>
        <w:rPr>
          <w:rFonts w:cs="Arial"/>
        </w:rPr>
      </w:pPr>
      <w:bookmarkStart w:id="213" w:name="_Toc494291024"/>
      <w:r>
        <w:rPr>
          <w:rFonts w:cs="Arial"/>
        </w:rPr>
        <w:t>Introduction</w:t>
      </w:r>
      <w:bookmarkEnd w:id="213"/>
    </w:p>
    <w:p w:rsidR="00A83CEA" w:rsidRDefault="00A83CEA" w:rsidP="00A83CEA">
      <w:pPr>
        <w:rPr>
          <w:rFonts w:ascii="Arial" w:hAnsi="Arial" w:cs="Arial"/>
          <w:sz w:val="22"/>
          <w:szCs w:val="22"/>
        </w:rPr>
      </w:pPr>
      <w:r>
        <w:rPr>
          <w:rFonts w:ascii="Arial" w:hAnsi="Arial" w:cs="Arial"/>
          <w:sz w:val="22"/>
          <w:szCs w:val="22"/>
        </w:rPr>
        <w:t>EGMs, which are a legal form of entertainment, are recognised as the form of gambling associated with the greatest harms for individual users, their families and the broader community.</w:t>
      </w:r>
    </w:p>
    <w:p w:rsidR="00A83CEA" w:rsidRDefault="00A83CEA" w:rsidP="00A83CEA">
      <w:pPr>
        <w:rPr>
          <w:rFonts w:ascii="Arial" w:hAnsi="Arial" w:cs="Arial"/>
          <w:sz w:val="22"/>
          <w:szCs w:val="22"/>
        </w:rPr>
      </w:pPr>
      <w:r>
        <w:rPr>
          <w:rFonts w:ascii="Arial" w:hAnsi="Arial" w:cs="Arial"/>
          <w:sz w:val="22"/>
          <w:szCs w:val="22"/>
        </w:rPr>
        <w:t xml:space="preserve">This Framework provides Council’s approach to managing EGMs and will guide Council in its statutory responsibilities under the </w:t>
      </w:r>
      <w:r>
        <w:rPr>
          <w:rFonts w:ascii="Arial" w:hAnsi="Arial" w:cs="Arial"/>
          <w:i/>
          <w:sz w:val="22"/>
          <w:szCs w:val="22"/>
        </w:rPr>
        <w:t xml:space="preserve">Planning and Environment Act 1987 </w:t>
      </w:r>
      <w:r>
        <w:rPr>
          <w:rFonts w:ascii="Arial" w:hAnsi="Arial" w:cs="Arial"/>
          <w:sz w:val="22"/>
          <w:szCs w:val="22"/>
        </w:rPr>
        <w:t xml:space="preserve">and the </w:t>
      </w:r>
      <w:r>
        <w:rPr>
          <w:rFonts w:ascii="Arial" w:hAnsi="Arial" w:cs="Arial"/>
          <w:i/>
          <w:sz w:val="22"/>
          <w:szCs w:val="22"/>
        </w:rPr>
        <w:t>Gambling Regulation Act 2003.</w:t>
      </w:r>
      <w:r>
        <w:rPr>
          <w:rFonts w:ascii="Arial" w:hAnsi="Arial" w:cs="Arial"/>
          <w:sz w:val="22"/>
          <w:szCs w:val="22"/>
        </w:rPr>
        <w:t xml:space="preserve"> </w:t>
      </w:r>
    </w:p>
    <w:p w:rsidR="00A83CEA" w:rsidRDefault="00E70697" w:rsidP="00E70697">
      <w:pPr>
        <w:rPr>
          <w:rFonts w:ascii="Arial" w:hAnsi="Arial"/>
          <w:sz w:val="22"/>
          <w:szCs w:val="22"/>
        </w:rPr>
      </w:pPr>
      <w:r>
        <w:rPr>
          <w:rFonts w:ascii="Arial" w:hAnsi="Arial" w:cs="Arial"/>
          <w:sz w:val="22"/>
          <w:szCs w:val="22"/>
        </w:rPr>
        <w:t xml:space="preserve">These roles relate to assessing </w:t>
      </w:r>
      <w:r w:rsidR="00A83CEA">
        <w:rPr>
          <w:rFonts w:ascii="Arial" w:hAnsi="Arial"/>
          <w:sz w:val="22"/>
          <w:szCs w:val="22"/>
        </w:rPr>
        <w:t xml:space="preserve">applications for planning permits to install or use </w:t>
      </w:r>
      <w:r>
        <w:rPr>
          <w:rFonts w:ascii="Arial" w:hAnsi="Arial"/>
          <w:sz w:val="22"/>
          <w:szCs w:val="22"/>
        </w:rPr>
        <w:t>EGMs</w:t>
      </w:r>
      <w:r w:rsidR="00A83CEA">
        <w:rPr>
          <w:rFonts w:ascii="Arial" w:hAnsi="Arial"/>
          <w:sz w:val="22"/>
          <w:szCs w:val="22"/>
        </w:rPr>
        <w:t xml:space="preserve"> and</w:t>
      </w:r>
      <w:r>
        <w:rPr>
          <w:rFonts w:ascii="Arial" w:hAnsi="Arial"/>
          <w:sz w:val="22"/>
          <w:szCs w:val="22"/>
        </w:rPr>
        <w:t xml:space="preserve"> m</w:t>
      </w:r>
      <w:r w:rsidR="00A83CEA">
        <w:rPr>
          <w:rFonts w:ascii="Arial" w:hAnsi="Arial"/>
          <w:sz w:val="22"/>
          <w:szCs w:val="22"/>
        </w:rPr>
        <w:t xml:space="preserve">aking submissions to </w:t>
      </w:r>
      <w:r w:rsidR="000310DE">
        <w:rPr>
          <w:rFonts w:ascii="Arial" w:hAnsi="Arial"/>
          <w:sz w:val="22"/>
          <w:szCs w:val="22"/>
        </w:rPr>
        <w:t>the VCGLR</w:t>
      </w:r>
      <w:r w:rsidR="00CD1F74">
        <w:rPr>
          <w:rFonts w:ascii="Arial" w:hAnsi="Arial"/>
          <w:sz w:val="22"/>
          <w:szCs w:val="22"/>
        </w:rPr>
        <w:t xml:space="preserve"> </w:t>
      </w:r>
      <w:r w:rsidR="00A83CEA">
        <w:rPr>
          <w:rFonts w:ascii="Arial" w:hAnsi="Arial"/>
          <w:sz w:val="22"/>
          <w:szCs w:val="22"/>
        </w:rPr>
        <w:t xml:space="preserve">in relation to applications to establish new gaming venues or vary existing gaming licences under the </w:t>
      </w:r>
      <w:r w:rsidR="00A83CEA">
        <w:rPr>
          <w:rFonts w:ascii="Arial" w:hAnsi="Arial"/>
          <w:i/>
          <w:sz w:val="22"/>
          <w:szCs w:val="22"/>
        </w:rPr>
        <w:t>Gambling Regulation Act 2003.</w:t>
      </w:r>
    </w:p>
    <w:p w:rsidR="00A83CEA" w:rsidRDefault="00A83CEA" w:rsidP="00A83CEA">
      <w:pPr>
        <w:pStyle w:val="Header"/>
        <w:spacing w:after="120"/>
        <w:rPr>
          <w:rFonts w:ascii="Arial" w:hAnsi="Arial" w:cs="Arial"/>
          <w:sz w:val="22"/>
          <w:szCs w:val="22"/>
        </w:rPr>
      </w:pPr>
      <w:r>
        <w:rPr>
          <w:rFonts w:ascii="Arial" w:hAnsi="Arial" w:cs="Arial"/>
          <w:sz w:val="22"/>
          <w:szCs w:val="22"/>
        </w:rPr>
        <w:t>The Framework also underpins Council’s other roles with respect to safeguarding the health and wellbeing of the community.</w:t>
      </w:r>
    </w:p>
    <w:p w:rsidR="00A83CEA" w:rsidRDefault="00A83CEA" w:rsidP="00A83CEA">
      <w:pPr>
        <w:rPr>
          <w:rFonts w:ascii="Arial" w:hAnsi="Arial" w:cs="Arial"/>
          <w:i/>
          <w:sz w:val="22"/>
          <w:szCs w:val="22"/>
        </w:rPr>
      </w:pPr>
      <w:r>
        <w:rPr>
          <w:rFonts w:ascii="Arial" w:hAnsi="Arial" w:cs="Arial"/>
          <w:sz w:val="22"/>
          <w:szCs w:val="22"/>
        </w:rPr>
        <w:t xml:space="preserve">The evidence base underpinning the Framework is presented in the </w:t>
      </w:r>
      <w:r>
        <w:rPr>
          <w:rFonts w:ascii="Arial" w:hAnsi="Arial" w:cs="Arial"/>
          <w:i/>
          <w:sz w:val="22"/>
          <w:szCs w:val="22"/>
        </w:rPr>
        <w:t>City of Melbourne Electronic Gaming</w:t>
      </w:r>
      <w:r w:rsidR="000310DE">
        <w:rPr>
          <w:rFonts w:ascii="Arial" w:hAnsi="Arial" w:cs="Arial"/>
          <w:i/>
          <w:sz w:val="22"/>
          <w:szCs w:val="22"/>
        </w:rPr>
        <w:t xml:space="preserve"> Machine</w:t>
      </w:r>
      <w:r>
        <w:rPr>
          <w:rFonts w:ascii="Arial" w:hAnsi="Arial" w:cs="Arial"/>
          <w:i/>
          <w:sz w:val="22"/>
          <w:szCs w:val="22"/>
        </w:rPr>
        <w:t xml:space="preserve"> Decision-Making Framework and </w:t>
      </w:r>
      <w:r w:rsidR="00973C18">
        <w:rPr>
          <w:rFonts w:ascii="Arial" w:hAnsi="Arial" w:cs="Arial"/>
          <w:i/>
          <w:sz w:val="22"/>
          <w:szCs w:val="22"/>
        </w:rPr>
        <w:t xml:space="preserve">Electronic </w:t>
      </w:r>
      <w:r>
        <w:rPr>
          <w:rFonts w:ascii="Arial" w:hAnsi="Arial" w:cs="Arial"/>
          <w:i/>
          <w:sz w:val="22"/>
          <w:szCs w:val="22"/>
        </w:rPr>
        <w:t>Gaming</w:t>
      </w:r>
      <w:r w:rsidR="00973C18">
        <w:rPr>
          <w:rFonts w:ascii="Arial" w:hAnsi="Arial" w:cs="Arial"/>
          <w:i/>
          <w:sz w:val="22"/>
          <w:szCs w:val="22"/>
        </w:rPr>
        <w:t xml:space="preserve"> Machine</w:t>
      </w:r>
      <w:r>
        <w:rPr>
          <w:rFonts w:ascii="Arial" w:hAnsi="Arial" w:cs="Arial"/>
          <w:i/>
          <w:sz w:val="22"/>
          <w:szCs w:val="22"/>
        </w:rPr>
        <w:t xml:space="preserve"> Review Background Report, 2017.</w:t>
      </w:r>
    </w:p>
    <w:p w:rsidR="00A83CEA" w:rsidRPr="00973C18" w:rsidRDefault="00A83CEA" w:rsidP="00A83CEA">
      <w:pPr>
        <w:pStyle w:val="Heading1"/>
        <w:numPr>
          <w:ilvl w:val="0"/>
          <w:numId w:val="111"/>
        </w:numPr>
        <w:spacing w:before="240" w:line="256" w:lineRule="auto"/>
        <w:rPr>
          <w:rFonts w:cs="Arial"/>
        </w:rPr>
      </w:pPr>
      <w:bookmarkStart w:id="214" w:name="_Toc494291025"/>
      <w:r w:rsidRPr="005814B5">
        <w:rPr>
          <w:rFonts w:cs="Arial"/>
        </w:rPr>
        <w:t>Harm minimisation</w:t>
      </w:r>
      <w:bookmarkEnd w:id="214"/>
    </w:p>
    <w:p w:rsidR="00A83CEA" w:rsidRDefault="00A83CEA" w:rsidP="00A83CEA">
      <w:pPr>
        <w:pStyle w:val="Header"/>
        <w:spacing w:after="120"/>
        <w:rPr>
          <w:rFonts w:ascii="Arial" w:hAnsi="Arial" w:cs="Arial"/>
          <w:sz w:val="22"/>
          <w:szCs w:val="22"/>
        </w:rPr>
      </w:pPr>
      <w:r>
        <w:rPr>
          <w:rFonts w:ascii="Arial" w:hAnsi="Arial" w:cs="Arial"/>
          <w:sz w:val="22"/>
          <w:szCs w:val="22"/>
        </w:rPr>
        <w:t xml:space="preserve">As the Capital City, the City of Melbourne plays a significant role in providing entertainment for visitors and tourists, and services that satisfy the needs of the community. The ‘community’ of the City of Melbourne consists of residents, workers, students and visitors. </w:t>
      </w:r>
    </w:p>
    <w:p w:rsidR="00A83CEA" w:rsidRDefault="00A83CEA" w:rsidP="00A83CEA">
      <w:pPr>
        <w:rPr>
          <w:rFonts w:ascii="Arial" w:hAnsi="Arial" w:cs="Arial"/>
          <w:sz w:val="22"/>
          <w:szCs w:val="22"/>
        </w:rPr>
      </w:pPr>
      <w:r>
        <w:rPr>
          <w:rFonts w:ascii="Arial" w:hAnsi="Arial" w:cs="Arial"/>
          <w:sz w:val="22"/>
          <w:szCs w:val="22"/>
        </w:rPr>
        <w:t xml:space="preserve">Although the use of EGMs can be associated with social and economic benefits, they are also associated with social and economic harms. </w:t>
      </w:r>
    </w:p>
    <w:p w:rsidR="00A83CEA" w:rsidRDefault="00A83CEA" w:rsidP="00A83CEA">
      <w:pPr>
        <w:rPr>
          <w:rFonts w:ascii="Arial" w:hAnsi="Arial" w:cs="Arial"/>
          <w:sz w:val="22"/>
          <w:szCs w:val="22"/>
        </w:rPr>
      </w:pPr>
      <w:r>
        <w:rPr>
          <w:rFonts w:ascii="Arial" w:hAnsi="Arial" w:cs="Arial"/>
          <w:sz w:val="22"/>
          <w:szCs w:val="22"/>
        </w:rPr>
        <w:t xml:space="preserve">Current legislation which permits </w:t>
      </w:r>
      <w:r w:rsidR="000310DE">
        <w:rPr>
          <w:rFonts w:ascii="Arial" w:hAnsi="Arial" w:cs="Arial"/>
          <w:sz w:val="22"/>
          <w:szCs w:val="22"/>
        </w:rPr>
        <w:t>EGMs</w:t>
      </w:r>
      <w:r>
        <w:rPr>
          <w:rFonts w:ascii="Arial" w:hAnsi="Arial" w:cs="Arial"/>
          <w:sz w:val="22"/>
          <w:szCs w:val="22"/>
        </w:rPr>
        <w:t xml:space="preserve">, generally aims to manage them </w:t>
      </w:r>
      <w:r w:rsidR="005814B5">
        <w:rPr>
          <w:rFonts w:ascii="Arial" w:hAnsi="Arial" w:cs="Arial"/>
          <w:sz w:val="22"/>
          <w:szCs w:val="22"/>
        </w:rPr>
        <w:t>through</w:t>
      </w:r>
      <w:r>
        <w:rPr>
          <w:rFonts w:ascii="Arial" w:hAnsi="Arial" w:cs="Arial"/>
          <w:sz w:val="22"/>
          <w:szCs w:val="22"/>
        </w:rPr>
        <w:t xml:space="preserve"> regulating the location and operation of gaming premises.</w:t>
      </w:r>
    </w:p>
    <w:p w:rsidR="00A83CEA" w:rsidRDefault="00A83CEA" w:rsidP="00A83CEA">
      <w:pPr>
        <w:rPr>
          <w:rFonts w:ascii="Arial" w:hAnsi="Arial" w:cs="Arial"/>
          <w:sz w:val="22"/>
          <w:szCs w:val="22"/>
        </w:rPr>
      </w:pPr>
      <w:r>
        <w:rPr>
          <w:rFonts w:ascii="Arial" w:hAnsi="Arial" w:cs="Arial"/>
          <w:sz w:val="22"/>
          <w:szCs w:val="22"/>
        </w:rPr>
        <w:t>Within this context, Council can adopt a harm minimisation approach that seeks to accommodate the demand for gaming while protecting individuals and groups at an elevated risk of gaming-related harms. The harm minimisation approach seeks to support individuals and groups within the community to adopt healthy lifestyle choices and behaviours, while protecting those most vulnerable to the impacts of gambling</w:t>
      </w:r>
      <w:r w:rsidR="000310DE">
        <w:rPr>
          <w:rFonts w:ascii="Arial" w:hAnsi="Arial" w:cs="Arial"/>
          <w:sz w:val="22"/>
          <w:szCs w:val="22"/>
        </w:rPr>
        <w:t>-</w:t>
      </w:r>
      <w:r>
        <w:rPr>
          <w:rFonts w:ascii="Arial" w:hAnsi="Arial" w:cs="Arial"/>
          <w:sz w:val="22"/>
          <w:szCs w:val="22"/>
        </w:rPr>
        <w:t>related harms.</w:t>
      </w:r>
    </w:p>
    <w:p w:rsidR="00A83CEA" w:rsidRDefault="00A83CEA" w:rsidP="00A83CEA">
      <w:pPr>
        <w:rPr>
          <w:rFonts w:ascii="Arial" w:hAnsi="Arial" w:cs="Arial"/>
          <w:sz w:val="22"/>
          <w:szCs w:val="22"/>
        </w:rPr>
      </w:pPr>
      <w:r>
        <w:rPr>
          <w:rFonts w:ascii="Arial" w:hAnsi="Arial" w:cs="Arial"/>
          <w:sz w:val="22"/>
          <w:szCs w:val="22"/>
        </w:rPr>
        <w:t xml:space="preserve">The three interventions that underpin the harm minimisation approach are: </w:t>
      </w:r>
    </w:p>
    <w:p w:rsidR="00A83CEA" w:rsidRDefault="00E70697" w:rsidP="00A83CEA">
      <w:pPr>
        <w:pStyle w:val="ListParagraph"/>
        <w:numPr>
          <w:ilvl w:val="0"/>
          <w:numId w:val="122"/>
        </w:numPr>
        <w:rPr>
          <w:rFonts w:ascii="Arial" w:hAnsi="Arial"/>
          <w:sz w:val="22"/>
          <w:szCs w:val="22"/>
        </w:rPr>
      </w:pPr>
      <w:r>
        <w:rPr>
          <w:rFonts w:ascii="Arial" w:hAnsi="Arial"/>
          <w:sz w:val="22"/>
          <w:szCs w:val="22"/>
        </w:rPr>
        <w:t>reducing the demand for EGMs</w:t>
      </w:r>
    </w:p>
    <w:p w:rsidR="00A83CEA" w:rsidRDefault="00A83CEA" w:rsidP="00A83CEA">
      <w:pPr>
        <w:pStyle w:val="ListParagraph"/>
        <w:numPr>
          <w:ilvl w:val="0"/>
          <w:numId w:val="122"/>
        </w:numPr>
        <w:rPr>
          <w:rFonts w:ascii="Arial" w:hAnsi="Arial"/>
          <w:sz w:val="22"/>
          <w:szCs w:val="22"/>
        </w:rPr>
      </w:pPr>
      <w:r>
        <w:rPr>
          <w:rFonts w:ascii="Arial" w:hAnsi="Arial"/>
          <w:sz w:val="22"/>
          <w:szCs w:val="22"/>
        </w:rPr>
        <w:t>reducing the su</w:t>
      </w:r>
      <w:r w:rsidR="00E70697">
        <w:rPr>
          <w:rFonts w:ascii="Arial" w:hAnsi="Arial"/>
          <w:sz w:val="22"/>
          <w:szCs w:val="22"/>
        </w:rPr>
        <w:t>pply of EGMs in a community</w:t>
      </w:r>
      <w:r>
        <w:rPr>
          <w:rFonts w:ascii="Arial" w:hAnsi="Arial"/>
          <w:sz w:val="22"/>
          <w:szCs w:val="22"/>
        </w:rPr>
        <w:t xml:space="preserve"> </w:t>
      </w:r>
    </w:p>
    <w:p w:rsidR="00A83CEA" w:rsidRDefault="00A83CEA" w:rsidP="00A83CEA">
      <w:pPr>
        <w:pStyle w:val="ListParagraph"/>
        <w:numPr>
          <w:ilvl w:val="0"/>
          <w:numId w:val="122"/>
        </w:numPr>
        <w:rPr>
          <w:rFonts w:ascii="Arial" w:hAnsi="Arial"/>
          <w:sz w:val="22"/>
          <w:szCs w:val="22"/>
        </w:rPr>
      </w:pPr>
      <w:r>
        <w:rPr>
          <w:rFonts w:ascii="Arial" w:hAnsi="Arial"/>
          <w:sz w:val="22"/>
          <w:szCs w:val="22"/>
        </w:rPr>
        <w:t>supporting those most at risk of harm from gambling.</w:t>
      </w:r>
    </w:p>
    <w:p w:rsidR="00A83CEA" w:rsidRDefault="00A83CEA" w:rsidP="00A83CEA">
      <w:pPr>
        <w:pStyle w:val="Heading1"/>
        <w:numPr>
          <w:ilvl w:val="0"/>
          <w:numId w:val="111"/>
        </w:numPr>
        <w:spacing w:before="240" w:line="256" w:lineRule="auto"/>
        <w:rPr>
          <w:rFonts w:cs="Arial"/>
        </w:rPr>
      </w:pPr>
      <w:bookmarkStart w:id="215" w:name="_Toc494291026"/>
      <w:r>
        <w:rPr>
          <w:rFonts w:cs="Arial"/>
        </w:rPr>
        <w:t>The City of Melbourne context</w:t>
      </w:r>
      <w:bookmarkEnd w:id="215"/>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16" w:name="_Toc494291027"/>
      <w:r>
        <w:rPr>
          <w:rFonts w:ascii="CoM" w:hAnsi="CoM" w:cs="Arial"/>
          <w:b w:val="0"/>
          <w:color w:val="auto"/>
          <w:sz w:val="32"/>
          <w:szCs w:val="32"/>
        </w:rPr>
        <w:t>The role of the city</w:t>
      </w:r>
      <w:bookmarkEnd w:id="216"/>
    </w:p>
    <w:p w:rsidR="00A83CEA" w:rsidRDefault="00A83CEA" w:rsidP="00A83CEA">
      <w:pPr>
        <w:rPr>
          <w:rFonts w:ascii="Arial" w:hAnsi="Arial" w:cs="Arial"/>
          <w:sz w:val="22"/>
          <w:szCs w:val="22"/>
        </w:rPr>
      </w:pPr>
      <w:r>
        <w:rPr>
          <w:rFonts w:ascii="Arial" w:hAnsi="Arial" w:cs="Arial"/>
          <w:sz w:val="22"/>
          <w:szCs w:val="22"/>
        </w:rPr>
        <w:t xml:space="preserve">The Central City operates 24 hours a day, seven days a week, providing the </w:t>
      </w:r>
      <w:r w:rsidR="005814B5">
        <w:rPr>
          <w:rFonts w:ascii="Arial" w:hAnsi="Arial" w:cs="Arial"/>
          <w:sz w:val="22"/>
          <w:szCs w:val="22"/>
        </w:rPr>
        <w:t xml:space="preserve">setting </w:t>
      </w:r>
      <w:r>
        <w:rPr>
          <w:rFonts w:ascii="Arial" w:hAnsi="Arial" w:cs="Arial"/>
          <w:sz w:val="22"/>
          <w:szCs w:val="22"/>
        </w:rPr>
        <w:t>for major events and festivals that attract visitors from the metropolitan area, Victoria, interstate and globally.</w:t>
      </w:r>
      <w:r>
        <w:rPr>
          <w:rStyle w:val="EndnoteReference"/>
          <w:rFonts w:ascii="Arial" w:hAnsi="Arial" w:cs="Arial"/>
          <w:sz w:val="22"/>
          <w:szCs w:val="22"/>
        </w:rPr>
        <w:endnoteReference w:id="1"/>
      </w:r>
      <w:r w:rsidR="000313F1">
        <w:rPr>
          <w:rFonts w:ascii="Arial" w:hAnsi="Arial" w:cs="Arial"/>
          <w:sz w:val="22"/>
          <w:szCs w:val="22"/>
        </w:rPr>
        <w:t xml:space="preserve"> </w:t>
      </w:r>
      <w:r>
        <w:rPr>
          <w:rFonts w:ascii="Arial" w:hAnsi="Arial" w:cs="Arial"/>
          <w:sz w:val="22"/>
          <w:szCs w:val="22"/>
        </w:rPr>
        <w:t>It also acts as a major transport hub, linking the City with greater Melbourne, regional Victoria and beyond.</w:t>
      </w:r>
    </w:p>
    <w:p w:rsidR="00A83CEA" w:rsidRDefault="00A83CEA" w:rsidP="00A83CEA">
      <w:pPr>
        <w:rPr>
          <w:rFonts w:ascii="Arial" w:hAnsi="Arial" w:cs="Arial"/>
          <w:sz w:val="22"/>
          <w:szCs w:val="22"/>
        </w:rPr>
      </w:pPr>
      <w:r>
        <w:rPr>
          <w:rFonts w:ascii="Arial" w:hAnsi="Arial" w:cs="Arial"/>
          <w:sz w:val="22"/>
          <w:szCs w:val="22"/>
        </w:rPr>
        <w:t>In 2017</w:t>
      </w:r>
      <w:r w:rsidR="008F4B7D">
        <w:rPr>
          <w:rFonts w:ascii="Arial" w:hAnsi="Arial" w:cs="Arial"/>
          <w:sz w:val="22"/>
          <w:szCs w:val="22"/>
        </w:rPr>
        <w:t>,</w:t>
      </w:r>
      <w:r>
        <w:rPr>
          <w:rFonts w:ascii="Arial" w:hAnsi="Arial" w:cs="Arial"/>
          <w:sz w:val="22"/>
          <w:szCs w:val="22"/>
        </w:rPr>
        <w:t xml:space="preserve"> the residential population of the City of Melbourne is estimated to be 137,542. It is projected to increase to 202,000 by the year 2030.</w:t>
      </w:r>
      <w:r>
        <w:rPr>
          <w:rStyle w:val="EndnoteReference"/>
          <w:rFonts w:ascii="Arial" w:hAnsi="Arial" w:cs="Arial"/>
          <w:sz w:val="22"/>
          <w:szCs w:val="22"/>
        </w:rPr>
        <w:endnoteReference w:id="2"/>
      </w:r>
      <w:r>
        <w:rPr>
          <w:rFonts w:ascii="Arial" w:hAnsi="Arial" w:cs="Arial"/>
          <w:sz w:val="22"/>
          <w:szCs w:val="22"/>
        </w:rPr>
        <w:t xml:space="preserve"> The areas projected to experience the largest residential population increase are located in the western portions of the municipality, in Fishermans Bend, West Melbourne and Docklands. </w:t>
      </w:r>
    </w:p>
    <w:p w:rsidR="00A83CEA" w:rsidRDefault="00A83CEA" w:rsidP="00A83CEA">
      <w:pPr>
        <w:rPr>
          <w:rFonts w:ascii="Arial" w:hAnsi="Arial" w:cs="Arial"/>
          <w:sz w:val="22"/>
          <w:szCs w:val="22"/>
        </w:rPr>
      </w:pPr>
      <w:r>
        <w:rPr>
          <w:rFonts w:ascii="Arial" w:hAnsi="Arial" w:cs="Arial"/>
          <w:sz w:val="22"/>
          <w:szCs w:val="22"/>
        </w:rPr>
        <w:t>As Figure 1 below shows, an estimated average of approximately 770,000 people enter the municipality each week day, and 516,000 on each day of the weekend (not including residents)</w:t>
      </w:r>
      <w:r>
        <w:rPr>
          <w:rStyle w:val="EndnoteReference"/>
          <w:rFonts w:ascii="Arial" w:hAnsi="Arial" w:cs="Arial"/>
          <w:sz w:val="22"/>
          <w:szCs w:val="22"/>
        </w:rPr>
        <w:endnoteReference w:id="3"/>
      </w:r>
      <w:r w:rsidR="000313F1">
        <w:rPr>
          <w:rFonts w:ascii="Arial" w:hAnsi="Arial" w:cs="Arial"/>
          <w:sz w:val="22"/>
          <w:szCs w:val="22"/>
        </w:rPr>
        <w:t xml:space="preserve">. </w:t>
      </w:r>
      <w:r>
        <w:rPr>
          <w:rFonts w:ascii="Arial" w:hAnsi="Arial" w:cs="Arial"/>
          <w:sz w:val="22"/>
          <w:szCs w:val="22"/>
        </w:rPr>
        <w:t>Of these daily users, the largest proportion comprises workers, followed by metropolitan visitors, students, international visitors, interstate visitors, children under 15 years of age and regional visitors.</w:t>
      </w:r>
    </w:p>
    <w:p w:rsidR="00A83CEA" w:rsidRDefault="00A83CEA" w:rsidP="00A83CEA">
      <w:pPr>
        <w:pStyle w:val="Caption"/>
        <w:rPr>
          <w:rFonts w:ascii="Arial" w:hAnsi="Arial"/>
        </w:rPr>
      </w:pPr>
      <w:r>
        <w:rPr>
          <w:rFonts w:ascii="Arial" w:hAnsi="Arial"/>
        </w:rPr>
        <w:t xml:space="preserve"> Figure 1: Estimated daily population within the City of Melbourne</w:t>
      </w:r>
      <w:r>
        <w:rPr>
          <w:rStyle w:val="EndnoteReference"/>
          <w:rFonts w:ascii="Arial" w:hAnsi="Arial"/>
        </w:rPr>
        <w:endnoteReference w:id="4"/>
      </w:r>
    </w:p>
    <w:p w:rsidR="00A83CEA" w:rsidRDefault="00A83CEA" w:rsidP="00A83CEA">
      <w:pPr>
        <w:rPr>
          <w:rFonts w:ascii="Arial" w:hAnsi="Arial" w:cs="Arial"/>
        </w:rPr>
      </w:pPr>
      <w:r>
        <w:rPr>
          <w:rFonts w:ascii="Arial" w:hAnsi="Arial" w:cs="Arial"/>
        </w:rPr>
        <w:t xml:space="preserve"> </w:t>
      </w:r>
      <w:r>
        <w:rPr>
          <w:noProof/>
          <w:lang w:eastAsia="en-AU"/>
        </w:rPr>
        <w:drawing>
          <wp:inline distT="0" distB="0" distL="0" distR="0" wp14:anchorId="6F1FDC85" wp14:editId="3A55F80D">
            <wp:extent cx="5747385" cy="3443605"/>
            <wp:effectExtent l="0" t="0" r="24765" b="234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17" w:name="_Toc494291028"/>
      <w:r>
        <w:rPr>
          <w:rFonts w:ascii="CoM" w:hAnsi="CoM" w:cs="Arial"/>
          <w:b w:val="0"/>
          <w:color w:val="auto"/>
          <w:sz w:val="32"/>
          <w:szCs w:val="32"/>
        </w:rPr>
        <w:t>Gaming data</w:t>
      </w:r>
      <w:bookmarkEnd w:id="217"/>
    </w:p>
    <w:p w:rsidR="00A83CEA" w:rsidRDefault="00A83CEA" w:rsidP="00A83CEA">
      <w:pPr>
        <w:rPr>
          <w:rFonts w:ascii="Arial" w:hAnsi="Arial" w:cs="Arial"/>
          <w:sz w:val="22"/>
          <w:szCs w:val="22"/>
        </w:rPr>
      </w:pPr>
      <w:r>
        <w:rPr>
          <w:rFonts w:ascii="Arial" w:hAnsi="Arial" w:cs="Arial"/>
          <w:sz w:val="22"/>
          <w:szCs w:val="22"/>
        </w:rPr>
        <w:t>Melbourne currently h</w:t>
      </w:r>
      <w:r w:rsidR="000313F1">
        <w:rPr>
          <w:rFonts w:ascii="Arial" w:hAnsi="Arial" w:cs="Arial"/>
          <w:sz w:val="22"/>
          <w:szCs w:val="22"/>
        </w:rPr>
        <w:t xml:space="preserve">as 11 operating gaming venues. </w:t>
      </w:r>
      <w:r>
        <w:rPr>
          <w:rFonts w:ascii="Arial" w:hAnsi="Arial" w:cs="Arial"/>
          <w:sz w:val="22"/>
          <w:szCs w:val="22"/>
        </w:rPr>
        <w:t xml:space="preserve">Of these, nine are located in the Hoddle Grid, one is located in Carlton and one is located in Flemington. </w:t>
      </w:r>
    </w:p>
    <w:p w:rsidR="00A83CEA" w:rsidRDefault="00A83CEA" w:rsidP="00A83CEA">
      <w:pPr>
        <w:rPr>
          <w:rFonts w:ascii="Arial" w:hAnsi="Arial" w:cs="Arial"/>
          <w:sz w:val="22"/>
          <w:szCs w:val="22"/>
        </w:rPr>
      </w:pPr>
      <w:r>
        <w:rPr>
          <w:rFonts w:ascii="Arial" w:hAnsi="Arial" w:cs="Arial"/>
          <w:sz w:val="22"/>
          <w:szCs w:val="22"/>
        </w:rPr>
        <w:t xml:space="preserve">Key statistics associated with EGM </w:t>
      </w:r>
      <w:r w:rsidR="00986527">
        <w:rPr>
          <w:rFonts w:ascii="Arial" w:hAnsi="Arial" w:cs="Arial"/>
          <w:sz w:val="22"/>
          <w:szCs w:val="22"/>
        </w:rPr>
        <w:t xml:space="preserve">use and expenditure </w:t>
      </w:r>
      <w:r>
        <w:rPr>
          <w:rFonts w:ascii="Arial" w:hAnsi="Arial" w:cs="Arial"/>
          <w:sz w:val="22"/>
          <w:szCs w:val="22"/>
        </w:rPr>
        <w:t>in</w:t>
      </w:r>
      <w:r w:rsidR="00986527">
        <w:rPr>
          <w:rFonts w:ascii="Arial" w:hAnsi="Arial" w:cs="Arial"/>
          <w:sz w:val="22"/>
          <w:szCs w:val="22"/>
        </w:rPr>
        <w:t xml:space="preserve"> the</w:t>
      </w:r>
      <w:r>
        <w:rPr>
          <w:rFonts w:ascii="Arial" w:hAnsi="Arial" w:cs="Arial"/>
          <w:sz w:val="22"/>
          <w:szCs w:val="22"/>
        </w:rPr>
        <w:t xml:space="preserve"> municipality for the Financial Year 2015</w:t>
      </w:r>
      <w:r w:rsidR="00CD1F74">
        <w:rPr>
          <w:rFonts w:ascii="Arial" w:hAnsi="Arial" w:cs="Arial"/>
          <w:sz w:val="22"/>
          <w:szCs w:val="22"/>
        </w:rPr>
        <w:t>–</w:t>
      </w:r>
      <w:r>
        <w:rPr>
          <w:rFonts w:ascii="Arial" w:hAnsi="Arial" w:cs="Arial"/>
          <w:sz w:val="22"/>
          <w:szCs w:val="22"/>
        </w:rPr>
        <w:t xml:space="preserve">16 are illustrated in </w:t>
      </w:r>
      <w:r w:rsidR="000313F1">
        <w:rPr>
          <w:rFonts w:ascii="Arial" w:hAnsi="Arial" w:cs="Arial"/>
          <w:sz w:val="22"/>
          <w:szCs w:val="22"/>
        </w:rPr>
        <w:t xml:space="preserve">Appendix 3. </w:t>
      </w:r>
      <w:r w:rsidR="00595B44" w:rsidRPr="00757B06">
        <w:rPr>
          <w:rFonts w:ascii="Arial" w:hAnsi="Arial" w:cs="Arial"/>
          <w:sz w:val="22"/>
          <w:szCs w:val="22"/>
        </w:rPr>
        <w:t>They show th</w:t>
      </w:r>
      <w:r w:rsidR="00595B44" w:rsidRPr="00595B44">
        <w:rPr>
          <w:rFonts w:ascii="Arial" w:hAnsi="Arial" w:cs="Arial"/>
          <w:sz w:val="22"/>
          <w:szCs w:val="22"/>
        </w:rPr>
        <w:t>at</w:t>
      </w:r>
      <w:r w:rsidRPr="008E3F04">
        <w:rPr>
          <w:rFonts w:ascii="Arial" w:hAnsi="Arial" w:cs="Arial"/>
          <w:sz w:val="22"/>
          <w:szCs w:val="22"/>
        </w:rPr>
        <w:t xml:space="preserve"> compared with metropolitan Melbourne and Victoria, the City of</w:t>
      </w:r>
      <w:r w:rsidR="00595B44" w:rsidRPr="00757B06">
        <w:rPr>
          <w:rFonts w:ascii="Arial" w:hAnsi="Arial" w:cs="Arial"/>
          <w:sz w:val="22"/>
          <w:szCs w:val="22"/>
        </w:rPr>
        <w:t xml:space="preserve"> Melbourne had an above average</w:t>
      </w:r>
      <w:r w:rsidR="00595B44">
        <w:rPr>
          <w:rFonts w:ascii="Arial" w:hAnsi="Arial" w:cs="Arial"/>
          <w:sz w:val="22"/>
          <w:szCs w:val="22"/>
        </w:rPr>
        <w:t xml:space="preserve"> number of EGM </w:t>
      </w:r>
      <w:r w:rsidR="000313F1">
        <w:rPr>
          <w:rFonts w:ascii="Arial" w:hAnsi="Arial" w:cs="Arial"/>
          <w:sz w:val="22"/>
          <w:szCs w:val="22"/>
        </w:rPr>
        <w:t xml:space="preserve">licenses and number of venues. </w:t>
      </w:r>
      <w:r w:rsidR="00835254">
        <w:rPr>
          <w:rFonts w:ascii="Arial" w:hAnsi="Arial" w:cs="Arial"/>
          <w:sz w:val="22"/>
          <w:szCs w:val="22"/>
        </w:rPr>
        <w:t>Expenditure was also greater in total, per adult and per EGM compared to the metropolitan and Victorian average and there was a greater den</w:t>
      </w:r>
      <w:r w:rsidR="000313F1">
        <w:rPr>
          <w:rFonts w:ascii="Arial" w:hAnsi="Arial" w:cs="Arial"/>
          <w:sz w:val="22"/>
          <w:szCs w:val="22"/>
        </w:rPr>
        <w:t xml:space="preserve">sity of EGMs per 1000 adults. </w:t>
      </w:r>
      <w:r>
        <w:rPr>
          <w:rFonts w:ascii="Arial" w:hAnsi="Arial" w:cs="Arial"/>
          <w:sz w:val="22"/>
          <w:szCs w:val="22"/>
        </w:rPr>
        <w:t>Average expenditure in the venues located in the Hoddle Grid is more than double the average expenditure in the other two venues in Carlton and Flemington.</w:t>
      </w:r>
    </w:p>
    <w:p w:rsidR="00A83CEA" w:rsidRDefault="00835254" w:rsidP="00A83CEA">
      <w:pPr>
        <w:rPr>
          <w:rFonts w:ascii="Arial" w:hAnsi="Arial" w:cs="Arial"/>
          <w:sz w:val="22"/>
          <w:szCs w:val="22"/>
        </w:rPr>
      </w:pPr>
      <w:r w:rsidRPr="008E3F04">
        <w:rPr>
          <w:rFonts w:ascii="Arial" w:hAnsi="Arial" w:cs="Arial"/>
          <w:sz w:val="22"/>
          <w:szCs w:val="22"/>
        </w:rPr>
        <w:t xml:space="preserve">These </w:t>
      </w:r>
      <w:r w:rsidRPr="00757B06">
        <w:rPr>
          <w:rFonts w:ascii="Arial" w:hAnsi="Arial" w:cs="Arial"/>
          <w:sz w:val="22"/>
          <w:szCs w:val="22"/>
        </w:rPr>
        <w:t>statistics</w:t>
      </w:r>
      <w:r w:rsidRPr="008E3F04">
        <w:rPr>
          <w:rFonts w:ascii="Arial" w:hAnsi="Arial" w:cs="Arial"/>
          <w:sz w:val="22"/>
          <w:szCs w:val="22"/>
        </w:rPr>
        <w:t xml:space="preserve"> exclude Crown Casino. </w:t>
      </w:r>
      <w:r w:rsidR="00A83CEA" w:rsidRPr="00757B06">
        <w:rPr>
          <w:rFonts w:ascii="Arial" w:hAnsi="Arial" w:cs="Arial"/>
          <w:sz w:val="22"/>
          <w:szCs w:val="22"/>
        </w:rPr>
        <w:t>Crown</w:t>
      </w:r>
      <w:r w:rsidR="00A83CEA">
        <w:rPr>
          <w:rFonts w:ascii="Arial" w:hAnsi="Arial" w:cs="Arial"/>
          <w:sz w:val="22"/>
          <w:szCs w:val="22"/>
        </w:rPr>
        <w:t xml:space="preserve"> Casino is the only casino in Victoria and is the 11</w:t>
      </w:r>
      <w:r w:rsidR="00A83CEA">
        <w:rPr>
          <w:rFonts w:ascii="Arial" w:hAnsi="Arial" w:cs="Arial"/>
          <w:sz w:val="22"/>
          <w:szCs w:val="22"/>
          <w:vertAlign w:val="superscript"/>
        </w:rPr>
        <w:t>th</w:t>
      </w:r>
      <w:r w:rsidR="00A83CEA">
        <w:rPr>
          <w:rFonts w:ascii="Arial" w:hAnsi="Arial" w:cs="Arial"/>
          <w:sz w:val="22"/>
          <w:szCs w:val="22"/>
        </w:rPr>
        <w:t xml:space="preserve"> largest casino in the world. Its revenue is more than double that of the largest casino in Las Vegas. It is located in Southbank and is integrated into the Crown Casino Entertainment Complex which includes hotels, shops, cafes and restaurants, cinemas and live entertainment. </w:t>
      </w:r>
    </w:p>
    <w:p w:rsidR="00A83CEA" w:rsidRDefault="00A83CEA" w:rsidP="00A83CEA">
      <w:pPr>
        <w:rPr>
          <w:rFonts w:ascii="Arial" w:hAnsi="Arial" w:cs="Arial"/>
          <w:sz w:val="22"/>
          <w:szCs w:val="22"/>
        </w:rPr>
      </w:pPr>
      <w:r>
        <w:rPr>
          <w:rFonts w:ascii="Arial" w:hAnsi="Arial" w:cs="Arial"/>
          <w:sz w:val="22"/>
          <w:szCs w:val="22"/>
        </w:rPr>
        <w:t xml:space="preserve">This Complex forms part of a wider entertainment precinct comprised of the Melbourne Exhibition Centre, Melbourne Convention Centre and Melbourne Aquarium. This precinct, together with the Southbank Arts Precinct, Docklands Stadium and sports precinct comprised of the Melbourne Cricket Ground, Melbourne Park and AAMI Park, are key destinations for metropolitan, regional, state, national and international visitors. </w:t>
      </w:r>
      <w:r>
        <w:rPr>
          <w:rFonts w:ascii="Arial" w:hAnsi="Arial" w:cs="Arial"/>
          <w:color w:val="222222"/>
          <w:sz w:val="22"/>
          <w:szCs w:val="22"/>
          <w:shd w:val="clear" w:color="auto" w:fill="FFFFFF"/>
        </w:rPr>
        <w:t xml:space="preserve">At present, Crown Casino is licensed to operate </w:t>
      </w:r>
      <w:r>
        <w:rPr>
          <w:rFonts w:ascii="Arial" w:hAnsi="Arial" w:cs="Arial"/>
          <w:sz w:val="22"/>
          <w:szCs w:val="22"/>
        </w:rPr>
        <w:t>2628 EGMs.</w:t>
      </w:r>
    </w:p>
    <w:p w:rsidR="00A83CEA" w:rsidRDefault="00A83CEA" w:rsidP="00A83CEA">
      <w:pPr>
        <w:rPr>
          <w:rFonts w:ascii="Arial" w:hAnsi="Arial" w:cs="Arial"/>
          <w:sz w:val="22"/>
          <w:szCs w:val="22"/>
        </w:rPr>
      </w:pPr>
      <w:r>
        <w:rPr>
          <w:rFonts w:ascii="Arial" w:hAnsi="Arial"/>
          <w:sz w:val="22"/>
          <w:szCs w:val="22"/>
        </w:rPr>
        <w:t>The EGM expenditure and density figures for the City of Melbourne produced by the VCGLR do not incorporate the EGM expenditure and number of EGMs in Crown Casino. As a result, total EGM expenditure and density of EGMs in the City of Melbourne is much higher than described in the VCGLR data.</w:t>
      </w:r>
    </w:p>
    <w:p w:rsidR="00A83CEA" w:rsidRDefault="00A83CEA" w:rsidP="00A83CEA">
      <w:pPr>
        <w:pStyle w:val="Heading2"/>
        <w:numPr>
          <w:ilvl w:val="1"/>
          <w:numId w:val="111"/>
        </w:numPr>
        <w:spacing w:after="120"/>
        <w:ind w:left="578" w:hanging="578"/>
        <w:rPr>
          <w:rFonts w:ascii="CoM" w:hAnsi="CoM" w:cs="Arial"/>
          <w:b w:val="0"/>
          <w:sz w:val="32"/>
          <w:szCs w:val="32"/>
        </w:rPr>
      </w:pPr>
      <w:bookmarkStart w:id="218" w:name="_Toc494291029"/>
      <w:r>
        <w:rPr>
          <w:rFonts w:ascii="CoM" w:hAnsi="CoM" w:cs="Arial"/>
          <w:b w:val="0"/>
          <w:color w:val="auto"/>
          <w:sz w:val="32"/>
          <w:szCs w:val="32"/>
        </w:rPr>
        <w:t>City of Melbourne gaming venues</w:t>
      </w:r>
      <w:bookmarkEnd w:id="218"/>
    </w:p>
    <w:p w:rsidR="00A83CEA" w:rsidRDefault="00A83CEA" w:rsidP="00A83CEA">
      <w:pPr>
        <w:rPr>
          <w:rFonts w:ascii="Arial" w:hAnsi="Arial" w:cs="Arial"/>
          <w:sz w:val="22"/>
          <w:szCs w:val="22"/>
        </w:rPr>
      </w:pPr>
      <w:r>
        <w:rPr>
          <w:rFonts w:ascii="Arial" w:hAnsi="Arial" w:cs="Arial"/>
          <w:sz w:val="22"/>
          <w:szCs w:val="22"/>
        </w:rPr>
        <w:t xml:space="preserve">There are a number of both similarities and differences between the gaming venues in the City of Melbourne and gaming venues in suburban and regional municipalities in Victoria. </w:t>
      </w:r>
    </w:p>
    <w:p w:rsidR="00A83CEA" w:rsidRDefault="00A83CEA" w:rsidP="00A83CEA">
      <w:pPr>
        <w:rPr>
          <w:rFonts w:ascii="Arial" w:hAnsi="Arial" w:cs="Arial"/>
          <w:sz w:val="22"/>
          <w:szCs w:val="22"/>
        </w:rPr>
      </w:pPr>
      <w:r>
        <w:rPr>
          <w:rFonts w:ascii="Arial" w:hAnsi="Arial" w:cs="Arial"/>
          <w:sz w:val="22"/>
          <w:szCs w:val="22"/>
        </w:rPr>
        <w:t>Similarities include:</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requirement for the venues to have a liquor licence: the operating hours for the gaming venue may not exceed those permitted under the liquor licence.</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 xml:space="preserve">The promotion and advertising of gaming is prohibited under the </w:t>
      </w:r>
      <w:r>
        <w:rPr>
          <w:rFonts w:ascii="Arial" w:hAnsi="Arial"/>
          <w:i/>
          <w:sz w:val="22"/>
          <w:szCs w:val="22"/>
        </w:rPr>
        <w:t>Gambling Regulation Act 2003</w:t>
      </w:r>
      <w:r>
        <w:rPr>
          <w:rFonts w:ascii="Arial" w:hAnsi="Arial"/>
          <w:sz w:val="22"/>
          <w:szCs w:val="22"/>
        </w:rPr>
        <w:t>. A number of venues in the municipality, as with suburban venues, offer membership rewards program cards which provide rewards on money spent in the venue, including in the gaming lounge. The membership rewards programs permit the promotion, advertising and marketing of all products offered at the venue, including gaming.</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range of non-gaming entertainment and leisure activities typically includes live entertainment, sports bars, dining and function rooms.</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venues provide other gambling activities such as TAB and Keno.</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External access to the venue is through a single entrance and internal access to the gaming lounge is generally through the bistro and/or public sports bar areas.</w:t>
      </w:r>
    </w:p>
    <w:p w:rsidR="00A83CEA" w:rsidRDefault="00A83CEA" w:rsidP="00A83CEA">
      <w:pPr>
        <w:rPr>
          <w:rFonts w:ascii="Arial" w:hAnsi="Arial" w:cs="Arial"/>
          <w:sz w:val="22"/>
          <w:szCs w:val="22"/>
        </w:rPr>
      </w:pPr>
      <w:r>
        <w:rPr>
          <w:rFonts w:ascii="Arial" w:hAnsi="Arial" w:cs="Arial"/>
          <w:sz w:val="22"/>
          <w:szCs w:val="22"/>
        </w:rPr>
        <w:t>The following features apply only in Melbourne:</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majority of gaming venues are located in an area that is not subject to either a municipal or regional cap on the number of EGMs. This reduces Council’s capacity to manage the concentration and density of EGMs in this part of the municipality.</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There is a very wide range of non-gambling social, leisure, recreational and entertainment uses in the areas surrounding gaming venues.</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 xml:space="preserve">The ten gaming venues located in the Hoddle Grid and Carlton function as both convenience and destination gaming venues. These venues are located in close proximity to shopping facilities and major public transport hubs and routes. However, they also function as ‘destination’ gaming venues as their catchment is large and includes people from metropolitan Melbourne, regional Victoria, Australia and overseas. </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 xml:space="preserve">Crown Casino, which is regulated by a separate statutory instrument, is located in the uncapped area of the municipality. The scale of this gambling venue significantly increases access to EGMs and all forms of gambling to the City’s users. </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gaming lounges in venues are typically more visible from both the street and from within the venue itself.</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Venues do not typically provide car parking, children’s play areas or recreational activities such as bowls, tennis or golf.</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Venues are located on smaller parcels of land which limits their capacity to provide non-gambling activities.</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They may apply to operate for 24 hours per day.</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The patron profile and membership base is more diverse, transient and comes from a wider catchment because they are drawn predominantly from workers and visitors.</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Most of the venues are busier during the weekdays compared with the weekends, even though weekend patronage is stimulated by sporting and cultural events.</w:t>
      </w:r>
    </w:p>
    <w:p w:rsidR="00A83CEA" w:rsidRDefault="00A83CEA" w:rsidP="00A83CEA">
      <w:pPr>
        <w:pStyle w:val="ListParagraph"/>
        <w:numPr>
          <w:ilvl w:val="0"/>
          <w:numId w:val="124"/>
        </w:numPr>
        <w:spacing w:after="120"/>
        <w:ind w:left="714" w:hanging="357"/>
        <w:rPr>
          <w:rFonts w:ascii="Arial" w:hAnsi="Arial"/>
          <w:sz w:val="22"/>
          <w:szCs w:val="22"/>
        </w:rPr>
      </w:pPr>
      <w:r>
        <w:rPr>
          <w:rFonts w:ascii="Arial" w:hAnsi="Arial"/>
          <w:sz w:val="22"/>
          <w:szCs w:val="22"/>
        </w:rPr>
        <w:t xml:space="preserve">Utilisation rates are more variable within the municipality, with venues located more centrally being busier during the working week, while venues located close to the train stations and the major sports and arts precincts being busier over the weekend. </w:t>
      </w:r>
    </w:p>
    <w:p w:rsidR="00A83CEA" w:rsidRDefault="00A83CEA" w:rsidP="00A83CEA">
      <w:pPr>
        <w:rPr>
          <w:rFonts w:ascii="Arial" w:hAnsi="Arial" w:cs="Arial"/>
          <w:sz w:val="22"/>
          <w:szCs w:val="22"/>
        </w:rPr>
      </w:pPr>
      <w:r>
        <w:rPr>
          <w:rFonts w:ascii="Arial" w:hAnsi="Arial" w:cs="Arial"/>
          <w:sz w:val="22"/>
          <w:szCs w:val="22"/>
        </w:rPr>
        <w:t>The goals, objectives, and actions, in this Framework recognise, and take into account the impact of these key features.</w:t>
      </w:r>
    </w:p>
    <w:p w:rsidR="00A83CEA" w:rsidRDefault="00A83CEA" w:rsidP="00A83CEA">
      <w:pPr>
        <w:pStyle w:val="Heading1"/>
        <w:numPr>
          <w:ilvl w:val="0"/>
          <w:numId w:val="111"/>
        </w:numPr>
        <w:spacing w:before="240" w:after="240" w:line="192" w:lineRule="auto"/>
        <w:ind w:left="431" w:hanging="431"/>
        <w:rPr>
          <w:rFonts w:cs="Arial"/>
        </w:rPr>
      </w:pPr>
      <w:bookmarkStart w:id="219" w:name="_Toc494291030"/>
      <w:r>
        <w:rPr>
          <w:rFonts w:cs="Arial"/>
        </w:rPr>
        <w:t>Impacts of gaming, gam</w:t>
      </w:r>
      <w:r w:rsidR="00C8531A">
        <w:rPr>
          <w:rFonts w:cs="Arial"/>
        </w:rPr>
        <w:t>bl</w:t>
      </w:r>
      <w:r>
        <w:rPr>
          <w:rFonts w:cs="Arial"/>
        </w:rPr>
        <w:t>ing related harms and prevalence of gaming</w:t>
      </w:r>
      <w:bookmarkEnd w:id="219"/>
    </w:p>
    <w:p w:rsidR="00A83CEA" w:rsidRDefault="00A83CEA" w:rsidP="00A83CEA">
      <w:pPr>
        <w:rPr>
          <w:rFonts w:ascii="Arial" w:hAnsi="Arial" w:cs="Arial"/>
          <w:sz w:val="22"/>
          <w:szCs w:val="22"/>
        </w:rPr>
      </w:pPr>
      <w:r>
        <w:rPr>
          <w:rFonts w:ascii="Arial" w:hAnsi="Arial" w:cs="Arial"/>
          <w:sz w:val="22"/>
          <w:szCs w:val="22"/>
        </w:rPr>
        <w:t xml:space="preserve">This Section describes the social and economic benefits and harms resulting from gaming. It includes a definition and statistics regarding the prevalence of </w:t>
      </w:r>
      <w:r w:rsidR="00986527">
        <w:rPr>
          <w:rFonts w:ascii="Arial" w:hAnsi="Arial" w:cs="Arial"/>
          <w:sz w:val="22"/>
          <w:szCs w:val="22"/>
        </w:rPr>
        <w:t>gam</w:t>
      </w:r>
      <w:r w:rsidR="00276C98">
        <w:rPr>
          <w:rFonts w:ascii="Arial" w:hAnsi="Arial" w:cs="Arial"/>
          <w:sz w:val="22"/>
          <w:szCs w:val="22"/>
        </w:rPr>
        <w:t>bl</w:t>
      </w:r>
      <w:r w:rsidR="00986527">
        <w:rPr>
          <w:rFonts w:ascii="Arial" w:hAnsi="Arial" w:cs="Arial"/>
          <w:sz w:val="22"/>
          <w:szCs w:val="22"/>
        </w:rPr>
        <w:t>ing</w:t>
      </w:r>
      <w:r>
        <w:rPr>
          <w:rFonts w:ascii="Arial" w:hAnsi="Arial" w:cs="Arial"/>
          <w:sz w:val="22"/>
          <w:szCs w:val="22"/>
        </w:rPr>
        <w:t xml:space="preserve">-related harms in Victoria, and the key physical socio-economic and health determinants of these harms. </w:t>
      </w:r>
    </w:p>
    <w:p w:rsidR="00A83CEA" w:rsidRDefault="00A83CEA" w:rsidP="00A83CEA">
      <w:pPr>
        <w:rPr>
          <w:rFonts w:ascii="Arial" w:hAnsi="Arial" w:cs="Arial"/>
          <w:i/>
          <w:sz w:val="22"/>
          <w:szCs w:val="22"/>
        </w:rPr>
      </w:pPr>
      <w:r>
        <w:rPr>
          <w:rFonts w:ascii="Arial" w:hAnsi="Arial" w:cs="Arial"/>
          <w:sz w:val="22"/>
          <w:szCs w:val="22"/>
        </w:rPr>
        <w:t xml:space="preserve">The evidence base underpinning this Section is presented in the </w:t>
      </w:r>
      <w:r>
        <w:rPr>
          <w:rFonts w:ascii="Arial" w:hAnsi="Arial" w:cs="Arial"/>
          <w:i/>
          <w:sz w:val="22"/>
          <w:szCs w:val="22"/>
        </w:rPr>
        <w:t>City of Melbourne Electronic Gaming Decision-Making Framework and Gaming Policy Review Background Report, 2017.</w:t>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20" w:name="_Toc494291031"/>
      <w:r>
        <w:rPr>
          <w:rFonts w:ascii="CoM" w:hAnsi="CoM" w:cs="Arial"/>
          <w:b w:val="0"/>
          <w:color w:val="auto"/>
          <w:sz w:val="32"/>
          <w:szCs w:val="32"/>
        </w:rPr>
        <w:t>Impacts of EGMs</w:t>
      </w:r>
      <w:bookmarkEnd w:id="220"/>
    </w:p>
    <w:p w:rsidR="00A83CEA" w:rsidRDefault="00A83CEA" w:rsidP="00A83CEA">
      <w:pPr>
        <w:rPr>
          <w:rFonts w:ascii="Arial" w:hAnsi="Arial" w:cs="Arial"/>
          <w:sz w:val="22"/>
          <w:szCs w:val="22"/>
        </w:rPr>
      </w:pPr>
      <w:r>
        <w:rPr>
          <w:rFonts w:ascii="Arial" w:hAnsi="Arial" w:cs="Arial"/>
          <w:sz w:val="22"/>
          <w:szCs w:val="22"/>
        </w:rPr>
        <w:t>Research has found that EGM gambling has been identified with several harms.</w:t>
      </w:r>
      <w:r w:rsidR="009879A7" w:rsidRPr="009879A7">
        <w:rPr>
          <w:rStyle w:val="EndnoteReference"/>
          <w:rFonts w:ascii="Arial" w:hAnsi="Arial" w:cs="Arial"/>
          <w:sz w:val="22"/>
          <w:szCs w:val="22"/>
        </w:rPr>
        <w:t xml:space="preserve"> </w:t>
      </w:r>
      <w:r w:rsidR="009879A7">
        <w:rPr>
          <w:rStyle w:val="EndnoteReference"/>
          <w:rFonts w:ascii="Arial" w:hAnsi="Arial" w:cs="Arial"/>
          <w:sz w:val="22"/>
          <w:szCs w:val="22"/>
        </w:rPr>
        <w:endnoteReference w:id="5"/>
      </w:r>
      <w:r>
        <w:rPr>
          <w:rFonts w:ascii="Arial" w:hAnsi="Arial" w:cs="Arial"/>
          <w:sz w:val="22"/>
          <w:szCs w:val="22"/>
        </w:rPr>
        <w:t xml:space="preserve"> The social cost of gambling in Australia has been estimated at $4.7 billion every year.</w:t>
      </w:r>
      <w:r w:rsidR="009879A7">
        <w:rPr>
          <w:rStyle w:val="EndnoteReference"/>
          <w:rFonts w:ascii="Arial" w:hAnsi="Arial" w:cs="Arial"/>
          <w:sz w:val="22"/>
          <w:szCs w:val="22"/>
        </w:rPr>
        <w:endnoteReference w:id="6"/>
      </w:r>
    </w:p>
    <w:p w:rsidR="00A83CEA" w:rsidRDefault="00A83CEA" w:rsidP="00A83CEA">
      <w:pPr>
        <w:rPr>
          <w:rFonts w:ascii="Arial" w:hAnsi="Arial" w:cs="Arial"/>
          <w:b/>
          <w:sz w:val="22"/>
          <w:szCs w:val="22"/>
        </w:rPr>
      </w:pPr>
      <w:r>
        <w:rPr>
          <w:rFonts w:ascii="Arial" w:hAnsi="Arial" w:cs="Arial"/>
          <w:b/>
          <w:sz w:val="22"/>
          <w:szCs w:val="22"/>
        </w:rPr>
        <w:t>Social and health and wellbeing related harms include:</w:t>
      </w:r>
    </w:p>
    <w:p w:rsidR="00A83CEA" w:rsidRDefault="00A83CEA" w:rsidP="00A83CEA">
      <w:pPr>
        <w:pStyle w:val="ListParagraph"/>
        <w:numPr>
          <w:ilvl w:val="0"/>
          <w:numId w:val="125"/>
        </w:numPr>
        <w:rPr>
          <w:rFonts w:ascii="Arial" w:hAnsi="Arial"/>
          <w:sz w:val="22"/>
          <w:szCs w:val="22"/>
        </w:rPr>
      </w:pPr>
      <w:r>
        <w:rPr>
          <w:rFonts w:ascii="Arial" w:hAnsi="Arial"/>
          <w:sz w:val="22"/>
          <w:szCs w:val="22"/>
        </w:rPr>
        <w:t>Family breakdown</w:t>
      </w:r>
    </w:p>
    <w:p w:rsidR="00A83CEA" w:rsidRDefault="00A83CEA" w:rsidP="00A83CEA">
      <w:pPr>
        <w:pStyle w:val="ListParagraph"/>
        <w:numPr>
          <w:ilvl w:val="0"/>
          <w:numId w:val="125"/>
        </w:numPr>
        <w:rPr>
          <w:rFonts w:ascii="Arial" w:hAnsi="Arial"/>
          <w:sz w:val="22"/>
          <w:szCs w:val="22"/>
        </w:rPr>
      </w:pPr>
      <w:r>
        <w:rPr>
          <w:rFonts w:ascii="Arial" w:hAnsi="Arial"/>
          <w:sz w:val="22"/>
          <w:szCs w:val="22"/>
        </w:rPr>
        <w:t>Crime</w:t>
      </w:r>
    </w:p>
    <w:p w:rsidR="00A83CEA" w:rsidRDefault="00A83CEA" w:rsidP="00A83CEA">
      <w:pPr>
        <w:pStyle w:val="ListParagraph"/>
        <w:numPr>
          <w:ilvl w:val="0"/>
          <w:numId w:val="125"/>
        </w:numPr>
        <w:rPr>
          <w:rFonts w:ascii="Arial" w:hAnsi="Arial"/>
          <w:sz w:val="22"/>
          <w:szCs w:val="22"/>
        </w:rPr>
      </w:pPr>
      <w:r>
        <w:rPr>
          <w:rFonts w:ascii="Arial" w:hAnsi="Arial"/>
          <w:sz w:val="22"/>
          <w:szCs w:val="22"/>
        </w:rPr>
        <w:t>Emotional distress (relationship break-ups, family violence, suicidal thoughts, attempted suicide)</w:t>
      </w:r>
    </w:p>
    <w:p w:rsidR="00A83CEA" w:rsidRDefault="00A83CEA" w:rsidP="00A83CEA">
      <w:pPr>
        <w:pStyle w:val="ListParagraph"/>
        <w:numPr>
          <w:ilvl w:val="0"/>
          <w:numId w:val="125"/>
        </w:numPr>
        <w:rPr>
          <w:rFonts w:ascii="Arial" w:hAnsi="Arial"/>
          <w:sz w:val="22"/>
          <w:szCs w:val="22"/>
        </w:rPr>
      </w:pPr>
      <w:r>
        <w:rPr>
          <w:rFonts w:ascii="Arial" w:hAnsi="Arial"/>
          <w:sz w:val="22"/>
          <w:szCs w:val="22"/>
        </w:rPr>
        <w:t>Reduced physical and mental health and wellbeing</w:t>
      </w:r>
    </w:p>
    <w:p w:rsidR="00A83CEA" w:rsidRDefault="00A83CEA" w:rsidP="00A83CEA">
      <w:pPr>
        <w:pStyle w:val="ListParagraph"/>
        <w:numPr>
          <w:ilvl w:val="0"/>
          <w:numId w:val="125"/>
        </w:numPr>
        <w:rPr>
          <w:rFonts w:ascii="Arial" w:hAnsi="Arial"/>
          <w:sz w:val="22"/>
          <w:szCs w:val="22"/>
        </w:rPr>
      </w:pPr>
      <w:r>
        <w:rPr>
          <w:rFonts w:ascii="Arial" w:hAnsi="Arial"/>
          <w:sz w:val="22"/>
          <w:szCs w:val="22"/>
        </w:rPr>
        <w:t>Drug and alcohol abuse</w:t>
      </w:r>
    </w:p>
    <w:p w:rsidR="00A83CEA" w:rsidRDefault="00A83CEA" w:rsidP="00A83CEA">
      <w:pPr>
        <w:pStyle w:val="ListParagraph"/>
        <w:numPr>
          <w:ilvl w:val="0"/>
          <w:numId w:val="125"/>
        </w:numPr>
        <w:rPr>
          <w:rFonts w:ascii="Arial" w:hAnsi="Arial"/>
          <w:sz w:val="22"/>
          <w:szCs w:val="22"/>
        </w:rPr>
      </w:pPr>
      <w:r>
        <w:rPr>
          <w:rFonts w:ascii="Arial" w:hAnsi="Arial"/>
          <w:sz w:val="22"/>
          <w:szCs w:val="22"/>
        </w:rPr>
        <w:t>Tobacco smoking</w:t>
      </w:r>
    </w:p>
    <w:p w:rsidR="00A83CEA" w:rsidRDefault="00A83CEA" w:rsidP="00A83CEA">
      <w:pPr>
        <w:pStyle w:val="ListParagraph"/>
        <w:numPr>
          <w:ilvl w:val="0"/>
          <w:numId w:val="125"/>
        </w:numPr>
        <w:rPr>
          <w:rFonts w:ascii="Arial" w:hAnsi="Arial"/>
          <w:sz w:val="22"/>
          <w:szCs w:val="22"/>
        </w:rPr>
      </w:pPr>
      <w:r>
        <w:rPr>
          <w:rFonts w:ascii="Arial" w:hAnsi="Arial"/>
          <w:sz w:val="22"/>
          <w:szCs w:val="22"/>
        </w:rPr>
        <w:t>Stigma, shame and increased social isolation</w:t>
      </w:r>
    </w:p>
    <w:p w:rsidR="00A83CEA" w:rsidRDefault="00A83CEA" w:rsidP="00A83CEA">
      <w:pPr>
        <w:pStyle w:val="ListParagraph"/>
        <w:numPr>
          <w:ilvl w:val="0"/>
          <w:numId w:val="125"/>
        </w:numPr>
        <w:rPr>
          <w:rFonts w:ascii="Arial" w:hAnsi="Arial"/>
          <w:sz w:val="22"/>
          <w:szCs w:val="22"/>
        </w:rPr>
      </w:pPr>
      <w:r>
        <w:rPr>
          <w:rFonts w:ascii="Arial" w:hAnsi="Arial"/>
          <w:sz w:val="22"/>
          <w:szCs w:val="22"/>
        </w:rPr>
        <w:t>Deception</w:t>
      </w:r>
      <w:r w:rsidR="00766905">
        <w:rPr>
          <w:rFonts w:ascii="Arial" w:hAnsi="Arial"/>
          <w:sz w:val="22"/>
          <w:szCs w:val="22"/>
        </w:rPr>
        <w:t>.</w:t>
      </w:r>
    </w:p>
    <w:p w:rsidR="00A83CEA" w:rsidRDefault="00A83CEA" w:rsidP="00A83CEA">
      <w:pPr>
        <w:rPr>
          <w:rFonts w:ascii="Arial" w:hAnsi="Arial" w:cs="Arial"/>
          <w:b/>
          <w:sz w:val="22"/>
          <w:szCs w:val="22"/>
        </w:rPr>
      </w:pPr>
      <w:r>
        <w:rPr>
          <w:rFonts w:ascii="Arial" w:hAnsi="Arial" w:cs="Arial"/>
          <w:b/>
          <w:sz w:val="22"/>
          <w:szCs w:val="22"/>
        </w:rPr>
        <w:t>Economic harms include:</w:t>
      </w:r>
    </w:p>
    <w:p w:rsidR="00A83CEA" w:rsidRDefault="00A83CEA" w:rsidP="00A83CEA">
      <w:pPr>
        <w:pStyle w:val="ListParagraph"/>
        <w:numPr>
          <w:ilvl w:val="0"/>
          <w:numId w:val="126"/>
        </w:numPr>
        <w:rPr>
          <w:rFonts w:ascii="Arial" w:hAnsi="Arial"/>
          <w:sz w:val="22"/>
          <w:szCs w:val="22"/>
        </w:rPr>
      </w:pPr>
      <w:r>
        <w:rPr>
          <w:rFonts w:ascii="Arial" w:hAnsi="Arial"/>
          <w:sz w:val="22"/>
          <w:szCs w:val="22"/>
        </w:rPr>
        <w:t>Change in expenditure in local businesses and other entertainment providers</w:t>
      </w:r>
    </w:p>
    <w:p w:rsidR="00A83CEA" w:rsidRDefault="00A83CEA" w:rsidP="00A83CEA">
      <w:pPr>
        <w:pStyle w:val="ListParagraph"/>
        <w:numPr>
          <w:ilvl w:val="0"/>
          <w:numId w:val="126"/>
        </w:numPr>
        <w:rPr>
          <w:rFonts w:ascii="Arial" w:hAnsi="Arial"/>
          <w:sz w:val="22"/>
          <w:szCs w:val="22"/>
        </w:rPr>
      </w:pPr>
      <w:r>
        <w:rPr>
          <w:rFonts w:ascii="Arial" w:hAnsi="Arial"/>
          <w:sz w:val="22"/>
          <w:szCs w:val="22"/>
        </w:rPr>
        <w:t>Value of profits/taxes from gaming that leaves the municipal district</w:t>
      </w:r>
    </w:p>
    <w:p w:rsidR="00A83CEA" w:rsidRDefault="00A83CEA" w:rsidP="00A83CEA">
      <w:pPr>
        <w:pStyle w:val="ListParagraph"/>
        <w:numPr>
          <w:ilvl w:val="0"/>
          <w:numId w:val="126"/>
        </w:numPr>
        <w:rPr>
          <w:rFonts w:ascii="Arial" w:hAnsi="Arial"/>
          <w:sz w:val="22"/>
          <w:szCs w:val="22"/>
        </w:rPr>
      </w:pPr>
      <w:r>
        <w:rPr>
          <w:rFonts w:ascii="Arial" w:hAnsi="Arial"/>
          <w:sz w:val="22"/>
          <w:szCs w:val="22"/>
        </w:rPr>
        <w:t>Increased demand for community support services</w:t>
      </w:r>
    </w:p>
    <w:p w:rsidR="00A83CEA" w:rsidRDefault="00A83CEA" w:rsidP="00A83CEA">
      <w:pPr>
        <w:pStyle w:val="ListParagraph"/>
        <w:numPr>
          <w:ilvl w:val="0"/>
          <w:numId w:val="126"/>
        </w:numPr>
        <w:rPr>
          <w:rFonts w:ascii="Arial" w:hAnsi="Arial"/>
          <w:sz w:val="22"/>
          <w:szCs w:val="22"/>
        </w:rPr>
      </w:pPr>
      <w:r>
        <w:rPr>
          <w:rFonts w:ascii="Arial" w:hAnsi="Arial"/>
          <w:sz w:val="22"/>
          <w:szCs w:val="22"/>
        </w:rPr>
        <w:t>Effect of gaming on community life</w:t>
      </w:r>
    </w:p>
    <w:p w:rsidR="00A83CEA" w:rsidRDefault="00A83CEA" w:rsidP="00A83CEA">
      <w:pPr>
        <w:pStyle w:val="ListParagraph"/>
        <w:numPr>
          <w:ilvl w:val="0"/>
          <w:numId w:val="126"/>
        </w:numPr>
        <w:rPr>
          <w:rFonts w:ascii="Arial" w:hAnsi="Arial"/>
          <w:sz w:val="22"/>
          <w:szCs w:val="22"/>
        </w:rPr>
      </w:pPr>
      <w:r>
        <w:rPr>
          <w:rFonts w:ascii="Arial" w:hAnsi="Arial"/>
          <w:sz w:val="22"/>
          <w:szCs w:val="22"/>
        </w:rPr>
        <w:t>Job change costs</w:t>
      </w:r>
    </w:p>
    <w:p w:rsidR="00A83CEA" w:rsidRDefault="00A83CEA" w:rsidP="00A83CEA">
      <w:pPr>
        <w:pStyle w:val="ListParagraph"/>
        <w:numPr>
          <w:ilvl w:val="0"/>
          <w:numId w:val="126"/>
        </w:numPr>
        <w:rPr>
          <w:rFonts w:ascii="Arial" w:hAnsi="Arial"/>
          <w:sz w:val="22"/>
          <w:szCs w:val="22"/>
        </w:rPr>
      </w:pPr>
      <w:r>
        <w:rPr>
          <w:rFonts w:ascii="Arial" w:hAnsi="Arial"/>
          <w:sz w:val="22"/>
          <w:szCs w:val="22"/>
        </w:rPr>
        <w:t>Productivity loss outside work</w:t>
      </w:r>
    </w:p>
    <w:p w:rsidR="00A83CEA" w:rsidRDefault="00A83CEA" w:rsidP="00A83CEA">
      <w:pPr>
        <w:pStyle w:val="ListParagraph"/>
        <w:numPr>
          <w:ilvl w:val="0"/>
          <w:numId w:val="126"/>
        </w:numPr>
        <w:rPr>
          <w:rFonts w:ascii="Arial" w:hAnsi="Arial"/>
          <w:sz w:val="22"/>
          <w:szCs w:val="22"/>
        </w:rPr>
      </w:pPr>
      <w:r>
        <w:rPr>
          <w:rFonts w:ascii="Arial" w:hAnsi="Arial"/>
          <w:sz w:val="22"/>
          <w:szCs w:val="22"/>
        </w:rPr>
        <w:t>Bankruptcy</w:t>
      </w:r>
    </w:p>
    <w:p w:rsidR="00A83CEA" w:rsidRDefault="00A83CEA" w:rsidP="00A83CEA">
      <w:pPr>
        <w:pStyle w:val="ListParagraph"/>
        <w:numPr>
          <w:ilvl w:val="0"/>
          <w:numId w:val="126"/>
        </w:numPr>
        <w:rPr>
          <w:rFonts w:ascii="Arial" w:hAnsi="Arial"/>
          <w:sz w:val="22"/>
          <w:szCs w:val="22"/>
        </w:rPr>
      </w:pPr>
      <w:r>
        <w:rPr>
          <w:rFonts w:ascii="Arial" w:hAnsi="Arial"/>
          <w:sz w:val="22"/>
          <w:szCs w:val="22"/>
        </w:rPr>
        <w:t>Financial of cost of divorce and separation</w:t>
      </w:r>
    </w:p>
    <w:p w:rsidR="00A83CEA" w:rsidRDefault="00A83CEA" w:rsidP="00A83CEA">
      <w:pPr>
        <w:pStyle w:val="ListParagraph"/>
        <w:numPr>
          <w:ilvl w:val="0"/>
          <w:numId w:val="126"/>
        </w:numPr>
        <w:rPr>
          <w:rFonts w:ascii="Arial" w:hAnsi="Arial"/>
          <w:sz w:val="22"/>
          <w:szCs w:val="22"/>
        </w:rPr>
      </w:pPr>
      <w:r>
        <w:rPr>
          <w:rFonts w:ascii="Arial" w:hAnsi="Arial"/>
          <w:sz w:val="22"/>
          <w:szCs w:val="22"/>
        </w:rPr>
        <w:t>Indirect costs on the health system and human services sector</w:t>
      </w:r>
    </w:p>
    <w:p w:rsidR="00A83CEA" w:rsidRDefault="00A83CEA" w:rsidP="00A83CEA">
      <w:pPr>
        <w:pStyle w:val="ListParagraph"/>
        <w:numPr>
          <w:ilvl w:val="0"/>
          <w:numId w:val="126"/>
        </w:numPr>
        <w:rPr>
          <w:rFonts w:ascii="Arial" w:hAnsi="Arial"/>
          <w:sz w:val="22"/>
          <w:szCs w:val="22"/>
        </w:rPr>
      </w:pPr>
      <w:r>
        <w:rPr>
          <w:rFonts w:ascii="Arial" w:hAnsi="Arial"/>
          <w:sz w:val="22"/>
          <w:szCs w:val="22"/>
        </w:rPr>
        <w:t>Consumer loss from excessive gambling expenditure</w:t>
      </w:r>
    </w:p>
    <w:p w:rsidR="00A83CEA" w:rsidRDefault="00A83CEA" w:rsidP="00A83CEA">
      <w:pPr>
        <w:pStyle w:val="ListParagraph"/>
        <w:numPr>
          <w:ilvl w:val="0"/>
          <w:numId w:val="126"/>
        </w:numPr>
        <w:rPr>
          <w:rFonts w:ascii="Arial" w:hAnsi="Arial"/>
          <w:sz w:val="22"/>
          <w:szCs w:val="22"/>
        </w:rPr>
      </w:pPr>
      <w:r>
        <w:rPr>
          <w:rFonts w:ascii="Arial" w:hAnsi="Arial"/>
          <w:sz w:val="22"/>
          <w:szCs w:val="22"/>
        </w:rPr>
        <w:t>Costs to venue operators of harm minimisation measures</w:t>
      </w:r>
      <w:r w:rsidR="00766905">
        <w:rPr>
          <w:rFonts w:ascii="Arial" w:hAnsi="Arial"/>
          <w:sz w:val="22"/>
          <w:szCs w:val="22"/>
        </w:rPr>
        <w:t>.</w:t>
      </w:r>
    </w:p>
    <w:p w:rsidR="00A83CEA" w:rsidRDefault="00A83CEA" w:rsidP="00A83CEA">
      <w:pPr>
        <w:rPr>
          <w:rFonts w:ascii="Arial" w:hAnsi="Arial" w:cs="Arial"/>
          <w:sz w:val="22"/>
          <w:szCs w:val="22"/>
        </w:rPr>
      </w:pPr>
      <w:r>
        <w:rPr>
          <w:rFonts w:ascii="Arial" w:hAnsi="Arial" w:cs="Arial"/>
          <w:sz w:val="22"/>
          <w:szCs w:val="22"/>
        </w:rPr>
        <w:t>While the above harms have a considerable impact on individuals, their networks and the broader community, a number of benefits have been noted.</w:t>
      </w:r>
    </w:p>
    <w:p w:rsidR="00A83CEA" w:rsidRDefault="00A83CEA" w:rsidP="00A83CEA">
      <w:pPr>
        <w:rPr>
          <w:rFonts w:ascii="Arial" w:hAnsi="Arial" w:cs="Arial"/>
          <w:b/>
          <w:sz w:val="22"/>
          <w:szCs w:val="22"/>
        </w:rPr>
      </w:pPr>
      <w:r>
        <w:rPr>
          <w:rFonts w:ascii="Arial" w:hAnsi="Arial" w:cs="Arial"/>
          <w:b/>
          <w:sz w:val="22"/>
          <w:szCs w:val="22"/>
        </w:rPr>
        <w:t>Social and health and wellbeing benefits include:</w:t>
      </w:r>
    </w:p>
    <w:p w:rsidR="00A83CEA" w:rsidRDefault="00A83CEA" w:rsidP="00A83CEA">
      <w:pPr>
        <w:pStyle w:val="ListParagraph"/>
        <w:numPr>
          <w:ilvl w:val="0"/>
          <w:numId w:val="127"/>
        </w:numPr>
        <w:rPr>
          <w:rFonts w:ascii="Arial" w:hAnsi="Arial"/>
          <w:sz w:val="22"/>
          <w:szCs w:val="22"/>
        </w:rPr>
      </w:pPr>
      <w:r>
        <w:rPr>
          <w:rFonts w:ascii="Arial" w:hAnsi="Arial"/>
          <w:sz w:val="22"/>
          <w:szCs w:val="22"/>
        </w:rPr>
        <w:t>Form of entertainment and leisure</w:t>
      </w:r>
    </w:p>
    <w:p w:rsidR="00A83CEA" w:rsidRDefault="00A83CEA" w:rsidP="00A83CEA">
      <w:pPr>
        <w:pStyle w:val="ListParagraph"/>
        <w:numPr>
          <w:ilvl w:val="0"/>
          <w:numId w:val="127"/>
        </w:numPr>
        <w:rPr>
          <w:rFonts w:ascii="Arial" w:hAnsi="Arial"/>
          <w:sz w:val="22"/>
          <w:szCs w:val="22"/>
        </w:rPr>
      </w:pPr>
      <w:r>
        <w:rPr>
          <w:rFonts w:ascii="Arial" w:hAnsi="Arial"/>
          <w:sz w:val="22"/>
          <w:szCs w:val="22"/>
        </w:rPr>
        <w:t>Provision of venues in which people socialise</w:t>
      </w:r>
    </w:p>
    <w:p w:rsidR="00A83CEA" w:rsidRDefault="00A83CEA" w:rsidP="00A83CEA">
      <w:pPr>
        <w:pStyle w:val="ListParagraph"/>
        <w:numPr>
          <w:ilvl w:val="0"/>
          <w:numId w:val="127"/>
        </w:numPr>
        <w:rPr>
          <w:rFonts w:ascii="Arial" w:hAnsi="Arial"/>
          <w:sz w:val="22"/>
          <w:szCs w:val="22"/>
        </w:rPr>
      </w:pPr>
      <w:r>
        <w:rPr>
          <w:rFonts w:ascii="Arial" w:hAnsi="Arial"/>
          <w:sz w:val="22"/>
          <w:szCs w:val="22"/>
        </w:rPr>
        <w:t>Provision of subsidised meals and entertainment</w:t>
      </w:r>
    </w:p>
    <w:p w:rsidR="00A83CEA" w:rsidRDefault="00A83CEA" w:rsidP="00A83CEA">
      <w:pPr>
        <w:pStyle w:val="ListParagraph"/>
        <w:numPr>
          <w:ilvl w:val="0"/>
          <w:numId w:val="127"/>
        </w:numPr>
        <w:rPr>
          <w:rFonts w:ascii="Arial" w:hAnsi="Arial"/>
          <w:sz w:val="22"/>
          <w:szCs w:val="22"/>
        </w:rPr>
      </w:pPr>
      <w:r>
        <w:rPr>
          <w:rFonts w:ascii="Arial" w:hAnsi="Arial"/>
          <w:sz w:val="22"/>
          <w:szCs w:val="22"/>
        </w:rPr>
        <w:t>Provision of cash and in-kind contributions (such as use of facilities) to community organisations</w:t>
      </w:r>
    </w:p>
    <w:p w:rsidR="00A83CEA" w:rsidRDefault="00A83CEA" w:rsidP="00A83CEA">
      <w:pPr>
        <w:pStyle w:val="ListParagraph"/>
        <w:numPr>
          <w:ilvl w:val="0"/>
          <w:numId w:val="127"/>
        </w:numPr>
        <w:rPr>
          <w:rFonts w:ascii="Arial" w:hAnsi="Arial"/>
          <w:sz w:val="22"/>
          <w:szCs w:val="22"/>
        </w:rPr>
      </w:pPr>
      <w:r>
        <w:rPr>
          <w:rFonts w:ascii="Arial" w:hAnsi="Arial"/>
          <w:sz w:val="22"/>
          <w:szCs w:val="22"/>
        </w:rPr>
        <w:t>Provision of opportunities to volunteer (clubs)</w:t>
      </w:r>
    </w:p>
    <w:p w:rsidR="00A83CEA" w:rsidRDefault="00A83CEA" w:rsidP="00A83CEA">
      <w:pPr>
        <w:pStyle w:val="ListParagraph"/>
        <w:numPr>
          <w:ilvl w:val="0"/>
          <w:numId w:val="127"/>
        </w:numPr>
        <w:rPr>
          <w:rFonts w:ascii="Arial" w:hAnsi="Arial"/>
          <w:sz w:val="22"/>
          <w:szCs w:val="22"/>
        </w:rPr>
      </w:pPr>
      <w:r>
        <w:rPr>
          <w:rFonts w:ascii="Arial" w:hAnsi="Arial"/>
          <w:sz w:val="22"/>
          <w:szCs w:val="22"/>
        </w:rPr>
        <w:t>Value of profits/taxes from gaming that benefits other municipal districts</w:t>
      </w:r>
      <w:r w:rsidR="00766905">
        <w:rPr>
          <w:rFonts w:ascii="Arial" w:hAnsi="Arial"/>
          <w:sz w:val="22"/>
          <w:szCs w:val="22"/>
        </w:rPr>
        <w:t>.</w:t>
      </w:r>
    </w:p>
    <w:p w:rsidR="00A83CEA" w:rsidRDefault="00A83CEA" w:rsidP="00A83CEA">
      <w:pPr>
        <w:rPr>
          <w:rFonts w:ascii="Arial" w:hAnsi="Arial" w:cs="Arial"/>
          <w:b/>
          <w:sz w:val="22"/>
          <w:szCs w:val="22"/>
        </w:rPr>
      </w:pPr>
      <w:r>
        <w:rPr>
          <w:rFonts w:ascii="Arial" w:hAnsi="Arial" w:cs="Arial"/>
          <w:b/>
          <w:sz w:val="22"/>
          <w:szCs w:val="22"/>
        </w:rPr>
        <w:t>Economic benefits include:</w:t>
      </w:r>
    </w:p>
    <w:p w:rsidR="00A83CEA" w:rsidRDefault="00A83CEA" w:rsidP="00A83CEA">
      <w:pPr>
        <w:pStyle w:val="ListParagraph"/>
        <w:numPr>
          <w:ilvl w:val="0"/>
          <w:numId w:val="128"/>
        </w:numPr>
        <w:rPr>
          <w:rFonts w:ascii="Arial" w:hAnsi="Arial"/>
          <w:sz w:val="22"/>
          <w:szCs w:val="22"/>
        </w:rPr>
      </w:pPr>
      <w:r>
        <w:rPr>
          <w:rFonts w:ascii="Arial" w:hAnsi="Arial"/>
          <w:sz w:val="22"/>
          <w:szCs w:val="22"/>
        </w:rPr>
        <w:t>Tax revenue for State government</w:t>
      </w:r>
    </w:p>
    <w:p w:rsidR="00A83CEA" w:rsidRDefault="00A83CEA" w:rsidP="00A83CEA">
      <w:pPr>
        <w:pStyle w:val="ListParagraph"/>
        <w:numPr>
          <w:ilvl w:val="0"/>
          <w:numId w:val="128"/>
        </w:numPr>
        <w:rPr>
          <w:rFonts w:ascii="Arial" w:hAnsi="Arial"/>
          <w:sz w:val="22"/>
          <w:szCs w:val="22"/>
        </w:rPr>
      </w:pPr>
      <w:r>
        <w:rPr>
          <w:rFonts w:ascii="Arial" w:hAnsi="Arial"/>
          <w:sz w:val="22"/>
          <w:szCs w:val="22"/>
        </w:rPr>
        <w:t>Employment</w:t>
      </w:r>
    </w:p>
    <w:p w:rsidR="00A83CEA" w:rsidRDefault="00A83CEA" w:rsidP="00A83CEA">
      <w:pPr>
        <w:pStyle w:val="ListParagraph"/>
        <w:numPr>
          <w:ilvl w:val="0"/>
          <w:numId w:val="128"/>
        </w:numPr>
        <w:rPr>
          <w:rFonts w:ascii="Arial" w:hAnsi="Arial"/>
          <w:sz w:val="22"/>
          <w:szCs w:val="22"/>
        </w:rPr>
      </w:pPr>
      <w:r>
        <w:rPr>
          <w:rFonts w:ascii="Arial" w:hAnsi="Arial"/>
          <w:sz w:val="22"/>
          <w:szCs w:val="22"/>
        </w:rPr>
        <w:t>Investment</w:t>
      </w:r>
    </w:p>
    <w:p w:rsidR="00A83CEA" w:rsidRDefault="00A83CEA" w:rsidP="00A83CEA">
      <w:pPr>
        <w:pStyle w:val="ListParagraph"/>
        <w:numPr>
          <w:ilvl w:val="0"/>
          <w:numId w:val="128"/>
        </w:numPr>
        <w:rPr>
          <w:rFonts w:ascii="Arial" w:hAnsi="Arial"/>
          <w:sz w:val="22"/>
          <w:szCs w:val="22"/>
        </w:rPr>
      </w:pPr>
      <w:r>
        <w:rPr>
          <w:rFonts w:ascii="Arial" w:hAnsi="Arial"/>
          <w:sz w:val="22"/>
          <w:szCs w:val="22"/>
        </w:rPr>
        <w:t>Supply contracts for local businesses as a result of renovations, goods and services</w:t>
      </w:r>
    </w:p>
    <w:p w:rsidR="00A83CEA" w:rsidRPr="008E3F04" w:rsidRDefault="00A83CEA" w:rsidP="00A83CEA">
      <w:pPr>
        <w:pStyle w:val="ListParagraph"/>
        <w:numPr>
          <w:ilvl w:val="0"/>
          <w:numId w:val="128"/>
        </w:numPr>
        <w:rPr>
          <w:rFonts w:ascii="Arial" w:hAnsi="Arial"/>
          <w:b/>
          <w:sz w:val="22"/>
          <w:szCs w:val="22"/>
        </w:rPr>
      </w:pPr>
      <w:r>
        <w:rPr>
          <w:rFonts w:ascii="Arial" w:hAnsi="Arial"/>
          <w:sz w:val="22"/>
          <w:szCs w:val="22"/>
        </w:rPr>
        <w:t>Tourism</w:t>
      </w:r>
      <w:r w:rsidR="00766905">
        <w:rPr>
          <w:rFonts w:ascii="Arial" w:hAnsi="Arial"/>
          <w:sz w:val="22"/>
          <w:szCs w:val="22"/>
        </w:rPr>
        <w:t>.</w:t>
      </w:r>
    </w:p>
    <w:p w:rsidR="00835254" w:rsidRPr="008E3F04" w:rsidRDefault="00835254" w:rsidP="008E3F04">
      <w:pPr>
        <w:rPr>
          <w:rFonts w:ascii="Arial" w:hAnsi="Arial"/>
          <w:sz w:val="22"/>
          <w:szCs w:val="22"/>
        </w:rPr>
      </w:pPr>
      <w:r w:rsidRPr="008E3F04">
        <w:rPr>
          <w:rFonts w:ascii="Arial" w:hAnsi="Arial" w:cs="Arial"/>
          <w:sz w:val="22"/>
          <w:szCs w:val="22"/>
        </w:rPr>
        <w:t>These social and economic harms are experienced by the individual, their families and the broader community. Th</w:t>
      </w:r>
      <w:r w:rsidR="00DB6DDD" w:rsidRPr="00757B06">
        <w:rPr>
          <w:rFonts w:ascii="Arial" w:hAnsi="Arial" w:cs="Arial"/>
          <w:sz w:val="22"/>
          <w:szCs w:val="22"/>
        </w:rPr>
        <w:t>is Framework</w:t>
      </w:r>
      <w:r w:rsidRPr="008E3F04">
        <w:rPr>
          <w:rFonts w:ascii="Arial" w:hAnsi="Arial" w:cs="Arial"/>
          <w:sz w:val="22"/>
          <w:szCs w:val="22"/>
        </w:rPr>
        <w:t xml:space="preserve"> will support Council in fulfilling its </w:t>
      </w:r>
      <w:r w:rsidR="00F6113D">
        <w:rPr>
          <w:rFonts w:ascii="Arial" w:hAnsi="Arial" w:cs="Arial"/>
          <w:sz w:val="22"/>
          <w:szCs w:val="22"/>
        </w:rPr>
        <w:t>role</w:t>
      </w:r>
      <w:r w:rsidRPr="008E3F04">
        <w:rPr>
          <w:rFonts w:ascii="Arial" w:hAnsi="Arial" w:cs="Arial"/>
          <w:sz w:val="22"/>
          <w:szCs w:val="22"/>
        </w:rPr>
        <w:t xml:space="preserve"> in </w:t>
      </w:r>
      <w:r w:rsidR="00F6113D" w:rsidRPr="00757B06">
        <w:rPr>
          <w:rFonts w:ascii="Arial" w:hAnsi="Arial" w:cs="Arial"/>
          <w:sz w:val="22"/>
          <w:szCs w:val="22"/>
        </w:rPr>
        <w:t xml:space="preserve">preventing and minimising </w:t>
      </w:r>
      <w:r w:rsidR="00F6113D">
        <w:rPr>
          <w:rFonts w:ascii="Arial" w:hAnsi="Arial" w:cs="Arial"/>
          <w:sz w:val="22"/>
          <w:szCs w:val="22"/>
        </w:rPr>
        <w:t xml:space="preserve">harm to </w:t>
      </w:r>
      <w:r w:rsidRPr="008E3F04">
        <w:rPr>
          <w:rFonts w:ascii="Arial" w:hAnsi="Arial" w:cs="Arial"/>
          <w:sz w:val="22"/>
          <w:szCs w:val="22"/>
        </w:rPr>
        <w:t>individuals and communities most at risk.</w:t>
      </w:r>
    </w:p>
    <w:p w:rsidR="00B879F5" w:rsidRDefault="009879A7" w:rsidP="00B879F5">
      <w:pPr>
        <w:pStyle w:val="Heading2"/>
        <w:numPr>
          <w:ilvl w:val="1"/>
          <w:numId w:val="111"/>
        </w:numPr>
        <w:spacing w:after="120"/>
        <w:ind w:left="578" w:hanging="578"/>
        <w:rPr>
          <w:rFonts w:ascii="CoM" w:hAnsi="CoM" w:cs="Arial"/>
          <w:b w:val="0"/>
          <w:color w:val="auto"/>
          <w:sz w:val="32"/>
          <w:szCs w:val="32"/>
        </w:rPr>
      </w:pPr>
      <w:bookmarkStart w:id="221" w:name="_Toc494291032"/>
      <w:r>
        <w:rPr>
          <w:rFonts w:ascii="CoM" w:hAnsi="CoM" w:cs="Arial"/>
          <w:b w:val="0"/>
          <w:color w:val="auto"/>
          <w:sz w:val="32"/>
          <w:szCs w:val="32"/>
        </w:rPr>
        <w:t>Risk of gambling related harms</w:t>
      </w:r>
      <w:bookmarkEnd w:id="221"/>
    </w:p>
    <w:p w:rsidR="00A83CEA" w:rsidRDefault="00A83CEA" w:rsidP="00A83CEA">
      <w:pPr>
        <w:spacing w:before="120" w:line="276" w:lineRule="auto"/>
        <w:rPr>
          <w:rFonts w:ascii="Arial" w:hAnsi="Arial" w:cs="Arial"/>
          <w:sz w:val="22"/>
          <w:szCs w:val="22"/>
        </w:rPr>
      </w:pPr>
      <w:r>
        <w:rPr>
          <w:rFonts w:ascii="Arial" w:hAnsi="Arial" w:cs="Arial"/>
          <w:sz w:val="22"/>
          <w:szCs w:val="22"/>
        </w:rPr>
        <w:t>Gaming can lead to problem gambling, and cause gambling related harm for individuals, families and the broader community.</w:t>
      </w:r>
      <w:r w:rsidR="005814B5">
        <w:rPr>
          <w:rFonts w:ascii="Arial" w:hAnsi="Arial" w:cs="Arial"/>
          <w:sz w:val="22"/>
          <w:szCs w:val="22"/>
        </w:rPr>
        <w:t xml:space="preserve"> </w:t>
      </w:r>
      <w:r w:rsidR="005814B5" w:rsidRPr="005814B5">
        <w:rPr>
          <w:rFonts w:ascii="Arial" w:hAnsi="Arial" w:cs="Arial"/>
          <w:sz w:val="22"/>
          <w:szCs w:val="22"/>
        </w:rPr>
        <w:t>This Framework will support Council in fulfilling its role in preventing and minimising harm to individuals and communities most at risk.</w:t>
      </w:r>
    </w:p>
    <w:p w:rsidR="00A83CEA" w:rsidRDefault="00A83CEA" w:rsidP="00A83CEA">
      <w:pPr>
        <w:spacing w:before="120" w:line="276" w:lineRule="auto"/>
        <w:rPr>
          <w:rFonts w:ascii="Arial" w:hAnsi="Arial" w:cs="Arial"/>
          <w:sz w:val="22"/>
          <w:szCs w:val="22"/>
        </w:rPr>
      </w:pPr>
      <w:r>
        <w:rPr>
          <w:rFonts w:ascii="Arial" w:hAnsi="Arial" w:cs="Arial"/>
          <w:sz w:val="22"/>
          <w:szCs w:val="22"/>
        </w:rPr>
        <w:t>Problem gambling has been defined as:</w:t>
      </w:r>
    </w:p>
    <w:p w:rsidR="00A83CEA" w:rsidRDefault="00A83CEA" w:rsidP="00A83CEA">
      <w:pPr>
        <w:spacing w:before="120" w:line="276" w:lineRule="auto"/>
        <w:ind w:left="720"/>
        <w:rPr>
          <w:rFonts w:ascii="Arial" w:hAnsi="Arial" w:cs="Arial"/>
          <w:i/>
          <w:sz w:val="22"/>
          <w:szCs w:val="22"/>
        </w:rPr>
      </w:pPr>
      <w:r>
        <w:rPr>
          <w:rFonts w:ascii="Arial" w:hAnsi="Arial" w:cs="Arial"/>
          <w:i/>
          <w:sz w:val="22"/>
          <w:szCs w:val="22"/>
        </w:rPr>
        <w:t>Experiencing difficulties in limiting money and/or time spent on gambling which leads to adverse consequences for the gambler, others, or for the community.</w:t>
      </w:r>
      <w:r>
        <w:rPr>
          <w:rStyle w:val="EndnoteReference"/>
          <w:rFonts w:ascii="Arial" w:hAnsi="Arial" w:cs="Arial"/>
          <w:i/>
          <w:sz w:val="22"/>
          <w:szCs w:val="22"/>
        </w:rPr>
        <w:endnoteReference w:id="7"/>
      </w:r>
    </w:p>
    <w:p w:rsidR="00A83CEA" w:rsidRDefault="00A83CEA" w:rsidP="00A83CEA">
      <w:pPr>
        <w:spacing w:before="120" w:line="276" w:lineRule="auto"/>
        <w:rPr>
          <w:rFonts w:ascii="Arial" w:hAnsi="Arial" w:cs="Arial"/>
          <w:sz w:val="22"/>
          <w:szCs w:val="22"/>
        </w:rPr>
      </w:pPr>
      <w:r>
        <w:rPr>
          <w:rFonts w:ascii="Arial" w:hAnsi="Arial" w:cs="Arial"/>
          <w:sz w:val="22"/>
          <w:szCs w:val="22"/>
        </w:rPr>
        <w:t>Gambling-related harm has been defined as:</w:t>
      </w:r>
    </w:p>
    <w:p w:rsidR="00A83CEA" w:rsidRDefault="00A83CEA" w:rsidP="00A83CEA">
      <w:pPr>
        <w:spacing w:line="276" w:lineRule="auto"/>
        <w:ind w:left="720"/>
        <w:rPr>
          <w:rFonts w:ascii="Arial" w:hAnsi="Arial" w:cs="Arial"/>
          <w:i/>
          <w:sz w:val="22"/>
          <w:szCs w:val="22"/>
        </w:rPr>
      </w:pPr>
      <w:r>
        <w:rPr>
          <w:rFonts w:ascii="Arial" w:hAnsi="Arial" w:cs="Arial"/>
          <w:i/>
          <w:sz w:val="22"/>
          <w:szCs w:val="22"/>
        </w:rPr>
        <w:t>Any initial or exacerbated adverse consequence due to an engagement with gambling that leads to a detriment to the health or wellbeing of an individual, family unit, community or population.</w:t>
      </w:r>
      <w:r>
        <w:rPr>
          <w:rStyle w:val="EndnoteReference"/>
          <w:rFonts w:ascii="Arial" w:hAnsi="Arial" w:cs="Arial"/>
          <w:i/>
          <w:sz w:val="22"/>
          <w:szCs w:val="22"/>
        </w:rPr>
        <w:endnoteReference w:id="8"/>
      </w:r>
    </w:p>
    <w:p w:rsidR="00A83CEA" w:rsidRDefault="00A83CEA" w:rsidP="00A83CEA">
      <w:pPr>
        <w:rPr>
          <w:rFonts w:ascii="Arial" w:hAnsi="Arial" w:cs="Arial"/>
          <w:sz w:val="22"/>
          <w:szCs w:val="22"/>
        </w:rPr>
      </w:pPr>
      <w:r>
        <w:rPr>
          <w:rFonts w:ascii="Arial" w:hAnsi="Arial" w:cs="Arial"/>
          <w:sz w:val="22"/>
          <w:szCs w:val="22"/>
        </w:rPr>
        <w:t>The Productivity Commission has estimated that between 1.9</w:t>
      </w:r>
      <w:r w:rsidR="00766905">
        <w:rPr>
          <w:rFonts w:ascii="Arial" w:hAnsi="Arial" w:cs="Arial"/>
          <w:sz w:val="22"/>
          <w:szCs w:val="22"/>
        </w:rPr>
        <w:t xml:space="preserve"> per cent</w:t>
      </w:r>
      <w:r>
        <w:rPr>
          <w:rFonts w:ascii="Arial" w:hAnsi="Arial" w:cs="Arial"/>
          <w:sz w:val="22"/>
          <w:szCs w:val="22"/>
        </w:rPr>
        <w:t xml:space="preserve"> and 3.1</w:t>
      </w:r>
      <w:r w:rsidR="00766905">
        <w:rPr>
          <w:rFonts w:ascii="Arial" w:hAnsi="Arial" w:cs="Arial"/>
          <w:sz w:val="22"/>
          <w:szCs w:val="22"/>
        </w:rPr>
        <w:t xml:space="preserve"> per cent</w:t>
      </w:r>
      <w:r>
        <w:rPr>
          <w:rFonts w:ascii="Arial" w:hAnsi="Arial" w:cs="Arial"/>
          <w:sz w:val="22"/>
          <w:szCs w:val="22"/>
        </w:rPr>
        <w:t xml:space="preserve"> of the population experience moderate or high risks of gambling-related harm</w:t>
      </w:r>
      <w:r w:rsidR="0006045F">
        <w:rPr>
          <w:rFonts w:ascii="Arial" w:hAnsi="Arial" w:cs="Arial"/>
          <w:sz w:val="22"/>
          <w:szCs w:val="22"/>
        </w:rPr>
        <w:t>.</w:t>
      </w:r>
      <w:r>
        <w:rPr>
          <w:rStyle w:val="EndnoteReference"/>
          <w:rFonts w:ascii="Arial" w:hAnsi="Arial" w:cs="Arial"/>
          <w:sz w:val="22"/>
          <w:szCs w:val="22"/>
        </w:rPr>
        <w:endnoteReference w:id="9"/>
      </w:r>
      <w:r w:rsidR="000313F1">
        <w:rPr>
          <w:rFonts w:ascii="Arial" w:hAnsi="Arial" w:cs="Arial"/>
          <w:sz w:val="22"/>
          <w:szCs w:val="22"/>
        </w:rPr>
        <w:t xml:space="preserve"> </w:t>
      </w:r>
      <w:r>
        <w:rPr>
          <w:rFonts w:ascii="Arial" w:hAnsi="Arial" w:cs="Arial"/>
          <w:sz w:val="22"/>
          <w:szCs w:val="22"/>
        </w:rPr>
        <w:t>A study in Victoria found that 0.81</w:t>
      </w:r>
      <w:r w:rsidR="00766905">
        <w:rPr>
          <w:rFonts w:ascii="Arial" w:hAnsi="Arial" w:cs="Arial"/>
          <w:sz w:val="22"/>
          <w:szCs w:val="22"/>
        </w:rPr>
        <w:t xml:space="preserve"> per cent</w:t>
      </w:r>
      <w:r>
        <w:rPr>
          <w:rFonts w:ascii="Arial" w:hAnsi="Arial" w:cs="Arial"/>
          <w:sz w:val="22"/>
          <w:szCs w:val="22"/>
        </w:rPr>
        <w:t xml:space="preserve"> of Victorian adults were classified as problem gamblers, with a further 2.79</w:t>
      </w:r>
      <w:r w:rsidR="00766905">
        <w:rPr>
          <w:rFonts w:ascii="Arial" w:hAnsi="Arial" w:cs="Arial"/>
          <w:sz w:val="22"/>
          <w:szCs w:val="22"/>
        </w:rPr>
        <w:t xml:space="preserve"> per cent</w:t>
      </w:r>
      <w:r>
        <w:rPr>
          <w:rFonts w:ascii="Arial" w:hAnsi="Arial" w:cs="Arial"/>
          <w:sz w:val="22"/>
          <w:szCs w:val="22"/>
        </w:rPr>
        <w:t xml:space="preserve"> being classified as moderate risk gamblers</w:t>
      </w:r>
      <w:r w:rsidR="0006045F">
        <w:rPr>
          <w:rFonts w:ascii="Arial" w:hAnsi="Arial" w:cs="Arial"/>
          <w:sz w:val="22"/>
          <w:szCs w:val="22"/>
        </w:rPr>
        <w:t>.</w:t>
      </w:r>
      <w:r>
        <w:rPr>
          <w:rStyle w:val="EndnoteReference"/>
          <w:rFonts w:ascii="Arial" w:hAnsi="Arial" w:cs="Arial"/>
          <w:sz w:val="22"/>
          <w:szCs w:val="22"/>
        </w:rPr>
        <w:t xml:space="preserve"> </w:t>
      </w:r>
      <w:r w:rsidRPr="008E3F04">
        <w:rPr>
          <w:vertAlign w:val="superscript"/>
        </w:rPr>
        <w:endnoteReference w:id="10"/>
      </w:r>
      <w:r>
        <w:rPr>
          <w:rFonts w:ascii="Arial" w:hAnsi="Arial" w:cs="Arial"/>
          <w:sz w:val="22"/>
          <w:szCs w:val="22"/>
        </w:rPr>
        <w:t xml:space="preserve"> </w:t>
      </w:r>
    </w:p>
    <w:p w:rsidR="00A83CEA" w:rsidRDefault="00A83CEA" w:rsidP="00A83CEA">
      <w:pPr>
        <w:rPr>
          <w:rFonts w:ascii="Arial" w:hAnsi="Arial" w:cs="Arial"/>
          <w:sz w:val="22"/>
          <w:szCs w:val="22"/>
        </w:rPr>
      </w:pPr>
      <w:r>
        <w:rPr>
          <w:rFonts w:ascii="Arial" w:hAnsi="Arial" w:cs="Arial"/>
          <w:sz w:val="22"/>
          <w:szCs w:val="22"/>
        </w:rPr>
        <w:t>EGMs pose the greatest risks to existing and potential problem gamblers.</w:t>
      </w:r>
      <w:r>
        <w:rPr>
          <w:rStyle w:val="EndnoteReference"/>
          <w:rFonts w:ascii="Arial" w:hAnsi="Arial" w:cs="Arial"/>
          <w:sz w:val="22"/>
          <w:szCs w:val="22"/>
        </w:rPr>
        <w:t xml:space="preserve"> </w:t>
      </w:r>
      <w:r w:rsidRPr="008E3F04">
        <w:rPr>
          <w:vertAlign w:val="superscript"/>
        </w:rPr>
        <w:endnoteReference w:id="11"/>
      </w:r>
      <w:r>
        <w:rPr>
          <w:rFonts w:ascii="Arial" w:hAnsi="Arial" w:cs="Arial"/>
          <w:sz w:val="22"/>
          <w:szCs w:val="22"/>
        </w:rPr>
        <w:t xml:space="preserve"> They account for around 80 per</w:t>
      </w:r>
      <w:r w:rsidR="007B5A02">
        <w:rPr>
          <w:rFonts w:ascii="Arial" w:hAnsi="Arial" w:cs="Arial"/>
          <w:sz w:val="22"/>
          <w:szCs w:val="22"/>
        </w:rPr>
        <w:t xml:space="preserve"> </w:t>
      </w:r>
      <w:r>
        <w:rPr>
          <w:rFonts w:ascii="Arial" w:hAnsi="Arial" w:cs="Arial"/>
          <w:sz w:val="22"/>
          <w:szCs w:val="22"/>
        </w:rPr>
        <w:t>cent of presentations to counselling agencies, and over 90</w:t>
      </w:r>
      <w:r w:rsidR="00766905">
        <w:rPr>
          <w:rFonts w:ascii="Arial" w:hAnsi="Arial" w:cs="Arial"/>
          <w:sz w:val="22"/>
          <w:szCs w:val="22"/>
        </w:rPr>
        <w:t xml:space="preserve"> per cent</w:t>
      </w:r>
      <w:r>
        <w:rPr>
          <w:rFonts w:ascii="Arial" w:hAnsi="Arial" w:cs="Arial"/>
          <w:sz w:val="22"/>
          <w:szCs w:val="22"/>
        </w:rPr>
        <w:t xml:space="preserve"> of problem gamblers report participation with EGMs.</w:t>
      </w:r>
      <w:r>
        <w:rPr>
          <w:rStyle w:val="EndnoteReference"/>
          <w:rFonts w:ascii="Arial" w:hAnsi="Arial" w:cs="Arial"/>
          <w:sz w:val="22"/>
          <w:szCs w:val="22"/>
        </w:rPr>
        <w:endnoteReference w:id="12"/>
      </w:r>
      <w:r>
        <w:rPr>
          <w:rFonts w:ascii="Arial" w:hAnsi="Arial" w:cs="Arial"/>
          <w:sz w:val="22"/>
          <w:szCs w:val="22"/>
        </w:rPr>
        <w:t xml:space="preserve"> In addition, one in six people who use EGMs regularly has a serious addiction </w:t>
      </w:r>
      <w:r w:rsidRPr="007B5A02">
        <w:rPr>
          <w:sz w:val="22"/>
          <w:szCs w:val="22"/>
          <w:vertAlign w:val="superscript"/>
        </w:rPr>
        <w:endnoteReference w:id="13"/>
      </w:r>
      <w:r w:rsidRPr="007B5A02">
        <w:rPr>
          <w:rFonts w:ascii="Arial" w:hAnsi="Arial" w:cs="Arial"/>
          <w:sz w:val="22"/>
          <w:szCs w:val="22"/>
          <w:vertAlign w:val="superscript"/>
        </w:rPr>
        <w:t xml:space="preserve"> </w:t>
      </w:r>
      <w:r>
        <w:rPr>
          <w:rFonts w:ascii="Arial" w:hAnsi="Arial" w:cs="Arial"/>
          <w:sz w:val="22"/>
          <w:szCs w:val="22"/>
        </w:rPr>
        <w:t>and for each additional EGM introduced into an area, there will be an increase in problem gambling, by an average of 0.8 problem gamblers per EGM.</w:t>
      </w:r>
      <w:r>
        <w:rPr>
          <w:vertAlign w:val="superscript"/>
        </w:rPr>
        <w:endnoteReference w:id="14"/>
      </w:r>
      <w:r>
        <w:rPr>
          <w:rFonts w:ascii="Arial" w:hAnsi="Arial" w:cs="Arial"/>
          <w:sz w:val="22"/>
          <w:szCs w:val="22"/>
        </w:rPr>
        <w:t xml:space="preserve"> </w:t>
      </w:r>
    </w:p>
    <w:p w:rsidR="00A83CEA" w:rsidRDefault="00A83CEA" w:rsidP="00A83CEA">
      <w:pPr>
        <w:rPr>
          <w:rFonts w:ascii="Arial" w:hAnsi="Arial" w:cs="Arial"/>
          <w:sz w:val="22"/>
          <w:szCs w:val="22"/>
        </w:rPr>
      </w:pPr>
      <w:r>
        <w:rPr>
          <w:rFonts w:ascii="Arial" w:hAnsi="Arial" w:cs="Arial"/>
          <w:sz w:val="22"/>
          <w:szCs w:val="22"/>
        </w:rPr>
        <w:t>It is estimated that each person with gambling problems has between 5 and 10 people in their lives who are also affected by their gambling, either directly or indirectly.</w:t>
      </w:r>
      <w:r>
        <w:rPr>
          <w:rStyle w:val="EndnoteReference"/>
          <w:rFonts w:ascii="Arial" w:hAnsi="Arial" w:cs="Arial"/>
          <w:sz w:val="22"/>
          <w:szCs w:val="22"/>
        </w:rPr>
        <w:endnoteReference w:id="15"/>
      </w:r>
      <w:r>
        <w:rPr>
          <w:rFonts w:ascii="Arial" w:hAnsi="Arial" w:cs="Arial"/>
          <w:sz w:val="22"/>
          <w:szCs w:val="22"/>
        </w:rPr>
        <w:t xml:space="preserve"> These may include immediate family members, employees and employers, friends and team mates. </w:t>
      </w:r>
      <w:r>
        <w:rPr>
          <w:rStyle w:val="EndnoteReference"/>
          <w:rFonts w:ascii="Arial" w:hAnsi="Arial" w:cs="Arial"/>
          <w:sz w:val="22"/>
          <w:szCs w:val="22"/>
        </w:rPr>
        <w:endnoteReference w:id="16"/>
      </w:r>
      <w:r>
        <w:rPr>
          <w:rFonts w:ascii="Arial" w:hAnsi="Arial" w:cs="Arial"/>
          <w:sz w:val="22"/>
          <w:szCs w:val="22"/>
        </w:rPr>
        <w:t xml:space="preserve"> It has been estimated that for every person with a gaming problem, there are between 5-10 people facing serious emotional or financial consequences as a result. </w:t>
      </w:r>
    </w:p>
    <w:p w:rsidR="00A83CEA" w:rsidRDefault="00A83CEA" w:rsidP="00A83CEA">
      <w:pPr>
        <w:rPr>
          <w:rFonts w:ascii="Arial" w:hAnsi="Arial" w:cs="Arial"/>
          <w:sz w:val="22"/>
          <w:szCs w:val="22"/>
          <w:lang w:eastAsia="en-AU"/>
        </w:rPr>
      </w:pPr>
      <w:r>
        <w:rPr>
          <w:rFonts w:ascii="Arial" w:hAnsi="Arial" w:cs="Arial"/>
          <w:sz w:val="22"/>
          <w:szCs w:val="22"/>
        </w:rPr>
        <w:t>Studies have found that it is not only problem gamblers who experienced compromised health and wellbeing with low and moderate-risk gamblers accounting for the majority of aggregate years of health life lost in Victoria</w:t>
      </w:r>
      <w:r>
        <w:rPr>
          <w:rFonts w:ascii="Arial" w:hAnsi="Arial" w:cs="Arial"/>
          <w:sz w:val="22"/>
          <w:szCs w:val="22"/>
          <w:lang w:eastAsia="en-AU"/>
        </w:rPr>
        <w:t>.</w:t>
      </w:r>
      <w:r>
        <w:rPr>
          <w:rFonts w:ascii="Arial" w:hAnsi="Arial"/>
          <w:sz w:val="22"/>
          <w:szCs w:val="22"/>
          <w:lang w:eastAsia="en-AU"/>
        </w:rPr>
        <w:t xml:space="preserve"> </w:t>
      </w:r>
      <w:r w:rsidRPr="008E3F04">
        <w:rPr>
          <w:vertAlign w:val="superscript"/>
        </w:rPr>
        <w:endnoteReference w:id="17"/>
      </w:r>
    </w:p>
    <w:p w:rsidR="00A83CEA" w:rsidRDefault="00A83CEA" w:rsidP="00A83CEA">
      <w:pPr>
        <w:rPr>
          <w:rFonts w:ascii="Arial" w:hAnsi="Arial" w:cs="Arial"/>
          <w:sz w:val="22"/>
          <w:szCs w:val="22"/>
          <w:lang w:eastAsia="en-AU"/>
        </w:rPr>
      </w:pPr>
      <w:r>
        <w:rPr>
          <w:rFonts w:ascii="Arial" w:hAnsi="Arial" w:cs="Arial"/>
          <w:sz w:val="22"/>
          <w:szCs w:val="22"/>
        </w:rPr>
        <w:t>There is evidence demonstrating that postcodes with no EGMs were associated with fewer family incidents and domestic violence assaults compared with postcodes that have EGMs</w:t>
      </w:r>
      <w:r>
        <w:rPr>
          <w:rFonts w:ascii="Arial" w:hAnsi="Arial" w:cs="Arial"/>
          <w:sz w:val="22"/>
          <w:szCs w:val="22"/>
          <w:lang w:eastAsia="en-AU"/>
        </w:rPr>
        <w:t>.</w:t>
      </w:r>
      <w:r w:rsidRPr="008E3F04">
        <w:rPr>
          <w:vertAlign w:val="superscript"/>
        </w:rPr>
        <w:endnoteReference w:id="18"/>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22" w:name="_Toc494291033"/>
      <w:r>
        <w:rPr>
          <w:rFonts w:ascii="CoM" w:hAnsi="CoM" w:cs="Arial"/>
          <w:b w:val="0"/>
          <w:color w:val="auto"/>
          <w:sz w:val="32"/>
          <w:szCs w:val="32"/>
        </w:rPr>
        <w:t>Factors increasing the potential for gambling related harms</w:t>
      </w:r>
      <w:bookmarkEnd w:id="222"/>
    </w:p>
    <w:p w:rsidR="00A83CEA" w:rsidRDefault="00A83CEA" w:rsidP="00A83CEA">
      <w:pPr>
        <w:rPr>
          <w:rFonts w:ascii="Arial" w:hAnsi="Arial" w:cs="Arial"/>
          <w:sz w:val="22"/>
          <w:szCs w:val="22"/>
        </w:rPr>
      </w:pPr>
      <w:r>
        <w:rPr>
          <w:rFonts w:ascii="Arial" w:hAnsi="Arial" w:cs="Arial"/>
          <w:sz w:val="22"/>
          <w:szCs w:val="22"/>
        </w:rPr>
        <w:t xml:space="preserve">The following physical, socio-economic, and health factors are recognised as increasing the potential for an individual or community to experience gambling-related harms (refer to Table </w:t>
      </w:r>
      <w:r w:rsidR="007B5A02">
        <w:rPr>
          <w:rFonts w:ascii="Arial" w:hAnsi="Arial" w:cs="Arial"/>
          <w:sz w:val="22"/>
          <w:szCs w:val="22"/>
        </w:rPr>
        <w:t>1</w:t>
      </w:r>
      <w:r>
        <w:rPr>
          <w:rFonts w:ascii="Arial" w:hAnsi="Arial" w:cs="Arial"/>
          <w:sz w:val="22"/>
          <w:szCs w:val="22"/>
        </w:rPr>
        <w:t>)</w:t>
      </w:r>
      <w:r>
        <w:rPr>
          <w:rStyle w:val="EndnoteReference"/>
          <w:rFonts w:ascii="Arial" w:hAnsi="Arial" w:cs="Arial"/>
          <w:sz w:val="22"/>
          <w:szCs w:val="22"/>
        </w:rPr>
        <w:endnoteReference w:id="19"/>
      </w:r>
    </w:p>
    <w:p w:rsidR="00A83CEA" w:rsidRDefault="00A83CEA" w:rsidP="00A83CEA">
      <w:pPr>
        <w:pStyle w:val="Caption"/>
        <w:rPr>
          <w:rFonts w:ascii="Arial" w:hAnsi="Arial"/>
        </w:rPr>
      </w:pPr>
      <w:bookmarkStart w:id="223" w:name="_Toc494291122"/>
      <w:r>
        <w:rPr>
          <w:rFonts w:ascii="Arial" w:hAnsi="Arial"/>
        </w:rPr>
        <w:t xml:space="preserve">Table </w:t>
      </w:r>
      <w:r>
        <w:fldChar w:fldCharType="begin"/>
      </w:r>
      <w:r>
        <w:rPr>
          <w:rFonts w:ascii="Arial" w:hAnsi="Arial"/>
        </w:rPr>
        <w:instrText xml:space="preserve"> SEQ Table \* ARABIC </w:instrText>
      </w:r>
      <w:r>
        <w:fldChar w:fldCharType="separate"/>
      </w:r>
      <w:r w:rsidR="00C73E6A">
        <w:rPr>
          <w:rFonts w:ascii="Arial" w:hAnsi="Arial"/>
          <w:noProof/>
        </w:rPr>
        <w:t>1</w:t>
      </w:r>
      <w:r>
        <w:fldChar w:fldCharType="end"/>
      </w:r>
      <w:r>
        <w:rPr>
          <w:rFonts w:ascii="Arial" w:hAnsi="Arial"/>
        </w:rPr>
        <w:t xml:space="preserve"> – Factors increasing the potential for</w:t>
      </w:r>
      <w:r>
        <w:rPr>
          <w:rFonts w:ascii="CoM" w:hAnsi="CoM"/>
          <w:b w:val="0"/>
          <w:sz w:val="32"/>
          <w:szCs w:val="32"/>
        </w:rPr>
        <w:t xml:space="preserve"> </w:t>
      </w:r>
      <w:r>
        <w:rPr>
          <w:rFonts w:ascii="Arial" w:hAnsi="Arial"/>
        </w:rPr>
        <w:t>gambling-related harms</w:t>
      </w:r>
      <w:r>
        <w:rPr>
          <w:rStyle w:val="EndnoteReference"/>
          <w:rFonts w:ascii="Arial" w:hAnsi="Arial"/>
        </w:rPr>
        <w:endnoteReference w:id="20"/>
      </w:r>
      <w:bookmarkEnd w:id="223"/>
    </w:p>
    <w:tbl>
      <w:tblPr>
        <w:tblStyle w:val="LightList"/>
        <w:tblW w:w="5000" w:type="pct"/>
        <w:tblLook w:val="04A0" w:firstRow="1" w:lastRow="0" w:firstColumn="1" w:lastColumn="0" w:noHBand="0" w:noVBand="1"/>
      </w:tblPr>
      <w:tblGrid>
        <w:gridCol w:w="9242"/>
      </w:tblGrid>
      <w:tr w:rsidR="00A83CEA" w:rsidTr="00A8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000000" w:themeColor="text1"/>
              <w:left w:val="single" w:sz="8" w:space="0" w:color="000000" w:themeColor="text1"/>
              <w:bottom w:val="nil"/>
              <w:right w:val="single" w:sz="8" w:space="0" w:color="000000" w:themeColor="text1"/>
            </w:tcBorders>
            <w:hideMark/>
          </w:tcPr>
          <w:p w:rsidR="00A83CEA" w:rsidRDefault="00A83CEA">
            <w:pPr>
              <w:rPr>
                <w:rFonts w:ascii="Arial" w:hAnsi="Arial" w:cs="Arial"/>
              </w:rPr>
            </w:pPr>
            <w:r>
              <w:rPr>
                <w:rFonts w:ascii="Arial" w:hAnsi="Arial" w:cs="Arial"/>
              </w:rPr>
              <w:t>Socio-economic</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A83CEA" w:rsidRDefault="00E70697" w:rsidP="00A83CEA">
            <w:pPr>
              <w:pStyle w:val="ListParagraph"/>
              <w:numPr>
                <w:ilvl w:val="0"/>
                <w:numId w:val="129"/>
              </w:numPr>
              <w:spacing w:after="120"/>
              <w:ind w:left="714" w:hanging="357"/>
              <w:rPr>
                <w:rFonts w:ascii="Arial" w:hAnsi="Arial"/>
                <w:b w:val="0"/>
              </w:rPr>
            </w:pPr>
            <w:r>
              <w:rPr>
                <w:rFonts w:ascii="Arial" w:hAnsi="Arial"/>
                <w:b w:val="0"/>
              </w:rPr>
              <w:t>low educational attainment</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 xml:space="preserve">personal income in the medium highest and </w:t>
            </w:r>
            <w:r w:rsidR="00B276AD">
              <w:rPr>
                <w:rFonts w:ascii="Arial" w:hAnsi="Arial"/>
                <w:b w:val="0"/>
              </w:rPr>
              <w:t>medium lowest income quartiles</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relat</w:t>
            </w:r>
            <w:r w:rsidR="00AB1FA7">
              <w:rPr>
                <w:rFonts w:ascii="Arial" w:hAnsi="Arial"/>
                <w:b w:val="0"/>
              </w:rPr>
              <w:t>ive socio-economic disadvantage</w:t>
            </w:r>
          </w:p>
          <w:p w:rsidR="00A83CEA" w:rsidRDefault="007B5A02" w:rsidP="00A83CEA">
            <w:pPr>
              <w:pStyle w:val="ListParagraph"/>
              <w:numPr>
                <w:ilvl w:val="0"/>
                <w:numId w:val="129"/>
              </w:numPr>
              <w:spacing w:after="120"/>
              <w:ind w:left="714" w:hanging="357"/>
              <w:rPr>
                <w:rFonts w:ascii="Arial" w:hAnsi="Arial"/>
                <w:b w:val="0"/>
              </w:rPr>
            </w:pPr>
            <w:r>
              <w:rPr>
                <w:rFonts w:ascii="Arial" w:hAnsi="Arial"/>
                <w:b w:val="0"/>
              </w:rPr>
              <w:t>u</w:t>
            </w:r>
            <w:r w:rsidR="00AB1FA7">
              <w:rPr>
                <w:rFonts w:ascii="Arial" w:hAnsi="Arial"/>
                <w:b w:val="0"/>
              </w:rPr>
              <w:t>nemployment</w:t>
            </w:r>
          </w:p>
          <w:p w:rsidR="00A83CEA" w:rsidRDefault="00AB1FA7" w:rsidP="00A83CEA">
            <w:pPr>
              <w:pStyle w:val="ListParagraph"/>
              <w:numPr>
                <w:ilvl w:val="0"/>
                <w:numId w:val="129"/>
              </w:numPr>
              <w:spacing w:after="120"/>
              <w:ind w:left="714" w:hanging="357"/>
              <w:rPr>
                <w:rFonts w:ascii="Arial" w:hAnsi="Arial"/>
                <w:b w:val="0"/>
              </w:rPr>
            </w:pPr>
            <w:r>
              <w:rPr>
                <w:rFonts w:ascii="Arial" w:hAnsi="Arial"/>
                <w:b w:val="0"/>
              </w:rPr>
              <w:t>residents of social housing</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employed as labourers,</w:t>
            </w:r>
            <w:r w:rsidRPr="00B879F5">
              <w:rPr>
                <w:rFonts w:ascii="Arial" w:hAnsi="Arial"/>
                <w:b w:val="0"/>
              </w:rPr>
              <w:t xml:space="preserve"> </w:t>
            </w:r>
            <w:r w:rsidRPr="00E65A92">
              <w:rPr>
                <w:rFonts w:ascii="Arial" w:hAnsi="Arial"/>
                <w:b w:val="0"/>
              </w:rPr>
              <w:t>sales workers and machinery operators and drivers.</w:t>
            </w:r>
          </w:p>
        </w:tc>
      </w:tr>
      <w:tr w:rsidR="00A83CEA" w:rsidTr="00A83CEA">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000000" w:themeColor="text1"/>
              <w:bottom w:val="nil"/>
              <w:right w:val="single" w:sz="8" w:space="0" w:color="000000" w:themeColor="text1"/>
            </w:tcBorders>
            <w:shd w:val="clear" w:color="auto" w:fill="000000" w:themeFill="text1"/>
            <w:hideMark/>
          </w:tcPr>
          <w:p w:rsidR="00A83CEA" w:rsidRDefault="00A83CEA">
            <w:pPr>
              <w:rPr>
                <w:rFonts w:ascii="Arial" w:hAnsi="Arial" w:cs="Arial"/>
              </w:rPr>
            </w:pPr>
            <w:r>
              <w:rPr>
                <w:rFonts w:ascii="Arial" w:hAnsi="Arial" w:cs="Arial"/>
              </w:rPr>
              <w:t>Socio-demographic</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aged 18-24 years</w:t>
            </w:r>
          </w:p>
          <w:p w:rsidR="00A83CEA" w:rsidRDefault="00AB1FA7" w:rsidP="00A83CEA">
            <w:pPr>
              <w:pStyle w:val="ListParagraph"/>
              <w:numPr>
                <w:ilvl w:val="0"/>
                <w:numId w:val="129"/>
              </w:numPr>
              <w:spacing w:after="120"/>
              <w:ind w:left="714" w:hanging="357"/>
              <w:rPr>
                <w:rFonts w:ascii="Arial" w:hAnsi="Arial"/>
                <w:b w:val="0"/>
              </w:rPr>
            </w:pPr>
            <w:r>
              <w:rPr>
                <w:rFonts w:ascii="Arial" w:hAnsi="Arial"/>
                <w:b w:val="0"/>
              </w:rPr>
              <w:t xml:space="preserve">older people </w:t>
            </w:r>
            <w:r w:rsidR="00A83CEA">
              <w:rPr>
                <w:rFonts w:ascii="Arial" w:hAnsi="Arial"/>
                <w:b w:val="0"/>
              </w:rPr>
              <w:t>aged 55-64 years particularly thos</w:t>
            </w:r>
            <w:r>
              <w:rPr>
                <w:rFonts w:ascii="Arial" w:hAnsi="Arial"/>
                <w:b w:val="0"/>
              </w:rPr>
              <w:t>e experiencing social isolation</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not speaking Eng</w:t>
            </w:r>
            <w:r w:rsidR="00AB1FA7">
              <w:rPr>
                <w:rFonts w:ascii="Arial" w:hAnsi="Arial"/>
                <w:b w:val="0"/>
              </w:rPr>
              <w:t>lish at home or non-Caucasians</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Aborig</w:t>
            </w:r>
            <w:r w:rsidR="00E70697">
              <w:rPr>
                <w:rFonts w:ascii="Arial" w:hAnsi="Arial"/>
                <w:b w:val="0"/>
              </w:rPr>
              <w:t>inal and Torres Strait Islander</w:t>
            </w:r>
            <w:r>
              <w:rPr>
                <w:rFonts w:ascii="Arial" w:hAnsi="Arial"/>
              </w:rPr>
              <w:t xml:space="preserve"> </w:t>
            </w:r>
            <w:r>
              <w:rPr>
                <w:rFonts w:ascii="Arial" w:hAnsi="Arial"/>
                <w:b w:val="0"/>
              </w:rPr>
              <w:t>(4.1% higher t</w:t>
            </w:r>
            <w:r w:rsidR="00AB1FA7">
              <w:rPr>
                <w:rFonts w:ascii="Arial" w:hAnsi="Arial"/>
                <w:b w:val="0"/>
              </w:rPr>
              <w:t>han non-Indigenous Australians)</w:t>
            </w:r>
            <w:r w:rsidR="00B276AD">
              <w:rPr>
                <w:rFonts w:ascii="Arial" w:hAnsi="Arial"/>
                <w:b w:val="0"/>
              </w:rPr>
              <w:t>.</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migrants and people from culturally and linguistically diverse (CALD) communities, particularly Asian groups including</w:t>
            </w:r>
            <w:r w:rsidR="00AB1FA7">
              <w:rPr>
                <w:rFonts w:ascii="Arial" w:hAnsi="Arial"/>
                <w:b w:val="0"/>
              </w:rPr>
              <w:t xml:space="preserve"> Vietnamese, Chinese and Korean</w:t>
            </w:r>
          </w:p>
          <w:p w:rsidR="00A83CEA" w:rsidRDefault="00AB1FA7" w:rsidP="00A83CEA">
            <w:pPr>
              <w:pStyle w:val="ListParagraph"/>
              <w:numPr>
                <w:ilvl w:val="0"/>
                <w:numId w:val="129"/>
              </w:numPr>
              <w:spacing w:after="120"/>
              <w:ind w:left="714" w:hanging="357"/>
              <w:rPr>
                <w:rFonts w:ascii="Arial" w:hAnsi="Arial"/>
                <w:b w:val="0"/>
              </w:rPr>
            </w:pPr>
            <w:r>
              <w:rPr>
                <w:rFonts w:ascii="Arial" w:hAnsi="Arial"/>
                <w:b w:val="0"/>
              </w:rPr>
              <w:t>living in group households</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communities experiencing low social capital,</w:t>
            </w:r>
            <w:r w:rsidR="00E70697">
              <w:rPr>
                <w:rFonts w:ascii="Arial" w:hAnsi="Arial"/>
                <w:b w:val="0"/>
              </w:rPr>
              <w:t xml:space="preserve"> evidenced by volunteering rate</w:t>
            </w:r>
            <w:r w:rsidR="00766905">
              <w:rPr>
                <w:rFonts w:ascii="Arial" w:hAnsi="Arial"/>
                <w:b w:val="0"/>
              </w:rPr>
              <w:t>.</w:t>
            </w:r>
          </w:p>
        </w:tc>
      </w:tr>
      <w:tr w:rsidR="00A83CEA" w:rsidTr="00A83CEA">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000000" w:themeColor="text1"/>
              <w:bottom w:val="nil"/>
              <w:right w:val="single" w:sz="8" w:space="0" w:color="000000" w:themeColor="text1"/>
            </w:tcBorders>
            <w:shd w:val="clear" w:color="auto" w:fill="000000" w:themeFill="text1"/>
            <w:hideMark/>
          </w:tcPr>
          <w:p w:rsidR="00A83CEA" w:rsidRDefault="00A83CEA">
            <w:pPr>
              <w:rPr>
                <w:rFonts w:ascii="Arial" w:hAnsi="Arial" w:cs="Arial"/>
              </w:rPr>
            </w:pPr>
            <w:r>
              <w:rPr>
                <w:rFonts w:ascii="Arial" w:hAnsi="Arial" w:cs="Arial"/>
              </w:rPr>
              <w:t>Health and wellbeing status</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experiencing psychological distress or compromised mental health and wellbeing</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who smoke, consume alcohol and be</w:t>
            </w:r>
            <w:r w:rsidR="00B276AD">
              <w:rPr>
                <w:rFonts w:ascii="Arial" w:hAnsi="Arial"/>
                <w:b w:val="0"/>
              </w:rPr>
              <w:t>come intoxicated while gambling</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seeking treatmen</w:t>
            </w:r>
            <w:r w:rsidR="00E70697">
              <w:rPr>
                <w:rFonts w:ascii="Arial" w:hAnsi="Arial"/>
                <w:b w:val="0"/>
              </w:rPr>
              <w:t>t for substance abuse disorders</w:t>
            </w:r>
            <w:r w:rsidR="00766905">
              <w:rPr>
                <w:rFonts w:ascii="Arial" w:hAnsi="Arial"/>
                <w:b w:val="0"/>
              </w:rPr>
              <w:t>.</w:t>
            </w:r>
          </w:p>
        </w:tc>
      </w:tr>
      <w:tr w:rsidR="00A83CEA" w:rsidTr="00A83CEA">
        <w:tc>
          <w:tcPr>
            <w:cnfStyle w:val="001000000000" w:firstRow="0" w:lastRow="0" w:firstColumn="1" w:lastColumn="0" w:oddVBand="0" w:evenVBand="0" w:oddHBand="0" w:evenHBand="0" w:firstRowFirstColumn="0" w:firstRowLastColumn="0" w:lastRowFirstColumn="0" w:lastRowLastColumn="0"/>
            <w:tcW w:w="5000" w:type="pct"/>
            <w:tcBorders>
              <w:top w:val="nil"/>
              <w:left w:val="single" w:sz="8" w:space="0" w:color="000000" w:themeColor="text1"/>
              <w:bottom w:val="nil"/>
              <w:right w:val="single" w:sz="8" w:space="0" w:color="000000" w:themeColor="text1"/>
            </w:tcBorders>
            <w:shd w:val="clear" w:color="auto" w:fill="000000" w:themeFill="text1"/>
            <w:hideMark/>
          </w:tcPr>
          <w:p w:rsidR="00A83CEA" w:rsidRDefault="00A83CEA">
            <w:pPr>
              <w:rPr>
                <w:rFonts w:ascii="Arial" w:hAnsi="Arial" w:cs="Arial"/>
              </w:rPr>
            </w:pPr>
            <w:r>
              <w:rPr>
                <w:rFonts w:ascii="Arial" w:hAnsi="Arial" w:cs="Arial"/>
              </w:rPr>
              <w:t>Life experiences</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taking on a mortg</w:t>
            </w:r>
            <w:r w:rsidR="00B276AD">
              <w:rPr>
                <w:rFonts w:ascii="Arial" w:hAnsi="Arial"/>
                <w:b w:val="0"/>
              </w:rPr>
              <w:t>age, loan or making a repayment</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with higher number of negative life experiences affecting</w:t>
            </w:r>
            <w:r w:rsidR="00B276AD">
              <w:rPr>
                <w:rFonts w:ascii="Arial" w:hAnsi="Arial"/>
                <w:b w:val="0"/>
              </w:rPr>
              <w:t xml:space="preserve"> themselves and their families for instance</w:t>
            </w:r>
            <w:r>
              <w:rPr>
                <w:rFonts w:ascii="Arial" w:hAnsi="Arial"/>
                <w:b w:val="0"/>
              </w:rPr>
              <w:t xml:space="preserve"> divorce, legal dif</w:t>
            </w:r>
            <w:r w:rsidR="00B276AD">
              <w:rPr>
                <w:rFonts w:ascii="Arial" w:hAnsi="Arial"/>
                <w:b w:val="0"/>
              </w:rPr>
              <w:t>ficulties and financial issues</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experiencing trauma, social isolation, boredom and loneliness, particular</w:t>
            </w:r>
            <w:r w:rsidR="00B276AD">
              <w:rPr>
                <w:rFonts w:ascii="Arial" w:hAnsi="Arial"/>
                <w:b w:val="0"/>
              </w:rPr>
              <w:t>ly among older people and wome</w:t>
            </w:r>
            <w:r w:rsidR="00E70697">
              <w:rPr>
                <w:rFonts w:ascii="Arial" w:hAnsi="Arial"/>
                <w:b w:val="0"/>
              </w:rPr>
              <w:t>n</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 xml:space="preserve">people experiencing changes in their personal circumstances such as death of someone close to them, divorce, legal </w:t>
            </w:r>
            <w:r w:rsidR="00B276AD">
              <w:rPr>
                <w:rFonts w:ascii="Arial" w:hAnsi="Arial"/>
                <w:b w:val="0"/>
              </w:rPr>
              <w:t>issues, relationship issues</w:t>
            </w:r>
          </w:p>
          <w:p w:rsidR="00A83CEA" w:rsidRDefault="00A83CEA" w:rsidP="00A83CEA">
            <w:pPr>
              <w:pStyle w:val="ListParagraph"/>
              <w:numPr>
                <w:ilvl w:val="0"/>
                <w:numId w:val="129"/>
              </w:numPr>
              <w:spacing w:after="120"/>
              <w:ind w:left="714" w:hanging="357"/>
              <w:rPr>
                <w:rFonts w:ascii="Arial" w:hAnsi="Arial"/>
                <w:b w:val="0"/>
              </w:rPr>
            </w:pPr>
            <w:r>
              <w:rPr>
                <w:rFonts w:ascii="Arial" w:hAnsi="Arial"/>
                <w:b w:val="0"/>
              </w:rPr>
              <w:t>people gambling for reasons other than social reasons, to win</w:t>
            </w:r>
            <w:r w:rsidR="00E70697">
              <w:rPr>
                <w:rFonts w:ascii="Arial" w:hAnsi="Arial"/>
                <w:b w:val="0"/>
              </w:rPr>
              <w:t xml:space="preserve"> money or general entertainment</w:t>
            </w:r>
            <w:r w:rsidR="00766905">
              <w:rPr>
                <w:rFonts w:ascii="Arial" w:hAnsi="Arial"/>
                <w:b w:val="0"/>
              </w:rPr>
              <w:t>.</w:t>
            </w:r>
          </w:p>
        </w:tc>
      </w:tr>
    </w:tbl>
    <w:p w:rsidR="00A83CEA" w:rsidRDefault="00A83CEA" w:rsidP="00A83CEA">
      <w:pPr>
        <w:rPr>
          <w:rFonts w:ascii="Arial" w:hAnsi="Arial" w:cs="Arial"/>
        </w:rPr>
      </w:pPr>
    </w:p>
    <w:p w:rsidR="00A83CEA" w:rsidRDefault="000C0A4F" w:rsidP="00A83CEA">
      <w:pPr>
        <w:pStyle w:val="Heading2"/>
        <w:numPr>
          <w:ilvl w:val="1"/>
          <w:numId w:val="111"/>
        </w:numPr>
        <w:spacing w:after="120"/>
        <w:ind w:left="578" w:hanging="578"/>
        <w:rPr>
          <w:rFonts w:ascii="CoM" w:hAnsi="CoM" w:cs="Arial"/>
          <w:b w:val="0"/>
          <w:color w:val="auto"/>
          <w:sz w:val="32"/>
          <w:szCs w:val="32"/>
        </w:rPr>
      </w:pPr>
      <w:bookmarkStart w:id="224" w:name="_Toc494291034"/>
      <w:r>
        <w:rPr>
          <w:rFonts w:ascii="CoM" w:hAnsi="CoM" w:cs="Arial"/>
          <w:b w:val="0"/>
          <w:color w:val="auto"/>
          <w:sz w:val="32"/>
          <w:szCs w:val="32"/>
        </w:rPr>
        <w:t>Vulnerability in the C</w:t>
      </w:r>
      <w:r w:rsidR="00A83CEA">
        <w:rPr>
          <w:rFonts w:ascii="CoM" w:hAnsi="CoM" w:cs="Arial"/>
          <w:b w:val="0"/>
          <w:color w:val="auto"/>
          <w:sz w:val="32"/>
          <w:szCs w:val="32"/>
        </w:rPr>
        <w:t>ity of Melbourne</w:t>
      </w:r>
      <w:bookmarkEnd w:id="224"/>
    </w:p>
    <w:p w:rsidR="00A83CEA" w:rsidRDefault="00A83CEA" w:rsidP="00A83CEA">
      <w:pPr>
        <w:rPr>
          <w:rFonts w:ascii="Arial" w:hAnsi="Arial" w:cs="Arial"/>
          <w:sz w:val="22"/>
          <w:szCs w:val="22"/>
        </w:rPr>
      </w:pPr>
      <w:r>
        <w:rPr>
          <w:rFonts w:ascii="Arial" w:hAnsi="Arial" w:cs="Arial"/>
          <w:sz w:val="22"/>
          <w:szCs w:val="22"/>
        </w:rPr>
        <w:t xml:space="preserve">The populations of the central, southern and northern areas of the municipality, including Melbourne, Southbank, Carlton, North Melbourne and Parkville display the most indicators of gambling related harms. These areas contain ten of the 11 </w:t>
      </w:r>
      <w:r w:rsidR="00D1399D">
        <w:rPr>
          <w:rFonts w:ascii="Arial" w:hAnsi="Arial" w:cs="Arial"/>
          <w:sz w:val="22"/>
          <w:szCs w:val="22"/>
        </w:rPr>
        <w:t xml:space="preserve">EGM </w:t>
      </w:r>
      <w:r>
        <w:rPr>
          <w:rFonts w:ascii="Arial" w:hAnsi="Arial" w:cs="Arial"/>
          <w:sz w:val="22"/>
          <w:szCs w:val="22"/>
        </w:rPr>
        <w:t>venues as well as Crown Casino.</w:t>
      </w:r>
    </w:p>
    <w:p w:rsidR="00A83CEA" w:rsidRDefault="00A83CEA" w:rsidP="00A83CEA">
      <w:pPr>
        <w:rPr>
          <w:rFonts w:ascii="Arial" w:hAnsi="Arial" w:cs="Arial"/>
          <w:sz w:val="22"/>
          <w:szCs w:val="22"/>
        </w:rPr>
      </w:pPr>
      <w:r>
        <w:rPr>
          <w:rFonts w:ascii="Arial" w:hAnsi="Arial" w:cs="Arial"/>
          <w:sz w:val="22"/>
          <w:szCs w:val="22"/>
        </w:rPr>
        <w:t xml:space="preserve">The populations of the western areas including Docklands and Fishermans Bend display the least </w:t>
      </w:r>
      <w:r w:rsidR="007B5A02">
        <w:rPr>
          <w:rFonts w:ascii="Arial" w:hAnsi="Arial" w:cs="Arial"/>
          <w:sz w:val="22"/>
          <w:szCs w:val="22"/>
        </w:rPr>
        <w:t>determinants</w:t>
      </w:r>
      <w:r>
        <w:rPr>
          <w:rFonts w:ascii="Arial" w:hAnsi="Arial" w:cs="Arial"/>
          <w:sz w:val="22"/>
          <w:szCs w:val="22"/>
        </w:rPr>
        <w:t xml:space="preserve"> of gambling-related harms. There are no </w:t>
      </w:r>
      <w:r w:rsidR="00D1399D">
        <w:rPr>
          <w:rFonts w:ascii="Arial" w:hAnsi="Arial" w:cs="Arial"/>
          <w:sz w:val="22"/>
          <w:szCs w:val="22"/>
        </w:rPr>
        <w:t>EGM</w:t>
      </w:r>
      <w:r>
        <w:rPr>
          <w:rFonts w:ascii="Arial" w:hAnsi="Arial" w:cs="Arial"/>
          <w:sz w:val="22"/>
          <w:szCs w:val="22"/>
        </w:rPr>
        <w:t xml:space="preserve"> gambling venues in these areas. </w:t>
      </w:r>
    </w:p>
    <w:p w:rsidR="00A83CEA" w:rsidRDefault="00A83CEA" w:rsidP="00A83CEA">
      <w:pPr>
        <w:rPr>
          <w:rFonts w:ascii="Arial" w:hAnsi="Arial" w:cs="Arial"/>
          <w:sz w:val="22"/>
          <w:szCs w:val="22"/>
        </w:rPr>
      </w:pPr>
      <w:r w:rsidRPr="008E3F04">
        <w:rPr>
          <w:rFonts w:ascii="Arial" w:hAnsi="Arial" w:cs="Arial"/>
          <w:sz w:val="22"/>
          <w:szCs w:val="22"/>
        </w:rPr>
        <w:t>With the exception of Fishermans Bend, all other areas have a significantly higher proportion of students compared with the municipality.</w:t>
      </w:r>
      <w:r w:rsidRPr="00B879F5">
        <w:rPr>
          <w:rFonts w:ascii="Arial" w:hAnsi="Arial" w:cs="Arial"/>
          <w:sz w:val="22"/>
          <w:szCs w:val="22"/>
        </w:rPr>
        <w:t xml:space="preserve"> I</w:t>
      </w:r>
      <w:r>
        <w:rPr>
          <w:rFonts w:ascii="Arial" w:hAnsi="Arial" w:cs="Arial"/>
          <w:sz w:val="22"/>
          <w:szCs w:val="22"/>
        </w:rPr>
        <w:t>n addition, Melbourne, Carlton, North Melbourne, West Melbourne and Parkville have relatively high proportions of young people aged 15</w:t>
      </w:r>
      <w:r w:rsidR="00766905">
        <w:rPr>
          <w:rFonts w:ascii="Arial" w:hAnsi="Arial" w:cs="Arial"/>
          <w:sz w:val="22"/>
          <w:szCs w:val="22"/>
        </w:rPr>
        <w:t>–</w:t>
      </w:r>
      <w:r>
        <w:rPr>
          <w:rFonts w:ascii="Arial" w:hAnsi="Arial" w:cs="Arial"/>
          <w:sz w:val="22"/>
          <w:szCs w:val="22"/>
        </w:rPr>
        <w:t xml:space="preserve">24 years.  </w:t>
      </w:r>
    </w:p>
    <w:p w:rsidR="00A83CEA" w:rsidRDefault="00A83CEA" w:rsidP="00A83CEA">
      <w:pPr>
        <w:rPr>
          <w:rFonts w:ascii="Arial" w:hAnsi="Arial" w:cs="Arial"/>
          <w:sz w:val="22"/>
          <w:szCs w:val="22"/>
        </w:rPr>
      </w:pPr>
      <w:r>
        <w:rPr>
          <w:rFonts w:ascii="Arial" w:hAnsi="Arial" w:cs="Arial"/>
          <w:sz w:val="22"/>
          <w:szCs w:val="22"/>
        </w:rPr>
        <w:t xml:space="preserve">The North-West Metro region, which includes parts of the City of Melbourne and adjoining municipalities of Maribyrnong, Moonee Valley and Hobsons Bay to the north and west, has been included in the high EGM expenditure band (where average EGM expenditure for adults was higher than the Victorian average) indicating that the risk of gambling-related harm is therefore also higher </w:t>
      </w:r>
      <w:r>
        <w:rPr>
          <w:rStyle w:val="EndnoteReference"/>
          <w:rFonts w:ascii="Arial" w:hAnsi="Arial" w:cs="Arial"/>
          <w:sz w:val="22"/>
          <w:szCs w:val="22"/>
        </w:rPr>
        <w:endnoteReference w:id="21"/>
      </w:r>
      <w:r>
        <w:rPr>
          <w:rFonts w:ascii="Arial" w:hAnsi="Arial" w:cs="Arial"/>
          <w:sz w:val="22"/>
          <w:szCs w:val="22"/>
        </w:rPr>
        <w:t>.</w:t>
      </w:r>
    </w:p>
    <w:p w:rsidR="00A83CEA" w:rsidRDefault="00A83CEA" w:rsidP="00A83CEA">
      <w:pPr>
        <w:pStyle w:val="Heading1"/>
        <w:numPr>
          <w:ilvl w:val="0"/>
          <w:numId w:val="111"/>
        </w:numPr>
        <w:spacing w:before="240" w:line="256" w:lineRule="auto"/>
        <w:rPr>
          <w:rFonts w:cs="Arial"/>
        </w:rPr>
      </w:pPr>
      <w:bookmarkStart w:id="225" w:name="_Toc494291035"/>
      <w:r>
        <w:rPr>
          <w:rFonts w:cs="Arial"/>
        </w:rPr>
        <w:t>The regulatory context</w:t>
      </w:r>
      <w:bookmarkEnd w:id="225"/>
    </w:p>
    <w:p w:rsidR="00A83CEA" w:rsidRDefault="00A83CEA" w:rsidP="00A83CEA">
      <w:pPr>
        <w:rPr>
          <w:rFonts w:ascii="Arial" w:hAnsi="Arial" w:cs="Arial"/>
          <w:sz w:val="22"/>
          <w:szCs w:val="22"/>
        </w:rPr>
      </w:pPr>
      <w:r>
        <w:rPr>
          <w:rFonts w:ascii="Arial" w:hAnsi="Arial" w:cs="Arial"/>
          <w:sz w:val="22"/>
          <w:szCs w:val="22"/>
        </w:rPr>
        <w:t xml:space="preserve">This Section outlines the key features of the City’s regulatory context that underpins the Framework.  </w:t>
      </w:r>
    </w:p>
    <w:p w:rsidR="00A83CEA" w:rsidRDefault="00A83CEA" w:rsidP="00A83CEA">
      <w:pPr>
        <w:rPr>
          <w:rFonts w:ascii="Arial" w:hAnsi="Arial" w:cs="Arial"/>
          <w:sz w:val="22"/>
          <w:szCs w:val="22"/>
        </w:rPr>
      </w:pPr>
      <w:r>
        <w:rPr>
          <w:rFonts w:ascii="Arial" w:hAnsi="Arial" w:cs="Arial"/>
          <w:sz w:val="22"/>
          <w:szCs w:val="22"/>
        </w:rPr>
        <w:t>The use and/or installation of EGMs in a venue requires two separate approvals: a licence from the VCGLR under the G</w:t>
      </w:r>
      <w:r>
        <w:rPr>
          <w:rFonts w:ascii="Arial" w:hAnsi="Arial" w:cs="Arial"/>
          <w:i/>
          <w:sz w:val="22"/>
          <w:szCs w:val="22"/>
        </w:rPr>
        <w:t>ambling Regulation Act 2003</w:t>
      </w:r>
      <w:r>
        <w:rPr>
          <w:rFonts w:ascii="Arial" w:hAnsi="Arial" w:cs="Arial"/>
          <w:sz w:val="22"/>
          <w:szCs w:val="22"/>
        </w:rPr>
        <w:t xml:space="preserve"> and planning approval under the </w:t>
      </w:r>
      <w:r>
        <w:rPr>
          <w:rFonts w:ascii="Arial" w:hAnsi="Arial" w:cs="Arial"/>
          <w:i/>
          <w:sz w:val="22"/>
          <w:szCs w:val="22"/>
        </w:rPr>
        <w:t>Planning and Environment Act 1987</w:t>
      </w:r>
      <w:r w:rsidR="000313F1">
        <w:rPr>
          <w:rFonts w:ascii="Arial" w:hAnsi="Arial" w:cs="Arial"/>
          <w:sz w:val="22"/>
          <w:szCs w:val="22"/>
        </w:rPr>
        <w:t xml:space="preserve">. </w:t>
      </w:r>
      <w:r>
        <w:rPr>
          <w:rFonts w:ascii="Arial" w:hAnsi="Arial" w:cs="Arial"/>
          <w:sz w:val="22"/>
          <w:szCs w:val="22"/>
        </w:rPr>
        <w:t xml:space="preserve">As stated above Council has a role in </w:t>
      </w:r>
      <w:r w:rsidR="007B5A02">
        <w:rPr>
          <w:rFonts w:ascii="Arial" w:hAnsi="Arial" w:cs="Arial"/>
          <w:sz w:val="22"/>
          <w:szCs w:val="22"/>
        </w:rPr>
        <w:t xml:space="preserve">both </w:t>
      </w:r>
      <w:r>
        <w:rPr>
          <w:rFonts w:ascii="Arial" w:hAnsi="Arial" w:cs="Arial"/>
          <w:sz w:val="22"/>
          <w:szCs w:val="22"/>
        </w:rPr>
        <w:t xml:space="preserve">making submissions to the VCGLR and in determining outcomes of planning permit applications.  </w:t>
      </w:r>
    </w:p>
    <w:p w:rsidR="00A83CEA" w:rsidRDefault="00A83CEA" w:rsidP="00A83CEA">
      <w:pPr>
        <w:rPr>
          <w:rFonts w:ascii="Arial" w:hAnsi="Arial" w:cs="Arial"/>
          <w:sz w:val="22"/>
          <w:szCs w:val="22"/>
        </w:rPr>
      </w:pPr>
      <w:r>
        <w:rPr>
          <w:rFonts w:ascii="Arial" w:hAnsi="Arial" w:cs="Arial"/>
          <w:sz w:val="22"/>
          <w:szCs w:val="22"/>
        </w:rPr>
        <w:t>The State Government of Victoria has</w:t>
      </w:r>
      <w:r w:rsidR="000313F1">
        <w:rPr>
          <w:rFonts w:ascii="Arial" w:hAnsi="Arial" w:cs="Arial"/>
          <w:sz w:val="22"/>
          <w:szCs w:val="22"/>
        </w:rPr>
        <w:t xml:space="preserve"> jurisdiction over these Acts. </w:t>
      </w:r>
      <w:r>
        <w:rPr>
          <w:rFonts w:ascii="Arial" w:hAnsi="Arial" w:cs="Arial"/>
          <w:sz w:val="22"/>
          <w:szCs w:val="22"/>
        </w:rPr>
        <w:t xml:space="preserve">They are also responsible for setting caps that apply to EGMs within Victoria, which limit the number of machines permitted overall in a particular area or municipality. </w:t>
      </w:r>
    </w:p>
    <w:p w:rsidR="00BE5975" w:rsidRPr="00AB1FA7" w:rsidRDefault="00BE5975" w:rsidP="00BE5975">
      <w:pPr>
        <w:pStyle w:val="Heading2"/>
        <w:numPr>
          <w:ilvl w:val="1"/>
          <w:numId w:val="111"/>
        </w:numPr>
        <w:spacing w:after="120"/>
        <w:ind w:left="578" w:hanging="578"/>
        <w:rPr>
          <w:rFonts w:ascii="CoM" w:hAnsi="CoM" w:cs="Arial"/>
          <w:b w:val="0"/>
          <w:sz w:val="32"/>
          <w:szCs w:val="32"/>
        </w:rPr>
      </w:pPr>
      <w:bookmarkStart w:id="226" w:name="_Toc494291036"/>
      <w:r w:rsidRPr="00AB1FA7">
        <w:rPr>
          <w:rFonts w:ascii="CoM" w:hAnsi="CoM" w:cs="Arial"/>
          <w:b w:val="0"/>
          <w:color w:val="auto"/>
          <w:sz w:val="32"/>
          <w:szCs w:val="32"/>
        </w:rPr>
        <w:t>Gambling Regulation Act 2003</w:t>
      </w:r>
      <w:bookmarkEnd w:id="226"/>
      <w:r w:rsidRPr="00AB1FA7">
        <w:rPr>
          <w:rFonts w:ascii="CoM" w:hAnsi="CoM" w:cs="Arial"/>
          <w:b w:val="0"/>
          <w:color w:val="auto"/>
          <w:sz w:val="32"/>
          <w:szCs w:val="32"/>
        </w:rPr>
        <w:t xml:space="preserve"> </w:t>
      </w:r>
    </w:p>
    <w:p w:rsidR="00BE5975" w:rsidRDefault="00BE5975" w:rsidP="00BE5975">
      <w:pPr>
        <w:rPr>
          <w:rFonts w:ascii="Arial" w:hAnsi="Arial" w:cs="Arial"/>
          <w:sz w:val="22"/>
          <w:szCs w:val="22"/>
        </w:rPr>
      </w:pPr>
      <w:r>
        <w:rPr>
          <w:rFonts w:ascii="Arial" w:hAnsi="Arial" w:cs="Arial"/>
          <w:sz w:val="22"/>
          <w:szCs w:val="22"/>
        </w:rPr>
        <w:t xml:space="preserve">Under the </w:t>
      </w:r>
      <w:r>
        <w:rPr>
          <w:rFonts w:ascii="Arial" w:hAnsi="Arial" w:cs="Arial"/>
          <w:i/>
          <w:sz w:val="22"/>
          <w:szCs w:val="22"/>
        </w:rPr>
        <w:t xml:space="preserve">Gambling Regulation Act 2003 </w:t>
      </w:r>
      <w:r>
        <w:rPr>
          <w:rFonts w:ascii="Arial" w:hAnsi="Arial" w:cs="Arial"/>
          <w:sz w:val="22"/>
          <w:szCs w:val="22"/>
        </w:rPr>
        <w:t>the VCGLR is the decision-maker for approving premises as suitable for gaming. In determining an application the Commission must be satisfied that the net economic and social impact of an approval will not be detrimental to the wellbeing of the community.</w:t>
      </w:r>
    </w:p>
    <w:p w:rsidR="00BE5975" w:rsidRDefault="00BE5975" w:rsidP="00BE5975">
      <w:pPr>
        <w:rPr>
          <w:rFonts w:ascii="Arial" w:hAnsi="Arial" w:cs="Arial"/>
          <w:sz w:val="22"/>
          <w:szCs w:val="22"/>
        </w:rPr>
      </w:pPr>
      <w:r>
        <w:rPr>
          <w:rFonts w:ascii="Arial" w:hAnsi="Arial" w:cs="Arial"/>
          <w:sz w:val="22"/>
          <w:szCs w:val="22"/>
        </w:rPr>
        <w:t xml:space="preserve">Section 3.3.7 (1) of the </w:t>
      </w:r>
      <w:r>
        <w:rPr>
          <w:rFonts w:ascii="Arial" w:hAnsi="Arial" w:cs="Arial"/>
          <w:i/>
          <w:sz w:val="22"/>
          <w:szCs w:val="22"/>
        </w:rPr>
        <w:t>Gambling Regulation 2003</w:t>
      </w:r>
      <w:r>
        <w:rPr>
          <w:rFonts w:ascii="Arial" w:hAnsi="Arial" w:cs="Arial"/>
          <w:sz w:val="22"/>
          <w:szCs w:val="22"/>
        </w:rPr>
        <w:t xml:space="preserve"> stipulates that the VCGLR must not grant an application for approval of a premises, unless satisfied that the premises are (or will be) suitable for the management and operation of gaming machines, and that the net economic and social impact of the approval will not be detrimental to the wellbeing of the comm</w:t>
      </w:r>
      <w:r w:rsidR="000313F1">
        <w:rPr>
          <w:rFonts w:ascii="Arial" w:hAnsi="Arial" w:cs="Arial"/>
          <w:sz w:val="22"/>
          <w:szCs w:val="22"/>
        </w:rPr>
        <w:t xml:space="preserve">unity within the municipality. </w:t>
      </w:r>
      <w:r>
        <w:rPr>
          <w:rFonts w:ascii="Arial" w:hAnsi="Arial" w:cs="Arial"/>
          <w:sz w:val="22"/>
          <w:szCs w:val="22"/>
        </w:rPr>
        <w:t>The VCGLR must also consider whether the size, layout and facilities of the premises are (or will be) suitable.</w:t>
      </w:r>
    </w:p>
    <w:p w:rsidR="00BE5975" w:rsidRDefault="00BE5975" w:rsidP="00BE5975">
      <w:pPr>
        <w:rPr>
          <w:rFonts w:ascii="Arial" w:hAnsi="Arial" w:cs="Arial"/>
          <w:sz w:val="22"/>
          <w:szCs w:val="22"/>
        </w:rPr>
      </w:pPr>
      <w:r>
        <w:rPr>
          <w:rFonts w:ascii="Arial" w:hAnsi="Arial" w:cs="Arial"/>
          <w:sz w:val="22"/>
          <w:szCs w:val="22"/>
        </w:rPr>
        <w:t xml:space="preserve">The </w:t>
      </w:r>
      <w:r w:rsidR="004970EB">
        <w:rPr>
          <w:rFonts w:ascii="Arial" w:hAnsi="Arial" w:cs="Arial"/>
          <w:i/>
          <w:sz w:val="22"/>
          <w:szCs w:val="22"/>
        </w:rPr>
        <w:t>Gambling Regulation Act 2003</w:t>
      </w:r>
      <w:r>
        <w:rPr>
          <w:rFonts w:ascii="Arial" w:hAnsi="Arial" w:cs="Arial"/>
          <w:sz w:val="22"/>
          <w:szCs w:val="22"/>
        </w:rPr>
        <w:t xml:space="preserve"> requires that the Commission notify relevant responsible authorities of an application to establish a gaming venue or amend a venue operator’s licence.</w:t>
      </w:r>
    </w:p>
    <w:p w:rsidR="00BE5975" w:rsidRDefault="00BE5975" w:rsidP="00BE5975">
      <w:pPr>
        <w:rPr>
          <w:rFonts w:ascii="Arial" w:hAnsi="Arial" w:cs="Arial"/>
          <w:sz w:val="22"/>
          <w:szCs w:val="22"/>
        </w:rPr>
      </w:pPr>
      <w:r>
        <w:rPr>
          <w:rFonts w:ascii="Arial" w:hAnsi="Arial" w:cs="Arial"/>
          <w:sz w:val="22"/>
          <w:szCs w:val="22"/>
        </w:rPr>
        <w:t>Council is able to make a submission concerning the economic and social impact of the proposal on the wellbeing of the community of the municipal district within which the premises are located. This assessment may also take account of the impact of the proposal on surrounding municipal districts.</w:t>
      </w:r>
    </w:p>
    <w:p w:rsidR="00BE5975" w:rsidRDefault="00BE5975" w:rsidP="00BE5975">
      <w:pPr>
        <w:rPr>
          <w:rFonts w:ascii="Arial" w:hAnsi="Arial" w:cs="Arial"/>
          <w:sz w:val="22"/>
          <w:szCs w:val="22"/>
        </w:rPr>
      </w:pPr>
      <w:r>
        <w:rPr>
          <w:rFonts w:ascii="Arial" w:hAnsi="Arial" w:cs="Arial"/>
          <w:sz w:val="22"/>
          <w:szCs w:val="22"/>
        </w:rPr>
        <w:t>Individuals are able to make a submission independently of Council, and the Commission is required to take all submissions into account.</w:t>
      </w:r>
    </w:p>
    <w:p w:rsidR="00BE5975" w:rsidRDefault="00BE5975" w:rsidP="00BE5975">
      <w:pPr>
        <w:rPr>
          <w:rFonts w:ascii="Arial" w:hAnsi="Arial" w:cs="Arial"/>
          <w:sz w:val="22"/>
          <w:szCs w:val="22"/>
        </w:rPr>
      </w:pPr>
      <w:r>
        <w:rPr>
          <w:rFonts w:ascii="Arial" w:hAnsi="Arial" w:cs="Arial"/>
          <w:sz w:val="22"/>
          <w:szCs w:val="22"/>
        </w:rPr>
        <w:t>Council and the applicant for gaming approval may apply to the Tribunal for review of the Commission’s decision on the application.</w:t>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27" w:name="_Toc494291037"/>
      <w:r>
        <w:rPr>
          <w:rFonts w:ascii="CoM" w:hAnsi="CoM" w:cs="Arial"/>
          <w:b w:val="0"/>
          <w:color w:val="auto"/>
          <w:sz w:val="32"/>
          <w:szCs w:val="32"/>
        </w:rPr>
        <w:t>Municipal and regional caps within the City of Melbourne</w:t>
      </w:r>
      <w:bookmarkEnd w:id="227"/>
    </w:p>
    <w:p w:rsidR="00A83CEA" w:rsidRDefault="00A83CEA" w:rsidP="00A83CEA">
      <w:pPr>
        <w:rPr>
          <w:rFonts w:ascii="Arial" w:hAnsi="Arial" w:cs="Arial"/>
          <w:sz w:val="22"/>
          <w:szCs w:val="22"/>
        </w:rPr>
      </w:pPr>
      <w:r>
        <w:rPr>
          <w:rFonts w:ascii="Arial" w:hAnsi="Arial" w:cs="Arial"/>
          <w:sz w:val="22"/>
          <w:szCs w:val="22"/>
        </w:rPr>
        <w:t>The Minister for Gaming is responsible for setting caps that apply to particular areas within Victoria.</w:t>
      </w:r>
    </w:p>
    <w:p w:rsidR="00A83CEA" w:rsidRDefault="00A83CEA" w:rsidP="00A83CEA">
      <w:pPr>
        <w:rPr>
          <w:rFonts w:ascii="Arial" w:hAnsi="Arial" w:cs="Arial"/>
          <w:sz w:val="22"/>
          <w:szCs w:val="22"/>
        </w:rPr>
      </w:pPr>
      <w:r>
        <w:rPr>
          <w:rFonts w:ascii="Arial" w:hAnsi="Arial" w:cs="Arial"/>
          <w:sz w:val="22"/>
          <w:szCs w:val="22"/>
          <w:lang w:eastAsia="en-AU"/>
        </w:rPr>
        <w:t>The total number of gaming machines allowed in Victoria is 30,000. Of these 2628 are allocated to Crown Casino and the remaining 27,372 are allocated to clubs and hotels throughout the State.</w:t>
      </w:r>
    </w:p>
    <w:p w:rsidR="00A83CEA" w:rsidRDefault="00A83CEA" w:rsidP="00A83CEA">
      <w:pPr>
        <w:rPr>
          <w:rFonts w:ascii="Arial" w:hAnsi="Arial" w:cs="Arial"/>
          <w:sz w:val="22"/>
          <w:szCs w:val="22"/>
          <w:lang w:eastAsia="en-AU"/>
        </w:rPr>
      </w:pPr>
      <w:r>
        <w:rPr>
          <w:rFonts w:ascii="Arial" w:hAnsi="Arial" w:cs="Arial"/>
          <w:sz w:val="22"/>
          <w:szCs w:val="22"/>
        </w:rPr>
        <w:t>On 7 July 2017, the Minister for Consumer Affairs, Gaming and Liquor Regulation announced that the number of EGMs operating in hotels and clubs in Victoria will remain capped at 27,372. As of June 2017</w:t>
      </w:r>
      <w:r>
        <w:rPr>
          <w:sz w:val="22"/>
          <w:szCs w:val="22"/>
        </w:rPr>
        <w:t xml:space="preserve">, </w:t>
      </w:r>
      <w:r>
        <w:rPr>
          <w:rFonts w:ascii="Arial" w:hAnsi="Arial" w:cs="Arial"/>
          <w:sz w:val="22"/>
          <w:szCs w:val="22"/>
          <w:lang w:eastAsia="en-AU"/>
        </w:rPr>
        <w:t>26,365</w:t>
      </w:r>
      <w:r>
        <w:rPr>
          <w:sz w:val="22"/>
          <w:szCs w:val="22"/>
          <w:lang w:eastAsia="en-AU"/>
        </w:rPr>
        <w:t xml:space="preserve"> EGMs</w:t>
      </w:r>
      <w:r>
        <w:rPr>
          <w:rFonts w:ascii="Arial" w:hAnsi="Arial" w:cs="Arial"/>
          <w:sz w:val="22"/>
          <w:szCs w:val="22"/>
          <w:lang w:eastAsia="en-AU"/>
        </w:rPr>
        <w:t xml:space="preserve"> were operating in Victoria. This is 1007 EGMs below the cap and means that </w:t>
      </w:r>
      <w:r>
        <w:rPr>
          <w:rFonts w:ascii="Arial" w:hAnsi="Arial"/>
          <w:sz w:val="22"/>
          <w:szCs w:val="22"/>
        </w:rPr>
        <w:t>the number of EGMs in Victoria may be permitted to increase.</w:t>
      </w:r>
      <w:r>
        <w:rPr>
          <w:rFonts w:ascii="Arial" w:hAnsi="Arial" w:cs="Arial"/>
          <w:sz w:val="22"/>
          <w:szCs w:val="22"/>
          <w:lang w:eastAsia="en-AU"/>
        </w:rPr>
        <w:t xml:space="preserve"> </w:t>
      </w:r>
    </w:p>
    <w:p w:rsidR="00A83CEA" w:rsidRDefault="00A83CEA" w:rsidP="00A83CEA">
      <w:pPr>
        <w:rPr>
          <w:rFonts w:ascii="Arial" w:hAnsi="Arial" w:cs="Arial"/>
          <w:sz w:val="22"/>
          <w:szCs w:val="22"/>
        </w:rPr>
      </w:pPr>
      <w:r>
        <w:rPr>
          <w:rFonts w:ascii="Arial" w:hAnsi="Arial" w:cs="Arial"/>
          <w:sz w:val="22"/>
          <w:szCs w:val="22"/>
        </w:rPr>
        <w:t>There are both capped and uncapped areas in the</w:t>
      </w:r>
      <w:r w:rsidR="00393168">
        <w:rPr>
          <w:rFonts w:ascii="Arial" w:hAnsi="Arial" w:cs="Arial"/>
          <w:sz w:val="22"/>
          <w:szCs w:val="22"/>
        </w:rPr>
        <w:t xml:space="preserve"> City of Melbourne (see Figure 2</w:t>
      </w:r>
      <w:r w:rsidR="000313F1">
        <w:rPr>
          <w:rFonts w:ascii="Arial" w:hAnsi="Arial" w:cs="Arial"/>
          <w:sz w:val="22"/>
          <w:szCs w:val="22"/>
        </w:rPr>
        <w:t xml:space="preserve"> below). </w:t>
      </w:r>
    </w:p>
    <w:p w:rsidR="00A83CEA" w:rsidRDefault="00A83CEA" w:rsidP="00A83CEA">
      <w:pPr>
        <w:rPr>
          <w:rFonts w:ascii="Arial" w:hAnsi="Arial" w:cs="Arial"/>
          <w:sz w:val="22"/>
          <w:szCs w:val="22"/>
        </w:rPr>
      </w:pPr>
      <w:r>
        <w:rPr>
          <w:rFonts w:ascii="Arial" w:hAnsi="Arial" w:cs="Arial"/>
          <w:sz w:val="22"/>
          <w:szCs w:val="22"/>
        </w:rPr>
        <w:t xml:space="preserve">The City of Melbourne is unique in that no cap applies to the Hoddle </w:t>
      </w:r>
      <w:r w:rsidR="000313F1">
        <w:rPr>
          <w:rFonts w:ascii="Arial" w:hAnsi="Arial" w:cs="Arial"/>
          <w:sz w:val="22"/>
          <w:szCs w:val="22"/>
        </w:rPr>
        <w:t xml:space="preserve">Grid, Docklands and Southbank. </w:t>
      </w:r>
      <w:r>
        <w:rPr>
          <w:rFonts w:ascii="Arial" w:hAnsi="Arial" w:cs="Arial"/>
          <w:sz w:val="22"/>
          <w:szCs w:val="22"/>
        </w:rPr>
        <w:t xml:space="preserve">This means that in these areas, there is no mandated limit on the number of EGMs permitted.  </w:t>
      </w:r>
    </w:p>
    <w:p w:rsidR="00A83CEA" w:rsidRDefault="00A83CEA" w:rsidP="00A83CEA">
      <w:pPr>
        <w:rPr>
          <w:rFonts w:ascii="Arial" w:hAnsi="Arial" w:cs="Arial"/>
          <w:sz w:val="22"/>
          <w:szCs w:val="22"/>
        </w:rPr>
      </w:pPr>
      <w:r>
        <w:rPr>
          <w:rFonts w:ascii="Arial" w:hAnsi="Arial" w:cs="Arial"/>
          <w:sz w:val="22"/>
          <w:szCs w:val="22"/>
        </w:rPr>
        <w:t>There are areas within Victo</w:t>
      </w:r>
      <w:r w:rsidR="000313F1">
        <w:rPr>
          <w:rFonts w:ascii="Arial" w:hAnsi="Arial" w:cs="Arial"/>
          <w:sz w:val="22"/>
          <w:szCs w:val="22"/>
        </w:rPr>
        <w:t xml:space="preserve">ria where regional caps apply. </w:t>
      </w:r>
      <w:r>
        <w:rPr>
          <w:rFonts w:ascii="Arial" w:hAnsi="Arial" w:cs="Arial"/>
          <w:sz w:val="22"/>
          <w:szCs w:val="22"/>
        </w:rPr>
        <w:t>These caps set by the Minister for Gaming are introduced to pre</w:t>
      </w:r>
      <w:r w:rsidR="000C0A4F">
        <w:rPr>
          <w:rFonts w:ascii="Arial" w:hAnsi="Arial" w:cs="Arial"/>
          <w:sz w:val="22"/>
          <w:szCs w:val="22"/>
        </w:rPr>
        <w:t>vent further concentration of E</w:t>
      </w:r>
      <w:r>
        <w:rPr>
          <w:rFonts w:ascii="Arial" w:hAnsi="Arial" w:cs="Arial"/>
          <w:sz w:val="22"/>
          <w:szCs w:val="22"/>
        </w:rPr>
        <w:t>G</w:t>
      </w:r>
      <w:r w:rsidR="000C0A4F">
        <w:rPr>
          <w:rFonts w:ascii="Arial" w:hAnsi="Arial" w:cs="Arial"/>
          <w:sz w:val="22"/>
          <w:szCs w:val="22"/>
        </w:rPr>
        <w:t>M</w:t>
      </w:r>
      <w:r>
        <w:rPr>
          <w:rFonts w:ascii="Arial" w:hAnsi="Arial" w:cs="Arial"/>
          <w:sz w:val="22"/>
          <w:szCs w:val="22"/>
        </w:rPr>
        <w:t>s in areas of the State identified as being particularly vulnerable to the harm caused by problem ga</w:t>
      </w:r>
      <w:r w:rsidR="000313F1">
        <w:rPr>
          <w:rFonts w:ascii="Arial" w:hAnsi="Arial" w:cs="Arial"/>
          <w:sz w:val="22"/>
          <w:szCs w:val="22"/>
        </w:rPr>
        <w:t xml:space="preserve">mbling. </w:t>
      </w:r>
      <w:r>
        <w:rPr>
          <w:rFonts w:ascii="Arial" w:hAnsi="Arial" w:cs="Arial"/>
          <w:sz w:val="22"/>
          <w:szCs w:val="22"/>
        </w:rPr>
        <w:t>A regional cap applies to parts of North Melbourne, Carlt</w:t>
      </w:r>
      <w:r w:rsidR="000313F1">
        <w:rPr>
          <w:rFonts w:ascii="Arial" w:hAnsi="Arial" w:cs="Arial"/>
          <w:sz w:val="22"/>
          <w:szCs w:val="22"/>
        </w:rPr>
        <w:t xml:space="preserve">on, Kensington and Flemington. </w:t>
      </w:r>
      <w:r>
        <w:rPr>
          <w:rFonts w:ascii="Arial" w:hAnsi="Arial" w:cs="Arial"/>
          <w:sz w:val="22"/>
          <w:szCs w:val="22"/>
        </w:rPr>
        <w:t>In this capped region, the maximum number of EGM entitlements is 1</w:t>
      </w:r>
      <w:r w:rsidR="00476A4B">
        <w:rPr>
          <w:rFonts w:ascii="Arial" w:hAnsi="Arial" w:cs="Arial"/>
          <w:sz w:val="22"/>
          <w:szCs w:val="22"/>
        </w:rPr>
        <w:t>49</w:t>
      </w:r>
      <w:r>
        <w:rPr>
          <w:rFonts w:ascii="Arial" w:hAnsi="Arial" w:cs="Arial"/>
          <w:sz w:val="22"/>
          <w:szCs w:val="22"/>
        </w:rPr>
        <w:t xml:space="preserve"> machines</w:t>
      </w:r>
      <w:r w:rsidR="00476A4B">
        <w:rPr>
          <w:rFonts w:ascii="Arial" w:hAnsi="Arial" w:cs="Arial"/>
          <w:sz w:val="22"/>
          <w:szCs w:val="22"/>
        </w:rPr>
        <w:t xml:space="preserve">.  This has reduced recently from 177 machines as a result of changes from the State Government announced in </w:t>
      </w:r>
      <w:r w:rsidR="00B64A1C">
        <w:rPr>
          <w:rFonts w:ascii="Arial" w:hAnsi="Arial" w:cs="Arial"/>
          <w:sz w:val="22"/>
          <w:szCs w:val="22"/>
        </w:rPr>
        <w:t>September 2017</w:t>
      </w:r>
      <w:r>
        <w:rPr>
          <w:rFonts w:ascii="Arial" w:hAnsi="Arial" w:cs="Arial"/>
          <w:sz w:val="22"/>
          <w:szCs w:val="22"/>
        </w:rPr>
        <w:t xml:space="preserve">. Two of the existing venues are located in the area covered by the regional cap. At present, these two venues are collectively operating </w:t>
      </w:r>
      <w:r w:rsidR="00476A4B">
        <w:rPr>
          <w:rFonts w:ascii="Arial" w:hAnsi="Arial" w:cs="Arial"/>
          <w:sz w:val="22"/>
          <w:szCs w:val="22"/>
        </w:rPr>
        <w:t>at the maximum capacity of the cap (149 machines).  Therefore no further EGMs will be permitted in this region</w:t>
      </w:r>
      <w:r>
        <w:rPr>
          <w:rFonts w:ascii="Arial" w:hAnsi="Arial" w:cs="Arial"/>
          <w:sz w:val="22"/>
          <w:szCs w:val="22"/>
        </w:rPr>
        <w:t>.</w:t>
      </w:r>
      <w:r w:rsidR="00476A4B">
        <w:rPr>
          <w:rFonts w:ascii="Arial" w:hAnsi="Arial" w:cs="Arial"/>
          <w:sz w:val="22"/>
          <w:szCs w:val="22"/>
        </w:rPr>
        <w:t xml:space="preserve"> </w:t>
      </w:r>
      <w:r>
        <w:rPr>
          <w:rFonts w:ascii="Arial" w:hAnsi="Arial" w:cs="Arial"/>
          <w:sz w:val="22"/>
          <w:szCs w:val="22"/>
        </w:rPr>
        <w:t xml:space="preserve"> </w:t>
      </w:r>
    </w:p>
    <w:p w:rsidR="00A83CEA" w:rsidRDefault="00A83CEA" w:rsidP="00A83CEA">
      <w:pPr>
        <w:rPr>
          <w:rFonts w:ascii="Arial" w:hAnsi="Arial" w:cs="Arial"/>
          <w:sz w:val="22"/>
          <w:szCs w:val="22"/>
        </w:rPr>
      </w:pPr>
      <w:r w:rsidRPr="00956FF9">
        <w:rPr>
          <w:rFonts w:ascii="Arial" w:hAnsi="Arial" w:cs="Arial"/>
          <w:sz w:val="22"/>
          <w:szCs w:val="22"/>
        </w:rPr>
        <w:t>Areas outside the uncapped and regional capped areas are covered by a munici</w:t>
      </w:r>
      <w:r w:rsidR="000313F1" w:rsidRPr="00956FF9">
        <w:rPr>
          <w:rFonts w:ascii="Arial" w:hAnsi="Arial" w:cs="Arial"/>
          <w:sz w:val="22"/>
          <w:szCs w:val="22"/>
        </w:rPr>
        <w:t xml:space="preserve">pal cap on the number of EGMs. </w:t>
      </w:r>
      <w:r w:rsidRPr="00956FF9">
        <w:rPr>
          <w:rFonts w:ascii="Arial" w:hAnsi="Arial" w:cs="Arial"/>
          <w:sz w:val="22"/>
          <w:szCs w:val="22"/>
        </w:rPr>
        <w:t>This cap is determined by the number of gaming machines per thousand adults, with the maximum number set at</w:t>
      </w:r>
      <w:r w:rsidR="000313F1" w:rsidRPr="00956FF9">
        <w:rPr>
          <w:rFonts w:ascii="Arial" w:hAnsi="Arial" w:cs="Arial"/>
          <w:sz w:val="22"/>
          <w:szCs w:val="22"/>
        </w:rPr>
        <w:t xml:space="preserve"> 10 machines per 1000 adults. </w:t>
      </w:r>
      <w:r w:rsidRPr="00956FF9">
        <w:rPr>
          <w:rFonts w:ascii="Arial" w:hAnsi="Arial" w:cs="Arial"/>
          <w:sz w:val="22"/>
          <w:szCs w:val="22"/>
        </w:rPr>
        <w:t>In the City of Melbourne, the maximum number of EGMs permitted in the area co</w:t>
      </w:r>
      <w:r w:rsidR="00956FF9" w:rsidRPr="00956FF9">
        <w:rPr>
          <w:rFonts w:ascii="Arial" w:hAnsi="Arial" w:cs="Arial"/>
          <w:sz w:val="22"/>
          <w:szCs w:val="22"/>
        </w:rPr>
        <w:t>vered by the municipal cap is 143</w:t>
      </w:r>
      <w:r w:rsidRPr="00956FF9">
        <w:rPr>
          <w:rFonts w:ascii="Arial" w:hAnsi="Arial" w:cs="Arial"/>
          <w:sz w:val="22"/>
          <w:szCs w:val="22"/>
        </w:rPr>
        <w:t xml:space="preserve"> EGMs.</w:t>
      </w:r>
    </w:p>
    <w:p w:rsidR="007B5A02" w:rsidRDefault="007B5A02" w:rsidP="007B5A02">
      <w:pPr>
        <w:pStyle w:val="Caption"/>
        <w:rPr>
          <w:rFonts w:ascii="Arial" w:hAnsi="Arial"/>
        </w:rPr>
      </w:pPr>
      <w:bookmarkStart w:id="228" w:name="_Toc494280327"/>
      <w:r w:rsidRPr="007B5A02">
        <w:rPr>
          <w:rFonts w:ascii="Arial" w:hAnsi="Arial"/>
        </w:rPr>
        <w:t xml:space="preserve">Figure </w:t>
      </w:r>
      <w:r w:rsidRPr="007B5A02">
        <w:fldChar w:fldCharType="begin"/>
      </w:r>
      <w:r w:rsidRPr="007B5A02">
        <w:rPr>
          <w:rFonts w:ascii="Arial" w:hAnsi="Arial"/>
        </w:rPr>
        <w:instrText xml:space="preserve"> SEQ Figure \* ARABIC </w:instrText>
      </w:r>
      <w:r w:rsidRPr="007B5A02">
        <w:fldChar w:fldCharType="separate"/>
      </w:r>
      <w:r w:rsidRPr="007B5A02">
        <w:rPr>
          <w:rFonts w:ascii="Arial" w:hAnsi="Arial"/>
          <w:noProof/>
        </w:rPr>
        <w:t>2</w:t>
      </w:r>
      <w:r w:rsidRPr="007B5A02">
        <w:fldChar w:fldCharType="end"/>
      </w:r>
      <w:r w:rsidRPr="007B5A02">
        <w:rPr>
          <w:rFonts w:ascii="Arial" w:hAnsi="Arial"/>
        </w:rPr>
        <w:t>: The City of Melbourne showing capped and uncapped areas overlaid on land use zones</w:t>
      </w:r>
      <w:bookmarkEnd w:id="228"/>
    </w:p>
    <w:p w:rsidR="00A83CEA" w:rsidRDefault="00E820E5" w:rsidP="00A83CEA">
      <w:pPr>
        <w:rPr>
          <w:rFonts w:ascii="Arial" w:hAnsi="Arial" w:cs="Arial"/>
        </w:rPr>
      </w:pPr>
      <w:r>
        <w:rPr>
          <w:rFonts w:ascii="Arial" w:hAnsi="Arial" w:cs="Arial"/>
          <w:noProof/>
          <w:lang w:eastAsia="en-AU"/>
        </w:rPr>
        <w:drawing>
          <wp:inline distT="0" distB="0" distL="0" distR="0" wp14:anchorId="257145B2" wp14:editId="058B8958">
            <wp:extent cx="5724939" cy="40233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072" b="17792"/>
                    <a:stretch/>
                  </pic:blipFill>
                  <pic:spPr bwMode="auto">
                    <a:xfrm>
                      <a:off x="0" y="0"/>
                      <a:ext cx="5723890" cy="4022623"/>
                    </a:xfrm>
                    <a:prstGeom prst="rect">
                      <a:avLst/>
                    </a:prstGeom>
                    <a:noFill/>
                    <a:ln>
                      <a:noFill/>
                    </a:ln>
                    <a:extLst>
                      <a:ext uri="{53640926-AAD7-44D8-BBD7-CCE9431645EC}">
                        <a14:shadowObscured xmlns:a14="http://schemas.microsoft.com/office/drawing/2010/main"/>
                      </a:ext>
                    </a:extLst>
                  </pic:spPr>
                </pic:pic>
              </a:graphicData>
            </a:graphic>
          </wp:inline>
        </w:drawing>
      </w:r>
      <w:r w:rsidR="001D52A6">
        <w:rPr>
          <w:noProof/>
          <w:lang w:eastAsia="en-AU"/>
        </w:rPr>
        <w:drawing>
          <wp:inline distT="0" distB="0" distL="0" distR="0" wp14:anchorId="57B5F886" wp14:editId="7C3FC2CB">
            <wp:extent cx="3790950" cy="782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90950" cy="782601"/>
                    </a:xfrm>
                    <a:prstGeom prst="rect">
                      <a:avLst/>
                    </a:prstGeom>
                  </pic:spPr>
                </pic:pic>
              </a:graphicData>
            </a:graphic>
          </wp:inline>
        </w:drawing>
      </w:r>
    </w:p>
    <w:p w:rsidR="00A83CEA" w:rsidRDefault="00A83CEA" w:rsidP="00A83CEA">
      <w:pPr>
        <w:pStyle w:val="Heading2"/>
        <w:numPr>
          <w:ilvl w:val="0"/>
          <w:numId w:val="0"/>
        </w:numPr>
        <w:spacing w:after="120"/>
        <w:ind w:left="578"/>
        <w:rPr>
          <w:rFonts w:ascii="CoM" w:hAnsi="CoM" w:cs="Arial"/>
          <w:b w:val="0"/>
          <w:color w:val="auto"/>
          <w:sz w:val="32"/>
          <w:szCs w:val="32"/>
        </w:rPr>
      </w:pPr>
    </w:p>
    <w:p w:rsidR="00A83CEA" w:rsidRPr="00AB1FA7" w:rsidRDefault="00A83CEA" w:rsidP="00A83CEA">
      <w:pPr>
        <w:pStyle w:val="Heading2"/>
        <w:numPr>
          <w:ilvl w:val="1"/>
          <w:numId w:val="111"/>
        </w:numPr>
        <w:spacing w:after="120"/>
        <w:ind w:left="578" w:hanging="578"/>
        <w:rPr>
          <w:rFonts w:ascii="CoM" w:hAnsi="CoM" w:cs="Arial"/>
          <w:b w:val="0"/>
          <w:color w:val="auto"/>
          <w:sz w:val="32"/>
          <w:szCs w:val="32"/>
        </w:rPr>
      </w:pPr>
      <w:bookmarkStart w:id="229" w:name="_Toc494291038"/>
      <w:r w:rsidRPr="00AB1FA7">
        <w:rPr>
          <w:rFonts w:ascii="CoM" w:hAnsi="CoM" w:cs="Arial"/>
          <w:b w:val="0"/>
          <w:color w:val="auto"/>
          <w:sz w:val="32"/>
          <w:szCs w:val="32"/>
        </w:rPr>
        <w:t>Planning and Environment Act 1987</w:t>
      </w:r>
      <w:bookmarkEnd w:id="229"/>
    </w:p>
    <w:p w:rsidR="00A83CEA" w:rsidRDefault="00A83CEA" w:rsidP="00A83CEA">
      <w:pPr>
        <w:rPr>
          <w:rFonts w:ascii="Arial" w:hAnsi="Arial" w:cs="Arial"/>
          <w:sz w:val="22"/>
          <w:szCs w:val="22"/>
        </w:rPr>
      </w:pPr>
      <w:r>
        <w:rPr>
          <w:rFonts w:ascii="Arial" w:hAnsi="Arial" w:cs="Arial"/>
          <w:sz w:val="22"/>
          <w:szCs w:val="22"/>
        </w:rPr>
        <w:t xml:space="preserve">Under the </w:t>
      </w:r>
      <w:r>
        <w:rPr>
          <w:rFonts w:ascii="Arial" w:hAnsi="Arial" w:cs="Arial"/>
          <w:i/>
          <w:sz w:val="22"/>
          <w:szCs w:val="22"/>
        </w:rPr>
        <w:t xml:space="preserve">Planning and Environment Act 1987 </w:t>
      </w:r>
      <w:r>
        <w:rPr>
          <w:rFonts w:ascii="Arial" w:hAnsi="Arial" w:cs="Arial"/>
          <w:sz w:val="22"/>
          <w:szCs w:val="22"/>
        </w:rPr>
        <w:t>Council is the responsible authority for determining the outcome of applications for planning permits, except for the following circumstances where the Minister for Planning is the Responsible Authority:</w:t>
      </w:r>
    </w:p>
    <w:p w:rsidR="00A83CEA" w:rsidRDefault="00A83CEA" w:rsidP="00A83CEA">
      <w:pPr>
        <w:pStyle w:val="ListParagraph"/>
        <w:numPr>
          <w:ilvl w:val="0"/>
          <w:numId w:val="130"/>
        </w:numPr>
        <w:spacing w:after="120" w:line="256" w:lineRule="auto"/>
        <w:ind w:left="714" w:hanging="357"/>
        <w:rPr>
          <w:rFonts w:ascii="Arial" w:hAnsi="Arial"/>
          <w:sz w:val="22"/>
          <w:szCs w:val="22"/>
        </w:rPr>
      </w:pPr>
      <w:r>
        <w:rPr>
          <w:rFonts w:ascii="Arial" w:hAnsi="Arial"/>
          <w:sz w:val="22"/>
          <w:szCs w:val="22"/>
        </w:rPr>
        <w:t>all developments with a gross floor area exceeding 25,000 square metres</w:t>
      </w:r>
    </w:p>
    <w:p w:rsidR="00A83CEA" w:rsidRDefault="00A83CEA" w:rsidP="00A83CEA">
      <w:pPr>
        <w:pStyle w:val="ListParagraph"/>
        <w:numPr>
          <w:ilvl w:val="0"/>
          <w:numId w:val="130"/>
        </w:numPr>
        <w:spacing w:after="120" w:line="256" w:lineRule="auto"/>
        <w:ind w:left="714" w:hanging="357"/>
        <w:rPr>
          <w:rFonts w:ascii="Arial" w:hAnsi="Arial"/>
          <w:sz w:val="22"/>
          <w:szCs w:val="22"/>
        </w:rPr>
      </w:pPr>
      <w:r>
        <w:rPr>
          <w:rFonts w:ascii="Arial" w:hAnsi="Arial"/>
          <w:sz w:val="22"/>
          <w:szCs w:val="22"/>
        </w:rPr>
        <w:t>under the Schedule to Clause 61.10 significant entertainment, transport, sporting, arts and housing precincts in the municipality including the Melbourne Casino Area, Flemington Racecourse, Southern Cross Station, the sports and entertainment precinct surrounding AAMI Park and Melbourne Park, the Arts Precinct, the Melbourne Convention Centre in Southbank, the Games Village precinct in Parkville, the Carlton Housing Precincts.</w:t>
      </w:r>
    </w:p>
    <w:p w:rsidR="00A83CEA" w:rsidRDefault="00A83CEA" w:rsidP="00A83CEA">
      <w:pPr>
        <w:rPr>
          <w:rFonts w:ascii="Arial" w:hAnsi="Arial" w:cs="Arial"/>
          <w:sz w:val="22"/>
          <w:szCs w:val="22"/>
        </w:rPr>
      </w:pPr>
      <w:r>
        <w:rPr>
          <w:rFonts w:ascii="Arial" w:hAnsi="Arial" w:cs="Arial"/>
          <w:sz w:val="22"/>
          <w:szCs w:val="22"/>
        </w:rPr>
        <w:t xml:space="preserve">Under these circumstances, Council has the opportunity to comment on an application for a planning permit or make a submission in relation to a proposed planning scheme amendment. </w:t>
      </w:r>
    </w:p>
    <w:p w:rsidR="00A83CEA" w:rsidRDefault="00A83CEA" w:rsidP="00A83CEA">
      <w:pPr>
        <w:rPr>
          <w:rFonts w:ascii="Arial" w:hAnsi="Arial" w:cs="Arial"/>
          <w:sz w:val="22"/>
          <w:szCs w:val="22"/>
        </w:rPr>
      </w:pPr>
      <w:r>
        <w:rPr>
          <w:rFonts w:ascii="Arial" w:hAnsi="Arial" w:cs="Arial"/>
          <w:sz w:val="22"/>
          <w:szCs w:val="22"/>
        </w:rPr>
        <w:t>Under the Melbourne Planning Scheme key provisions relating to the assessment of gaming venues are:</w:t>
      </w:r>
    </w:p>
    <w:tbl>
      <w:tblPr>
        <w:tblStyle w:val="TableGrid"/>
        <w:tblW w:w="5000" w:type="pct"/>
        <w:tblLook w:val="04A0" w:firstRow="1" w:lastRow="0" w:firstColumn="1" w:lastColumn="0" w:noHBand="0" w:noVBand="1"/>
      </w:tblPr>
      <w:tblGrid>
        <w:gridCol w:w="2030"/>
        <w:gridCol w:w="7212"/>
      </w:tblGrid>
      <w:tr w:rsidR="00A83CEA" w:rsidTr="00A83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left w:val="single" w:sz="4" w:space="0" w:color="auto"/>
              <w:bottom w:val="single" w:sz="4" w:space="0" w:color="auto"/>
            </w:tcBorders>
            <w:hideMark/>
          </w:tcPr>
          <w:p w:rsidR="00A83CEA" w:rsidRPr="00AB1FA7" w:rsidRDefault="00A83CEA">
            <w:pPr>
              <w:rPr>
                <w:rFonts w:ascii="Arial" w:hAnsi="Arial" w:cs="Arial"/>
                <w:b w:val="0"/>
              </w:rPr>
            </w:pPr>
            <w:r w:rsidRPr="00AB1FA7">
              <w:rPr>
                <w:rFonts w:ascii="Arial" w:hAnsi="Arial" w:cs="Arial"/>
                <w:b w:val="0"/>
              </w:rPr>
              <w:t>State Planning Policy Framework</w:t>
            </w:r>
          </w:p>
        </w:tc>
        <w:tc>
          <w:tcPr>
            <w:tcW w:w="3902" w:type="pct"/>
            <w:tcBorders>
              <w:top w:val="single" w:sz="4" w:space="0" w:color="auto"/>
              <w:left w:val="single" w:sz="4" w:space="0" w:color="auto"/>
              <w:bottom w:val="single" w:sz="4" w:space="0" w:color="auto"/>
              <w:right w:val="single" w:sz="4" w:space="0" w:color="auto"/>
            </w:tcBorders>
            <w:hideMark/>
          </w:tcPr>
          <w:p w:rsidR="00A83CEA" w:rsidRPr="00AB1FA7" w:rsidRDefault="00A83CEA" w:rsidP="00A83CEA">
            <w:pPr>
              <w:pStyle w:val="ListParagraph"/>
              <w:numPr>
                <w:ilvl w:val="0"/>
                <w:numId w:val="131"/>
              </w:numPr>
              <w:spacing w:after="120"/>
              <w:cnfStyle w:val="100000000000" w:firstRow="1" w:lastRow="0" w:firstColumn="0" w:lastColumn="0" w:oddVBand="0" w:evenVBand="0" w:oddHBand="0" w:evenHBand="0" w:firstRowFirstColumn="0" w:firstRowLastColumn="0" w:lastRowFirstColumn="0" w:lastRowLastColumn="0"/>
              <w:rPr>
                <w:rFonts w:ascii="Arial" w:hAnsi="Arial"/>
                <w:b w:val="0"/>
              </w:rPr>
            </w:pPr>
            <w:r w:rsidRPr="00AB1FA7">
              <w:rPr>
                <w:rFonts w:ascii="Arial" w:hAnsi="Arial"/>
                <w:b w:val="0"/>
              </w:rPr>
              <w:t>Seeks to achieve appropriate land use and development and net community benefit</w:t>
            </w:r>
          </w:p>
          <w:p w:rsidR="00A83CEA" w:rsidRPr="00AB1FA7" w:rsidRDefault="00A83CEA" w:rsidP="00A83CEA">
            <w:pPr>
              <w:pStyle w:val="ListParagraph"/>
              <w:numPr>
                <w:ilvl w:val="0"/>
                <w:numId w:val="131"/>
              </w:numPr>
              <w:spacing w:after="120"/>
              <w:cnfStyle w:val="100000000000" w:firstRow="1" w:lastRow="0" w:firstColumn="0" w:lastColumn="0" w:oddVBand="0" w:evenVBand="0" w:oddHBand="0" w:evenHBand="0" w:firstRowFirstColumn="0" w:firstRowLastColumn="0" w:lastRowFirstColumn="0" w:lastRowLastColumn="0"/>
              <w:rPr>
                <w:rFonts w:ascii="Arial" w:hAnsi="Arial"/>
                <w:b w:val="0"/>
              </w:rPr>
            </w:pPr>
            <w:r w:rsidRPr="00AB1FA7">
              <w:rPr>
                <w:rFonts w:ascii="Arial" w:hAnsi="Arial"/>
                <w:b w:val="0"/>
              </w:rPr>
              <w:t>Encourages the concentration of major entertainment and cultural developments into activity centres.</w:t>
            </w:r>
          </w:p>
          <w:p w:rsidR="00A83CEA" w:rsidRPr="00AB1FA7" w:rsidRDefault="00A83CEA" w:rsidP="00A83CEA">
            <w:pPr>
              <w:pStyle w:val="ListParagraph"/>
              <w:numPr>
                <w:ilvl w:val="0"/>
                <w:numId w:val="131"/>
              </w:numPr>
              <w:spacing w:after="120"/>
              <w:cnfStyle w:val="100000000000" w:firstRow="1" w:lastRow="0" w:firstColumn="0" w:lastColumn="0" w:oddVBand="0" w:evenVBand="0" w:oddHBand="0" w:evenHBand="0" w:firstRowFirstColumn="0" w:firstRowLastColumn="0" w:lastRowFirstColumn="0" w:lastRowLastColumn="0"/>
              <w:rPr>
                <w:rFonts w:ascii="Arial" w:hAnsi="Arial"/>
                <w:b w:val="0"/>
              </w:rPr>
            </w:pPr>
            <w:r w:rsidRPr="00AB1FA7">
              <w:rPr>
                <w:rFonts w:ascii="Arial" w:hAnsi="Arial"/>
                <w:b w:val="0"/>
              </w:rPr>
              <w:t>Discourages large scale entertainment facilities in out-of-centre locations</w:t>
            </w:r>
          </w:p>
          <w:p w:rsidR="00A83CEA" w:rsidRPr="00AB1FA7" w:rsidRDefault="00A83CEA" w:rsidP="00A83CEA">
            <w:pPr>
              <w:pStyle w:val="ListParagraph"/>
              <w:numPr>
                <w:ilvl w:val="0"/>
                <w:numId w:val="131"/>
              </w:numPr>
              <w:spacing w:after="120"/>
              <w:cnfStyle w:val="100000000000" w:firstRow="1" w:lastRow="0" w:firstColumn="0" w:lastColumn="0" w:oddVBand="0" w:evenVBand="0" w:oddHBand="0" w:evenHBand="0" w:firstRowFirstColumn="0" w:firstRowLastColumn="0" w:lastRowFirstColumn="0" w:lastRowLastColumn="0"/>
              <w:rPr>
                <w:rFonts w:ascii="Arial" w:hAnsi="Arial"/>
                <w:b w:val="0"/>
              </w:rPr>
            </w:pPr>
            <w:r w:rsidRPr="00AB1FA7">
              <w:rPr>
                <w:rFonts w:ascii="Arial" w:hAnsi="Arial"/>
                <w:b w:val="0"/>
              </w:rPr>
              <w:t>Seeks to maintain and develop Metropolitan Melbourne as a desirable tourist destination</w:t>
            </w:r>
          </w:p>
          <w:p w:rsidR="00A83CEA" w:rsidRDefault="00A83CEA" w:rsidP="00A83CEA">
            <w:pPr>
              <w:pStyle w:val="ListParagraph"/>
              <w:numPr>
                <w:ilvl w:val="0"/>
                <w:numId w:val="131"/>
              </w:numPr>
              <w:spacing w:after="120"/>
              <w:cnfStyle w:val="100000000000" w:firstRow="1" w:lastRow="0" w:firstColumn="0" w:lastColumn="0" w:oddVBand="0" w:evenVBand="0" w:oddHBand="0" w:evenHBand="0" w:firstRowFirstColumn="0" w:firstRowLastColumn="0" w:lastRowFirstColumn="0" w:lastRowLastColumn="0"/>
              <w:rPr>
                <w:rFonts w:ascii="Arial" w:hAnsi="Arial"/>
              </w:rPr>
            </w:pPr>
            <w:r w:rsidRPr="00AB1FA7">
              <w:rPr>
                <w:rFonts w:ascii="Arial" w:hAnsi="Arial"/>
                <w:b w:val="0"/>
              </w:rPr>
              <w:t xml:space="preserve">Encourages initiatives that revitalise the retail core of the Central City, develop city precincts, maintain city safety and provide leisure services. </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pct"/>
            <w:tcBorders>
              <w:left w:val="single" w:sz="4" w:space="0" w:color="auto"/>
            </w:tcBorders>
          </w:tcPr>
          <w:p w:rsidR="00A83CEA" w:rsidRPr="00AB1FA7" w:rsidRDefault="00A83CEA">
            <w:pPr>
              <w:rPr>
                <w:rFonts w:ascii="Arial" w:hAnsi="Arial" w:cs="Arial"/>
              </w:rPr>
            </w:pPr>
            <w:r w:rsidRPr="00AB1FA7">
              <w:rPr>
                <w:rFonts w:ascii="Arial" w:hAnsi="Arial" w:cs="Arial"/>
              </w:rPr>
              <w:t>Municipal strategic statement</w:t>
            </w:r>
          </w:p>
          <w:p w:rsidR="00A83CEA" w:rsidRPr="00AB1FA7" w:rsidRDefault="00A83CEA">
            <w:pPr>
              <w:rPr>
                <w:rFonts w:ascii="Arial" w:hAnsi="Arial" w:cs="Arial"/>
              </w:rPr>
            </w:pPr>
          </w:p>
        </w:tc>
        <w:tc>
          <w:tcPr>
            <w:tcW w:w="3902" w:type="pct"/>
            <w:tcBorders>
              <w:left w:val="single" w:sz="4" w:space="0" w:color="auto"/>
              <w:right w:val="single" w:sz="4" w:space="0" w:color="auto"/>
            </w:tcBorders>
            <w:hideMark/>
          </w:tcPr>
          <w:p w:rsidR="00A83CEA" w:rsidRDefault="00A83CEA" w:rsidP="00A83CEA">
            <w:pPr>
              <w:pStyle w:val="ListParagraph"/>
              <w:numPr>
                <w:ilvl w:val="0"/>
                <w:numId w:val="131"/>
              </w:numPr>
              <w:spacing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Recognises the role the City plays in providing cultural, leisure and entertainment activities</w:t>
            </w:r>
          </w:p>
          <w:p w:rsidR="00A83CEA" w:rsidRDefault="00A83CEA" w:rsidP="00A83CEA">
            <w:pPr>
              <w:pStyle w:val="ListParagraph"/>
              <w:numPr>
                <w:ilvl w:val="0"/>
                <w:numId w:val="131"/>
              </w:numPr>
              <w:spacing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Discourages the concentration of gaming venues in the Central City.</w:t>
            </w:r>
          </w:p>
          <w:p w:rsidR="00A83CEA" w:rsidRDefault="00A83CEA" w:rsidP="00A83CEA">
            <w:pPr>
              <w:pStyle w:val="ListParagraph"/>
              <w:numPr>
                <w:ilvl w:val="0"/>
                <w:numId w:val="131"/>
              </w:numPr>
              <w:spacing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Identifies strip shopping centres.</w:t>
            </w:r>
          </w:p>
        </w:tc>
      </w:tr>
      <w:tr w:rsidR="00A83CEA" w:rsidTr="00A83CEA">
        <w:tc>
          <w:tcPr>
            <w:cnfStyle w:val="001000000000" w:firstRow="0" w:lastRow="0" w:firstColumn="1" w:lastColumn="0" w:oddVBand="0" w:evenVBand="0" w:oddHBand="0" w:evenHBand="0" w:firstRowFirstColumn="0" w:firstRowLastColumn="0" w:lastRowFirstColumn="0" w:lastRowLastColumn="0"/>
            <w:tcW w:w="1098" w:type="pct"/>
            <w:tcBorders>
              <w:top w:val="single" w:sz="4" w:space="0" w:color="auto"/>
              <w:left w:val="single" w:sz="4" w:space="0" w:color="auto"/>
              <w:bottom w:val="single" w:sz="4" w:space="0" w:color="auto"/>
            </w:tcBorders>
            <w:hideMark/>
          </w:tcPr>
          <w:p w:rsidR="00A83CEA" w:rsidRPr="00AB1FA7" w:rsidRDefault="00A83CEA">
            <w:pPr>
              <w:rPr>
                <w:rFonts w:ascii="Arial" w:hAnsi="Arial" w:cs="Arial"/>
              </w:rPr>
            </w:pPr>
            <w:r w:rsidRPr="00AB1FA7">
              <w:rPr>
                <w:rFonts w:ascii="Arial" w:hAnsi="Arial" w:cs="Arial"/>
              </w:rPr>
              <w:t xml:space="preserve">Existing local planning policy for gaming </w:t>
            </w:r>
          </w:p>
        </w:tc>
        <w:tc>
          <w:tcPr>
            <w:tcW w:w="3902" w:type="pct"/>
            <w:tcBorders>
              <w:top w:val="single" w:sz="4" w:space="0" w:color="auto"/>
              <w:left w:val="single" w:sz="4" w:space="0" w:color="auto"/>
              <w:bottom w:val="single" w:sz="4" w:space="0" w:color="auto"/>
              <w:right w:val="single" w:sz="4" w:space="0" w:color="auto"/>
            </w:tcBorders>
            <w:hideMark/>
          </w:tcPr>
          <w:p w:rsidR="00A83CEA" w:rsidRDefault="00A83CEA" w:rsidP="00A83CEA">
            <w:pPr>
              <w:pStyle w:val="ListParagraph"/>
              <w:numPr>
                <w:ilvl w:val="0"/>
                <w:numId w:val="132"/>
              </w:numPr>
              <w:spacing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Discourages gaming premises in residential areas.</w:t>
            </w:r>
          </w:p>
          <w:p w:rsidR="00A83CEA" w:rsidRDefault="00A83CEA" w:rsidP="00A83CEA">
            <w:pPr>
              <w:pStyle w:val="ListParagraph"/>
              <w:numPr>
                <w:ilvl w:val="0"/>
                <w:numId w:val="132"/>
              </w:numPr>
              <w:spacing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Gives preference to top ups over new gaming premises.</w:t>
            </w:r>
          </w:p>
        </w:tc>
      </w:tr>
    </w:tbl>
    <w:p w:rsidR="00A83CEA" w:rsidRDefault="00A83CEA" w:rsidP="00A83CEA">
      <w:pPr>
        <w:rPr>
          <w:rFonts w:ascii="Arial" w:hAnsi="Arial" w:cs="Arial"/>
        </w:rPr>
      </w:pPr>
    </w:p>
    <w:p w:rsidR="00A83CEA" w:rsidRDefault="00A83CEA" w:rsidP="00A83CEA">
      <w:pPr>
        <w:rPr>
          <w:rFonts w:ascii="Arial" w:hAnsi="Arial" w:cs="Arial"/>
          <w:sz w:val="22"/>
          <w:szCs w:val="22"/>
        </w:rPr>
      </w:pPr>
      <w:r>
        <w:rPr>
          <w:rFonts w:ascii="Arial" w:hAnsi="Arial" w:cs="Arial"/>
          <w:sz w:val="22"/>
          <w:szCs w:val="22"/>
        </w:rPr>
        <w:t xml:space="preserve">A </w:t>
      </w:r>
      <w:r w:rsidR="007B5A02">
        <w:rPr>
          <w:rFonts w:ascii="Arial" w:hAnsi="Arial" w:cs="Arial"/>
          <w:sz w:val="22"/>
          <w:szCs w:val="22"/>
        </w:rPr>
        <w:t xml:space="preserve">planning </w:t>
      </w:r>
      <w:r>
        <w:rPr>
          <w:rFonts w:ascii="Arial" w:hAnsi="Arial" w:cs="Arial"/>
          <w:sz w:val="22"/>
          <w:szCs w:val="22"/>
        </w:rPr>
        <w:t>permit is required for the use/installation of EGMs under Clause</w:t>
      </w:r>
      <w:r w:rsidR="009E7279">
        <w:rPr>
          <w:rFonts w:ascii="Arial" w:hAnsi="Arial" w:cs="Arial"/>
          <w:sz w:val="22"/>
          <w:szCs w:val="22"/>
        </w:rPr>
        <w:t xml:space="preserve"> 52.28 of the Planning Scheme. </w:t>
      </w:r>
      <w:r>
        <w:rPr>
          <w:rFonts w:ascii="Arial" w:hAnsi="Arial" w:cs="Arial"/>
          <w:sz w:val="22"/>
          <w:szCs w:val="22"/>
        </w:rPr>
        <w:t>When assessing an application, Council can consider the location of the venue or machines, the social and economic impacts of the venue or machines and the appropriateness of the layout of the venue.</w:t>
      </w:r>
    </w:p>
    <w:p w:rsidR="00A83CEA" w:rsidRDefault="00A83CEA" w:rsidP="00A83CEA">
      <w:pPr>
        <w:rPr>
          <w:rFonts w:ascii="Arial" w:hAnsi="Arial" w:cs="Arial"/>
          <w:sz w:val="22"/>
          <w:szCs w:val="22"/>
        </w:rPr>
      </w:pPr>
      <w:r>
        <w:rPr>
          <w:rFonts w:ascii="Arial" w:hAnsi="Arial" w:cs="Arial"/>
          <w:sz w:val="22"/>
          <w:szCs w:val="22"/>
        </w:rPr>
        <w:t xml:space="preserve">Clause 52.28 prohibits the location of EGMs in identified shopping complexes and in strip shopping centres outside the Capital City Zone. </w:t>
      </w:r>
    </w:p>
    <w:p w:rsidR="00A83CEA" w:rsidRDefault="00A83CEA" w:rsidP="00A83CEA">
      <w:pPr>
        <w:pStyle w:val="Heading2"/>
        <w:numPr>
          <w:ilvl w:val="1"/>
          <w:numId w:val="111"/>
        </w:numPr>
        <w:spacing w:after="120"/>
        <w:ind w:left="578" w:hanging="578"/>
        <w:rPr>
          <w:rFonts w:ascii="CoM" w:hAnsi="CoM" w:cs="Arial"/>
          <w:b w:val="0"/>
          <w:sz w:val="32"/>
          <w:szCs w:val="32"/>
        </w:rPr>
      </w:pPr>
      <w:bookmarkStart w:id="230" w:name="_Toc494291039"/>
      <w:r>
        <w:rPr>
          <w:rFonts w:ascii="CoM" w:hAnsi="CoM" w:cs="Arial"/>
          <w:b w:val="0"/>
          <w:color w:val="auto"/>
          <w:sz w:val="32"/>
          <w:szCs w:val="32"/>
        </w:rPr>
        <w:t>Council’s roles and responsibilities</w:t>
      </w:r>
      <w:bookmarkEnd w:id="230"/>
    </w:p>
    <w:p w:rsidR="00A83CEA" w:rsidRDefault="00A83CEA" w:rsidP="00A83CEA">
      <w:pPr>
        <w:rPr>
          <w:rFonts w:ascii="Arial" w:hAnsi="Arial" w:cs="Arial"/>
          <w:sz w:val="22"/>
          <w:szCs w:val="22"/>
        </w:rPr>
      </w:pPr>
      <w:r>
        <w:rPr>
          <w:rFonts w:ascii="Arial" w:hAnsi="Arial" w:cs="Arial"/>
          <w:sz w:val="22"/>
          <w:szCs w:val="22"/>
        </w:rPr>
        <w:t xml:space="preserve">In addition to determining the outcome of planning permit applications and making submissions to the Commission on applications for gaming approvals, Council fulfils several other statutory roles defined by the </w:t>
      </w:r>
      <w:r>
        <w:rPr>
          <w:rFonts w:ascii="Arial" w:hAnsi="Arial" w:cs="Arial"/>
          <w:i/>
          <w:sz w:val="22"/>
          <w:szCs w:val="22"/>
        </w:rPr>
        <w:t xml:space="preserve">Local Government Act 1989 </w:t>
      </w:r>
      <w:r>
        <w:rPr>
          <w:rFonts w:ascii="Arial" w:hAnsi="Arial" w:cs="Arial"/>
          <w:sz w:val="22"/>
          <w:szCs w:val="22"/>
        </w:rPr>
        <w:t xml:space="preserve">and the </w:t>
      </w:r>
      <w:r>
        <w:rPr>
          <w:rFonts w:ascii="Arial" w:hAnsi="Arial" w:cs="Arial"/>
          <w:i/>
          <w:sz w:val="22"/>
          <w:szCs w:val="22"/>
        </w:rPr>
        <w:t>Public Health and Wellbeing Act 2008.</w:t>
      </w:r>
    </w:p>
    <w:p w:rsidR="00A83CEA" w:rsidRDefault="00A83CEA" w:rsidP="00A83CEA">
      <w:pPr>
        <w:rPr>
          <w:rFonts w:ascii="Arial" w:hAnsi="Arial" w:cs="Arial"/>
          <w:sz w:val="22"/>
          <w:szCs w:val="22"/>
        </w:rPr>
      </w:pPr>
      <w:r>
        <w:rPr>
          <w:rFonts w:ascii="Arial" w:hAnsi="Arial" w:cs="Arial"/>
          <w:sz w:val="22"/>
          <w:szCs w:val="22"/>
        </w:rPr>
        <w:t xml:space="preserve">The roles Council plays in relation to managing gambling activities in the municipality are summarised below (refer to Figure </w:t>
      </w:r>
      <w:r w:rsidR="00595B44">
        <w:rPr>
          <w:rFonts w:ascii="Arial" w:hAnsi="Arial" w:cs="Arial"/>
          <w:sz w:val="22"/>
          <w:szCs w:val="22"/>
        </w:rPr>
        <w:t>3</w:t>
      </w:r>
      <w:r>
        <w:rPr>
          <w:rFonts w:ascii="Arial" w:hAnsi="Arial" w:cs="Arial"/>
          <w:sz w:val="22"/>
          <w:szCs w:val="22"/>
        </w:rPr>
        <w:t>).</w:t>
      </w:r>
    </w:p>
    <w:p w:rsidR="00A83CEA" w:rsidRDefault="00A83CEA" w:rsidP="00A83CEA">
      <w:pPr>
        <w:rPr>
          <w:rFonts w:ascii="Arial" w:hAnsi="Arial" w:cs="Arial"/>
          <w:sz w:val="22"/>
          <w:szCs w:val="22"/>
        </w:rPr>
      </w:pPr>
      <w:r>
        <w:rPr>
          <w:rFonts w:ascii="Arial" w:hAnsi="Arial" w:cs="Arial"/>
          <w:sz w:val="22"/>
          <w:szCs w:val="22"/>
        </w:rPr>
        <w:t>The City of Melbourne is a member of the Alliance for Gambling Reform, and plays an important role in leading and shaping the advocacy agenda to reduce harms associated with gambling.</w:t>
      </w:r>
    </w:p>
    <w:p w:rsidR="00A83CEA" w:rsidRDefault="00A83CEA" w:rsidP="00A83CEA">
      <w:pPr>
        <w:rPr>
          <w:rFonts w:ascii="Arial" w:hAnsi="Arial" w:cs="Arial"/>
          <w:sz w:val="22"/>
          <w:szCs w:val="22"/>
        </w:rPr>
      </w:pPr>
      <w:r>
        <w:rPr>
          <w:rFonts w:ascii="Arial" w:hAnsi="Arial" w:cs="Arial"/>
          <w:sz w:val="22"/>
          <w:szCs w:val="22"/>
        </w:rPr>
        <w:t>This includes advocating to the Federal and Victorian State Governments for the reconfiguration of EGMs so that their addictive features are removed, increasing restrictions on gambling advertising, and increasing regulation on online gambling platforms and sports betting. It also includes advocating to the Victorian State Government for amendments to the local government submission form and submission period to reduce Council’s resources involved in making a submission for applications for gaming approval.</w:t>
      </w:r>
    </w:p>
    <w:p w:rsidR="00A1686D" w:rsidRDefault="00A83CEA" w:rsidP="00A83CEA">
      <w:pPr>
        <w:rPr>
          <w:rFonts w:ascii="Arial" w:hAnsi="Arial" w:cs="Arial"/>
          <w:sz w:val="22"/>
          <w:szCs w:val="22"/>
        </w:rPr>
      </w:pPr>
      <w:r>
        <w:rPr>
          <w:rFonts w:ascii="Arial" w:hAnsi="Arial" w:cs="Arial"/>
          <w:sz w:val="22"/>
          <w:szCs w:val="22"/>
        </w:rPr>
        <w:t>The City of Melbourne can build capacity within the community to reduce their vulnerability to gambling-related harms through the delivery of services, information dissemination, and continuing its strong collaborative relationships with stakeholders and agencies responsible for enhancing and safeguarding the health and wellbeing of the community.</w:t>
      </w:r>
    </w:p>
    <w:p w:rsidR="00A1686D" w:rsidRDefault="00A1686D">
      <w:pPr>
        <w:spacing w:line="276" w:lineRule="auto"/>
        <w:ind w:left="720"/>
        <w:rPr>
          <w:rFonts w:ascii="Arial" w:hAnsi="Arial" w:cs="Arial"/>
          <w:sz w:val="22"/>
          <w:szCs w:val="22"/>
        </w:rPr>
      </w:pPr>
      <w:r>
        <w:rPr>
          <w:rFonts w:ascii="Arial" w:hAnsi="Arial" w:cs="Arial"/>
          <w:sz w:val="22"/>
          <w:szCs w:val="22"/>
        </w:rPr>
        <w:br w:type="page"/>
      </w:r>
    </w:p>
    <w:p w:rsidR="00A83CEA" w:rsidRPr="00C8531A" w:rsidRDefault="00A83CEA" w:rsidP="00850D3A">
      <w:pPr>
        <w:pStyle w:val="Caption"/>
        <w:rPr>
          <w:rFonts w:ascii="Arial" w:hAnsi="Arial"/>
        </w:rPr>
      </w:pPr>
    </w:p>
    <w:p w:rsidR="007B5A02" w:rsidRDefault="007B5A02" w:rsidP="007B5A02">
      <w:pPr>
        <w:pStyle w:val="Caption"/>
        <w:rPr>
          <w:rFonts w:ascii="Arial" w:hAnsi="Arial"/>
        </w:rPr>
      </w:pPr>
      <w:bookmarkStart w:id="231" w:name="_Toc494280328"/>
      <w:r w:rsidRPr="007B5A02">
        <w:rPr>
          <w:rFonts w:ascii="Arial" w:hAnsi="Arial"/>
        </w:rPr>
        <w:t xml:space="preserve">Figure </w:t>
      </w:r>
      <w:r w:rsidRPr="007B5A02">
        <w:fldChar w:fldCharType="begin"/>
      </w:r>
      <w:r w:rsidRPr="007B5A02">
        <w:rPr>
          <w:rFonts w:ascii="Arial" w:hAnsi="Arial"/>
        </w:rPr>
        <w:instrText xml:space="preserve"> SEQ Figure \* ARABIC </w:instrText>
      </w:r>
      <w:r w:rsidRPr="007B5A02">
        <w:fldChar w:fldCharType="separate"/>
      </w:r>
      <w:r w:rsidRPr="007B5A02">
        <w:rPr>
          <w:rFonts w:ascii="Arial" w:hAnsi="Arial"/>
        </w:rPr>
        <w:t>3</w:t>
      </w:r>
      <w:r w:rsidRPr="007B5A02">
        <w:fldChar w:fldCharType="end"/>
      </w:r>
      <w:r w:rsidRPr="007B5A02">
        <w:rPr>
          <w:rFonts w:ascii="Arial" w:hAnsi="Arial"/>
        </w:rPr>
        <w:t xml:space="preserve"> – Council’s roles and responsibilities</w:t>
      </w:r>
      <w:bookmarkEnd w:id="231"/>
    </w:p>
    <w:p w:rsidR="00A83CEA" w:rsidRDefault="00A83CEA" w:rsidP="00A83CEA">
      <w:pPr>
        <w:rPr>
          <w:noProof/>
          <w:lang w:eastAsia="en-AU"/>
        </w:rPr>
      </w:pPr>
      <w:r>
        <w:rPr>
          <w:noProof/>
          <w:lang w:eastAsia="en-AU"/>
        </w:rPr>
        <w:t xml:space="preserve"> </w:t>
      </w:r>
    </w:p>
    <w:p w:rsidR="00A83CEA" w:rsidRDefault="00453887" w:rsidP="00A83CEA">
      <w:pPr>
        <w:spacing w:line="276" w:lineRule="auto"/>
        <w:ind w:left="720"/>
        <w:rPr>
          <w:noProof/>
          <w:lang w:eastAsia="en-AU"/>
        </w:rPr>
      </w:pPr>
      <w:r>
        <w:rPr>
          <w:noProof/>
          <w:lang w:eastAsia="en-AU"/>
        </w:rPr>
        <w:drawing>
          <wp:anchor distT="0" distB="0" distL="114300" distR="114300" simplePos="0" relativeHeight="251677696" behindDoc="1" locked="0" layoutInCell="1" allowOverlap="1" wp14:anchorId="66C9C8D9" wp14:editId="6F671F89">
            <wp:simplePos x="0" y="0"/>
            <wp:positionH relativeFrom="column">
              <wp:posOffset>147320</wp:posOffset>
            </wp:positionH>
            <wp:positionV relativeFrom="paragraph">
              <wp:posOffset>80645</wp:posOffset>
            </wp:positionV>
            <wp:extent cx="5731510" cy="6286500"/>
            <wp:effectExtent l="0" t="0" r="2540" b="0"/>
            <wp:wrapTight wrapText="bothSides">
              <wp:wrapPolygon edited="0">
                <wp:start x="0" y="0"/>
                <wp:lineTo x="0" y="21535"/>
                <wp:lineTo x="21538" y="21535"/>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6286500"/>
                    </a:xfrm>
                    <a:prstGeom prst="rect">
                      <a:avLst/>
                    </a:prstGeom>
                  </pic:spPr>
                </pic:pic>
              </a:graphicData>
            </a:graphic>
            <wp14:sizeRelH relativeFrom="page">
              <wp14:pctWidth>0</wp14:pctWidth>
            </wp14:sizeRelH>
            <wp14:sizeRelV relativeFrom="page">
              <wp14:pctHeight>0</wp14:pctHeight>
            </wp14:sizeRelV>
          </wp:anchor>
        </w:drawing>
      </w:r>
      <w:r w:rsidR="001F1C62" w:rsidRPr="001F1C62">
        <w:rPr>
          <w:noProof/>
          <w:lang w:eastAsia="en-AU"/>
        </w:rPr>
        <w:t xml:space="preserve"> </w:t>
      </w:r>
    </w:p>
    <w:p w:rsidR="00A1686D" w:rsidRDefault="00A1686D">
      <w:pPr>
        <w:spacing w:line="276" w:lineRule="auto"/>
        <w:ind w:left="720"/>
        <w:rPr>
          <w:rFonts w:ascii="Arial" w:hAnsi="Arial" w:cs="Arial"/>
        </w:rPr>
      </w:pPr>
      <w:r>
        <w:rPr>
          <w:rFonts w:ascii="Arial" w:hAnsi="Arial" w:cs="Arial"/>
        </w:rPr>
        <w:br w:type="page"/>
      </w:r>
    </w:p>
    <w:p w:rsidR="00A83CEA" w:rsidRDefault="00A83CEA" w:rsidP="00A83CEA">
      <w:pPr>
        <w:pStyle w:val="Heading1"/>
        <w:numPr>
          <w:ilvl w:val="0"/>
          <w:numId w:val="111"/>
        </w:numPr>
        <w:spacing w:before="240" w:line="256" w:lineRule="auto"/>
        <w:rPr>
          <w:rFonts w:cs="Arial"/>
        </w:rPr>
      </w:pPr>
      <w:bookmarkStart w:id="232" w:name="_Toc494291040"/>
      <w:r>
        <w:rPr>
          <w:rFonts w:cs="Arial"/>
        </w:rPr>
        <w:t>Decision-making framework</w:t>
      </w:r>
      <w:bookmarkEnd w:id="232"/>
    </w:p>
    <w:p w:rsidR="00A83CEA" w:rsidRDefault="00A83CEA" w:rsidP="00A83CEA">
      <w:pPr>
        <w:rPr>
          <w:rFonts w:ascii="Arial" w:hAnsi="Arial" w:cs="Arial"/>
          <w:sz w:val="22"/>
          <w:szCs w:val="22"/>
        </w:rPr>
      </w:pPr>
      <w:r>
        <w:rPr>
          <w:rFonts w:ascii="Arial" w:hAnsi="Arial" w:cs="Arial"/>
          <w:sz w:val="22"/>
          <w:szCs w:val="22"/>
        </w:rPr>
        <w:t xml:space="preserve">This Decision Making Framework, once adopted by Council will underpin decisions Council makes in fulfilling all its roles as outlined in Figure 2 above, in preventing and minimising harms associated with gaming. </w:t>
      </w:r>
    </w:p>
    <w:p w:rsidR="00A83CEA" w:rsidRDefault="00A83CEA" w:rsidP="00A83CEA">
      <w:pPr>
        <w:pStyle w:val="Heading2"/>
        <w:numPr>
          <w:ilvl w:val="1"/>
          <w:numId w:val="111"/>
        </w:numPr>
        <w:spacing w:after="120"/>
        <w:ind w:left="578" w:hanging="578"/>
        <w:rPr>
          <w:rFonts w:ascii="CoM" w:hAnsi="CoM" w:cs="Arial"/>
          <w:b w:val="0"/>
          <w:sz w:val="32"/>
          <w:szCs w:val="32"/>
        </w:rPr>
      </w:pPr>
      <w:bookmarkStart w:id="233" w:name="_Toc494291041"/>
      <w:r>
        <w:rPr>
          <w:rFonts w:ascii="CoM" w:hAnsi="CoM" w:cs="Arial"/>
          <w:b w:val="0"/>
          <w:color w:val="auto"/>
          <w:sz w:val="32"/>
          <w:szCs w:val="32"/>
        </w:rPr>
        <w:t>Principles</w:t>
      </w:r>
      <w:bookmarkEnd w:id="233"/>
    </w:p>
    <w:p w:rsidR="00A83CEA" w:rsidRPr="00701721" w:rsidRDefault="00A83CEA" w:rsidP="00A83CEA">
      <w:pPr>
        <w:rPr>
          <w:rFonts w:ascii="Arial" w:hAnsi="Arial" w:cs="Arial"/>
          <w:sz w:val="22"/>
          <w:szCs w:val="22"/>
        </w:rPr>
      </w:pPr>
      <w:r w:rsidRPr="00701721">
        <w:rPr>
          <w:rFonts w:ascii="Arial" w:hAnsi="Arial" w:cs="Arial"/>
          <w:sz w:val="22"/>
          <w:szCs w:val="22"/>
        </w:rPr>
        <w:t xml:space="preserve">The following principles have emerged from decisions made by Planning Panels Victoria, the Tribunal and the </w:t>
      </w:r>
      <w:r w:rsidR="00701721">
        <w:rPr>
          <w:rFonts w:ascii="Arial" w:hAnsi="Arial" w:cs="Arial"/>
          <w:sz w:val="22"/>
          <w:szCs w:val="22"/>
        </w:rPr>
        <w:t>VCGLR</w:t>
      </w:r>
      <w:r w:rsidRPr="00701721">
        <w:rPr>
          <w:rFonts w:ascii="Arial" w:hAnsi="Arial" w:cs="Arial"/>
          <w:sz w:val="22"/>
          <w:szCs w:val="22"/>
        </w:rPr>
        <w:t xml:space="preserve"> under the </w:t>
      </w:r>
      <w:r w:rsidRPr="00701721">
        <w:rPr>
          <w:rFonts w:ascii="Arial" w:hAnsi="Arial" w:cs="Arial"/>
          <w:i/>
          <w:sz w:val="22"/>
          <w:szCs w:val="22"/>
        </w:rPr>
        <w:t xml:space="preserve">Gaming Regulation Act 2003 </w:t>
      </w:r>
      <w:r w:rsidRPr="00701721">
        <w:rPr>
          <w:rFonts w:ascii="Arial" w:hAnsi="Arial" w:cs="Arial"/>
          <w:sz w:val="22"/>
          <w:szCs w:val="22"/>
        </w:rPr>
        <w:t xml:space="preserve">and the </w:t>
      </w:r>
      <w:r w:rsidRPr="00701721">
        <w:rPr>
          <w:rFonts w:ascii="Arial" w:hAnsi="Arial" w:cs="Arial"/>
          <w:i/>
          <w:sz w:val="22"/>
          <w:szCs w:val="22"/>
        </w:rPr>
        <w:t>Planning and Environment Act 1987</w:t>
      </w:r>
      <w:r w:rsidRPr="00701721">
        <w:rPr>
          <w:rFonts w:ascii="Arial" w:hAnsi="Arial" w:cs="Arial"/>
          <w:sz w:val="22"/>
          <w:szCs w:val="22"/>
        </w:rPr>
        <w:t>.</w:t>
      </w:r>
    </w:p>
    <w:p w:rsidR="00A83CEA" w:rsidRDefault="00A83CEA" w:rsidP="00A83CEA">
      <w:pPr>
        <w:pStyle w:val="Heading4"/>
        <w:rPr>
          <w:rFonts w:ascii="Arial" w:hAnsi="Arial" w:cs="Arial"/>
          <w:szCs w:val="22"/>
        </w:rPr>
      </w:pPr>
      <w:r>
        <w:rPr>
          <w:rFonts w:ascii="Arial" w:hAnsi="Arial" w:cs="Arial"/>
          <w:szCs w:val="22"/>
        </w:rPr>
        <w:t>Position on gaming</w:t>
      </w:r>
    </w:p>
    <w:p w:rsidR="00A83CEA" w:rsidRDefault="00A83CEA" w:rsidP="00A83CEA">
      <w:pPr>
        <w:rPr>
          <w:rFonts w:ascii="Arial" w:hAnsi="Arial" w:cs="Arial"/>
          <w:sz w:val="22"/>
          <w:szCs w:val="22"/>
        </w:rPr>
      </w:pPr>
      <w:r>
        <w:rPr>
          <w:rFonts w:ascii="Arial" w:hAnsi="Arial" w:cs="Arial"/>
          <w:sz w:val="22"/>
          <w:szCs w:val="22"/>
        </w:rPr>
        <w:t>Gaming is a legitimate form of recreation and there can be benefits to the community.</w:t>
      </w:r>
      <w:r>
        <w:rPr>
          <w:rStyle w:val="EndnoteReference"/>
          <w:rFonts w:ascii="Arial" w:hAnsi="Arial" w:cs="Arial"/>
          <w:sz w:val="22"/>
          <w:szCs w:val="22"/>
        </w:rPr>
        <w:t xml:space="preserve"> </w:t>
      </w:r>
      <w:r w:rsidRPr="00B276AD">
        <w:rPr>
          <w:vertAlign w:val="superscript"/>
        </w:rPr>
        <w:endnoteReference w:id="22"/>
      </w:r>
    </w:p>
    <w:p w:rsidR="00A83CEA" w:rsidRDefault="00A83CEA" w:rsidP="00A83CEA">
      <w:pPr>
        <w:pStyle w:val="Heading4"/>
        <w:rPr>
          <w:rFonts w:ascii="Arial" w:hAnsi="Arial" w:cs="Arial"/>
          <w:szCs w:val="22"/>
        </w:rPr>
      </w:pPr>
      <w:r>
        <w:rPr>
          <w:rFonts w:ascii="Arial" w:hAnsi="Arial" w:cs="Arial"/>
          <w:szCs w:val="22"/>
        </w:rPr>
        <w:t>Council’s role</w:t>
      </w:r>
    </w:p>
    <w:p w:rsidR="00A83CEA" w:rsidRDefault="00A83CEA" w:rsidP="00A83CEA">
      <w:pPr>
        <w:rPr>
          <w:rFonts w:ascii="Arial" w:hAnsi="Arial" w:cs="Arial"/>
          <w:sz w:val="22"/>
          <w:szCs w:val="22"/>
        </w:rPr>
      </w:pPr>
      <w:r>
        <w:rPr>
          <w:rFonts w:ascii="Arial" w:hAnsi="Arial" w:cs="Arial"/>
          <w:sz w:val="22"/>
          <w:szCs w:val="22"/>
        </w:rPr>
        <w:t xml:space="preserve">Councils have important functions relating to health and wellbeing under the </w:t>
      </w:r>
      <w:r>
        <w:rPr>
          <w:rFonts w:ascii="Arial" w:hAnsi="Arial" w:cs="Arial"/>
          <w:i/>
          <w:sz w:val="22"/>
          <w:szCs w:val="22"/>
        </w:rPr>
        <w:t xml:space="preserve">Local Government Act 1989 </w:t>
      </w:r>
      <w:r>
        <w:rPr>
          <w:rFonts w:ascii="Arial" w:hAnsi="Arial" w:cs="Arial"/>
          <w:sz w:val="22"/>
          <w:szCs w:val="22"/>
        </w:rPr>
        <w:t xml:space="preserve">and the </w:t>
      </w:r>
      <w:r>
        <w:rPr>
          <w:rFonts w:ascii="Arial" w:hAnsi="Arial" w:cs="Arial"/>
          <w:i/>
          <w:sz w:val="22"/>
          <w:szCs w:val="22"/>
        </w:rPr>
        <w:t>Public Health and Wellbeing Act 2008</w:t>
      </w:r>
      <w:r>
        <w:rPr>
          <w:rFonts w:ascii="Arial" w:hAnsi="Arial" w:cs="Arial"/>
          <w:sz w:val="22"/>
          <w:szCs w:val="22"/>
        </w:rPr>
        <w:t>. These functions give Councils the foundation on which to make informed decisions about the economic and social impact of EGMs on the wellbeing of local communities.</w:t>
      </w:r>
      <w:r>
        <w:rPr>
          <w:rStyle w:val="EndnoteReference"/>
          <w:rFonts w:ascii="Arial" w:hAnsi="Arial" w:cs="Arial"/>
          <w:sz w:val="22"/>
          <w:szCs w:val="22"/>
        </w:rPr>
        <w:endnoteReference w:id="23"/>
      </w:r>
    </w:p>
    <w:p w:rsidR="00A83CEA" w:rsidRDefault="00A83CEA" w:rsidP="00A83CEA">
      <w:pPr>
        <w:pStyle w:val="Heading4"/>
        <w:rPr>
          <w:rFonts w:ascii="Arial" w:hAnsi="Arial" w:cs="Arial"/>
          <w:szCs w:val="22"/>
        </w:rPr>
      </w:pPr>
      <w:r>
        <w:rPr>
          <w:rFonts w:ascii="Arial" w:hAnsi="Arial" w:cs="Arial"/>
          <w:szCs w:val="22"/>
        </w:rPr>
        <w:t>Caps on EGM numbers</w:t>
      </w:r>
    </w:p>
    <w:p w:rsidR="00A83CEA" w:rsidRDefault="00A83CEA" w:rsidP="00A83CEA">
      <w:pPr>
        <w:rPr>
          <w:rFonts w:ascii="Arial" w:hAnsi="Arial" w:cs="Arial"/>
          <w:sz w:val="22"/>
          <w:szCs w:val="22"/>
        </w:rPr>
      </w:pPr>
      <w:r>
        <w:rPr>
          <w:rFonts w:ascii="Arial" w:hAnsi="Arial" w:cs="Arial"/>
          <w:sz w:val="22"/>
          <w:szCs w:val="22"/>
        </w:rPr>
        <w:t>The imposition of municipal and regional caps on the maximum number of EGMs permissible in a local government area is the State Government’s response to a concentration of gaming venues</w:t>
      </w:r>
      <w:r>
        <w:rPr>
          <w:rStyle w:val="EndnoteReference"/>
          <w:rFonts w:ascii="Arial" w:hAnsi="Arial" w:cs="Arial"/>
          <w:sz w:val="22"/>
          <w:szCs w:val="22"/>
        </w:rPr>
        <w:endnoteReference w:id="24"/>
      </w:r>
      <w:r>
        <w:rPr>
          <w:rFonts w:ascii="Arial" w:hAnsi="Arial" w:cs="Arial"/>
          <w:sz w:val="22"/>
          <w:szCs w:val="22"/>
        </w:rPr>
        <w:t xml:space="preserve">. </w:t>
      </w:r>
    </w:p>
    <w:p w:rsidR="00A83CEA" w:rsidRDefault="00A83CEA" w:rsidP="00A83CEA">
      <w:pPr>
        <w:pStyle w:val="Heading4"/>
        <w:rPr>
          <w:rFonts w:ascii="Arial" w:hAnsi="Arial" w:cs="Arial"/>
          <w:szCs w:val="22"/>
        </w:rPr>
      </w:pPr>
      <w:r>
        <w:rPr>
          <w:rFonts w:ascii="Arial" w:hAnsi="Arial" w:cs="Arial"/>
          <w:szCs w:val="22"/>
        </w:rPr>
        <w:t>Community</w:t>
      </w:r>
    </w:p>
    <w:p w:rsidR="00A83CEA" w:rsidRDefault="00A83CEA" w:rsidP="00A83CEA">
      <w:pPr>
        <w:rPr>
          <w:rFonts w:ascii="Arial" w:hAnsi="Arial" w:cs="Arial"/>
          <w:sz w:val="22"/>
          <w:szCs w:val="22"/>
        </w:rPr>
      </w:pPr>
      <w:r>
        <w:rPr>
          <w:rFonts w:ascii="Arial" w:hAnsi="Arial" w:cs="Arial"/>
          <w:sz w:val="22"/>
          <w:szCs w:val="22"/>
        </w:rPr>
        <w:t xml:space="preserve">Typically the community is considered to be the </w:t>
      </w:r>
      <w:r w:rsidR="00E820E5">
        <w:rPr>
          <w:rFonts w:ascii="Arial" w:hAnsi="Arial" w:cs="Arial"/>
          <w:sz w:val="22"/>
          <w:szCs w:val="22"/>
        </w:rPr>
        <w:t xml:space="preserve">population of the </w:t>
      </w:r>
      <w:r>
        <w:rPr>
          <w:rFonts w:ascii="Arial" w:hAnsi="Arial" w:cs="Arial"/>
          <w:sz w:val="22"/>
          <w:szCs w:val="22"/>
        </w:rPr>
        <w:t>municipality for a gaming application. However, adjoining municipalities may also be considered</w:t>
      </w:r>
      <w:r>
        <w:rPr>
          <w:rStyle w:val="EndnoteReference"/>
          <w:rFonts w:ascii="Arial" w:hAnsi="Arial" w:cs="Arial"/>
          <w:sz w:val="22"/>
          <w:szCs w:val="22"/>
        </w:rPr>
        <w:endnoteReference w:id="25"/>
      </w:r>
      <w:r>
        <w:rPr>
          <w:rFonts w:ascii="Arial" w:hAnsi="Arial" w:cs="Arial"/>
          <w:sz w:val="22"/>
          <w:szCs w:val="22"/>
        </w:rPr>
        <w:t xml:space="preserve"> if the venue is in close proximity to the municipal boundary and if the local Council or community has made submissions in relation to the application.</w:t>
      </w:r>
      <w:r>
        <w:rPr>
          <w:rStyle w:val="EndnoteReference"/>
          <w:rFonts w:ascii="Arial" w:hAnsi="Arial" w:cs="Arial"/>
          <w:sz w:val="22"/>
          <w:szCs w:val="22"/>
        </w:rPr>
        <w:endnoteReference w:id="26"/>
      </w:r>
    </w:p>
    <w:p w:rsidR="00A83CEA" w:rsidRDefault="00A83CEA" w:rsidP="00A83CEA">
      <w:pPr>
        <w:pStyle w:val="Heading4"/>
        <w:rPr>
          <w:rFonts w:ascii="Arial" w:hAnsi="Arial" w:cs="Arial"/>
          <w:szCs w:val="22"/>
        </w:rPr>
      </w:pPr>
      <w:r>
        <w:rPr>
          <w:rFonts w:ascii="Arial" w:hAnsi="Arial" w:cs="Arial"/>
          <w:szCs w:val="22"/>
        </w:rPr>
        <w:t>Factors associated with net community benefit</w:t>
      </w:r>
    </w:p>
    <w:p w:rsidR="00A83CEA" w:rsidRDefault="00A83CEA" w:rsidP="00A83CEA">
      <w:pPr>
        <w:rPr>
          <w:rFonts w:ascii="Arial" w:hAnsi="Arial" w:cs="Arial"/>
          <w:sz w:val="22"/>
          <w:szCs w:val="22"/>
        </w:rPr>
      </w:pPr>
      <w:r>
        <w:rPr>
          <w:rFonts w:ascii="Arial" w:hAnsi="Arial" w:cs="Arial"/>
          <w:sz w:val="22"/>
          <w:szCs w:val="22"/>
        </w:rPr>
        <w:t>The following factors can contribute to the potential for an application to achieve net community benefit:</w:t>
      </w:r>
    </w:p>
    <w:p w:rsidR="00A83CEA" w:rsidRDefault="00A83CEA" w:rsidP="00A83CEA">
      <w:pPr>
        <w:pStyle w:val="ListParagraph"/>
        <w:numPr>
          <w:ilvl w:val="0"/>
          <w:numId w:val="133"/>
        </w:numPr>
        <w:spacing w:after="120"/>
        <w:rPr>
          <w:rFonts w:ascii="Arial" w:hAnsi="Arial"/>
          <w:sz w:val="22"/>
          <w:szCs w:val="22"/>
        </w:rPr>
      </w:pPr>
      <w:r>
        <w:rPr>
          <w:rFonts w:ascii="Arial" w:hAnsi="Arial"/>
          <w:sz w:val="22"/>
          <w:szCs w:val="22"/>
        </w:rPr>
        <w:t>transfer of EGMs from areas of high to low disadvantage</w:t>
      </w:r>
      <w:r>
        <w:rPr>
          <w:rStyle w:val="EndnoteReference"/>
          <w:rFonts w:ascii="Arial" w:hAnsi="Arial"/>
          <w:sz w:val="22"/>
          <w:szCs w:val="22"/>
        </w:rPr>
        <w:endnoteReference w:id="27"/>
      </w:r>
    </w:p>
    <w:p w:rsidR="00A83CEA" w:rsidRDefault="00A83CEA" w:rsidP="00A83CEA">
      <w:pPr>
        <w:pStyle w:val="ListParagraph"/>
        <w:numPr>
          <w:ilvl w:val="0"/>
          <w:numId w:val="133"/>
        </w:numPr>
        <w:spacing w:after="120"/>
        <w:rPr>
          <w:rFonts w:ascii="Arial" w:hAnsi="Arial"/>
          <w:sz w:val="22"/>
          <w:szCs w:val="22"/>
        </w:rPr>
      </w:pPr>
      <w:r>
        <w:rPr>
          <w:rFonts w:ascii="Arial" w:hAnsi="Arial"/>
          <w:sz w:val="22"/>
          <w:szCs w:val="22"/>
        </w:rPr>
        <w:t>renovations and provision of additional or different non-gambling facil</w:t>
      </w:r>
      <w:r w:rsidR="00B276AD">
        <w:rPr>
          <w:rFonts w:ascii="Arial" w:hAnsi="Arial"/>
          <w:sz w:val="22"/>
          <w:szCs w:val="22"/>
        </w:rPr>
        <w:t>ities and activities</w:t>
      </w:r>
      <w:r>
        <w:rPr>
          <w:rStyle w:val="EndnoteReference"/>
          <w:rFonts w:ascii="Arial" w:hAnsi="Arial"/>
          <w:sz w:val="22"/>
          <w:szCs w:val="22"/>
        </w:rPr>
        <w:endnoteReference w:id="28"/>
      </w:r>
    </w:p>
    <w:p w:rsidR="00A83CEA" w:rsidRDefault="00A83CEA" w:rsidP="00A83CEA">
      <w:pPr>
        <w:pStyle w:val="ListParagraph"/>
        <w:numPr>
          <w:ilvl w:val="0"/>
          <w:numId w:val="133"/>
        </w:numPr>
        <w:spacing w:after="120"/>
        <w:rPr>
          <w:rFonts w:ascii="Arial" w:hAnsi="Arial"/>
          <w:sz w:val="22"/>
          <w:szCs w:val="22"/>
        </w:rPr>
      </w:pPr>
      <w:r>
        <w:rPr>
          <w:rFonts w:ascii="Arial" w:hAnsi="Arial"/>
          <w:sz w:val="22"/>
          <w:szCs w:val="22"/>
        </w:rPr>
        <w:t>reduction in trading hours</w:t>
      </w:r>
      <w:r>
        <w:rPr>
          <w:rStyle w:val="EndnoteReference"/>
          <w:rFonts w:ascii="Arial" w:hAnsi="Arial"/>
          <w:sz w:val="22"/>
          <w:szCs w:val="22"/>
        </w:rPr>
        <w:endnoteReference w:id="29"/>
      </w:r>
      <w:r>
        <w:rPr>
          <w:rFonts w:ascii="Arial" w:hAnsi="Arial"/>
          <w:sz w:val="22"/>
          <w:szCs w:val="22"/>
        </w:rPr>
        <w:t xml:space="preserve"> </w:t>
      </w:r>
    </w:p>
    <w:p w:rsidR="00A83CEA" w:rsidRDefault="00A83CEA" w:rsidP="00A83CEA">
      <w:pPr>
        <w:pStyle w:val="ListParagraph"/>
        <w:numPr>
          <w:ilvl w:val="0"/>
          <w:numId w:val="133"/>
        </w:numPr>
        <w:spacing w:after="120"/>
        <w:rPr>
          <w:rFonts w:ascii="Arial" w:hAnsi="Arial"/>
          <w:sz w:val="22"/>
          <w:szCs w:val="22"/>
        </w:rPr>
      </w:pPr>
      <w:r>
        <w:rPr>
          <w:rFonts w:ascii="Arial" w:hAnsi="Arial"/>
          <w:sz w:val="22"/>
          <w:szCs w:val="22"/>
        </w:rPr>
        <w:t xml:space="preserve">non-statutory community contribution allocated to problem gambling services </w:t>
      </w:r>
      <w:r>
        <w:rPr>
          <w:rStyle w:val="EndnoteReference"/>
          <w:rFonts w:ascii="Arial" w:hAnsi="Arial"/>
          <w:sz w:val="22"/>
          <w:szCs w:val="22"/>
        </w:rPr>
        <w:endnoteReference w:id="30"/>
      </w:r>
      <w:r w:rsidR="00B276AD">
        <w:rPr>
          <w:rFonts w:ascii="Arial" w:hAnsi="Arial"/>
          <w:sz w:val="22"/>
          <w:szCs w:val="22"/>
        </w:rPr>
        <w:t xml:space="preserve"> </w:t>
      </w:r>
    </w:p>
    <w:p w:rsidR="00A83CEA" w:rsidRDefault="00A83CEA" w:rsidP="00A83CEA">
      <w:pPr>
        <w:pStyle w:val="ListParagraph"/>
        <w:numPr>
          <w:ilvl w:val="0"/>
          <w:numId w:val="133"/>
        </w:numPr>
        <w:spacing w:after="120"/>
        <w:rPr>
          <w:rFonts w:ascii="Arial" w:hAnsi="Arial"/>
          <w:sz w:val="22"/>
          <w:szCs w:val="22"/>
        </w:rPr>
      </w:pPr>
      <w:r>
        <w:rPr>
          <w:rFonts w:ascii="Arial" w:hAnsi="Arial"/>
          <w:sz w:val="22"/>
          <w:szCs w:val="22"/>
        </w:rPr>
        <w:t>screening between gaming and non-gaming floor areas</w:t>
      </w:r>
      <w:r>
        <w:rPr>
          <w:rStyle w:val="EndnoteReference"/>
          <w:rFonts w:ascii="Arial" w:hAnsi="Arial"/>
          <w:sz w:val="22"/>
          <w:szCs w:val="22"/>
        </w:rPr>
        <w:endnoteReference w:id="31"/>
      </w:r>
      <w:r w:rsidR="0073520E">
        <w:rPr>
          <w:rFonts w:ascii="Arial" w:hAnsi="Arial"/>
          <w:sz w:val="22"/>
          <w:szCs w:val="22"/>
        </w:rPr>
        <w:t>.</w:t>
      </w:r>
    </w:p>
    <w:p w:rsidR="00A83CEA" w:rsidRDefault="00A83CEA" w:rsidP="00A83CEA">
      <w:pPr>
        <w:spacing w:line="276" w:lineRule="auto"/>
        <w:ind w:left="720"/>
        <w:rPr>
          <w:rFonts w:ascii="Arial" w:eastAsiaTheme="majorEastAsia" w:hAnsi="Arial" w:cs="Arial"/>
          <w:b/>
          <w:bCs/>
          <w:sz w:val="22"/>
          <w:szCs w:val="22"/>
        </w:rPr>
      </w:pPr>
      <w:r>
        <w:rPr>
          <w:rFonts w:ascii="Arial" w:hAnsi="Arial" w:cs="Arial"/>
          <w:sz w:val="22"/>
          <w:szCs w:val="22"/>
        </w:rPr>
        <w:br w:type="page"/>
      </w:r>
    </w:p>
    <w:p w:rsidR="00A83CEA" w:rsidRDefault="00A83CEA" w:rsidP="00A83CEA">
      <w:pPr>
        <w:pStyle w:val="Heading2"/>
        <w:numPr>
          <w:ilvl w:val="1"/>
          <w:numId w:val="111"/>
        </w:numPr>
        <w:spacing w:after="120"/>
        <w:ind w:left="578" w:hanging="578"/>
        <w:rPr>
          <w:rFonts w:ascii="CoM" w:hAnsi="CoM" w:cs="Arial"/>
          <w:b w:val="0"/>
          <w:sz w:val="32"/>
          <w:szCs w:val="32"/>
        </w:rPr>
      </w:pPr>
      <w:bookmarkStart w:id="234" w:name="_Toc494291042"/>
      <w:r>
        <w:rPr>
          <w:rFonts w:ascii="CoM" w:hAnsi="CoM" w:cs="Arial"/>
          <w:b w:val="0"/>
          <w:color w:val="auto"/>
          <w:sz w:val="32"/>
          <w:szCs w:val="32"/>
        </w:rPr>
        <w:t>Relevant considerations under the two Applicable Acts</w:t>
      </w:r>
      <w:bookmarkEnd w:id="234"/>
    </w:p>
    <w:p w:rsidR="00A83CEA" w:rsidRDefault="00A83CEA" w:rsidP="00A83CEA">
      <w:pPr>
        <w:rPr>
          <w:rFonts w:ascii="Arial" w:hAnsi="Arial" w:cs="Arial"/>
          <w:sz w:val="22"/>
          <w:szCs w:val="22"/>
        </w:rPr>
      </w:pPr>
      <w:r>
        <w:rPr>
          <w:rFonts w:ascii="Arial" w:hAnsi="Arial" w:cs="Arial"/>
          <w:sz w:val="22"/>
          <w:szCs w:val="22"/>
        </w:rPr>
        <w:t xml:space="preserve">Specific considerations are provided for by the </w:t>
      </w:r>
      <w:r>
        <w:rPr>
          <w:rFonts w:ascii="Arial" w:hAnsi="Arial" w:cs="Arial"/>
          <w:i/>
          <w:sz w:val="22"/>
          <w:szCs w:val="22"/>
        </w:rPr>
        <w:t>Gambling Regulation Act 2003</w:t>
      </w:r>
      <w:r>
        <w:rPr>
          <w:rFonts w:ascii="Arial" w:hAnsi="Arial" w:cs="Arial"/>
          <w:sz w:val="22"/>
          <w:szCs w:val="22"/>
        </w:rPr>
        <w:t xml:space="preserve"> and </w:t>
      </w:r>
      <w:r>
        <w:rPr>
          <w:rFonts w:ascii="Arial" w:hAnsi="Arial" w:cs="Arial"/>
          <w:i/>
          <w:sz w:val="22"/>
          <w:szCs w:val="22"/>
        </w:rPr>
        <w:t>Planning and Environment Act 1987</w:t>
      </w:r>
      <w:r>
        <w:rPr>
          <w:rFonts w:ascii="Arial" w:hAnsi="Arial" w:cs="Arial"/>
          <w:sz w:val="22"/>
          <w:szCs w:val="22"/>
        </w:rPr>
        <w:t xml:space="preserve">. </w:t>
      </w:r>
    </w:p>
    <w:p w:rsidR="00A83CEA" w:rsidRDefault="00A83CEA" w:rsidP="00A83CEA">
      <w:pPr>
        <w:rPr>
          <w:rFonts w:ascii="Arial" w:hAnsi="Arial" w:cs="Arial"/>
          <w:sz w:val="22"/>
          <w:szCs w:val="22"/>
        </w:rPr>
      </w:pPr>
      <w:r>
        <w:rPr>
          <w:rFonts w:ascii="Arial" w:hAnsi="Arial" w:cs="Arial"/>
          <w:sz w:val="22"/>
          <w:szCs w:val="22"/>
        </w:rPr>
        <w:t xml:space="preserve">The Tribunal has recognised that although the application regimes under the </w:t>
      </w:r>
      <w:r>
        <w:rPr>
          <w:rFonts w:ascii="Arial" w:hAnsi="Arial" w:cs="Arial"/>
          <w:i/>
          <w:sz w:val="22"/>
          <w:szCs w:val="22"/>
        </w:rPr>
        <w:t xml:space="preserve">Planning and Environment Act 1987 </w:t>
      </w:r>
      <w:r>
        <w:rPr>
          <w:rFonts w:ascii="Arial" w:hAnsi="Arial" w:cs="Arial"/>
          <w:sz w:val="22"/>
          <w:szCs w:val="22"/>
        </w:rPr>
        <w:t xml:space="preserve">and the </w:t>
      </w:r>
      <w:r>
        <w:rPr>
          <w:rFonts w:ascii="Arial" w:hAnsi="Arial" w:cs="Arial"/>
          <w:i/>
          <w:sz w:val="22"/>
          <w:szCs w:val="22"/>
        </w:rPr>
        <w:t>Gambling Regulation Act 2003</w:t>
      </w:r>
      <w:r>
        <w:rPr>
          <w:rFonts w:ascii="Arial" w:hAnsi="Arial" w:cs="Arial"/>
          <w:sz w:val="22"/>
          <w:szCs w:val="22"/>
        </w:rPr>
        <w:t xml:space="preserve"> are separate, they are also linked and overlap (refer to </w:t>
      </w:r>
      <w:r w:rsidRPr="008E3F04">
        <w:rPr>
          <w:rFonts w:ascii="Arial" w:hAnsi="Arial" w:cs="Arial"/>
          <w:sz w:val="22"/>
          <w:szCs w:val="22"/>
        </w:rPr>
        <w:t xml:space="preserve">Table </w:t>
      </w:r>
      <w:r w:rsidR="00701721">
        <w:rPr>
          <w:rFonts w:ascii="Arial" w:hAnsi="Arial" w:cs="Arial"/>
          <w:sz w:val="22"/>
          <w:szCs w:val="22"/>
        </w:rPr>
        <w:t>2</w:t>
      </w:r>
      <w:r>
        <w:rPr>
          <w:rFonts w:ascii="Arial" w:hAnsi="Arial" w:cs="Arial"/>
          <w:sz w:val="22"/>
          <w:szCs w:val="22"/>
        </w:rPr>
        <w:t>).</w:t>
      </w:r>
      <w:r>
        <w:rPr>
          <w:rStyle w:val="EndnoteReference"/>
          <w:rFonts w:ascii="Arial" w:hAnsi="Arial" w:cs="Arial"/>
          <w:sz w:val="22"/>
          <w:szCs w:val="22"/>
        </w:rPr>
        <w:endnoteReference w:id="32"/>
      </w:r>
    </w:p>
    <w:p w:rsidR="00A83CEA" w:rsidRDefault="00A83CEA" w:rsidP="00A83CEA">
      <w:pPr>
        <w:rPr>
          <w:rFonts w:ascii="Arial" w:hAnsi="Arial" w:cs="Arial"/>
          <w:sz w:val="22"/>
          <w:szCs w:val="22"/>
        </w:rPr>
      </w:pPr>
      <w:r>
        <w:rPr>
          <w:rFonts w:ascii="Arial" w:hAnsi="Arial" w:cs="Arial"/>
          <w:sz w:val="22"/>
          <w:szCs w:val="22"/>
        </w:rPr>
        <w:t xml:space="preserve">Table </w:t>
      </w:r>
      <w:r w:rsidR="00701721">
        <w:rPr>
          <w:rFonts w:ascii="Arial" w:hAnsi="Arial" w:cs="Arial"/>
          <w:sz w:val="22"/>
          <w:szCs w:val="22"/>
        </w:rPr>
        <w:t>2</w:t>
      </w:r>
      <w:r>
        <w:rPr>
          <w:rFonts w:ascii="Arial" w:hAnsi="Arial" w:cs="Arial"/>
          <w:sz w:val="22"/>
          <w:szCs w:val="22"/>
        </w:rPr>
        <w:t xml:space="preserve"> lists the factors that are relevant in considering applications under the two Acts, and then shows how they apply under each Act. </w:t>
      </w:r>
    </w:p>
    <w:p w:rsidR="00A83CEA" w:rsidRDefault="00A83CEA" w:rsidP="00A83CEA">
      <w:pPr>
        <w:pStyle w:val="Caption"/>
        <w:rPr>
          <w:rFonts w:ascii="Arial" w:hAnsi="Arial"/>
        </w:rPr>
      </w:pPr>
      <w:bookmarkStart w:id="235" w:name="_Toc494291123"/>
      <w:r>
        <w:rPr>
          <w:rFonts w:ascii="Arial" w:hAnsi="Arial"/>
        </w:rPr>
        <w:t xml:space="preserve">Table </w:t>
      </w:r>
      <w:r>
        <w:fldChar w:fldCharType="begin"/>
      </w:r>
      <w:r>
        <w:rPr>
          <w:rFonts w:ascii="Arial" w:hAnsi="Arial"/>
        </w:rPr>
        <w:instrText xml:space="preserve"> SEQ Table \* ARABIC </w:instrText>
      </w:r>
      <w:r>
        <w:fldChar w:fldCharType="separate"/>
      </w:r>
      <w:r w:rsidR="00C73E6A">
        <w:rPr>
          <w:rFonts w:ascii="Arial" w:hAnsi="Arial"/>
          <w:noProof/>
        </w:rPr>
        <w:t>2</w:t>
      </w:r>
      <w:r>
        <w:fldChar w:fldCharType="end"/>
      </w:r>
      <w:r>
        <w:rPr>
          <w:rFonts w:ascii="Arial" w:hAnsi="Arial"/>
        </w:rPr>
        <w:t xml:space="preserve"> –Planning and gaming considerations under the relevant legislation:</w:t>
      </w:r>
      <w:bookmarkEnd w:id="235"/>
    </w:p>
    <w:p w:rsidR="00A83CEA" w:rsidRDefault="00A83CEA" w:rsidP="00A83CEA">
      <w:pPr>
        <w:pStyle w:val="Caption"/>
        <w:rPr>
          <w:rFonts w:ascii="Arial" w:hAnsi="Arial"/>
        </w:rPr>
      </w:pPr>
      <w:r>
        <w:rPr>
          <w:rFonts w:ascii="Arial" w:hAnsi="Arial"/>
        </w:rPr>
        <w:t>similarities and differences</w:t>
      </w:r>
    </w:p>
    <w:tbl>
      <w:tblPr>
        <w:tblStyle w:val="ListTable3"/>
        <w:tblW w:w="0" w:type="auto"/>
        <w:tblLook w:val="04A0" w:firstRow="1" w:lastRow="0" w:firstColumn="1" w:lastColumn="0" w:noHBand="0" w:noVBand="1"/>
      </w:tblPr>
      <w:tblGrid>
        <w:gridCol w:w="2263"/>
        <w:gridCol w:w="2977"/>
        <w:gridCol w:w="3776"/>
      </w:tblGrid>
      <w:tr w:rsidR="00A83CEA" w:rsidTr="00A83C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000000" w:themeColor="text1"/>
              <w:left w:val="single" w:sz="4" w:space="0" w:color="000000" w:themeColor="text1"/>
            </w:tcBorders>
            <w:vAlign w:val="center"/>
            <w:hideMark/>
          </w:tcPr>
          <w:p w:rsidR="00A83CEA" w:rsidRDefault="00A83CEA">
            <w:pPr>
              <w:spacing w:after="40"/>
              <w:rPr>
                <w:rFonts w:ascii="Arial" w:hAnsi="Arial" w:cs="Arial"/>
              </w:rPr>
            </w:pPr>
            <w:r>
              <w:rPr>
                <w:rFonts w:ascii="Arial" w:hAnsi="Arial" w:cs="Arial"/>
              </w:rPr>
              <w:t>Factor</w:t>
            </w:r>
          </w:p>
        </w:tc>
        <w:tc>
          <w:tcPr>
            <w:tcW w:w="2977" w:type="dxa"/>
            <w:tcBorders>
              <w:top w:val="single" w:sz="4" w:space="0" w:color="000000" w:themeColor="text1"/>
              <w:left w:val="nil"/>
              <w:bottom w:val="nil"/>
              <w:right w:val="nil"/>
            </w:tcBorders>
            <w:shd w:val="clear" w:color="auto" w:fill="00AECB"/>
            <w:vAlign w:val="center"/>
            <w:hideMark/>
          </w:tcPr>
          <w:p w:rsidR="00A83CEA" w:rsidRDefault="00A83CEA">
            <w:pPr>
              <w:spacing w:after="4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Gaming approvals</w:t>
            </w:r>
          </w:p>
        </w:tc>
        <w:tc>
          <w:tcPr>
            <w:tcW w:w="3776" w:type="dxa"/>
            <w:tcBorders>
              <w:top w:val="single" w:sz="4" w:space="0" w:color="000000" w:themeColor="text1"/>
              <w:left w:val="nil"/>
              <w:bottom w:val="nil"/>
              <w:right w:val="single" w:sz="4" w:space="0" w:color="000000" w:themeColor="text1"/>
            </w:tcBorders>
            <w:shd w:val="clear" w:color="auto" w:fill="00B74F"/>
            <w:vAlign w:val="center"/>
            <w:hideMark/>
          </w:tcPr>
          <w:p w:rsidR="00A83CEA" w:rsidRDefault="00A83CEA">
            <w:pPr>
              <w:spacing w:after="40"/>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Planning permits</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Legislative instrument</w:t>
            </w:r>
          </w:p>
        </w:tc>
        <w:tc>
          <w:tcPr>
            <w:tcW w:w="2977" w:type="dxa"/>
            <w:tcBorders>
              <w:left w:val="nil"/>
              <w:right w:val="nil"/>
            </w:tcBorders>
            <w:shd w:val="clear" w:color="auto" w:fill="CCE3F0"/>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Gambling Regulation Act 2003</w:t>
            </w:r>
          </w:p>
        </w:tc>
        <w:tc>
          <w:tcPr>
            <w:tcW w:w="3776" w:type="dxa"/>
            <w:tcBorders>
              <w:left w:val="nil"/>
              <w:right w:val="single" w:sz="4" w:space="0" w:color="000000" w:themeColor="text1"/>
            </w:tcBorders>
            <w:shd w:val="clear" w:color="auto" w:fill="E1ECC6"/>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Planning and Environment Act 1987</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A83CEA" w:rsidRDefault="00A83CEA">
            <w:pPr>
              <w:spacing w:after="40"/>
              <w:rPr>
                <w:rFonts w:ascii="Arial" w:hAnsi="Arial" w:cs="Arial"/>
              </w:rPr>
            </w:pPr>
            <w:r>
              <w:rPr>
                <w:rFonts w:ascii="Arial" w:hAnsi="Arial" w:cs="Arial"/>
              </w:rPr>
              <w:t>Social and economic impacts</w:t>
            </w:r>
          </w:p>
        </w:tc>
        <w:tc>
          <w:tcPr>
            <w:tcW w:w="2977" w:type="dxa"/>
            <w:tcBorders>
              <w:top w:val="nil"/>
              <w:left w:val="nil"/>
              <w:bottom w:val="nil"/>
              <w:right w:val="nil"/>
            </w:tcBorders>
            <w:shd w:val="clear" w:color="auto" w:fill="CCE3F0"/>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Key decision-making factor</w:t>
            </w:r>
          </w:p>
        </w:tc>
        <w:tc>
          <w:tcPr>
            <w:tcW w:w="3776" w:type="dxa"/>
            <w:tcBorders>
              <w:top w:val="nil"/>
              <w:left w:val="nil"/>
              <w:bottom w:val="nil"/>
              <w:right w:val="single" w:sz="4" w:space="0" w:color="000000" w:themeColor="text1"/>
            </w:tcBorders>
            <w:shd w:val="clear" w:color="auto" w:fill="E1ECC6"/>
            <w:vAlign w:val="center"/>
            <w:hideMark/>
          </w:tcPr>
          <w:p w:rsidR="00A83CEA" w:rsidRDefault="00A83CEA" w:rsidP="00B93F92">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Only </w:t>
            </w:r>
            <w:r w:rsidR="00F82D04">
              <w:rPr>
                <w:rFonts w:ascii="Arial" w:hAnsi="Arial" w:cs="Arial"/>
              </w:rPr>
              <w:t xml:space="preserve">required </w:t>
            </w:r>
            <w:r>
              <w:rPr>
                <w:rFonts w:ascii="Arial" w:hAnsi="Arial" w:cs="Arial"/>
              </w:rPr>
              <w:t>to consider</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Community benefit</w:t>
            </w:r>
          </w:p>
        </w:tc>
        <w:tc>
          <w:tcPr>
            <w:tcW w:w="2977" w:type="dxa"/>
            <w:tcBorders>
              <w:left w:val="nil"/>
              <w:right w:val="nil"/>
            </w:tcBorders>
            <w:shd w:val="clear" w:color="auto" w:fill="CCE3F0"/>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Achievement of neutral or positive community benefit a statutory requirement</w:t>
            </w:r>
          </w:p>
        </w:tc>
        <w:tc>
          <w:tcPr>
            <w:tcW w:w="3776" w:type="dxa"/>
            <w:tcBorders>
              <w:left w:val="nil"/>
              <w:right w:val="single" w:sz="4" w:space="0" w:color="000000" w:themeColor="text1"/>
            </w:tcBorders>
            <w:shd w:val="clear" w:color="auto" w:fill="E1ECC6"/>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Net community benefit a material consideration but not a statutory requirement</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A83CEA" w:rsidRDefault="00A83CEA">
            <w:pPr>
              <w:spacing w:after="40"/>
              <w:rPr>
                <w:rFonts w:ascii="Arial" w:hAnsi="Arial" w:cs="Arial"/>
              </w:rPr>
            </w:pPr>
            <w:r>
              <w:rPr>
                <w:rFonts w:ascii="Arial" w:hAnsi="Arial" w:cs="Arial"/>
              </w:rPr>
              <w:t>Community</w:t>
            </w:r>
          </w:p>
        </w:tc>
        <w:tc>
          <w:tcPr>
            <w:tcW w:w="2977" w:type="dxa"/>
            <w:tcBorders>
              <w:top w:val="nil"/>
              <w:left w:val="nil"/>
              <w:bottom w:val="nil"/>
              <w:right w:val="nil"/>
            </w:tcBorders>
            <w:shd w:val="clear" w:color="auto" w:fill="CCE3F0"/>
            <w:vAlign w:val="center"/>
            <w:hideMark/>
          </w:tcPr>
          <w:p w:rsidR="00A83CEA" w:rsidRDefault="00F82D04" w:rsidP="00B93F92">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Considered at a m</w:t>
            </w:r>
            <w:r w:rsidR="00A83CEA">
              <w:rPr>
                <w:rFonts w:ascii="Arial" w:hAnsi="Arial" w:cs="Arial"/>
              </w:rPr>
              <w:t>unicipal</w:t>
            </w:r>
            <w:r>
              <w:rPr>
                <w:rFonts w:ascii="Arial" w:hAnsi="Arial" w:cs="Arial"/>
              </w:rPr>
              <w:t xml:space="preserve"> scale</w:t>
            </w:r>
          </w:p>
        </w:tc>
        <w:tc>
          <w:tcPr>
            <w:tcW w:w="3776" w:type="dxa"/>
            <w:tcBorders>
              <w:top w:val="nil"/>
              <w:left w:val="nil"/>
              <w:bottom w:val="nil"/>
              <w:right w:val="single" w:sz="4" w:space="0" w:color="000000" w:themeColor="text1"/>
            </w:tcBorders>
            <w:shd w:val="clear" w:color="auto" w:fill="E1ECC6"/>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Surrounding uses and communities typically within 400m and patrons within 2.5km </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Assessment factors</w:t>
            </w:r>
          </w:p>
        </w:tc>
        <w:tc>
          <w:tcPr>
            <w:tcW w:w="2977" w:type="dxa"/>
            <w:tcBorders>
              <w:left w:val="nil"/>
              <w:right w:val="nil"/>
            </w:tcBorders>
            <w:shd w:val="clear" w:color="auto" w:fill="CCE3F0"/>
            <w:vAlign w:val="center"/>
            <w:hideMark/>
          </w:tcPr>
          <w:p w:rsidR="00A83CEA" w:rsidRDefault="006F519C" w:rsidP="006F519C">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Suitability of venue, for instance</w:t>
            </w:r>
            <w:r w:rsidR="00A83CEA">
              <w:rPr>
                <w:rFonts w:ascii="Arial" w:hAnsi="Arial" w:cs="Arial"/>
              </w:rPr>
              <w:t xml:space="preserve"> focus on design, operations and harm minimisation</w:t>
            </w:r>
          </w:p>
        </w:tc>
        <w:tc>
          <w:tcPr>
            <w:tcW w:w="3776" w:type="dxa"/>
            <w:tcBorders>
              <w:left w:val="nil"/>
              <w:right w:val="single" w:sz="4" w:space="0" w:color="000000" w:themeColor="text1"/>
            </w:tcBorders>
            <w:shd w:val="clear" w:color="auto" w:fill="E1ECC6"/>
            <w:vAlign w:val="center"/>
            <w:hideMark/>
          </w:tcPr>
          <w:p w:rsidR="00A83CEA" w:rsidRDefault="00A83CEA" w:rsidP="00B93F92">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Suitability of location and premises </w:t>
            </w:r>
            <w:r w:rsidR="00F82D04">
              <w:rPr>
                <w:rFonts w:ascii="Arial" w:hAnsi="Arial" w:cs="Arial"/>
              </w:rPr>
              <w:t>for instance</w:t>
            </w:r>
            <w:r>
              <w:rPr>
                <w:rFonts w:ascii="Arial" w:hAnsi="Arial" w:cs="Arial"/>
              </w:rPr>
              <w:t xml:space="preserve"> focus on land use</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A83CEA" w:rsidRDefault="00A83CEA">
            <w:pPr>
              <w:spacing w:after="40"/>
              <w:rPr>
                <w:rFonts w:ascii="Arial" w:hAnsi="Arial" w:cs="Arial"/>
              </w:rPr>
            </w:pPr>
            <w:r>
              <w:rPr>
                <w:rFonts w:ascii="Arial" w:hAnsi="Arial" w:cs="Arial"/>
              </w:rPr>
              <w:t>Decision-making authority</w:t>
            </w:r>
          </w:p>
        </w:tc>
        <w:tc>
          <w:tcPr>
            <w:tcW w:w="2977" w:type="dxa"/>
            <w:tcBorders>
              <w:top w:val="nil"/>
              <w:left w:val="nil"/>
              <w:bottom w:val="nil"/>
              <w:right w:val="nil"/>
            </w:tcBorders>
            <w:shd w:val="clear" w:color="auto" w:fill="CCE3F0"/>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Gaming Commission</w:t>
            </w:r>
          </w:p>
        </w:tc>
        <w:tc>
          <w:tcPr>
            <w:tcW w:w="3776" w:type="dxa"/>
            <w:tcBorders>
              <w:top w:val="nil"/>
              <w:left w:val="nil"/>
              <w:bottom w:val="nil"/>
              <w:right w:val="single" w:sz="4" w:space="0" w:color="000000" w:themeColor="text1"/>
            </w:tcBorders>
            <w:shd w:val="clear" w:color="auto" w:fill="E1ECC6"/>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Responsible authority </w:t>
            </w:r>
            <w:r w:rsidR="00F82D04">
              <w:rPr>
                <w:rFonts w:ascii="Arial" w:hAnsi="Arial" w:cs="Arial"/>
              </w:rPr>
              <w:t xml:space="preserve">– either </w:t>
            </w:r>
            <w:r>
              <w:rPr>
                <w:rFonts w:ascii="Arial" w:hAnsi="Arial" w:cs="Arial"/>
              </w:rPr>
              <w:t>Council or the Minister for Planning</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Appeals against decision</w:t>
            </w:r>
          </w:p>
        </w:tc>
        <w:tc>
          <w:tcPr>
            <w:tcW w:w="2977" w:type="dxa"/>
            <w:tcBorders>
              <w:left w:val="nil"/>
              <w:right w:val="nil"/>
            </w:tcBorders>
            <w:shd w:val="clear" w:color="auto" w:fill="CCE3F0"/>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Victorian Civil and Administrative Tribunal</w:t>
            </w:r>
          </w:p>
        </w:tc>
        <w:tc>
          <w:tcPr>
            <w:tcW w:w="3776" w:type="dxa"/>
            <w:tcBorders>
              <w:left w:val="nil"/>
              <w:right w:val="single" w:sz="4" w:space="0" w:color="000000" w:themeColor="text1"/>
            </w:tcBorders>
            <w:shd w:val="clear" w:color="auto" w:fill="E1ECC6"/>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Victorian Civil and Administrative Tribunal</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A83CEA" w:rsidRDefault="00A83CEA">
            <w:pPr>
              <w:spacing w:after="40"/>
              <w:rPr>
                <w:rFonts w:ascii="Arial" w:hAnsi="Arial" w:cs="Arial"/>
              </w:rPr>
            </w:pPr>
            <w:r>
              <w:rPr>
                <w:rFonts w:ascii="Arial" w:hAnsi="Arial" w:cs="Arial"/>
              </w:rPr>
              <w:t>Convenience gaming</w:t>
            </w:r>
          </w:p>
        </w:tc>
        <w:tc>
          <w:tcPr>
            <w:tcW w:w="2977" w:type="dxa"/>
            <w:tcBorders>
              <w:top w:val="nil"/>
              <w:left w:val="nil"/>
              <w:bottom w:val="nil"/>
              <w:right w:val="nil"/>
            </w:tcBorders>
            <w:shd w:val="clear" w:color="auto" w:fill="CCE3F0"/>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 material consideration</w:t>
            </w:r>
          </w:p>
        </w:tc>
        <w:tc>
          <w:tcPr>
            <w:tcW w:w="3776" w:type="dxa"/>
            <w:tcBorders>
              <w:top w:val="nil"/>
              <w:left w:val="nil"/>
              <w:bottom w:val="nil"/>
              <w:right w:val="single" w:sz="4" w:space="0" w:color="000000" w:themeColor="text1"/>
            </w:tcBorders>
            <w:shd w:val="clear" w:color="auto" w:fill="E1ECC6"/>
            <w:vAlign w:val="center"/>
            <w:hideMark/>
          </w:tcPr>
          <w:p w:rsidR="00A83CEA" w:rsidRDefault="007674C2">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Except in the Capital City Zone, </w:t>
            </w:r>
            <w:r w:rsidR="00A83CEA">
              <w:rPr>
                <w:rFonts w:ascii="Arial" w:hAnsi="Arial" w:cs="Arial"/>
              </w:rPr>
              <w:t>EGMs prohibited in shopping comple</w:t>
            </w:r>
            <w:r>
              <w:rPr>
                <w:rFonts w:ascii="Arial" w:hAnsi="Arial" w:cs="Arial"/>
              </w:rPr>
              <w:t>xes and strip shopping centres</w:t>
            </w:r>
          </w:p>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Preference for EGMs to be located outside core of activity centres</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Suitability of premises for operation and management</w:t>
            </w:r>
          </w:p>
        </w:tc>
        <w:tc>
          <w:tcPr>
            <w:tcW w:w="2977" w:type="dxa"/>
            <w:tcBorders>
              <w:left w:val="nil"/>
              <w:right w:val="nil"/>
            </w:tcBorders>
            <w:shd w:val="clear" w:color="auto" w:fill="CCE3F0"/>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Size</w:t>
            </w:r>
            <w:r w:rsidR="006F519C">
              <w:rPr>
                <w:rFonts w:ascii="Arial" w:hAnsi="Arial" w:cs="Arial"/>
              </w:rPr>
              <w:t>,</w:t>
            </w:r>
            <w:r>
              <w:rPr>
                <w:rFonts w:ascii="Arial" w:hAnsi="Arial" w:cs="Arial"/>
              </w:rPr>
              <w:t xml:space="preserve"> layout and facilities</w:t>
            </w:r>
          </w:p>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Guidelines set out in VCGLR Venue Manual</w:t>
            </w:r>
          </w:p>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rPr>
              <w:t>Ministerial guideline outlining preferred location of children’s play areas</w:t>
            </w:r>
          </w:p>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Physical and functional separation of gaming and non-gaming activities and facilities</w:t>
            </w:r>
          </w:p>
        </w:tc>
        <w:tc>
          <w:tcPr>
            <w:tcW w:w="3776" w:type="dxa"/>
            <w:tcBorders>
              <w:left w:val="nil"/>
              <w:right w:val="single" w:sz="4" w:space="0" w:color="000000" w:themeColor="text1"/>
            </w:tcBorders>
            <w:shd w:val="clear" w:color="auto" w:fill="E1ECC6"/>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Gaming area required to be 25</w:t>
            </w:r>
            <w:r w:rsidR="008F4B7D">
              <w:rPr>
                <w:rFonts w:ascii="Arial" w:hAnsi="Arial" w:cs="Arial"/>
              </w:rPr>
              <w:t>per cent</w:t>
            </w:r>
            <w:r>
              <w:rPr>
                <w:rFonts w:ascii="Arial" w:hAnsi="Arial" w:cs="Arial"/>
              </w:rPr>
              <w:t xml:space="preserve"> or less than total area available to the public</w:t>
            </w:r>
          </w:p>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Provision of a full range of facilities and services to hotel patrons and club members and patrons are a decision-guideline under Clause 52.28</w:t>
            </w:r>
          </w:p>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Physical and functional separation of gaming and non-gaming activities and facilities</w:t>
            </w:r>
            <w:r w:rsidR="00B84DB7">
              <w:rPr>
                <w:rFonts w:ascii="Arial" w:hAnsi="Arial" w:cs="Arial"/>
              </w:rPr>
              <w:t xml:space="preserve"> required</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A83CEA" w:rsidRDefault="00A83CEA">
            <w:pPr>
              <w:spacing w:after="40"/>
              <w:rPr>
                <w:rFonts w:ascii="Arial" w:hAnsi="Arial" w:cs="Arial"/>
              </w:rPr>
            </w:pPr>
            <w:r>
              <w:rPr>
                <w:rFonts w:ascii="Arial" w:hAnsi="Arial" w:cs="Arial"/>
              </w:rPr>
              <w:t xml:space="preserve">Impacts on amenity of surrounding area </w:t>
            </w:r>
          </w:p>
        </w:tc>
        <w:tc>
          <w:tcPr>
            <w:tcW w:w="2977" w:type="dxa"/>
            <w:tcBorders>
              <w:top w:val="nil"/>
              <w:left w:val="nil"/>
              <w:bottom w:val="nil"/>
              <w:right w:val="nil"/>
            </w:tcBorders>
            <w:shd w:val="clear" w:color="auto" w:fill="CCE3F0"/>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relevant</w:t>
            </w:r>
          </w:p>
        </w:tc>
        <w:tc>
          <w:tcPr>
            <w:tcW w:w="3776" w:type="dxa"/>
            <w:tcBorders>
              <w:top w:val="nil"/>
              <w:left w:val="nil"/>
              <w:bottom w:val="nil"/>
              <w:right w:val="single" w:sz="4" w:space="0" w:color="000000" w:themeColor="text1"/>
            </w:tcBorders>
            <w:shd w:val="clear" w:color="auto" w:fill="E1ECC6"/>
            <w:vAlign w:val="center"/>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Impact on noise, traffic, car parking, land use mix, streetscape </w:t>
            </w:r>
          </w:p>
        </w:tc>
      </w:tr>
      <w:tr w:rsidR="00A83CEA" w:rsidTr="00A83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Venue management considerations</w:t>
            </w:r>
          </w:p>
        </w:tc>
        <w:tc>
          <w:tcPr>
            <w:tcW w:w="2977" w:type="dxa"/>
            <w:tcBorders>
              <w:left w:val="nil"/>
              <w:right w:val="nil"/>
            </w:tcBorders>
            <w:shd w:val="clear" w:color="auto" w:fill="CCE3F0"/>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Availability of non-gambling social, leisure, entertainment and recreation facilities</w:t>
            </w:r>
          </w:p>
        </w:tc>
        <w:tc>
          <w:tcPr>
            <w:tcW w:w="3776" w:type="dxa"/>
            <w:tcBorders>
              <w:left w:val="nil"/>
              <w:right w:val="single" w:sz="4" w:space="0" w:color="000000" w:themeColor="text1"/>
            </w:tcBorders>
            <w:shd w:val="clear" w:color="auto" w:fill="E1ECC6"/>
            <w:vAlign w:val="center"/>
            <w:hideMark/>
          </w:tcPr>
          <w:p w:rsidR="00A83CEA" w:rsidRDefault="00A83CEA">
            <w:pPr>
              <w:spacing w:after="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Availability of non-gambling social, leisure, entertainment and recreation facilities</w:t>
            </w:r>
          </w:p>
        </w:tc>
      </w:tr>
      <w:tr w:rsidR="00A83CEA" w:rsidTr="00A83CEA">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single" w:sz="4" w:space="0" w:color="000000" w:themeColor="text1"/>
            </w:tcBorders>
            <w:shd w:val="clear" w:color="auto" w:fill="E5E1DD"/>
            <w:vAlign w:val="center"/>
            <w:hideMark/>
          </w:tcPr>
          <w:p w:rsidR="00A83CEA" w:rsidRDefault="00A83CEA">
            <w:pPr>
              <w:spacing w:after="40"/>
              <w:rPr>
                <w:rFonts w:ascii="Arial" w:hAnsi="Arial" w:cs="Arial"/>
              </w:rPr>
            </w:pPr>
            <w:r>
              <w:rPr>
                <w:rFonts w:ascii="Arial" w:hAnsi="Arial" w:cs="Arial"/>
              </w:rPr>
              <w:t>Community views</w:t>
            </w:r>
          </w:p>
        </w:tc>
        <w:tc>
          <w:tcPr>
            <w:tcW w:w="2977" w:type="dxa"/>
            <w:tcBorders>
              <w:top w:val="nil"/>
              <w:left w:val="nil"/>
              <w:bottom w:val="single" w:sz="4" w:space="0" w:color="000000" w:themeColor="text1"/>
              <w:right w:val="nil"/>
            </w:tcBorders>
            <w:shd w:val="clear" w:color="auto" w:fill="CCE3F0"/>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Objections and submissions taken into account</w:t>
            </w:r>
          </w:p>
        </w:tc>
        <w:tc>
          <w:tcPr>
            <w:tcW w:w="3776" w:type="dxa"/>
            <w:tcBorders>
              <w:top w:val="nil"/>
              <w:left w:val="nil"/>
              <w:bottom w:val="single" w:sz="4" w:space="0" w:color="000000" w:themeColor="text1"/>
              <w:right w:val="single" w:sz="4" w:space="0" w:color="000000" w:themeColor="text1"/>
            </w:tcBorders>
            <w:shd w:val="clear" w:color="auto" w:fill="E1ECC6"/>
            <w:hideMark/>
          </w:tcPr>
          <w:p w:rsidR="00A83CEA" w:rsidRDefault="00A83CEA">
            <w:pPr>
              <w:spacing w:after="40"/>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rPr>
              <w:t xml:space="preserve">Number of objections must be considered </w:t>
            </w:r>
          </w:p>
        </w:tc>
      </w:tr>
    </w:tbl>
    <w:p w:rsidR="00A83CEA" w:rsidRDefault="00A83CEA" w:rsidP="00A83CEA">
      <w:pPr>
        <w:jc w:val="right"/>
        <w:rPr>
          <w:rFonts w:ascii="Arial" w:hAnsi="Arial" w:cs="Arial"/>
        </w:rPr>
      </w:pP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36" w:name="_Toc494291043"/>
      <w:r>
        <w:rPr>
          <w:rFonts w:ascii="CoM" w:hAnsi="CoM" w:cs="Arial"/>
          <w:b w:val="0"/>
          <w:color w:val="auto"/>
          <w:sz w:val="32"/>
          <w:szCs w:val="32"/>
        </w:rPr>
        <w:t>Strategic action framework</w:t>
      </w:r>
      <w:bookmarkEnd w:id="236"/>
    </w:p>
    <w:p w:rsidR="00701721" w:rsidRDefault="00701721" w:rsidP="00701721">
      <w:pPr>
        <w:pStyle w:val="Heading3"/>
        <w:numPr>
          <w:ilvl w:val="2"/>
          <w:numId w:val="111"/>
        </w:numPr>
        <w:spacing w:line="256" w:lineRule="auto"/>
        <w:rPr>
          <w:rFonts w:ascii="Arial" w:hAnsi="Arial" w:cs="Arial"/>
        </w:rPr>
      </w:pPr>
      <w:r>
        <w:rPr>
          <w:rFonts w:ascii="Arial" w:hAnsi="Arial" w:cs="Arial"/>
        </w:rPr>
        <w:t>Purpose</w:t>
      </w:r>
    </w:p>
    <w:p w:rsidR="0069736E" w:rsidRPr="001D1EF3" w:rsidRDefault="00A83CEA" w:rsidP="00B276AD">
      <w:pPr>
        <w:rPr>
          <w:rFonts w:ascii="Arial" w:hAnsi="Arial"/>
          <w:sz w:val="22"/>
          <w:szCs w:val="22"/>
        </w:rPr>
      </w:pPr>
      <w:r>
        <w:rPr>
          <w:rFonts w:ascii="Arial" w:hAnsi="Arial" w:cs="Arial"/>
          <w:sz w:val="22"/>
          <w:szCs w:val="22"/>
        </w:rPr>
        <w:t>This</w:t>
      </w:r>
      <w:r w:rsidR="00B276AD">
        <w:rPr>
          <w:rFonts w:ascii="Arial" w:hAnsi="Arial" w:cs="Arial"/>
          <w:sz w:val="22"/>
          <w:szCs w:val="22"/>
        </w:rPr>
        <w:t xml:space="preserve"> strategic action framework d</w:t>
      </w:r>
      <w:r w:rsidRPr="00B276AD">
        <w:rPr>
          <w:rFonts w:ascii="Arial" w:hAnsi="Arial"/>
          <w:sz w:val="22"/>
          <w:szCs w:val="22"/>
        </w:rPr>
        <w:t xml:space="preserve">escribes how Council will fulfil its responsibilities in preventing and minimising </w:t>
      </w:r>
      <w:r w:rsidR="007674C2" w:rsidRPr="00B276AD">
        <w:rPr>
          <w:rFonts w:ascii="Arial" w:hAnsi="Arial"/>
          <w:sz w:val="22"/>
          <w:szCs w:val="22"/>
        </w:rPr>
        <w:t>gam</w:t>
      </w:r>
      <w:r w:rsidR="00850D3A">
        <w:rPr>
          <w:rFonts w:ascii="Arial" w:hAnsi="Arial"/>
          <w:sz w:val="22"/>
          <w:szCs w:val="22"/>
        </w:rPr>
        <w:t>bl</w:t>
      </w:r>
      <w:r w:rsidR="007674C2" w:rsidRPr="00B276AD">
        <w:rPr>
          <w:rFonts w:ascii="Arial" w:hAnsi="Arial"/>
          <w:sz w:val="22"/>
          <w:szCs w:val="22"/>
        </w:rPr>
        <w:t>ing</w:t>
      </w:r>
      <w:r w:rsidRPr="00B276AD">
        <w:rPr>
          <w:rFonts w:ascii="Arial" w:hAnsi="Arial"/>
          <w:sz w:val="22"/>
          <w:szCs w:val="22"/>
        </w:rPr>
        <w:t>-related harms in the community</w:t>
      </w:r>
      <w:r w:rsidR="00701721">
        <w:rPr>
          <w:rFonts w:ascii="Arial" w:hAnsi="Arial"/>
          <w:sz w:val="22"/>
          <w:szCs w:val="22"/>
        </w:rPr>
        <w:t>. It is an overarching whole of Council action framework that</w:t>
      </w:r>
      <w:r w:rsidRPr="00B276AD">
        <w:rPr>
          <w:rFonts w:ascii="Arial" w:hAnsi="Arial"/>
          <w:sz w:val="22"/>
          <w:szCs w:val="22"/>
        </w:rPr>
        <w:t xml:space="preserve"> </w:t>
      </w:r>
      <w:r w:rsidR="00B276AD">
        <w:rPr>
          <w:rFonts w:ascii="Arial" w:hAnsi="Arial"/>
          <w:sz w:val="22"/>
          <w:szCs w:val="22"/>
        </w:rPr>
        <w:t>i</w:t>
      </w:r>
      <w:r>
        <w:rPr>
          <w:rFonts w:ascii="Arial" w:hAnsi="Arial"/>
          <w:sz w:val="22"/>
          <w:szCs w:val="22"/>
        </w:rPr>
        <w:t xml:space="preserve">ncorporates actions that will guide Council during the preparation of submissions on applications for gaming approval under the </w:t>
      </w:r>
      <w:r>
        <w:rPr>
          <w:rFonts w:ascii="Arial" w:hAnsi="Arial"/>
          <w:i/>
          <w:sz w:val="22"/>
          <w:szCs w:val="22"/>
        </w:rPr>
        <w:t xml:space="preserve">Gambling Regulation Act, 2003 </w:t>
      </w:r>
      <w:r>
        <w:rPr>
          <w:rFonts w:ascii="Arial" w:hAnsi="Arial"/>
          <w:sz w:val="22"/>
          <w:szCs w:val="22"/>
        </w:rPr>
        <w:t xml:space="preserve">and assessing planning permit applications under the </w:t>
      </w:r>
      <w:r>
        <w:rPr>
          <w:rFonts w:ascii="Arial" w:hAnsi="Arial"/>
          <w:i/>
          <w:sz w:val="22"/>
          <w:szCs w:val="22"/>
        </w:rPr>
        <w:t>Planning and Environment Act, 1987.</w:t>
      </w:r>
      <w:r w:rsidR="00521603">
        <w:rPr>
          <w:rFonts w:ascii="Arial" w:hAnsi="Arial"/>
          <w:sz w:val="22"/>
          <w:szCs w:val="22"/>
        </w:rPr>
        <w:t xml:space="preserve"> It also supports functions of Council as specified in the </w:t>
      </w:r>
      <w:r w:rsidR="00521603">
        <w:rPr>
          <w:rFonts w:ascii="Arial" w:hAnsi="Arial"/>
          <w:i/>
          <w:sz w:val="22"/>
          <w:szCs w:val="22"/>
        </w:rPr>
        <w:t>Local Government Act, 1989</w:t>
      </w:r>
      <w:r w:rsidR="00521603">
        <w:rPr>
          <w:rFonts w:ascii="Arial" w:hAnsi="Arial"/>
          <w:sz w:val="22"/>
          <w:szCs w:val="22"/>
        </w:rPr>
        <w:t xml:space="preserve"> such as advocating and promoting proposals which are in the best interest of the local community, planning for and providing services and facilities for the community, undertaking strategic and land use planning</w:t>
      </w:r>
      <w:r w:rsidR="00701721">
        <w:rPr>
          <w:rFonts w:ascii="Arial" w:hAnsi="Arial"/>
          <w:sz w:val="22"/>
          <w:szCs w:val="22"/>
        </w:rPr>
        <w:t xml:space="preserve"> and making and enforcing laws.</w:t>
      </w:r>
    </w:p>
    <w:p w:rsidR="00701721" w:rsidRDefault="00701721" w:rsidP="00701721">
      <w:pPr>
        <w:pStyle w:val="Heading3"/>
        <w:numPr>
          <w:ilvl w:val="2"/>
          <w:numId w:val="111"/>
        </w:numPr>
        <w:spacing w:line="256" w:lineRule="auto"/>
        <w:rPr>
          <w:rFonts w:ascii="Arial" w:hAnsi="Arial" w:cs="Arial"/>
        </w:rPr>
      </w:pPr>
      <w:r>
        <w:rPr>
          <w:rFonts w:ascii="Arial" w:hAnsi="Arial" w:cs="Arial"/>
        </w:rPr>
        <w:t>Scope</w:t>
      </w:r>
    </w:p>
    <w:p w:rsidR="00701721" w:rsidRPr="001D1EF3" w:rsidRDefault="00701721" w:rsidP="00701721">
      <w:pPr>
        <w:rPr>
          <w:rFonts w:ascii="Arial" w:hAnsi="Arial"/>
          <w:sz w:val="22"/>
          <w:szCs w:val="22"/>
        </w:rPr>
      </w:pPr>
      <w:r w:rsidRPr="001D1EF3">
        <w:rPr>
          <w:rFonts w:ascii="Arial" w:hAnsi="Arial"/>
          <w:sz w:val="22"/>
          <w:szCs w:val="22"/>
        </w:rPr>
        <w:t>The actions within the strategic action framework cover all Council’s roles in relation to preventing and minimising gambling-related harms. The social and economic impact assessment tool (Appendix 2) will assist Council in assessing and considering the potential impacts of both a gaming and planning permit application on the community.</w:t>
      </w:r>
    </w:p>
    <w:p w:rsidR="00701721" w:rsidRPr="001D1EF3" w:rsidRDefault="00701721" w:rsidP="00701721">
      <w:pPr>
        <w:rPr>
          <w:rFonts w:ascii="Arial" w:hAnsi="Arial"/>
          <w:sz w:val="22"/>
          <w:szCs w:val="22"/>
        </w:rPr>
      </w:pPr>
      <w:r w:rsidRPr="001D1EF3">
        <w:rPr>
          <w:rFonts w:ascii="Arial" w:hAnsi="Arial"/>
          <w:sz w:val="22"/>
          <w:szCs w:val="22"/>
        </w:rPr>
        <w:t xml:space="preserve">Clause 52.28 and the local planning policy for gaming included as Clause 22.12 of the Melbourne Planning Scheme provide the statutory guidance for Council’s decision making in relation to planning permit applications for the use/installation of EGMs. These statutory instruments provide Council with legal tools to implement Council’s actions relating to planning applications. </w:t>
      </w:r>
    </w:p>
    <w:p w:rsidR="00701721" w:rsidRPr="001D1EF3" w:rsidRDefault="00701721" w:rsidP="00701721">
      <w:pPr>
        <w:rPr>
          <w:rFonts w:ascii="Arial" w:hAnsi="Arial"/>
          <w:sz w:val="22"/>
          <w:szCs w:val="22"/>
        </w:rPr>
      </w:pPr>
      <w:r w:rsidRPr="001D1EF3">
        <w:rPr>
          <w:rFonts w:ascii="Arial" w:hAnsi="Arial"/>
          <w:sz w:val="22"/>
          <w:szCs w:val="22"/>
        </w:rPr>
        <w:t xml:space="preserve">The objectives and actions relating to submissions to the VCGLR, and other objectives and actions relating to strategic partnerships, collaboration and leadership in the prevention of gambling-related harms articulate Council’s position, but do not carry the same statutory weight as Clause 22.12 and Clause 52.28 of the Melbourne Planning Scheme. </w:t>
      </w:r>
      <w:r w:rsidR="001D1EF3">
        <w:rPr>
          <w:rFonts w:ascii="Arial" w:hAnsi="Arial"/>
          <w:sz w:val="22"/>
          <w:szCs w:val="22"/>
        </w:rPr>
        <w:t xml:space="preserve"> N</w:t>
      </w:r>
      <w:r w:rsidRPr="001D1EF3">
        <w:rPr>
          <w:rFonts w:ascii="Arial" w:hAnsi="Arial"/>
          <w:sz w:val="22"/>
          <w:szCs w:val="22"/>
        </w:rPr>
        <w:t>evertheless, in assessing an application for gaming approval, the Commission is likely to give weight to the extent to which the proposal aligns with these objectives and actions as Council has the statutory authority to represent the community’s interests.</w:t>
      </w:r>
    </w:p>
    <w:p w:rsidR="00A83CEA" w:rsidRDefault="00A83CEA" w:rsidP="00A83CEA">
      <w:pPr>
        <w:pStyle w:val="Heading3"/>
        <w:numPr>
          <w:ilvl w:val="2"/>
          <w:numId w:val="111"/>
        </w:numPr>
        <w:spacing w:line="256" w:lineRule="auto"/>
        <w:rPr>
          <w:rFonts w:ascii="Arial" w:hAnsi="Arial" w:cs="Arial"/>
        </w:rPr>
      </w:pPr>
      <w:r>
        <w:rPr>
          <w:rFonts w:ascii="Arial" w:hAnsi="Arial" w:cs="Arial"/>
        </w:rPr>
        <w:t>Goals</w:t>
      </w:r>
    </w:p>
    <w:p w:rsidR="00A83CEA" w:rsidRDefault="00A83CEA" w:rsidP="00A83CEA">
      <w:pPr>
        <w:rPr>
          <w:rFonts w:ascii="Arial" w:hAnsi="Arial" w:cs="Arial"/>
          <w:sz w:val="22"/>
          <w:szCs w:val="22"/>
        </w:rPr>
      </w:pPr>
      <w:r>
        <w:rPr>
          <w:rFonts w:ascii="Arial" w:hAnsi="Arial" w:cs="Arial"/>
          <w:sz w:val="22"/>
          <w:szCs w:val="22"/>
        </w:rPr>
        <w:t xml:space="preserve">This strategic action framework is underpinned by the following goals: </w:t>
      </w:r>
    </w:p>
    <w:p w:rsidR="00A83CEA" w:rsidRPr="008E3F04" w:rsidRDefault="00A83CEA" w:rsidP="00A83CEA">
      <w:pPr>
        <w:pStyle w:val="ListParagraph"/>
        <w:numPr>
          <w:ilvl w:val="0"/>
          <w:numId w:val="135"/>
        </w:numPr>
        <w:rPr>
          <w:rFonts w:ascii="Arial" w:hAnsi="Arial"/>
          <w:sz w:val="22"/>
          <w:szCs w:val="22"/>
        </w:rPr>
      </w:pPr>
      <w:r w:rsidRPr="008E3F04">
        <w:rPr>
          <w:rFonts w:ascii="Arial" w:hAnsi="Arial"/>
          <w:sz w:val="22"/>
          <w:szCs w:val="22"/>
        </w:rPr>
        <w:t xml:space="preserve">To fulfil Council’s statutory role in addressing the harms associated with </w:t>
      </w:r>
      <w:r w:rsidR="007674C2">
        <w:rPr>
          <w:rFonts w:ascii="Arial" w:hAnsi="Arial"/>
          <w:sz w:val="22"/>
          <w:szCs w:val="22"/>
        </w:rPr>
        <w:t>gaming</w:t>
      </w:r>
      <w:r w:rsidRPr="008E3F04">
        <w:rPr>
          <w:rFonts w:ascii="Arial" w:hAnsi="Arial"/>
          <w:sz w:val="22"/>
          <w:szCs w:val="22"/>
        </w:rPr>
        <w:t>, enhancing health and wellbeing, and achieving an overall benefit for our community.</w:t>
      </w:r>
    </w:p>
    <w:p w:rsidR="00A83CEA" w:rsidRPr="008E3F04" w:rsidRDefault="00A83CEA" w:rsidP="00A83CEA">
      <w:pPr>
        <w:pStyle w:val="ListParagraph"/>
        <w:numPr>
          <w:ilvl w:val="0"/>
          <w:numId w:val="135"/>
        </w:numPr>
        <w:rPr>
          <w:rFonts w:ascii="Arial" w:hAnsi="Arial"/>
          <w:sz w:val="22"/>
          <w:szCs w:val="22"/>
        </w:rPr>
      </w:pPr>
      <w:r w:rsidRPr="008E3F04">
        <w:rPr>
          <w:rFonts w:ascii="Arial" w:hAnsi="Arial"/>
          <w:sz w:val="22"/>
          <w:szCs w:val="22"/>
        </w:rPr>
        <w:t>To reduce the prominence of gaming as a form of entertainment</w:t>
      </w:r>
      <w:r w:rsidR="00B450C9">
        <w:rPr>
          <w:rFonts w:ascii="Arial" w:hAnsi="Arial"/>
          <w:sz w:val="22"/>
          <w:szCs w:val="22"/>
        </w:rPr>
        <w:t>.</w:t>
      </w:r>
    </w:p>
    <w:p w:rsidR="00A83CEA" w:rsidRDefault="00A83CEA" w:rsidP="00A83CEA">
      <w:pPr>
        <w:pStyle w:val="Heading3"/>
        <w:numPr>
          <w:ilvl w:val="2"/>
          <w:numId w:val="111"/>
        </w:numPr>
        <w:spacing w:line="256" w:lineRule="auto"/>
        <w:rPr>
          <w:rFonts w:ascii="Arial" w:hAnsi="Arial" w:cs="Arial"/>
        </w:rPr>
      </w:pPr>
      <w:r>
        <w:rPr>
          <w:rFonts w:ascii="Arial" w:hAnsi="Arial" w:cs="Arial"/>
        </w:rPr>
        <w:t>Objectives and actions</w:t>
      </w:r>
    </w:p>
    <w:p w:rsidR="00A83CEA" w:rsidRDefault="00A83CEA" w:rsidP="00A83CEA">
      <w:pPr>
        <w:rPr>
          <w:rFonts w:ascii="Arial" w:hAnsi="Arial" w:cs="Arial"/>
          <w:sz w:val="22"/>
          <w:szCs w:val="22"/>
        </w:rPr>
      </w:pPr>
      <w:r>
        <w:rPr>
          <w:rFonts w:ascii="Arial" w:hAnsi="Arial" w:cs="Arial"/>
          <w:sz w:val="22"/>
          <w:szCs w:val="22"/>
        </w:rPr>
        <w:t>The following objectives and actions will guide Council in fulfilling all its roles, including making submissions on applications for gaming approval and assessing planning permit applications</w:t>
      </w:r>
      <w:r w:rsidR="003544F8">
        <w:rPr>
          <w:rFonts w:ascii="Arial" w:hAnsi="Arial" w:cs="Arial"/>
          <w:sz w:val="22"/>
          <w:szCs w:val="22"/>
        </w:rPr>
        <w:t xml:space="preserve"> for the use and/or installation of gaming machines</w:t>
      </w:r>
      <w:r>
        <w:rPr>
          <w:rFonts w:ascii="Arial" w:hAnsi="Arial" w:cs="Arial"/>
          <w:sz w:val="22"/>
          <w:szCs w:val="22"/>
        </w:rPr>
        <w:t>.</w:t>
      </w:r>
    </w:p>
    <w:p w:rsidR="00A83CEA" w:rsidRDefault="00A83CEA" w:rsidP="00A83CEA">
      <w:pPr>
        <w:rPr>
          <w:rFonts w:ascii="Arial" w:hAnsi="Arial" w:cs="Arial"/>
          <w:sz w:val="22"/>
          <w:szCs w:val="22"/>
        </w:rPr>
      </w:pPr>
      <w:r>
        <w:rPr>
          <w:rFonts w:ascii="Arial" w:hAnsi="Arial" w:cs="Arial"/>
          <w:sz w:val="22"/>
          <w:szCs w:val="22"/>
        </w:rPr>
        <w:t>In the Table below:</w:t>
      </w:r>
    </w:p>
    <w:p w:rsidR="00A83CEA" w:rsidRDefault="00A83CEA" w:rsidP="00A83CEA">
      <w:pPr>
        <w:pStyle w:val="ListParagraph"/>
        <w:numPr>
          <w:ilvl w:val="0"/>
          <w:numId w:val="136"/>
        </w:numPr>
        <w:rPr>
          <w:rFonts w:ascii="Arial" w:hAnsi="Arial"/>
          <w:i/>
          <w:sz w:val="22"/>
          <w:szCs w:val="22"/>
        </w:rPr>
      </w:pPr>
      <w:r>
        <w:rPr>
          <w:rFonts w:ascii="Arial" w:hAnsi="Arial"/>
          <w:sz w:val="22"/>
          <w:szCs w:val="22"/>
        </w:rPr>
        <w:t>Objectives 1 and 2 focus on Council’s statutory role in promoting healthy, safe and supp</w:t>
      </w:r>
      <w:r w:rsidR="009A15BE">
        <w:rPr>
          <w:rFonts w:ascii="Arial" w:hAnsi="Arial"/>
          <w:sz w:val="22"/>
          <w:szCs w:val="22"/>
        </w:rPr>
        <w:t>ortive environments</w:t>
      </w:r>
    </w:p>
    <w:p w:rsidR="00A83CEA" w:rsidRDefault="00A83CEA" w:rsidP="00A83CEA">
      <w:pPr>
        <w:pStyle w:val="ListParagraph"/>
        <w:numPr>
          <w:ilvl w:val="0"/>
          <w:numId w:val="136"/>
        </w:numPr>
        <w:rPr>
          <w:rFonts w:ascii="Arial" w:hAnsi="Arial"/>
          <w:sz w:val="22"/>
          <w:szCs w:val="22"/>
        </w:rPr>
      </w:pPr>
      <w:r>
        <w:rPr>
          <w:rFonts w:ascii="Arial" w:hAnsi="Arial"/>
          <w:sz w:val="22"/>
          <w:szCs w:val="22"/>
        </w:rPr>
        <w:t>Objective 3 focuses on Council’s leadership role and gives rise to the preparation of the Lo</w:t>
      </w:r>
      <w:r w:rsidR="009A15BE">
        <w:rPr>
          <w:rFonts w:ascii="Arial" w:hAnsi="Arial"/>
          <w:sz w:val="22"/>
          <w:szCs w:val="22"/>
        </w:rPr>
        <w:t>cal Planning Policy for Gaming</w:t>
      </w:r>
    </w:p>
    <w:p w:rsidR="001D1EF3" w:rsidRDefault="00A83CEA" w:rsidP="00A83CEA">
      <w:pPr>
        <w:pStyle w:val="ListParagraph"/>
        <w:numPr>
          <w:ilvl w:val="0"/>
          <w:numId w:val="136"/>
        </w:numPr>
        <w:rPr>
          <w:rFonts w:ascii="Arial" w:hAnsi="Arial"/>
          <w:sz w:val="22"/>
          <w:szCs w:val="22"/>
        </w:rPr>
      </w:pPr>
      <w:r>
        <w:rPr>
          <w:rFonts w:ascii="Arial" w:hAnsi="Arial"/>
          <w:sz w:val="22"/>
          <w:szCs w:val="22"/>
        </w:rPr>
        <w:t>Objectives 4, 5, 6 and 7 provide the framework for the scope of the Local Planning Policy for Gaming.</w:t>
      </w:r>
    </w:p>
    <w:p w:rsidR="001D1EF3" w:rsidRDefault="001D1EF3">
      <w:pPr>
        <w:spacing w:line="276" w:lineRule="auto"/>
        <w:ind w:left="720"/>
        <w:rPr>
          <w:rFonts w:ascii="Arial" w:hAnsi="Arial" w:cs="Arial"/>
          <w:sz w:val="22"/>
          <w:szCs w:val="22"/>
        </w:rPr>
      </w:pPr>
      <w:r>
        <w:rPr>
          <w:rFonts w:ascii="Arial" w:hAnsi="Arial"/>
          <w:sz w:val="22"/>
          <w:szCs w:val="22"/>
        </w:rPr>
        <w:br w:type="page"/>
      </w:r>
    </w:p>
    <w:p w:rsidR="001D1EF3" w:rsidRPr="00EB0460" w:rsidRDefault="001D1EF3" w:rsidP="00EB0460">
      <w:pPr>
        <w:spacing w:after="0" w:line="276" w:lineRule="auto"/>
        <w:ind w:left="720"/>
        <w:jc w:val="center"/>
        <w:rPr>
          <w:rFonts w:ascii="Arial" w:hAnsi="Arial" w:cs="Arial"/>
          <w:sz w:val="22"/>
          <w:szCs w:val="22"/>
        </w:rPr>
      </w:pPr>
      <w:bookmarkStart w:id="237" w:name="_Toc494291124"/>
      <w:r w:rsidRPr="001D1EF3">
        <w:rPr>
          <w:rFonts w:ascii="Arial" w:hAnsi="Arial" w:cs="Arial"/>
          <w:b/>
          <w:bCs/>
          <w:sz w:val="22"/>
          <w:szCs w:val="18"/>
        </w:rPr>
        <w:t xml:space="preserve">Table </w:t>
      </w:r>
      <w:r w:rsidRPr="001D1EF3">
        <w:rPr>
          <w:rFonts w:ascii="Arial" w:hAnsi="Arial" w:cs="Arial"/>
          <w:b/>
          <w:bCs/>
          <w:sz w:val="22"/>
          <w:szCs w:val="18"/>
        </w:rPr>
        <w:fldChar w:fldCharType="begin"/>
      </w:r>
      <w:r w:rsidRPr="001D1EF3">
        <w:rPr>
          <w:rFonts w:ascii="Arial" w:hAnsi="Arial" w:cs="Arial"/>
          <w:b/>
          <w:bCs/>
          <w:sz w:val="22"/>
          <w:szCs w:val="18"/>
        </w:rPr>
        <w:instrText xml:space="preserve"> SEQ Table \* ARABIC </w:instrText>
      </w:r>
      <w:r w:rsidRPr="001D1EF3">
        <w:rPr>
          <w:rFonts w:ascii="Arial" w:hAnsi="Arial" w:cs="Arial"/>
          <w:b/>
          <w:bCs/>
          <w:sz w:val="22"/>
          <w:szCs w:val="18"/>
        </w:rPr>
        <w:fldChar w:fldCharType="separate"/>
      </w:r>
      <w:r w:rsidRPr="001D1EF3">
        <w:rPr>
          <w:rFonts w:ascii="Arial" w:hAnsi="Arial" w:cs="Arial"/>
          <w:b/>
          <w:bCs/>
          <w:noProof/>
          <w:sz w:val="22"/>
          <w:szCs w:val="18"/>
        </w:rPr>
        <w:t>3</w:t>
      </w:r>
      <w:r w:rsidRPr="001D1EF3">
        <w:rPr>
          <w:rFonts w:ascii="Arial" w:hAnsi="Arial" w:cs="Arial"/>
          <w:b/>
          <w:bCs/>
          <w:sz w:val="22"/>
          <w:szCs w:val="18"/>
        </w:rPr>
        <w:fldChar w:fldCharType="end"/>
      </w:r>
      <w:r w:rsidRPr="001D1EF3">
        <w:rPr>
          <w:rFonts w:ascii="Arial" w:hAnsi="Arial" w:cs="Arial"/>
          <w:b/>
          <w:bCs/>
          <w:sz w:val="22"/>
          <w:szCs w:val="18"/>
        </w:rPr>
        <w:t xml:space="preserve"> – Strategic Action Framework</w:t>
      </w:r>
      <w:bookmarkEnd w:id="237"/>
    </w:p>
    <w:tbl>
      <w:tblPr>
        <w:tblStyle w:val="LightList-Accent61"/>
        <w:tblpPr w:leftFromText="180" w:rightFromText="180" w:vertAnchor="text" w:horzAnchor="margin" w:tblpXSpec="center" w:tblpY="421"/>
        <w:tblW w:w="10632" w:type="dxa"/>
        <w:tblLook w:val="04A0" w:firstRow="1" w:lastRow="0" w:firstColumn="1" w:lastColumn="0" w:noHBand="0" w:noVBand="1"/>
      </w:tblPr>
      <w:tblGrid>
        <w:gridCol w:w="10632"/>
      </w:tblGrid>
      <w:tr w:rsidR="00453887" w:rsidRPr="004C05DA" w:rsidTr="00453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vAlign w:val="center"/>
          </w:tcPr>
          <w:p w:rsidR="00453887" w:rsidRPr="004C05DA" w:rsidRDefault="00453887" w:rsidP="00453887">
            <w:pPr>
              <w:suppressAutoHyphens/>
              <w:autoSpaceDE w:val="0"/>
              <w:autoSpaceDN w:val="0"/>
              <w:adjustRightInd w:val="0"/>
              <w:textAlignment w:val="center"/>
              <w:rPr>
                <w:rFonts w:ascii="Arial" w:eastAsia="Calibri" w:hAnsi="Arial" w:cs="Arial"/>
                <w:color w:val="FFFFFF"/>
                <w:sz w:val="22"/>
                <w:szCs w:val="22"/>
                <w:lang w:val="en-GB"/>
              </w:rPr>
            </w:pPr>
            <w:r w:rsidRPr="004C05DA">
              <w:rPr>
                <w:rFonts w:ascii="Arial" w:eastAsia="Calibri" w:hAnsi="Arial" w:cs="Arial"/>
                <w:color w:val="FFFFFF"/>
                <w:sz w:val="22"/>
                <w:szCs w:val="22"/>
                <w:lang w:val="en-GB"/>
              </w:rPr>
              <w:t>1. To promote and facilitate access to non-gambling social, leisure, entertainment and recreation opportunities in the municipality</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1.1 Discourage proposals that do not both increase and diversify the range of social, leisure, entertainment and recre</w:t>
            </w:r>
            <w:r>
              <w:rPr>
                <w:rFonts w:ascii="Arial" w:eastAsia="Calibri" w:hAnsi="Arial" w:cs="Arial"/>
                <w:b w:val="0"/>
                <w:color w:val="000000"/>
                <w:szCs w:val="20"/>
                <w:lang w:val="en-GB"/>
              </w:rPr>
              <w:t>ation activities and facilities in the municipality.</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1.2 Discourage proposals where the gambling activities operate when other non-gambling social, leisure, entertainment and recreation facilities and activities are closed.</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1.3 Assess the potential of Council’s grants recipients to increase access to non-gambling social, leisure, entertainment and recreation facilities and activities.</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1.4 Support programs, activities and facilities that increase the community’s access to non-gambling social, leisure, entertainment and recreation facilities.</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453887" w:rsidRPr="004C05DA" w:rsidRDefault="00453887" w:rsidP="00453887">
            <w:pPr>
              <w:suppressAutoHyphens/>
              <w:autoSpaceDE w:val="0"/>
              <w:autoSpaceDN w:val="0"/>
              <w:adjustRightInd w:val="0"/>
              <w:textAlignment w:val="center"/>
              <w:rPr>
                <w:rFonts w:ascii="Arial" w:eastAsia="Calibri" w:hAnsi="Arial" w:cs="Arial"/>
                <w:color w:val="FFFFFF"/>
                <w:szCs w:val="20"/>
                <w:lang w:val="en-GB"/>
              </w:rPr>
            </w:pPr>
            <w:r w:rsidRPr="004C05DA">
              <w:rPr>
                <w:rFonts w:ascii="Arial" w:eastAsia="Calibri" w:hAnsi="Arial" w:cs="Arial"/>
                <w:color w:val="FFFFFF"/>
                <w:sz w:val="22"/>
                <w:szCs w:val="22"/>
                <w:lang w:val="en-GB"/>
              </w:rPr>
              <w:t>2. To strengthen harm minimisation through advocacy and collaboration</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2.1 Advocate for:</w:t>
            </w:r>
          </w:p>
          <w:p w:rsidR="00453887" w:rsidRPr="003F18F6"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inclusion of the uncapped areas under the municipal cap</w:t>
            </w:r>
          </w:p>
          <w:p w:rsidR="00453887" w:rsidRPr="003F18F6"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no increase to the existing maximum number of EGMs currently permitted under the municipal cap (</w:t>
            </w:r>
            <w:r w:rsidR="00956FF9">
              <w:rPr>
                <w:rFonts w:ascii="Arial" w:eastAsia="Calibri" w:hAnsi="Arial" w:cs="Arial"/>
                <w:b w:val="0"/>
                <w:color w:val="000000"/>
                <w:szCs w:val="20"/>
                <w:lang w:val="en-GB"/>
              </w:rPr>
              <w:t>143</w:t>
            </w:r>
            <w:r w:rsidRPr="003F18F6">
              <w:rPr>
                <w:rFonts w:ascii="Arial" w:eastAsia="Calibri" w:hAnsi="Arial" w:cs="Arial"/>
                <w:b w:val="0"/>
                <w:color w:val="000000"/>
                <w:szCs w:val="20"/>
                <w:lang w:val="en-GB"/>
              </w:rPr>
              <w:t xml:space="preserve"> EGMs)</w:t>
            </w:r>
          </w:p>
          <w:p w:rsidR="00453887"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no increase to the regional ca</w:t>
            </w:r>
            <w:r w:rsidR="00956FF9">
              <w:rPr>
                <w:rFonts w:ascii="Arial" w:eastAsia="Calibri" w:hAnsi="Arial" w:cs="Arial"/>
                <w:b w:val="0"/>
                <w:color w:val="000000"/>
                <w:szCs w:val="20"/>
                <w:lang w:val="en-GB"/>
              </w:rPr>
              <w:t>p limit in Region 14 (149</w:t>
            </w:r>
            <w:r>
              <w:rPr>
                <w:rFonts w:ascii="Arial" w:eastAsia="Calibri" w:hAnsi="Arial" w:cs="Arial"/>
                <w:b w:val="0"/>
                <w:color w:val="000000"/>
                <w:szCs w:val="20"/>
                <w:lang w:val="en-GB"/>
              </w:rPr>
              <w:t xml:space="preserve"> EGMs)</w:t>
            </w:r>
          </w:p>
          <w:p w:rsidR="00453887"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 xml:space="preserve">improvements to the mechanism through which Council makes submissions to the VCGLR </w:t>
            </w:r>
          </w:p>
          <w:p w:rsidR="00453887" w:rsidRPr="003F18F6"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an increase in funding for services that support individuals directly and indirectly affected by gambling-related harms</w:t>
            </w:r>
          </w:p>
          <w:p w:rsidR="00453887" w:rsidRPr="003F18F6"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a statutory requirement for all venue operators to allocate resources to addressing gambling-related harms</w:t>
            </w:r>
          </w:p>
          <w:p w:rsidR="00453887" w:rsidRPr="00850D3A" w:rsidRDefault="00453887" w:rsidP="00EB0460">
            <w:pPr>
              <w:numPr>
                <w:ilvl w:val="0"/>
                <w:numId w:val="148"/>
              </w:numPr>
              <w:suppressAutoHyphens/>
              <w:autoSpaceDE w:val="0"/>
              <w:autoSpaceDN w:val="0"/>
              <w:adjustRightInd w:val="0"/>
              <w:spacing w:after="40" w:line="276" w:lineRule="auto"/>
              <w:ind w:left="714" w:hanging="357"/>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changes to the legislative and regulatory framework to limit the advertising of gambling through all media</w:t>
            </w:r>
            <w:r>
              <w:rPr>
                <w:rFonts w:ascii="Arial" w:eastAsia="Calibri" w:hAnsi="Arial" w:cs="Arial"/>
                <w:b w:val="0"/>
                <w:color w:val="000000"/>
                <w:szCs w:val="20"/>
                <w:lang w:val="en-GB"/>
              </w:rPr>
              <w:t>.</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Gotham Book" w:eastAsia="Calibri" w:hAnsi="Gotham Book" w:cs="Gotham Book"/>
                <w:b w:val="0"/>
                <w:color w:val="000000"/>
                <w:sz w:val="18"/>
                <w:szCs w:val="18"/>
                <w:lang w:val="en-GB"/>
              </w:rPr>
            </w:pPr>
            <w:r w:rsidRPr="003F18F6">
              <w:rPr>
                <w:rFonts w:ascii="Arial" w:eastAsia="Calibri" w:hAnsi="Arial" w:cs="Arial"/>
                <w:b w:val="0"/>
                <w:color w:val="000000"/>
                <w:szCs w:val="20"/>
                <w:lang w:val="en-GB"/>
              </w:rPr>
              <w:t>2.2 Collaborate with peak bodies, stakeholders, service providers and community groups in sharing information and advocating for improved harm minimisation measures.</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453887" w:rsidRPr="004C05DA" w:rsidRDefault="00453887" w:rsidP="00453887">
            <w:pPr>
              <w:suppressAutoHyphens/>
              <w:autoSpaceDE w:val="0"/>
              <w:autoSpaceDN w:val="0"/>
              <w:adjustRightInd w:val="0"/>
              <w:textAlignment w:val="center"/>
              <w:rPr>
                <w:rFonts w:ascii="Gotham Medium" w:eastAsia="Calibri" w:hAnsi="Gotham Medium" w:cs="Gotham Medium"/>
                <w:color w:val="FFFFFF"/>
                <w:szCs w:val="20"/>
                <w:lang w:val="en-GB"/>
              </w:rPr>
            </w:pPr>
            <w:r w:rsidRPr="004C05DA">
              <w:rPr>
                <w:rFonts w:ascii="Arial" w:eastAsia="Calibri" w:hAnsi="Arial" w:cs="Arial"/>
                <w:color w:val="FFFFFF"/>
                <w:sz w:val="22"/>
                <w:szCs w:val="22"/>
                <w:lang w:val="en-GB"/>
              </w:rPr>
              <w:t>3. To demonstrate leadership in the prevention of gambling-related harms</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 xml:space="preserve">3.1 Review the Local Planning Policy for </w:t>
            </w:r>
            <w:r w:rsidR="00C3042D" w:rsidRPr="003F18F6">
              <w:rPr>
                <w:rFonts w:ascii="Arial" w:eastAsia="Calibri" w:hAnsi="Arial" w:cs="Arial"/>
                <w:b w:val="0"/>
                <w:color w:val="000000"/>
                <w:szCs w:val="20"/>
                <w:lang w:val="en-GB"/>
              </w:rPr>
              <w:t xml:space="preserve">Gaming </w:t>
            </w:r>
            <w:r w:rsidR="00C3042D">
              <w:rPr>
                <w:rFonts w:ascii="Arial" w:eastAsia="Calibri" w:hAnsi="Arial" w:cs="Arial"/>
                <w:b w:val="0"/>
                <w:color w:val="000000"/>
                <w:szCs w:val="20"/>
                <w:lang w:val="en-GB"/>
              </w:rPr>
              <w:t>and</w:t>
            </w:r>
            <w:r w:rsidR="00973C18">
              <w:rPr>
                <w:rFonts w:ascii="Arial" w:eastAsia="Calibri" w:hAnsi="Arial" w:cs="Arial"/>
                <w:b w:val="0"/>
                <w:color w:val="000000"/>
                <w:szCs w:val="20"/>
                <w:lang w:val="en-GB"/>
              </w:rPr>
              <w:t xml:space="preserve"> Clause 52.28 of the Melbourne Planning Scheme </w:t>
            </w:r>
            <w:r w:rsidRPr="003F18F6">
              <w:rPr>
                <w:rFonts w:ascii="Arial" w:eastAsia="Calibri" w:hAnsi="Arial" w:cs="Arial"/>
                <w:b w:val="0"/>
                <w:color w:val="000000"/>
                <w:szCs w:val="20"/>
                <w:lang w:val="en-GB"/>
              </w:rPr>
              <w:t>in order to effectively manage the location and operation of gaming venues and EGMs in the municipality.</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3.2 Utilise the Decision-Making Framework when preparing submissions to the VCGLR, undertaking strategic planning activities, and fulfilling all advocacy and consultation, roles, and activities.</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 xml:space="preserve">3.3 Liaise with adjoining municipalities and stakeholders when responding to applications for gaming approval in the </w:t>
            </w:r>
            <w:r>
              <w:rPr>
                <w:rFonts w:ascii="Arial" w:eastAsia="Calibri" w:hAnsi="Arial" w:cs="Arial"/>
                <w:b w:val="0"/>
                <w:color w:val="000000"/>
                <w:szCs w:val="20"/>
                <w:lang w:val="en-GB"/>
              </w:rPr>
              <w:t>City of Melbourne</w:t>
            </w:r>
            <w:r w:rsidRPr="003F18F6">
              <w:rPr>
                <w:rFonts w:ascii="Arial" w:eastAsia="Calibri" w:hAnsi="Arial" w:cs="Arial"/>
                <w:b w:val="0"/>
                <w:color w:val="000000"/>
                <w:szCs w:val="20"/>
                <w:lang w:val="en-GB"/>
              </w:rPr>
              <w:t xml:space="preserve"> in order to gain an understanding of the potential impact of a proposal on the wellbeing of the community</w:t>
            </w:r>
            <w:r>
              <w:rPr>
                <w:rFonts w:ascii="Arial" w:eastAsia="Calibri" w:hAnsi="Arial" w:cs="Arial"/>
                <w:b w:val="0"/>
                <w:color w:val="000000"/>
                <w:szCs w:val="20"/>
                <w:lang w:val="en-GB"/>
              </w:rPr>
              <w:t xml:space="preserve"> across municipal boundaries</w:t>
            </w:r>
            <w:r w:rsidRPr="003F18F6">
              <w:rPr>
                <w:rFonts w:ascii="Arial" w:eastAsia="Calibri" w:hAnsi="Arial" w:cs="Arial"/>
                <w:b w:val="0"/>
                <w:color w:val="000000"/>
                <w:szCs w:val="20"/>
                <w:lang w:val="en-GB"/>
              </w:rPr>
              <w:t>.</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3.4 Make submissions to the VCGLR on applications for gaming approvals in the City of Melbourne and in adjoining municipalities if the proposal is likely to introduce harms in the municipality.</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3.5 Adopt an integrated approach to the prevention of gambling related harms by incorporating strategies to address the harms associated with gambling in relevant Council strategies, plans and policies.</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3.6 Develop a strong evidence base that can support Council’s roles in the prevention of gambling-related harms.</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850D3A"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3.7 Prohibit</w:t>
            </w:r>
            <w:r>
              <w:rPr>
                <w:rFonts w:ascii="Arial" w:eastAsia="Calibri" w:hAnsi="Arial" w:cs="Arial"/>
                <w:b w:val="0"/>
                <w:color w:val="000000"/>
                <w:szCs w:val="20"/>
                <w:lang w:val="en-GB"/>
              </w:rPr>
              <w:t xml:space="preserve"> </w:t>
            </w:r>
            <w:r w:rsidRPr="003F18F6">
              <w:rPr>
                <w:rFonts w:ascii="Arial" w:eastAsia="Calibri" w:hAnsi="Arial" w:cs="Arial"/>
                <w:b w:val="0"/>
                <w:color w:val="000000"/>
                <w:szCs w:val="20"/>
                <w:lang w:val="en-GB"/>
              </w:rPr>
              <w:t>all forms of gambling on Council-owned or managed land</w:t>
            </w:r>
            <w:r>
              <w:rPr>
                <w:rFonts w:ascii="Arial" w:eastAsia="Calibri" w:hAnsi="Arial" w:cs="Arial"/>
                <w:b w:val="0"/>
                <w:color w:val="000000"/>
                <w:szCs w:val="20"/>
                <w:lang w:val="en-GB"/>
              </w:rPr>
              <w:t>, the use</w:t>
            </w:r>
            <w:r w:rsidRPr="003F18F6">
              <w:rPr>
                <w:rFonts w:ascii="Arial" w:eastAsia="Calibri" w:hAnsi="Arial" w:cs="Arial"/>
                <w:b w:val="0"/>
                <w:color w:val="000000"/>
                <w:szCs w:val="20"/>
                <w:lang w:val="en-GB"/>
              </w:rPr>
              <w:t xml:space="preserve"> of gaming venues for Council activities and events</w:t>
            </w:r>
            <w:r>
              <w:rPr>
                <w:rFonts w:ascii="Arial" w:eastAsia="Calibri" w:hAnsi="Arial" w:cs="Arial"/>
                <w:b w:val="0"/>
                <w:color w:val="000000"/>
                <w:szCs w:val="20"/>
                <w:lang w:val="en-GB"/>
              </w:rPr>
              <w:t xml:space="preserve"> and a</w:t>
            </w:r>
            <w:r w:rsidRPr="003F18F6">
              <w:rPr>
                <w:rFonts w:ascii="Arial" w:eastAsia="Calibri" w:hAnsi="Arial" w:cs="Arial"/>
                <w:b w:val="0"/>
                <w:color w:val="000000"/>
                <w:szCs w:val="20"/>
                <w:lang w:val="en-GB"/>
              </w:rPr>
              <w:t>ccess to opportunities to gamble online in all Council supported public internet access points.</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3.8 Review leasing arrangements to ensure that community groups and sporting clubs are not permitted to advertise or promote gambling-related activity at local venues or via online gambling agencies.</w:t>
            </w:r>
          </w:p>
        </w:tc>
      </w:tr>
      <w:tr w:rsidR="00453887" w:rsidRPr="004C05DA"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3.9 Review Council community events, activities, programs and social outings to ensure that they do not include venues that operate as gaming venues.</w:t>
            </w:r>
          </w:p>
        </w:tc>
      </w:tr>
      <w:tr w:rsidR="00453887" w:rsidRPr="004C05DA"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453887" w:rsidRPr="003F18F6" w:rsidRDefault="00453887" w:rsidP="00453887">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3F18F6">
              <w:rPr>
                <w:rFonts w:ascii="Arial" w:eastAsia="Calibri" w:hAnsi="Arial" w:cs="Arial"/>
                <w:b w:val="0"/>
                <w:color w:val="000000"/>
                <w:szCs w:val="20"/>
                <w:lang w:val="en-GB"/>
              </w:rPr>
              <w:t>3.10 Collaborate with community groups and clubs to assess their sources of external funding and consider not taking funding from local gaming venues due to their significant revenue from EGM gambling losses.</w:t>
            </w:r>
          </w:p>
        </w:tc>
      </w:tr>
    </w:tbl>
    <w:p w:rsidR="004C05DA" w:rsidRDefault="004C05DA">
      <w:pPr>
        <w:spacing w:line="276" w:lineRule="auto"/>
        <w:ind w:left="720"/>
        <w:rPr>
          <w:rFonts w:ascii="CoM" w:hAnsi="CoM" w:cs="Arial"/>
          <w:b/>
          <w:sz w:val="32"/>
          <w:szCs w:val="32"/>
        </w:rPr>
      </w:pPr>
    </w:p>
    <w:tbl>
      <w:tblPr>
        <w:tblStyle w:val="LightList-Accent62"/>
        <w:tblW w:w="10632" w:type="dxa"/>
        <w:tblInd w:w="-797" w:type="dxa"/>
        <w:tblLook w:val="04A0" w:firstRow="1" w:lastRow="0" w:firstColumn="1" w:lastColumn="0" w:noHBand="0" w:noVBand="1"/>
      </w:tblPr>
      <w:tblGrid>
        <w:gridCol w:w="10632"/>
      </w:tblGrid>
      <w:tr w:rsidR="00E139F6" w:rsidRPr="00E139F6" w:rsidTr="004538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3.11 Raise awareness in the community of the potential harms associated with gambling and the availability of services to address gambling-related harms.</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3.12 Facilitate the inclusion of community views and sentiments on applications for gaming approvals and planning permits applications.</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3.13 Facilitate collaboration between Council, stakeholders and venue operators to identify opportunities to collectively address existing and emerging gambling-harm in the community.</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E139F6" w:rsidRPr="00850D3A" w:rsidRDefault="00E139F6" w:rsidP="00E139F6">
            <w:pPr>
              <w:suppressAutoHyphens/>
              <w:autoSpaceDE w:val="0"/>
              <w:autoSpaceDN w:val="0"/>
              <w:adjustRightInd w:val="0"/>
              <w:textAlignment w:val="center"/>
              <w:rPr>
                <w:rFonts w:ascii="Arial" w:eastAsia="Calibri" w:hAnsi="Arial" w:cs="Arial"/>
                <w:b w:val="0"/>
                <w:color w:val="FFFFFF"/>
                <w:szCs w:val="20"/>
                <w:lang w:val="en-GB"/>
              </w:rPr>
            </w:pPr>
            <w:r w:rsidRPr="00E139F6">
              <w:rPr>
                <w:rFonts w:ascii="Arial" w:eastAsia="Calibri" w:hAnsi="Arial" w:cs="Arial"/>
                <w:color w:val="FFFFFF"/>
                <w:sz w:val="22"/>
                <w:szCs w:val="22"/>
                <w:lang w:val="en-GB"/>
              </w:rPr>
              <w:t>4. Protect individuals and communities at an elevated risk of harms</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4.1 Require applications for planning permits to be accompanied by a rigorous and transparent</w:t>
            </w:r>
            <w:r w:rsidR="003178A0" w:rsidRPr="00550DC8">
              <w:rPr>
                <w:rFonts w:ascii="Arial" w:eastAsia="Calibri" w:hAnsi="Arial" w:cs="Arial"/>
                <w:b w:val="0"/>
                <w:color w:val="000000"/>
                <w:szCs w:val="20"/>
                <w:lang w:val="en-GB"/>
              </w:rPr>
              <w:t xml:space="preserve"> independent </w:t>
            </w:r>
            <w:r w:rsidRPr="00550DC8">
              <w:rPr>
                <w:rFonts w:ascii="Arial" w:eastAsia="Calibri" w:hAnsi="Arial" w:cs="Arial"/>
                <w:b w:val="0"/>
                <w:color w:val="000000"/>
                <w:szCs w:val="20"/>
                <w:lang w:val="en-GB"/>
              </w:rPr>
              <w:t xml:space="preserve"> assessment of the potential social and economic impacts of the proposal on the community within which it is located</w:t>
            </w:r>
            <w:r w:rsidR="003178A0" w:rsidRPr="00550DC8">
              <w:rPr>
                <w:rFonts w:ascii="Arial" w:eastAsia="Calibri" w:hAnsi="Arial" w:cs="Arial"/>
                <w:b w:val="0"/>
                <w:color w:val="000000"/>
                <w:szCs w:val="20"/>
                <w:lang w:val="en-GB"/>
              </w:rPr>
              <w:t>.</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 xml:space="preserve">4.2 </w:t>
            </w:r>
            <w:r w:rsidR="003178A0" w:rsidRPr="00550DC8">
              <w:rPr>
                <w:rFonts w:ascii="Arial" w:eastAsia="Calibri" w:hAnsi="Arial" w:cs="Arial"/>
                <w:b w:val="0"/>
                <w:color w:val="000000"/>
                <w:szCs w:val="20"/>
                <w:lang w:val="en-GB"/>
              </w:rPr>
              <w:t xml:space="preserve">Discourage proposals </w:t>
            </w:r>
            <w:r w:rsidRPr="00550DC8">
              <w:rPr>
                <w:rFonts w:ascii="Arial" w:eastAsia="Calibri" w:hAnsi="Arial" w:cs="Arial"/>
                <w:b w:val="0"/>
                <w:color w:val="000000"/>
                <w:szCs w:val="20"/>
                <w:lang w:val="en-GB"/>
              </w:rPr>
              <w:t xml:space="preserve">that redistribute the density of EGMs per 1,000 adults and EGM expenditure </w:t>
            </w:r>
            <w:r w:rsidR="003178A0" w:rsidRPr="00550DC8">
              <w:rPr>
                <w:rFonts w:ascii="Arial" w:eastAsia="Calibri" w:hAnsi="Arial" w:cs="Arial"/>
                <w:b w:val="0"/>
                <w:color w:val="000000"/>
                <w:szCs w:val="20"/>
                <w:lang w:val="en-GB"/>
              </w:rPr>
              <w:t>towards</w:t>
            </w:r>
            <w:r w:rsidRPr="00550DC8">
              <w:rPr>
                <w:rFonts w:ascii="Arial" w:eastAsia="Calibri" w:hAnsi="Arial" w:cs="Arial"/>
                <w:b w:val="0"/>
                <w:color w:val="000000"/>
                <w:szCs w:val="20"/>
                <w:lang w:val="en-GB"/>
              </w:rPr>
              <w:t xml:space="preserve"> areas of high disadvantage</w:t>
            </w:r>
            <w:r w:rsidR="003178A0" w:rsidRPr="00550DC8">
              <w:rPr>
                <w:rFonts w:ascii="Arial" w:eastAsia="Calibri" w:hAnsi="Arial" w:cs="Arial"/>
                <w:b w:val="0"/>
                <w:color w:val="000000"/>
                <w:szCs w:val="20"/>
                <w:lang w:val="en-GB"/>
              </w:rPr>
              <w:t>.</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4.3 Discourage gaming venues and EGMs that result in exposure of gambling activities to individuals and communities at an elevated risk of gambling-related harms.</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E139F6" w:rsidRPr="00850D3A" w:rsidRDefault="00E139F6" w:rsidP="00E139F6">
            <w:pPr>
              <w:suppressAutoHyphens/>
              <w:autoSpaceDE w:val="0"/>
              <w:autoSpaceDN w:val="0"/>
              <w:adjustRightInd w:val="0"/>
              <w:textAlignment w:val="center"/>
              <w:rPr>
                <w:rFonts w:ascii="Gotham Medium" w:eastAsia="Calibri" w:hAnsi="Gotham Medium" w:cs="Gotham Medium"/>
                <w:b w:val="0"/>
                <w:color w:val="FFFFFF"/>
                <w:szCs w:val="20"/>
                <w:lang w:val="en-GB"/>
              </w:rPr>
            </w:pPr>
            <w:r w:rsidRPr="00E139F6">
              <w:rPr>
                <w:rFonts w:ascii="Arial" w:eastAsia="Calibri" w:hAnsi="Arial" w:cs="Arial"/>
                <w:color w:val="FFFFFF"/>
                <w:sz w:val="22"/>
                <w:szCs w:val="22"/>
                <w:lang w:val="en-GB"/>
              </w:rPr>
              <w:t>5. To ensure that gaming venues are appropriately located</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5.2 Discourage proposals that would:</w:t>
            </w:r>
          </w:p>
          <w:p w:rsidR="00E139F6" w:rsidRPr="00550DC8" w:rsidRDefault="00E139F6" w:rsidP="00850D3A">
            <w:pPr>
              <w:numPr>
                <w:ilvl w:val="0"/>
                <w:numId w:val="148"/>
              </w:numPr>
              <w:suppressAutoHyphens/>
              <w:autoSpaceDE w:val="0"/>
              <w:autoSpaceDN w:val="0"/>
              <w:adjustRightInd w:val="0"/>
              <w:spacing w:before="40" w:after="80" w:line="276" w:lineRule="auto"/>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Contribute to the disproportionate density of EGMs per 1,000 adults and EGM expenditure within the CBD</w:t>
            </w:r>
          </w:p>
          <w:p w:rsidR="00E139F6" w:rsidRPr="00550DC8" w:rsidRDefault="00E139F6" w:rsidP="00850D3A">
            <w:pPr>
              <w:numPr>
                <w:ilvl w:val="0"/>
                <w:numId w:val="148"/>
              </w:numPr>
              <w:suppressAutoHyphens/>
              <w:autoSpaceDE w:val="0"/>
              <w:autoSpaceDN w:val="0"/>
              <w:adjustRightInd w:val="0"/>
              <w:spacing w:before="40" w:after="80" w:line="276" w:lineRule="auto"/>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Increase the prominence of gaming in existing communities or establish gaming as the prominent form of entertainment in emerging communities</w:t>
            </w:r>
          </w:p>
          <w:p w:rsidR="00E139F6" w:rsidRPr="00550DC8" w:rsidRDefault="00E139F6" w:rsidP="00850D3A">
            <w:pPr>
              <w:numPr>
                <w:ilvl w:val="0"/>
                <w:numId w:val="148"/>
              </w:numPr>
              <w:suppressAutoHyphens/>
              <w:autoSpaceDE w:val="0"/>
              <w:autoSpaceDN w:val="0"/>
              <w:adjustRightInd w:val="0"/>
              <w:spacing w:before="40" w:after="80" w:line="276" w:lineRule="auto"/>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result in impulse gambling and increased exposure to gambling activities</w:t>
            </w:r>
          </w:p>
          <w:p w:rsidR="00E139F6" w:rsidRPr="00850D3A" w:rsidRDefault="00E139F6" w:rsidP="00850D3A">
            <w:pPr>
              <w:numPr>
                <w:ilvl w:val="0"/>
                <w:numId w:val="148"/>
              </w:numPr>
              <w:suppressAutoHyphens/>
              <w:autoSpaceDE w:val="0"/>
              <w:autoSpaceDN w:val="0"/>
              <w:adjustRightInd w:val="0"/>
              <w:spacing w:before="40" w:after="80" w:line="276" w:lineRule="auto"/>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have a negative impact on the amenity and safety of the community.</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E139F6" w:rsidRPr="00850D3A" w:rsidRDefault="00E139F6" w:rsidP="00E139F6">
            <w:pPr>
              <w:suppressAutoHyphens/>
              <w:autoSpaceDE w:val="0"/>
              <w:autoSpaceDN w:val="0"/>
              <w:adjustRightInd w:val="0"/>
              <w:textAlignment w:val="center"/>
              <w:rPr>
                <w:rFonts w:ascii="Gotham Medium" w:eastAsia="Calibri" w:hAnsi="Gotham Medium" w:cs="Gotham Medium"/>
                <w:b w:val="0"/>
                <w:color w:val="FFFFFF"/>
                <w:szCs w:val="20"/>
                <w:lang w:val="en-GB"/>
              </w:rPr>
            </w:pPr>
            <w:r w:rsidRPr="00E139F6">
              <w:rPr>
                <w:rFonts w:ascii="Arial" w:eastAsia="Calibri" w:hAnsi="Arial" w:cs="Arial"/>
                <w:color w:val="FFFFFF"/>
                <w:sz w:val="22"/>
                <w:szCs w:val="22"/>
                <w:lang w:val="en-GB"/>
              </w:rPr>
              <w:t>6. To achieve best practice in the regulation and management of gaming venues and use of electronic gaming machines</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6.1 Discourage proposals where the gaming venue operates beyond 2am and for more than 18 hours per day.</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6.2 Encourage venue operators to prepare, adhere to and review venue management plans that transparently describe the venue’s harm minimisation practices.</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6.3 Encourage venue operators to regularly identify and analyse their patron profile of the venue and gaming lounge.</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6.4 Ensure that appropriate conditions are included in planning approvals and that planning permit conditions are adhered to.</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6.5 Notify the VCGLR if there is evidence to indicate that the venue operator is not complying with conditions in the gaming approval.</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6.6 Encourage venue operators to undertake appropriate consultation activities prior to applying for gaming approval and planning permits to establish a gaming venue or increase the number of EGMs.</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79646" w:themeFill="accent6"/>
            <w:vAlign w:val="center"/>
          </w:tcPr>
          <w:p w:rsidR="00E139F6" w:rsidRPr="00850D3A" w:rsidRDefault="00E139F6" w:rsidP="00E139F6">
            <w:pPr>
              <w:suppressAutoHyphens/>
              <w:autoSpaceDE w:val="0"/>
              <w:autoSpaceDN w:val="0"/>
              <w:adjustRightInd w:val="0"/>
              <w:textAlignment w:val="center"/>
              <w:rPr>
                <w:rFonts w:ascii="Arial" w:eastAsia="Calibri" w:hAnsi="Arial" w:cs="Arial"/>
                <w:b w:val="0"/>
                <w:color w:val="FFFFFF"/>
                <w:sz w:val="22"/>
                <w:szCs w:val="22"/>
                <w:lang w:val="en-GB"/>
              </w:rPr>
            </w:pPr>
            <w:r w:rsidRPr="00E139F6">
              <w:rPr>
                <w:rFonts w:ascii="Arial" w:eastAsia="Calibri" w:hAnsi="Arial" w:cs="Arial"/>
                <w:color w:val="FFFFFF"/>
                <w:sz w:val="22"/>
                <w:szCs w:val="22"/>
                <w:lang w:val="en-GB"/>
              </w:rPr>
              <w:t>7. To maximise the benefits associated with gambling</w:t>
            </w:r>
          </w:p>
        </w:tc>
      </w:tr>
      <w:tr w:rsidR="00E139F6" w:rsidRPr="00E139F6" w:rsidTr="004538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7.1 Collaborate with venue operators to:</w:t>
            </w:r>
          </w:p>
          <w:p w:rsidR="00E139F6" w:rsidRPr="00550DC8" w:rsidRDefault="00E139F6" w:rsidP="00E139F6">
            <w:pPr>
              <w:numPr>
                <w:ilvl w:val="0"/>
                <w:numId w:val="148"/>
              </w:numPr>
              <w:suppressAutoHyphens/>
              <w:autoSpaceDE w:val="0"/>
              <w:autoSpaceDN w:val="0"/>
              <w:adjustRightInd w:val="0"/>
              <w:spacing w:after="80" w:line="276" w:lineRule="auto"/>
              <w:textAlignment w:val="center"/>
              <w:rPr>
                <w:rFonts w:ascii="Arial" w:eastAsia="Calibri" w:hAnsi="Arial" w:cs="Arial"/>
                <w:b w:val="0"/>
                <w:color w:val="000000"/>
                <w:szCs w:val="20"/>
                <w:lang w:val="en-GB"/>
              </w:rPr>
            </w:pPr>
            <w:r w:rsidRPr="00550DC8">
              <w:rPr>
                <w:rFonts w:ascii="Arial" w:eastAsia="Calibri" w:hAnsi="Arial" w:cs="Arial"/>
                <w:b w:val="0"/>
                <w:color w:val="000000"/>
                <w:szCs w:val="20"/>
                <w:lang w:val="en-GB"/>
              </w:rPr>
              <w:t>seek opportunities to increase the value of non-statutory community contributions that benefit the City of Melbourne</w:t>
            </w:r>
          </w:p>
          <w:p w:rsidR="00E139F6" w:rsidRPr="00550DC8" w:rsidRDefault="00E139F6" w:rsidP="00E139F6">
            <w:pPr>
              <w:numPr>
                <w:ilvl w:val="0"/>
                <w:numId w:val="148"/>
              </w:numPr>
              <w:suppressAutoHyphens/>
              <w:autoSpaceDE w:val="0"/>
              <w:autoSpaceDN w:val="0"/>
              <w:adjustRightInd w:val="0"/>
              <w:spacing w:after="80" w:line="276" w:lineRule="auto"/>
              <w:textAlignment w:val="center"/>
              <w:rPr>
                <w:rFonts w:ascii="Gotham Book" w:eastAsia="Calibri" w:hAnsi="Gotham Book" w:cs="Gotham Book"/>
                <w:b w:val="0"/>
                <w:color w:val="000000"/>
                <w:sz w:val="18"/>
                <w:szCs w:val="18"/>
                <w:lang w:val="en-GB"/>
              </w:rPr>
            </w:pPr>
            <w:r w:rsidRPr="00550DC8">
              <w:rPr>
                <w:rFonts w:ascii="Arial" w:eastAsia="Calibri" w:hAnsi="Arial" w:cs="Arial"/>
                <w:b w:val="0"/>
                <w:color w:val="000000"/>
                <w:szCs w:val="20"/>
                <w:lang w:val="en-GB"/>
              </w:rPr>
              <w:t>identify opportunities to allocate non-statutory community contributions to services and agencies that directly address social disadvantage and gambling-related harms in the City of Melbourne.</w:t>
            </w:r>
          </w:p>
        </w:tc>
      </w:tr>
      <w:tr w:rsidR="00E139F6" w:rsidRPr="00E139F6" w:rsidTr="00453887">
        <w:tc>
          <w:tcPr>
            <w:cnfStyle w:val="001000000000" w:firstRow="0" w:lastRow="0" w:firstColumn="1" w:lastColumn="0" w:oddVBand="0" w:evenVBand="0" w:oddHBand="0" w:evenHBand="0" w:firstRowFirstColumn="0" w:firstRowLastColumn="0" w:lastRowFirstColumn="0" w:lastRowLastColumn="0"/>
            <w:tcW w:w="10632" w:type="dxa"/>
            <w:shd w:val="clear" w:color="auto" w:fill="FFFFCC"/>
            <w:vAlign w:val="center"/>
          </w:tcPr>
          <w:p w:rsidR="00E139F6" w:rsidRPr="00550DC8" w:rsidRDefault="00E139F6" w:rsidP="00850D3A">
            <w:pPr>
              <w:suppressAutoHyphens/>
              <w:autoSpaceDE w:val="0"/>
              <w:autoSpaceDN w:val="0"/>
              <w:adjustRightInd w:val="0"/>
              <w:spacing w:before="40" w:after="80"/>
              <w:textAlignment w:val="center"/>
              <w:rPr>
                <w:rFonts w:ascii="Gotham Book" w:eastAsia="Calibri" w:hAnsi="Gotham Book" w:cs="Gotham Book"/>
                <w:b w:val="0"/>
                <w:color w:val="000000"/>
                <w:sz w:val="18"/>
                <w:szCs w:val="18"/>
                <w:lang w:val="en-GB"/>
              </w:rPr>
            </w:pPr>
            <w:r w:rsidRPr="00550DC8">
              <w:rPr>
                <w:rFonts w:ascii="Arial" w:eastAsia="Calibri" w:hAnsi="Arial" w:cs="Arial"/>
                <w:b w:val="0"/>
                <w:color w:val="000000"/>
                <w:szCs w:val="20"/>
                <w:lang w:val="en-GB"/>
              </w:rPr>
              <w:t>7.2 Discourage proposals that do not diversify the range of non-gambling social, leisure, recreational and entertainment facilities; generate jobs within the community affected by the proposal; stimulate tourism; or generate supply contracts and complementary expenditures within the City of Melbourne.</w:t>
            </w:r>
            <w:r w:rsidRPr="00550DC8">
              <w:rPr>
                <w:rFonts w:ascii="Arial" w:eastAsia="Calibri" w:hAnsi="Arial" w:cs="Arial"/>
                <w:b w:val="0"/>
                <w:color w:val="000000"/>
                <w:szCs w:val="20"/>
                <w:lang w:val="en-GB"/>
              </w:rPr>
              <w:br/>
            </w:r>
          </w:p>
        </w:tc>
      </w:tr>
    </w:tbl>
    <w:p w:rsidR="00F01E8D" w:rsidRDefault="00F01E8D" w:rsidP="00850D3A">
      <w:pPr>
        <w:spacing w:line="276" w:lineRule="auto"/>
        <w:rPr>
          <w:rFonts w:ascii="CoM" w:eastAsiaTheme="majorEastAsia" w:hAnsi="CoM" w:cs="Arial"/>
          <w:bCs/>
          <w:sz w:val="32"/>
          <w:szCs w:val="32"/>
        </w:rPr>
      </w:pPr>
      <w:r>
        <w:rPr>
          <w:rFonts w:ascii="CoM" w:hAnsi="CoM" w:cs="Arial"/>
          <w:b/>
          <w:sz w:val="32"/>
          <w:szCs w:val="32"/>
        </w:rPr>
        <w:br w:type="page"/>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38" w:name="_Toc494291044"/>
      <w:r>
        <w:rPr>
          <w:rFonts w:ascii="CoM" w:hAnsi="CoM" w:cs="Arial"/>
          <w:b w:val="0"/>
          <w:color w:val="auto"/>
          <w:sz w:val="32"/>
          <w:szCs w:val="32"/>
        </w:rPr>
        <w:t>Social and economic impact assessment tool</w:t>
      </w:r>
      <w:bookmarkEnd w:id="238"/>
    </w:p>
    <w:p w:rsidR="00A83CEA" w:rsidRDefault="00A83CEA" w:rsidP="00A83CEA">
      <w:pPr>
        <w:rPr>
          <w:rFonts w:ascii="Arial" w:hAnsi="Arial" w:cs="Arial"/>
          <w:sz w:val="22"/>
          <w:szCs w:val="22"/>
        </w:rPr>
      </w:pPr>
      <w:r>
        <w:rPr>
          <w:rFonts w:ascii="Arial" w:hAnsi="Arial" w:cs="Arial"/>
          <w:sz w:val="22"/>
          <w:szCs w:val="22"/>
        </w:rPr>
        <w:t xml:space="preserve">A social and economic impact assessment tool has been provided at </w:t>
      </w:r>
      <w:r w:rsidR="006835A8">
        <w:rPr>
          <w:rFonts w:ascii="Arial" w:hAnsi="Arial" w:cs="Arial"/>
          <w:sz w:val="22"/>
          <w:szCs w:val="22"/>
        </w:rPr>
        <w:t>Appendix</w:t>
      </w:r>
      <w:r>
        <w:rPr>
          <w:rFonts w:ascii="Arial" w:hAnsi="Arial" w:cs="Arial"/>
          <w:sz w:val="22"/>
          <w:szCs w:val="22"/>
        </w:rPr>
        <w:t xml:space="preserve"> 2. It will assist with the preparation of submissions to the </w:t>
      </w:r>
      <w:r w:rsidR="00C31F0F">
        <w:rPr>
          <w:rFonts w:ascii="Arial" w:hAnsi="Arial" w:cs="Arial"/>
          <w:sz w:val="22"/>
          <w:szCs w:val="22"/>
        </w:rPr>
        <w:t xml:space="preserve">VCGLR </w:t>
      </w:r>
      <w:r>
        <w:rPr>
          <w:rFonts w:ascii="Arial" w:hAnsi="Arial" w:cs="Arial"/>
          <w:sz w:val="22"/>
          <w:szCs w:val="22"/>
        </w:rPr>
        <w:t>and the assessment of planning permit applications to install and use EGMs. It integrates all relevant assessment criteria which are derived from the primary physical, social and economic determinants gambling-related harms.</w:t>
      </w:r>
      <w:r w:rsidR="00C31F0F">
        <w:rPr>
          <w:rFonts w:ascii="Arial" w:hAnsi="Arial" w:cs="Arial"/>
          <w:sz w:val="22"/>
          <w:szCs w:val="22"/>
        </w:rPr>
        <w:t xml:space="preserve">  As noted in Clause 22.12 of the Melbourne Planning Scheme, any application for the use/installation of EGMs will need to submit a </w:t>
      </w:r>
      <w:r w:rsidR="00FB4F95">
        <w:rPr>
          <w:rFonts w:ascii="Arial" w:hAnsi="Arial" w:cs="Arial"/>
          <w:sz w:val="22"/>
          <w:szCs w:val="22"/>
        </w:rPr>
        <w:t>social and economic impact assessment prepared by a suitably qualified consultant</w:t>
      </w:r>
      <w:r w:rsidR="006835A8">
        <w:rPr>
          <w:rFonts w:ascii="Arial" w:hAnsi="Arial" w:cs="Arial"/>
          <w:sz w:val="22"/>
          <w:szCs w:val="22"/>
        </w:rPr>
        <w:t>.  The tool in Appendix 2 may also assist the relevant consultant in this task.</w:t>
      </w:r>
    </w:p>
    <w:p w:rsidR="00A83CEA" w:rsidRDefault="00A83CEA" w:rsidP="00A83CEA">
      <w:pPr>
        <w:pStyle w:val="Heading2"/>
        <w:numPr>
          <w:ilvl w:val="1"/>
          <w:numId w:val="111"/>
        </w:numPr>
        <w:spacing w:after="120"/>
        <w:ind w:left="578" w:hanging="578"/>
        <w:rPr>
          <w:rFonts w:ascii="CoM" w:hAnsi="CoM" w:cs="Arial"/>
          <w:b w:val="0"/>
          <w:color w:val="auto"/>
          <w:sz w:val="32"/>
          <w:szCs w:val="32"/>
        </w:rPr>
      </w:pPr>
      <w:bookmarkStart w:id="239" w:name="_Toc494291045"/>
      <w:r>
        <w:rPr>
          <w:rFonts w:ascii="CoM" w:hAnsi="CoM" w:cs="Arial"/>
          <w:b w:val="0"/>
          <w:color w:val="auto"/>
          <w:sz w:val="32"/>
          <w:szCs w:val="32"/>
        </w:rPr>
        <w:t>Monitoring and review</w:t>
      </w:r>
      <w:bookmarkEnd w:id="239"/>
    </w:p>
    <w:p w:rsidR="00A83CEA" w:rsidRDefault="00A83CEA" w:rsidP="00A83CEA">
      <w:pPr>
        <w:rPr>
          <w:rFonts w:ascii="Arial" w:hAnsi="Arial" w:cs="Arial"/>
          <w:sz w:val="22"/>
          <w:szCs w:val="22"/>
        </w:rPr>
      </w:pPr>
      <w:r>
        <w:rPr>
          <w:rFonts w:ascii="Arial" w:hAnsi="Arial" w:cs="Arial"/>
          <w:sz w:val="22"/>
          <w:szCs w:val="22"/>
        </w:rPr>
        <w:t>The effectiveness of the objectives and actions in the City of Melbourne Electronic Gaming Decision-Making Framework may be monitored in terms of the following indicators:</w:t>
      </w:r>
    </w:p>
    <w:p w:rsidR="00A83CEA" w:rsidRDefault="00A83CEA" w:rsidP="00A83CEA">
      <w:pPr>
        <w:pStyle w:val="ListParagraph"/>
        <w:numPr>
          <w:ilvl w:val="0"/>
          <w:numId w:val="139"/>
        </w:numPr>
        <w:spacing w:after="120" w:line="256" w:lineRule="auto"/>
        <w:rPr>
          <w:rFonts w:ascii="Arial" w:hAnsi="Arial"/>
          <w:sz w:val="22"/>
          <w:szCs w:val="22"/>
        </w:rPr>
      </w:pPr>
      <w:r>
        <w:rPr>
          <w:rFonts w:ascii="Arial" w:hAnsi="Arial"/>
          <w:sz w:val="22"/>
          <w:szCs w:val="22"/>
        </w:rPr>
        <w:t>Reduction in density of EGMs per 1000 adults, total EGM expenditure and EGM expenditure per adult in areas and communities considered at an elevated</w:t>
      </w:r>
      <w:r w:rsidR="00453887">
        <w:rPr>
          <w:rFonts w:ascii="Arial" w:hAnsi="Arial"/>
          <w:sz w:val="22"/>
          <w:szCs w:val="22"/>
        </w:rPr>
        <w:t xml:space="preserve"> risk of gambling-related harms</w:t>
      </w:r>
    </w:p>
    <w:p w:rsidR="00A83CEA" w:rsidRDefault="00A83CEA" w:rsidP="00A83CEA">
      <w:pPr>
        <w:pStyle w:val="ListParagraph"/>
        <w:numPr>
          <w:ilvl w:val="0"/>
          <w:numId w:val="139"/>
        </w:numPr>
        <w:spacing w:after="120" w:line="256" w:lineRule="auto"/>
        <w:rPr>
          <w:rFonts w:ascii="Arial" w:hAnsi="Arial"/>
          <w:sz w:val="22"/>
          <w:szCs w:val="22"/>
        </w:rPr>
      </w:pPr>
      <w:r>
        <w:rPr>
          <w:rFonts w:ascii="Arial" w:hAnsi="Arial"/>
          <w:sz w:val="22"/>
          <w:szCs w:val="22"/>
        </w:rPr>
        <w:t>Increase number and diversity of non-gambling activities in municipality.</w:t>
      </w:r>
    </w:p>
    <w:p w:rsidR="00A83CEA" w:rsidRDefault="00A83CEA" w:rsidP="00A83CEA">
      <w:pPr>
        <w:pStyle w:val="ListParagraph"/>
        <w:numPr>
          <w:ilvl w:val="0"/>
          <w:numId w:val="139"/>
        </w:numPr>
        <w:spacing w:after="120" w:line="256" w:lineRule="auto"/>
        <w:rPr>
          <w:rFonts w:ascii="Arial" w:hAnsi="Arial"/>
          <w:sz w:val="22"/>
          <w:szCs w:val="22"/>
        </w:rPr>
      </w:pPr>
      <w:r>
        <w:rPr>
          <w:rFonts w:ascii="Arial" w:hAnsi="Arial"/>
          <w:sz w:val="22"/>
          <w:szCs w:val="22"/>
        </w:rPr>
        <w:t>Reduction in deman</w:t>
      </w:r>
      <w:r w:rsidR="00453887">
        <w:rPr>
          <w:rFonts w:ascii="Arial" w:hAnsi="Arial"/>
          <w:sz w:val="22"/>
          <w:szCs w:val="22"/>
        </w:rPr>
        <w:t>d for gambling support services</w:t>
      </w:r>
    </w:p>
    <w:p w:rsidR="00A83CEA" w:rsidRDefault="00A83CEA" w:rsidP="00A83CEA">
      <w:pPr>
        <w:pStyle w:val="ListParagraph"/>
        <w:numPr>
          <w:ilvl w:val="0"/>
          <w:numId w:val="139"/>
        </w:numPr>
        <w:spacing w:after="120" w:line="256" w:lineRule="auto"/>
        <w:rPr>
          <w:rFonts w:ascii="Arial" w:hAnsi="Arial"/>
          <w:sz w:val="22"/>
          <w:szCs w:val="22"/>
        </w:rPr>
      </w:pPr>
      <w:r>
        <w:rPr>
          <w:rFonts w:ascii="Arial" w:hAnsi="Arial"/>
          <w:sz w:val="22"/>
          <w:szCs w:val="22"/>
        </w:rPr>
        <w:t>A reduction in resources associated with the preparation of submissions to the Commission a</w:t>
      </w:r>
      <w:r w:rsidR="00453887">
        <w:rPr>
          <w:rFonts w:ascii="Arial" w:hAnsi="Arial"/>
          <w:sz w:val="22"/>
          <w:szCs w:val="22"/>
        </w:rPr>
        <w:t>nd planning permit applications</w:t>
      </w:r>
    </w:p>
    <w:p w:rsidR="00A83CEA" w:rsidRDefault="00A83CEA" w:rsidP="00A83CEA">
      <w:pPr>
        <w:pStyle w:val="ListParagraph"/>
        <w:numPr>
          <w:ilvl w:val="0"/>
          <w:numId w:val="139"/>
        </w:numPr>
        <w:spacing w:after="120" w:line="256" w:lineRule="auto"/>
        <w:rPr>
          <w:rFonts w:ascii="Arial" w:hAnsi="Arial"/>
          <w:sz w:val="22"/>
          <w:szCs w:val="22"/>
        </w:rPr>
      </w:pPr>
      <w:r>
        <w:rPr>
          <w:rFonts w:ascii="Arial" w:hAnsi="Arial"/>
          <w:sz w:val="22"/>
          <w:szCs w:val="22"/>
        </w:rPr>
        <w:t xml:space="preserve">Increase in cash and in-kind community contributions allocated to services and agencies that address vulnerability to gambling-related harms in the City of Melbourne. </w:t>
      </w:r>
    </w:p>
    <w:p w:rsidR="00A83CEA" w:rsidRDefault="00A83CEA" w:rsidP="00A83CEA">
      <w:pPr>
        <w:spacing w:line="276" w:lineRule="auto"/>
        <w:ind w:left="720"/>
        <w:rPr>
          <w:rFonts w:ascii="Arial" w:eastAsiaTheme="majorEastAsia" w:hAnsi="Arial" w:cs="Arial"/>
          <w:b/>
          <w:bCs/>
          <w:color w:val="365F91" w:themeColor="accent1" w:themeShade="BF"/>
          <w:sz w:val="22"/>
          <w:szCs w:val="22"/>
        </w:rPr>
      </w:pPr>
      <w:r>
        <w:rPr>
          <w:rFonts w:ascii="Arial" w:hAnsi="Arial" w:cs="Arial"/>
          <w:sz w:val="22"/>
          <w:szCs w:val="22"/>
        </w:rPr>
        <w:br w:type="page"/>
      </w:r>
    </w:p>
    <w:p w:rsidR="00A83CEA" w:rsidRDefault="00A83CEA" w:rsidP="00A83CEA">
      <w:pPr>
        <w:pStyle w:val="Heading1"/>
        <w:numPr>
          <w:ilvl w:val="0"/>
          <w:numId w:val="0"/>
        </w:numPr>
        <w:rPr>
          <w:rFonts w:cs="Arial"/>
        </w:rPr>
      </w:pPr>
      <w:bookmarkStart w:id="240" w:name="_Toc494291046"/>
      <w:r>
        <w:rPr>
          <w:rFonts w:cs="Arial"/>
        </w:rPr>
        <w:t>Appendix 1 – Bibliography</w:t>
      </w:r>
      <w:bookmarkEnd w:id="240"/>
    </w:p>
    <w:p w:rsidR="006835A8" w:rsidRPr="006835A8" w:rsidRDefault="006835A8" w:rsidP="006835A8">
      <w:pPr>
        <w:rPr>
          <w:rFonts w:ascii="Arial" w:hAnsi="Arial" w:cs="Arial"/>
          <w:i/>
          <w:iCs/>
          <w:sz w:val="22"/>
          <w:szCs w:val="22"/>
        </w:rPr>
      </w:pPr>
      <w:r w:rsidRPr="006835A8">
        <w:rPr>
          <w:rFonts w:ascii="Arial" w:hAnsi="Arial" w:cs="Arial"/>
          <w:sz w:val="22"/>
          <w:szCs w:val="22"/>
        </w:rPr>
        <w:t xml:space="preserve">Abbott, M, Binde, P, Hodgins, D, Korn, D, Pereira, A, Volberg, R &amp; Williams, R (2013), </w:t>
      </w:r>
      <w:r w:rsidRPr="006835A8">
        <w:rPr>
          <w:rFonts w:ascii="Arial" w:hAnsi="Arial" w:cs="Arial"/>
          <w:i/>
          <w:sz w:val="22"/>
          <w:szCs w:val="22"/>
        </w:rPr>
        <w:t>Conceptual framework of harmful gambling: an international collaboration</w:t>
      </w:r>
      <w:r w:rsidRPr="006835A8">
        <w:rPr>
          <w:rFonts w:ascii="Arial" w:hAnsi="Arial" w:cs="Arial"/>
          <w:sz w:val="22"/>
          <w:szCs w:val="22"/>
        </w:rPr>
        <w:t xml:space="preserve">, the Ontario Problem Gambling Research Centre (OPGRC), Australian Government Productivity Commission (2010) </w:t>
      </w:r>
      <w:r w:rsidRPr="006835A8">
        <w:rPr>
          <w:rFonts w:ascii="Arial" w:hAnsi="Arial" w:cs="Arial"/>
          <w:i/>
          <w:iCs/>
          <w:sz w:val="22"/>
          <w:szCs w:val="22"/>
        </w:rPr>
        <w:t>Productivity Community Inquiry Report, Gambling</w:t>
      </w:r>
    </w:p>
    <w:p w:rsidR="006835A8" w:rsidRPr="006835A8" w:rsidRDefault="006835A8" w:rsidP="006835A8">
      <w:pPr>
        <w:pStyle w:val="FootnoteText"/>
        <w:rPr>
          <w:rFonts w:ascii="Arial" w:hAnsi="Arial" w:cs="Arial"/>
          <w:i/>
          <w:iCs/>
          <w:sz w:val="22"/>
          <w:szCs w:val="22"/>
        </w:rPr>
      </w:pPr>
      <w:r w:rsidRPr="006835A8">
        <w:rPr>
          <w:rFonts w:ascii="Arial" w:hAnsi="Arial" w:cs="Arial"/>
          <w:color w:val="222222"/>
          <w:sz w:val="22"/>
          <w:szCs w:val="22"/>
          <w:shd w:val="clear" w:color="auto" w:fill="FFFFFF"/>
        </w:rPr>
        <w:t>Andrew Harris &amp; Mark D. Griffiths, (2017), A Critical Review of the Harm-Minimisation Tools Available for Electronic Gambling,</w:t>
      </w:r>
      <w:r w:rsidRPr="006835A8">
        <w:rPr>
          <w:rStyle w:val="apple-converted-space"/>
          <w:rFonts w:ascii="Arial" w:eastAsiaTheme="majorEastAsia" w:hAnsi="Arial" w:cs="Arial"/>
          <w:color w:val="222222"/>
          <w:sz w:val="22"/>
          <w:szCs w:val="22"/>
          <w:shd w:val="clear" w:color="auto" w:fill="FFFFFF"/>
        </w:rPr>
        <w:t> </w:t>
      </w:r>
      <w:r w:rsidRPr="006835A8">
        <w:rPr>
          <w:rStyle w:val="Emphasis"/>
          <w:rFonts w:ascii="Arial" w:eastAsiaTheme="majorEastAsia" w:hAnsi="Arial" w:cs="Arial"/>
          <w:color w:val="222222"/>
          <w:sz w:val="22"/>
          <w:szCs w:val="22"/>
          <w:shd w:val="clear" w:color="auto" w:fill="FFFFFF"/>
        </w:rPr>
        <w:t>Journal of Gambling Studies</w:t>
      </w:r>
      <w:r w:rsidRPr="006835A8">
        <w:rPr>
          <w:rFonts w:ascii="Arial" w:hAnsi="Arial" w:cs="Arial"/>
          <w:color w:val="222222"/>
          <w:sz w:val="22"/>
          <w:szCs w:val="22"/>
          <w:shd w:val="clear" w:color="auto" w:fill="FFFFFF"/>
        </w:rPr>
        <w:t>, March Vol.33 Issue 1 pp.187-221</w:t>
      </w:r>
    </w:p>
    <w:p w:rsidR="006835A8" w:rsidRPr="006835A8" w:rsidRDefault="006835A8" w:rsidP="006835A8">
      <w:pPr>
        <w:rPr>
          <w:rFonts w:ascii="Arial" w:hAnsi="Arial" w:cs="Arial"/>
          <w:iCs/>
          <w:sz w:val="22"/>
          <w:szCs w:val="22"/>
        </w:rPr>
      </w:pPr>
      <w:r w:rsidRPr="006835A8">
        <w:rPr>
          <w:rFonts w:ascii="Arial" w:hAnsi="Arial" w:cs="Arial"/>
          <w:sz w:val="22"/>
          <w:szCs w:val="22"/>
        </w:rPr>
        <w:t xml:space="preserve">Australian Government Productivity Commission (2010) </w:t>
      </w:r>
      <w:r w:rsidRPr="006835A8">
        <w:rPr>
          <w:rFonts w:ascii="Arial" w:hAnsi="Arial" w:cs="Arial"/>
          <w:i/>
          <w:iCs/>
          <w:sz w:val="22"/>
          <w:szCs w:val="22"/>
        </w:rPr>
        <w:t xml:space="preserve">Productivity Commission Inquiry Report, Gambling </w:t>
      </w:r>
      <w:r w:rsidRPr="006835A8">
        <w:rPr>
          <w:rFonts w:ascii="Arial" w:hAnsi="Arial" w:cs="Arial"/>
          <w:iCs/>
          <w:sz w:val="22"/>
          <w:szCs w:val="22"/>
        </w:rPr>
        <w:t>No. 50</w:t>
      </w:r>
    </w:p>
    <w:p w:rsidR="006835A8" w:rsidRPr="006835A8" w:rsidRDefault="006835A8" w:rsidP="006835A8">
      <w:pPr>
        <w:pStyle w:val="EndnoteText"/>
        <w:spacing w:after="120"/>
        <w:rPr>
          <w:rFonts w:ascii="Arial" w:hAnsi="Arial" w:cs="Arial"/>
          <w:sz w:val="22"/>
          <w:szCs w:val="22"/>
        </w:rPr>
      </w:pPr>
      <w:r w:rsidRPr="006835A8">
        <w:rPr>
          <w:rFonts w:ascii="Arial" w:hAnsi="Arial" w:cs="Arial"/>
          <w:sz w:val="22"/>
          <w:szCs w:val="22"/>
        </w:rPr>
        <w:t>Bestman, A, Thomas, SL, Randle, M, Pitt, H, Daube, M &amp; Pettigrew, S 2015, ‘Shaping pathways to gambling consumption? An analysis of the promotion of gambling and non-gambling activities from gambling venues’, Addiction Research &amp; Theory, Online, 15 October 2015.</w:t>
      </w:r>
    </w:p>
    <w:p w:rsidR="006835A8" w:rsidRPr="006835A8" w:rsidRDefault="006835A8" w:rsidP="006835A8">
      <w:pPr>
        <w:rPr>
          <w:rFonts w:ascii="Arial" w:hAnsi="Arial" w:cs="Arial"/>
          <w:sz w:val="22"/>
          <w:szCs w:val="22"/>
        </w:rPr>
      </w:pPr>
      <w:r w:rsidRPr="006835A8">
        <w:rPr>
          <w:rFonts w:ascii="Arial" w:hAnsi="Arial" w:cs="Arial"/>
          <w:sz w:val="22"/>
          <w:szCs w:val="22"/>
        </w:rPr>
        <w:t xml:space="preserve">Billi, R., Stone, C.A., Marden, P., Yeung, K., (2014). </w:t>
      </w:r>
      <w:r w:rsidRPr="006835A8">
        <w:rPr>
          <w:rFonts w:ascii="Arial" w:hAnsi="Arial" w:cs="Arial"/>
          <w:i/>
          <w:iCs/>
          <w:sz w:val="22"/>
          <w:szCs w:val="22"/>
        </w:rPr>
        <w:t>The Victorian Gambling Study: A longitudinal study of gambling and health in Victoria, 2008–2012</w:t>
      </w:r>
      <w:r w:rsidRPr="006835A8">
        <w:rPr>
          <w:rFonts w:ascii="Arial" w:hAnsi="Arial" w:cs="Arial"/>
          <w:sz w:val="22"/>
          <w:szCs w:val="22"/>
        </w:rPr>
        <w:t xml:space="preserve">. Victoria, Australia: Victorian Responsible Gambling Foundation. </w:t>
      </w:r>
    </w:p>
    <w:p w:rsidR="006835A8" w:rsidRPr="006835A8" w:rsidRDefault="006835A8" w:rsidP="006835A8">
      <w:pPr>
        <w:rPr>
          <w:rFonts w:ascii="Arial" w:hAnsi="Arial" w:cs="Arial"/>
          <w:sz w:val="22"/>
          <w:szCs w:val="22"/>
        </w:rPr>
      </w:pPr>
      <w:r w:rsidRPr="006835A8">
        <w:rPr>
          <w:rFonts w:ascii="Arial" w:hAnsi="Arial" w:cs="Arial"/>
          <w:sz w:val="22"/>
          <w:szCs w:val="22"/>
        </w:rPr>
        <w:t xml:space="preserve">Botterill, E, Gill, PR, McLaren, S &amp; Gomez, R (2015), ‘Marital Status and Problem Gambling Among Australian Older Adults: The Mediating Role of Loneliness’, </w:t>
      </w:r>
      <w:r w:rsidRPr="006835A8">
        <w:rPr>
          <w:rFonts w:ascii="Arial" w:hAnsi="Arial" w:cs="Arial"/>
          <w:i/>
          <w:sz w:val="22"/>
          <w:szCs w:val="22"/>
        </w:rPr>
        <w:t>Journal of Gambling Studies</w:t>
      </w:r>
      <w:r w:rsidRPr="006835A8">
        <w:rPr>
          <w:rFonts w:ascii="Arial" w:hAnsi="Arial" w:cs="Arial"/>
          <w:sz w:val="22"/>
          <w:szCs w:val="22"/>
        </w:rPr>
        <w:t>, Online first, 8 October 2015.</w:t>
      </w:r>
    </w:p>
    <w:p w:rsidR="006835A8" w:rsidRPr="006835A8" w:rsidRDefault="006835A8" w:rsidP="006835A8">
      <w:pPr>
        <w:pStyle w:val="EndnoteText"/>
        <w:spacing w:after="120"/>
        <w:rPr>
          <w:rFonts w:ascii="Arial" w:hAnsi="Arial" w:cs="Arial"/>
          <w:sz w:val="22"/>
          <w:szCs w:val="22"/>
        </w:rPr>
      </w:pPr>
      <w:r w:rsidRPr="006835A8">
        <w:rPr>
          <w:rFonts w:ascii="Arial" w:hAnsi="Arial" w:cs="Arial"/>
          <w:sz w:val="22"/>
          <w:szCs w:val="22"/>
        </w:rPr>
        <w:t xml:space="preserve">Browne, M, Langham, E, Rawat, V, Greer, N, Li, E, Rose, J, Rockloff, M, Donaldson, P, Thorne, H, Goodwin, B, Bryden, G &amp; Best, T (2016), </w:t>
      </w:r>
      <w:r w:rsidRPr="006835A8">
        <w:rPr>
          <w:rFonts w:ascii="Arial" w:hAnsi="Arial" w:cs="Arial"/>
          <w:i/>
          <w:sz w:val="22"/>
          <w:szCs w:val="22"/>
        </w:rPr>
        <w:t>Assessing gambling-related harm in Victoria: a public health perspective</w:t>
      </w:r>
      <w:r w:rsidRPr="006835A8">
        <w:rPr>
          <w:rFonts w:ascii="Arial" w:hAnsi="Arial" w:cs="Arial"/>
          <w:sz w:val="22"/>
          <w:szCs w:val="22"/>
        </w:rPr>
        <w:t>, Victorian Responsible Gambling Foundation, Melbourne.</w:t>
      </w:r>
    </w:p>
    <w:p w:rsidR="006835A8" w:rsidRPr="006835A8" w:rsidRDefault="006835A8" w:rsidP="006835A8">
      <w:pPr>
        <w:pStyle w:val="FootnoteText"/>
        <w:spacing w:after="120"/>
        <w:rPr>
          <w:rFonts w:ascii="Arial" w:hAnsi="Arial" w:cs="Arial"/>
          <w:i/>
          <w:sz w:val="22"/>
          <w:szCs w:val="22"/>
        </w:rPr>
      </w:pPr>
      <w:r w:rsidRPr="006835A8">
        <w:rPr>
          <w:rFonts w:ascii="Arial" w:hAnsi="Arial" w:cs="Arial"/>
          <w:sz w:val="22"/>
          <w:szCs w:val="22"/>
        </w:rPr>
        <w:t xml:space="preserve">Department of Justice (2008) </w:t>
      </w:r>
      <w:r w:rsidRPr="006835A8">
        <w:rPr>
          <w:rFonts w:ascii="Arial" w:hAnsi="Arial" w:cs="Arial"/>
          <w:i/>
          <w:sz w:val="22"/>
          <w:szCs w:val="22"/>
        </w:rPr>
        <w:t xml:space="preserve">Destination Gaming. Evaluating the benefits for Victoria. A Taking Action on Problem Gambling </w:t>
      </w:r>
      <w:r w:rsidRPr="006835A8">
        <w:rPr>
          <w:rFonts w:ascii="Arial" w:hAnsi="Arial" w:cs="Arial"/>
          <w:sz w:val="22"/>
          <w:szCs w:val="22"/>
        </w:rPr>
        <w:t>Initiative.</w:t>
      </w:r>
    </w:p>
    <w:p w:rsidR="006835A8" w:rsidRPr="006835A8" w:rsidRDefault="006835A8" w:rsidP="006835A8">
      <w:pPr>
        <w:rPr>
          <w:rFonts w:ascii="Arial" w:hAnsi="Arial" w:cs="Arial"/>
          <w:sz w:val="22"/>
          <w:szCs w:val="22"/>
        </w:rPr>
      </w:pPr>
      <w:r w:rsidRPr="006835A8">
        <w:rPr>
          <w:rFonts w:ascii="Arial" w:hAnsi="Arial" w:cs="Arial"/>
          <w:sz w:val="22"/>
          <w:szCs w:val="22"/>
        </w:rPr>
        <w:t xml:space="preserve">Hare, S (2015) </w:t>
      </w:r>
      <w:r w:rsidRPr="006835A8">
        <w:rPr>
          <w:rFonts w:ascii="Arial" w:hAnsi="Arial" w:cs="Arial"/>
          <w:i/>
          <w:sz w:val="22"/>
          <w:szCs w:val="22"/>
        </w:rPr>
        <w:t xml:space="preserve">Study of gambling and health in Victoria </w:t>
      </w:r>
      <w:r w:rsidRPr="006835A8">
        <w:rPr>
          <w:rFonts w:ascii="Arial" w:hAnsi="Arial" w:cs="Arial"/>
          <w:sz w:val="22"/>
          <w:szCs w:val="22"/>
        </w:rPr>
        <w:t xml:space="preserve">Victoria Responsible Gambling Foundation and Victorian Department of Justice and Regulation, Melbourne </w:t>
      </w:r>
    </w:p>
    <w:p w:rsidR="006835A8" w:rsidRPr="006835A8" w:rsidRDefault="006835A8" w:rsidP="006835A8">
      <w:pPr>
        <w:rPr>
          <w:rFonts w:ascii="Arial" w:hAnsi="Arial" w:cs="Arial"/>
          <w:sz w:val="22"/>
          <w:szCs w:val="22"/>
        </w:rPr>
      </w:pPr>
      <w:r w:rsidRPr="006835A8">
        <w:rPr>
          <w:rFonts w:ascii="Arial" w:hAnsi="Arial" w:cs="Arial"/>
          <w:sz w:val="22"/>
          <w:szCs w:val="22"/>
        </w:rPr>
        <w:t xml:space="preserve">Hing, N. and Haw, J. (2010) </w:t>
      </w:r>
      <w:r w:rsidRPr="006835A8">
        <w:rPr>
          <w:rFonts w:ascii="Arial" w:hAnsi="Arial" w:cs="Arial"/>
          <w:i/>
          <w:sz w:val="22"/>
          <w:szCs w:val="22"/>
        </w:rPr>
        <w:t xml:space="preserve">The Influence of Venue Characteristics on a Player’s Decision to Attend a Gambling Venue </w:t>
      </w:r>
      <w:r w:rsidRPr="006835A8">
        <w:rPr>
          <w:rFonts w:ascii="Arial" w:hAnsi="Arial" w:cs="Arial"/>
          <w:sz w:val="22"/>
          <w:szCs w:val="22"/>
        </w:rPr>
        <w:t>Gambling Research Australia</w:t>
      </w:r>
    </w:p>
    <w:p w:rsidR="006835A8" w:rsidRPr="006835A8" w:rsidRDefault="006835A8" w:rsidP="006835A8">
      <w:pPr>
        <w:pStyle w:val="FootnoteText"/>
        <w:spacing w:after="120"/>
        <w:rPr>
          <w:rFonts w:ascii="Arial" w:hAnsi="Arial" w:cs="Arial"/>
          <w:sz w:val="22"/>
          <w:szCs w:val="22"/>
        </w:rPr>
      </w:pPr>
      <w:r w:rsidRPr="006835A8">
        <w:rPr>
          <w:rFonts w:ascii="Arial" w:hAnsi="Arial" w:cs="Arial"/>
          <w:sz w:val="22"/>
          <w:szCs w:val="22"/>
        </w:rPr>
        <w:t xml:space="preserve">Johansson, A., Grant, J., Kim, S., Odlaug, B., Gotestam, K. (2009) “Risk Factors for Problematic Gambling: A Critical Literature Review” </w:t>
      </w:r>
      <w:r w:rsidRPr="006835A8">
        <w:rPr>
          <w:rFonts w:ascii="Arial" w:hAnsi="Arial" w:cs="Arial"/>
          <w:i/>
          <w:sz w:val="22"/>
          <w:szCs w:val="22"/>
        </w:rPr>
        <w:t>Journal of Gambling Studies</w:t>
      </w:r>
      <w:r w:rsidRPr="006835A8">
        <w:rPr>
          <w:rFonts w:ascii="Arial" w:hAnsi="Arial" w:cs="Arial"/>
          <w:sz w:val="22"/>
          <w:szCs w:val="22"/>
        </w:rPr>
        <w:t xml:space="preserve"> Vol, 25, No 1, March 2009 p84</w:t>
      </w:r>
    </w:p>
    <w:p w:rsidR="006835A8" w:rsidRPr="006835A8" w:rsidRDefault="006835A8" w:rsidP="006835A8">
      <w:pPr>
        <w:rPr>
          <w:rFonts w:ascii="Arial" w:hAnsi="Arial" w:cs="Arial"/>
          <w:sz w:val="22"/>
          <w:szCs w:val="22"/>
        </w:rPr>
      </w:pPr>
      <w:r w:rsidRPr="006835A8">
        <w:rPr>
          <w:rFonts w:ascii="Arial" w:hAnsi="Arial" w:cs="Arial"/>
          <w:color w:val="000000"/>
          <w:sz w:val="22"/>
          <w:szCs w:val="22"/>
        </w:rPr>
        <w:t>Livingstone C. Rintoul A. &amp; Francis L. (2014) </w:t>
      </w:r>
      <w:r w:rsidRPr="006835A8">
        <w:rPr>
          <w:rFonts w:ascii="Arial" w:hAnsi="Arial" w:cs="Arial"/>
          <w:i/>
          <w:iCs/>
          <w:color w:val="000000"/>
          <w:sz w:val="22"/>
          <w:szCs w:val="22"/>
        </w:rPr>
        <w:t xml:space="preserve">What is the evidence for harm minimisation measures in gambling venues? </w:t>
      </w:r>
      <w:r w:rsidRPr="006835A8">
        <w:rPr>
          <w:rFonts w:ascii="Arial" w:hAnsi="Arial" w:cs="Arial"/>
          <w:color w:val="000000"/>
          <w:sz w:val="22"/>
          <w:szCs w:val="22"/>
        </w:rPr>
        <w:t xml:space="preserve">Evidence Base 2: </w:t>
      </w:r>
    </w:p>
    <w:p w:rsidR="006835A8" w:rsidRPr="006835A8" w:rsidRDefault="006835A8" w:rsidP="006835A8">
      <w:pPr>
        <w:rPr>
          <w:rFonts w:ascii="Arial" w:hAnsi="Arial" w:cs="Arial"/>
          <w:iCs/>
          <w:sz w:val="22"/>
          <w:szCs w:val="22"/>
        </w:rPr>
      </w:pPr>
      <w:r w:rsidRPr="006835A8">
        <w:rPr>
          <w:rFonts w:ascii="Arial" w:hAnsi="Arial" w:cs="Arial"/>
          <w:iCs/>
          <w:sz w:val="22"/>
          <w:szCs w:val="22"/>
        </w:rPr>
        <w:t xml:space="preserve">Livingstone, C et al (2012) </w:t>
      </w:r>
      <w:r w:rsidRPr="006835A8">
        <w:rPr>
          <w:rFonts w:ascii="Arial" w:hAnsi="Arial" w:cs="Arial"/>
          <w:i/>
          <w:iCs/>
          <w:sz w:val="22"/>
          <w:szCs w:val="22"/>
        </w:rPr>
        <w:t xml:space="preserve">Assessment of poker machine expenditure and community benefit claims in selected Commonwealth Electoral Divisions </w:t>
      </w:r>
      <w:r w:rsidRPr="006835A8">
        <w:rPr>
          <w:rFonts w:ascii="Arial" w:hAnsi="Arial" w:cs="Arial"/>
          <w:iCs/>
          <w:sz w:val="22"/>
          <w:szCs w:val="22"/>
        </w:rPr>
        <w:t>Uniting Care Australia</w:t>
      </w:r>
    </w:p>
    <w:p w:rsidR="006835A8" w:rsidRPr="006835A8" w:rsidRDefault="006835A8" w:rsidP="006835A8">
      <w:pPr>
        <w:pStyle w:val="FootnoteText"/>
        <w:spacing w:after="120"/>
        <w:rPr>
          <w:rFonts w:ascii="Arial" w:hAnsi="Arial" w:cs="Arial"/>
          <w:sz w:val="22"/>
          <w:szCs w:val="22"/>
        </w:rPr>
      </w:pPr>
      <w:r w:rsidRPr="006835A8">
        <w:rPr>
          <w:rFonts w:ascii="Arial" w:hAnsi="Arial" w:cs="Arial"/>
          <w:sz w:val="22"/>
          <w:szCs w:val="22"/>
        </w:rPr>
        <w:t xml:space="preserve">Miller, H. (2015) </w:t>
      </w:r>
      <w:r w:rsidRPr="006835A8">
        <w:rPr>
          <w:rFonts w:ascii="Arial" w:hAnsi="Arial" w:cs="Arial"/>
          <w:i/>
          <w:sz w:val="22"/>
          <w:szCs w:val="22"/>
        </w:rPr>
        <w:t xml:space="preserve">Background Paper. Risk Factors for Problem Gambling: Environmental, geographic, social, cultural, demographic, socio-economic, family and household. </w:t>
      </w:r>
      <w:r w:rsidRPr="006835A8">
        <w:rPr>
          <w:rFonts w:ascii="Arial" w:hAnsi="Arial" w:cs="Arial"/>
          <w:sz w:val="22"/>
          <w:szCs w:val="22"/>
        </w:rPr>
        <w:t>Victorian Responsible Gambling Foundation</w:t>
      </w:r>
    </w:p>
    <w:p w:rsidR="006835A8" w:rsidRPr="006835A8" w:rsidRDefault="006835A8" w:rsidP="006835A8">
      <w:pPr>
        <w:pStyle w:val="FootnoteText"/>
        <w:spacing w:after="120"/>
        <w:rPr>
          <w:rFonts w:ascii="Arial" w:hAnsi="Arial" w:cs="Arial"/>
          <w:sz w:val="22"/>
          <w:szCs w:val="22"/>
        </w:rPr>
      </w:pPr>
      <w:r w:rsidRPr="006835A8">
        <w:rPr>
          <w:rFonts w:ascii="Arial" w:eastAsiaTheme="minorHAnsi" w:hAnsi="Arial" w:cs="Arial"/>
          <w:sz w:val="22"/>
          <w:szCs w:val="22"/>
        </w:rPr>
        <w:t xml:space="preserve">Rockloff, M, Thorne, H, Goodwin, B, Moskovsky, N, Langham, E, Browne, M, Donaldson, P, Li, E &amp; Rose, J (2015), </w:t>
      </w:r>
      <w:r w:rsidRPr="006835A8">
        <w:rPr>
          <w:rFonts w:ascii="Arial" w:eastAsiaTheme="minorHAnsi" w:hAnsi="Arial" w:cs="Arial"/>
          <w:i/>
          <w:iCs/>
          <w:sz w:val="22"/>
          <w:szCs w:val="22"/>
        </w:rPr>
        <w:t>EGM environments that contribute to excess consumption and harm</w:t>
      </w:r>
      <w:r w:rsidRPr="006835A8">
        <w:rPr>
          <w:rFonts w:ascii="Arial" w:eastAsiaTheme="minorHAnsi" w:hAnsi="Arial" w:cs="Arial"/>
          <w:sz w:val="22"/>
          <w:szCs w:val="22"/>
        </w:rPr>
        <w:t>, Victorian Responsible Gambling Foundation, Melbourne</w:t>
      </w:r>
    </w:p>
    <w:p w:rsidR="006835A8" w:rsidRPr="006835A8" w:rsidRDefault="006835A8" w:rsidP="006835A8">
      <w:pPr>
        <w:rPr>
          <w:rFonts w:ascii="Arial" w:hAnsi="Arial" w:cs="Arial"/>
          <w:iCs/>
          <w:sz w:val="22"/>
          <w:szCs w:val="22"/>
        </w:rPr>
      </w:pPr>
      <w:r w:rsidRPr="006835A8">
        <w:rPr>
          <w:rFonts w:ascii="Arial" w:hAnsi="Arial" w:cs="Arial"/>
          <w:iCs/>
          <w:sz w:val="22"/>
          <w:szCs w:val="22"/>
        </w:rPr>
        <w:t xml:space="preserve">State Government of Victoria (2011) </w:t>
      </w:r>
      <w:r w:rsidRPr="006835A8">
        <w:rPr>
          <w:rFonts w:ascii="Arial" w:hAnsi="Arial" w:cs="Arial"/>
          <w:i/>
          <w:iCs/>
          <w:sz w:val="22"/>
          <w:szCs w:val="22"/>
        </w:rPr>
        <w:t xml:space="preserve">Socio-economic impacts of access to electronic gaming machines in Victoria – Effects on demand and communities </w:t>
      </w:r>
      <w:r w:rsidRPr="006835A8">
        <w:rPr>
          <w:rFonts w:ascii="Arial" w:hAnsi="Arial" w:cs="Arial"/>
          <w:iCs/>
          <w:sz w:val="22"/>
          <w:szCs w:val="22"/>
        </w:rPr>
        <w:t>Department of Justice</w:t>
      </w:r>
    </w:p>
    <w:p w:rsidR="006835A8" w:rsidRPr="006835A8" w:rsidRDefault="006835A8" w:rsidP="006835A8">
      <w:pPr>
        <w:pStyle w:val="EndnoteText"/>
        <w:spacing w:after="120"/>
        <w:rPr>
          <w:rFonts w:ascii="Arial" w:hAnsi="Arial" w:cs="Arial"/>
          <w:sz w:val="22"/>
          <w:szCs w:val="22"/>
        </w:rPr>
      </w:pPr>
      <w:r w:rsidRPr="006835A8">
        <w:rPr>
          <w:rFonts w:ascii="Arial" w:hAnsi="Arial" w:cs="Arial"/>
          <w:sz w:val="22"/>
          <w:szCs w:val="22"/>
        </w:rPr>
        <w:t xml:space="preserve">Storer, J, Abbot, M and Stubbs, J (2009) ‘Access or adaptation? A meta-analysis of surveys of problem gambling prevalence in Australian and New Zealand with respect to concentration of electronic gaming machines’ </w:t>
      </w:r>
      <w:r w:rsidRPr="006835A8">
        <w:rPr>
          <w:rFonts w:ascii="Arial" w:hAnsi="Arial" w:cs="Arial"/>
          <w:i/>
          <w:sz w:val="22"/>
          <w:szCs w:val="22"/>
        </w:rPr>
        <w:t xml:space="preserve">International Gambling Studies </w:t>
      </w:r>
      <w:r w:rsidRPr="006835A8">
        <w:rPr>
          <w:rFonts w:ascii="Arial" w:hAnsi="Arial" w:cs="Arial"/>
          <w:sz w:val="22"/>
          <w:szCs w:val="22"/>
        </w:rPr>
        <w:t>Volume. 9, No. 3, December 2009, p238</w:t>
      </w:r>
    </w:p>
    <w:p w:rsidR="006835A8" w:rsidRPr="006835A8" w:rsidRDefault="006835A8" w:rsidP="006835A8">
      <w:pPr>
        <w:rPr>
          <w:rFonts w:ascii="Arial" w:hAnsi="Arial" w:cs="Arial"/>
          <w:sz w:val="22"/>
          <w:szCs w:val="22"/>
        </w:rPr>
      </w:pPr>
      <w:r w:rsidRPr="006835A8">
        <w:rPr>
          <w:rFonts w:ascii="Arial" w:hAnsi="Arial" w:cs="Arial"/>
          <w:sz w:val="22"/>
          <w:szCs w:val="22"/>
        </w:rPr>
        <w:t xml:space="preserve">Tuffin, A and Parr, V (2008) </w:t>
      </w:r>
      <w:r w:rsidRPr="006835A8">
        <w:rPr>
          <w:rFonts w:ascii="Arial" w:hAnsi="Arial" w:cs="Arial"/>
          <w:i/>
          <w:sz w:val="22"/>
          <w:szCs w:val="22"/>
        </w:rPr>
        <w:t xml:space="preserve">Evaluation of the 6 hour shutdown of electronic gaming machines in NSW. </w:t>
      </w:r>
      <w:r w:rsidRPr="006835A8">
        <w:rPr>
          <w:rFonts w:ascii="Arial" w:hAnsi="Arial" w:cs="Arial"/>
          <w:sz w:val="22"/>
          <w:szCs w:val="22"/>
        </w:rPr>
        <w:t>NSW Office of Liquor, gaming and Racing p42</w:t>
      </w:r>
    </w:p>
    <w:p w:rsidR="006835A8" w:rsidRPr="006835A8" w:rsidRDefault="006835A8" w:rsidP="006835A8">
      <w:pPr>
        <w:rPr>
          <w:rFonts w:ascii="Arial" w:hAnsi="Arial" w:cs="Arial"/>
          <w:i/>
          <w:sz w:val="22"/>
          <w:szCs w:val="22"/>
        </w:rPr>
      </w:pPr>
      <w:r w:rsidRPr="006835A8">
        <w:rPr>
          <w:rFonts w:ascii="Arial" w:hAnsi="Arial" w:cs="Arial"/>
          <w:sz w:val="22"/>
          <w:szCs w:val="22"/>
        </w:rPr>
        <w:t xml:space="preserve">Victorian Responsible Gambling Foundation (2013) </w:t>
      </w:r>
      <w:r w:rsidRPr="006835A8">
        <w:rPr>
          <w:rFonts w:ascii="Arial" w:hAnsi="Arial" w:cs="Arial"/>
          <w:i/>
          <w:sz w:val="22"/>
          <w:szCs w:val="22"/>
        </w:rPr>
        <w:t>The Responsible Gambling Guide</w:t>
      </w:r>
    </w:p>
    <w:p w:rsidR="006835A8" w:rsidRDefault="006835A8" w:rsidP="006835A8">
      <w:pPr>
        <w:rPr>
          <w:rFonts w:ascii="Arial" w:hAnsi="Arial" w:cs="Arial"/>
          <w:sz w:val="22"/>
          <w:szCs w:val="22"/>
        </w:rPr>
      </w:pPr>
      <w:r w:rsidRPr="006835A8">
        <w:rPr>
          <w:rFonts w:ascii="Arial" w:hAnsi="Arial" w:cs="Arial"/>
          <w:sz w:val="22"/>
          <w:szCs w:val="22"/>
        </w:rPr>
        <w:t xml:space="preserve">VRGF (2014) Study of gambling and health in Victoria, </w:t>
      </w:r>
      <w:r w:rsidRPr="006835A8">
        <w:rPr>
          <w:rFonts w:ascii="Arial" w:hAnsi="Arial" w:cs="Arial"/>
          <w:iCs/>
          <w:sz w:val="22"/>
          <w:szCs w:val="22"/>
        </w:rPr>
        <w:t>Assessing gambling-related harm in Victoria: a public health perspective</w:t>
      </w:r>
      <w:r w:rsidRPr="006835A8">
        <w:rPr>
          <w:rFonts w:ascii="Arial" w:hAnsi="Arial" w:cs="Arial"/>
          <w:sz w:val="22"/>
          <w:szCs w:val="22"/>
        </w:rPr>
        <w:t>, Victorian Responsible Gambling Foundation, M</w:t>
      </w:r>
    </w:p>
    <w:p w:rsidR="00A83CEA" w:rsidRDefault="00A83CEA" w:rsidP="00A83CEA">
      <w:pPr>
        <w:spacing w:line="276" w:lineRule="auto"/>
        <w:ind w:left="720"/>
        <w:rPr>
          <w:rFonts w:ascii="Arial" w:hAnsi="Arial" w:cs="Arial"/>
        </w:rPr>
      </w:pPr>
      <w:r>
        <w:rPr>
          <w:rFonts w:ascii="Arial" w:hAnsi="Arial" w:cs="Arial"/>
        </w:rPr>
        <w:br w:type="page"/>
      </w:r>
    </w:p>
    <w:p w:rsidR="00A83CEA" w:rsidRDefault="00A83CEA" w:rsidP="00A83CEA">
      <w:pPr>
        <w:pStyle w:val="Style1"/>
        <w:numPr>
          <w:ilvl w:val="0"/>
          <w:numId w:val="0"/>
        </w:numPr>
        <w:rPr>
          <w:rFonts w:ascii="Arial" w:hAnsi="Arial"/>
        </w:rPr>
      </w:pPr>
      <w:bookmarkStart w:id="241" w:name="_Toc494291047"/>
      <w:r>
        <w:rPr>
          <w:b w:val="0"/>
        </w:rPr>
        <w:t>Appendix 2 – Social and Economic Impact Assessment Tool</w:t>
      </w:r>
      <w:bookmarkEnd w:id="241"/>
    </w:p>
    <w:p w:rsidR="00A83CEA" w:rsidRDefault="00A83CEA" w:rsidP="00A83CEA">
      <w:pPr>
        <w:rPr>
          <w:rFonts w:ascii="Arial" w:hAnsi="Arial" w:cs="Arial"/>
          <w:szCs w:val="22"/>
        </w:rPr>
      </w:pPr>
    </w:p>
    <w:p w:rsidR="00A75044" w:rsidRPr="00A75044" w:rsidRDefault="00A75044" w:rsidP="00E13EB8">
      <w:pPr>
        <w:rPr>
          <w:rFonts w:ascii="Arial" w:hAnsi="Arial"/>
        </w:rPr>
      </w:pPr>
      <w:r w:rsidRPr="00A75044">
        <w:rPr>
          <w:rFonts w:ascii="Arial" w:hAnsi="Arial" w:cs="Arial"/>
        </w:rPr>
        <w:t xml:space="preserve">The </w:t>
      </w:r>
      <w:r w:rsidRPr="00A75044">
        <w:rPr>
          <w:rFonts w:ascii="Arial" w:hAnsi="Arial" w:cs="Arial"/>
          <w:i/>
        </w:rPr>
        <w:t xml:space="preserve">City of Melbourne Gaming Social and Economic Impact Assessment Tool </w:t>
      </w:r>
      <w:r w:rsidR="00E13EB8">
        <w:rPr>
          <w:rFonts w:ascii="Arial" w:hAnsi="Arial" w:cs="Arial"/>
        </w:rPr>
        <w:t xml:space="preserve">will assist officers gather information for applications for planning permits to use and install electronic gaming machines under the Melbourne Planning Scheme and the </w:t>
      </w:r>
      <w:r w:rsidR="00E13EB8">
        <w:rPr>
          <w:rFonts w:ascii="Arial" w:hAnsi="Arial" w:cs="Arial"/>
          <w:i/>
        </w:rPr>
        <w:t xml:space="preserve">Planning and Environment Act 1987 </w:t>
      </w:r>
      <w:r w:rsidR="00E13EB8">
        <w:rPr>
          <w:rFonts w:ascii="Arial" w:hAnsi="Arial" w:cs="Arial"/>
        </w:rPr>
        <w:t xml:space="preserve">and for applications for gaming approval considered under the </w:t>
      </w:r>
      <w:r w:rsidR="00E13EB8">
        <w:rPr>
          <w:rFonts w:ascii="Arial" w:hAnsi="Arial" w:cs="Arial"/>
          <w:i/>
        </w:rPr>
        <w:t>Gambling Regulation Act 2003.</w:t>
      </w:r>
      <w:r w:rsidR="00E13EB8">
        <w:rPr>
          <w:rFonts w:ascii="Arial" w:hAnsi="Arial" w:cs="Arial"/>
        </w:rPr>
        <w:t xml:space="preserve"> </w:t>
      </w:r>
      <w:r w:rsidRPr="00A75044">
        <w:rPr>
          <w:rFonts w:ascii="Arial" w:hAnsi="Arial"/>
        </w:rPr>
        <w:t>Unless otherwise indicated, the Tool is relevant to both assessment processes.</w:t>
      </w:r>
    </w:p>
    <w:p w:rsidR="00A75044" w:rsidRPr="00A75044" w:rsidRDefault="00A75044" w:rsidP="00A83CEA">
      <w:pPr>
        <w:rPr>
          <w:rFonts w:ascii="Arial" w:hAnsi="Arial"/>
        </w:rPr>
      </w:pPr>
      <w:r w:rsidRPr="00A75044">
        <w:rPr>
          <w:rFonts w:ascii="Arial" w:hAnsi="Arial"/>
        </w:rPr>
        <w:t xml:space="preserve">The evidence base underpinning this Tool is provided in Section 8 of the </w:t>
      </w:r>
      <w:r w:rsidRPr="00A75044">
        <w:rPr>
          <w:rFonts w:ascii="Arial" w:hAnsi="Arial"/>
          <w:i/>
        </w:rPr>
        <w:t xml:space="preserve">City of Melbourne Electronic Gaming Machine Review Background Report 2017. </w:t>
      </w:r>
      <w:r w:rsidRPr="00A75044">
        <w:rPr>
          <w:rFonts w:ascii="Arial" w:hAnsi="Arial"/>
        </w:rPr>
        <w:t>Where appropriate, the Tool describes where the information may be found.</w:t>
      </w:r>
      <w:r w:rsidR="009E7279">
        <w:rPr>
          <w:rFonts w:ascii="Arial" w:hAnsi="Arial"/>
        </w:rPr>
        <w:t xml:space="preserve"> </w:t>
      </w:r>
      <w:r w:rsidRPr="00A75044">
        <w:rPr>
          <w:rFonts w:ascii="Arial" w:hAnsi="Arial"/>
        </w:rPr>
        <w:t xml:space="preserve">The Tool consists of three main sections </w:t>
      </w:r>
      <w:r w:rsidR="004C1789">
        <w:rPr>
          <w:rFonts w:ascii="Arial" w:hAnsi="Arial"/>
        </w:rPr>
        <w:t>including</w:t>
      </w:r>
      <w:r w:rsidRPr="00A75044">
        <w:rPr>
          <w:rFonts w:ascii="Arial" w:hAnsi="Arial"/>
        </w:rPr>
        <w:t xml:space="preserve"> the application details, an analysis of specific risk and protective factors that may increase or reduce the potential for the proposal to result in gambling-related harms, and the assessment of the potential benefits and harms associated with the proposal.</w:t>
      </w:r>
    </w:p>
    <w:p w:rsidR="00A83CEA" w:rsidRDefault="00A83CEA" w:rsidP="00F870B7">
      <w:pPr>
        <w:pStyle w:val="Heading2"/>
        <w:numPr>
          <w:ilvl w:val="0"/>
          <w:numId w:val="0"/>
        </w:numPr>
        <w:ind w:left="576" w:hanging="576"/>
        <w:rPr>
          <w:rFonts w:ascii="Arial" w:hAnsi="Arial" w:cs="Arial"/>
          <w:color w:val="auto"/>
        </w:rPr>
      </w:pPr>
      <w:bookmarkStart w:id="242" w:name="_Toc494291048"/>
      <w:r w:rsidRPr="00F870B7">
        <w:rPr>
          <w:rFonts w:ascii="Arial" w:hAnsi="Arial" w:cs="Arial"/>
          <w:color w:val="auto"/>
        </w:rPr>
        <w:t>Application details</w:t>
      </w:r>
      <w:bookmarkEnd w:id="242"/>
    </w:p>
    <w:p w:rsidR="00F870B7" w:rsidRPr="00F870B7" w:rsidRDefault="00F870B7" w:rsidP="00F870B7"/>
    <w:p w:rsidR="00A83CEA" w:rsidRDefault="00A75044" w:rsidP="00A83CEA">
      <w:pPr>
        <w:rPr>
          <w:rFonts w:ascii="Arial" w:hAnsi="Arial" w:cs="Arial"/>
        </w:rPr>
      </w:pPr>
      <w:r w:rsidRPr="00F870B7">
        <w:rPr>
          <w:rFonts w:ascii="Arial" w:hAnsi="Arial" w:cs="Arial"/>
        </w:rPr>
        <w:t>This section describes the physical land use context of the proposal site, the proposed changes to the design and layout (in the case of an existing venue) and the proposed changes to key gaming indicators.</w:t>
      </w:r>
    </w:p>
    <w:tbl>
      <w:tblPr>
        <w:tblStyle w:val="ListTable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34"/>
        <w:gridCol w:w="2189"/>
      </w:tblGrid>
      <w:tr w:rsidR="00A75044" w:rsidRPr="00C253A9" w:rsidTr="00A75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sz w:val="22"/>
                <w:szCs w:val="22"/>
              </w:rPr>
            </w:pPr>
            <w:r w:rsidRPr="00DE0D54">
              <w:rPr>
                <w:rFonts w:ascii="Arial" w:hAnsi="Arial" w:cs="Arial"/>
              </w:rPr>
              <w:t>Information</w:t>
            </w:r>
          </w:p>
        </w:tc>
        <w:tc>
          <w:tcPr>
            <w:tcW w:w="153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Existing</w:t>
            </w:r>
          </w:p>
        </w:tc>
        <w:tc>
          <w:tcPr>
            <w:tcW w:w="118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Proposed</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Venue address*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 xml:space="preserve">Venue type  </w:t>
            </w:r>
            <w:r w:rsidR="004C1789">
              <w:rPr>
                <w:rFonts w:ascii="Arial" w:hAnsi="Arial" w:cs="Arial"/>
              </w:rPr>
              <w:t>(</w:t>
            </w:r>
            <w:r w:rsidRPr="00DE0D54">
              <w:rPr>
                <w:rFonts w:ascii="Arial" w:hAnsi="Arial" w:cs="Arial"/>
              </w:rPr>
              <w:t>hotel or club*</w:t>
            </w:r>
            <w:r w:rsidR="004C1789">
              <w:rPr>
                <w:rFonts w:ascii="Arial" w:hAnsi="Arial" w:cs="Arial"/>
              </w:rPr>
              <w:t>)</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Number EGMs*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F870B7">
              <w:rPr>
                <w:rFonts w:ascii="Arial" w:hAnsi="Arial" w:cs="Arial"/>
              </w:rPr>
              <w:t>Total expenditure on EGMs in the venue*</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Venue net machine revenue*</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Operating hours*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Total employment EFT*</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vAlign w:val="center"/>
            <w:hideMark/>
          </w:tcPr>
          <w:p w:rsidR="00A75044" w:rsidRPr="00DE0D54" w:rsidRDefault="00A75044" w:rsidP="00A75044">
            <w:pPr>
              <w:rPr>
                <w:rFonts w:ascii="Arial" w:hAnsi="Arial" w:cs="Arial"/>
                <w:b w:val="0"/>
                <w:sz w:val="22"/>
                <w:szCs w:val="22"/>
              </w:rPr>
            </w:pPr>
            <w:r w:rsidRPr="00DE0D54">
              <w:rPr>
                <w:rFonts w:ascii="Arial" w:hAnsi="Arial" w:cs="Arial"/>
              </w:rPr>
              <w:t>Employment in gaming lounge*</w:t>
            </w:r>
          </w:p>
        </w:tc>
        <w:tc>
          <w:tcPr>
            <w:tcW w:w="1533" w:type="pct"/>
            <w:tcBorders>
              <w:top w:val="single" w:sz="4" w:space="0" w:color="auto"/>
              <w:left w:val="single" w:sz="4" w:space="0" w:color="auto"/>
              <w:bottom w:val="single" w:sz="4" w:space="0" w:color="auto"/>
              <w:right w:val="single" w:sz="4" w:space="0" w:color="auto"/>
            </w:tcBorders>
            <w:vAlign w:val="center"/>
          </w:tcPr>
          <w:p w:rsidR="00A75044" w:rsidRPr="00DE0D54" w:rsidRDefault="00A75044" w:rsidP="00A75044">
            <w:pPr>
              <w:pStyle w:val="Heading2"/>
              <w:numPr>
                <w:ilvl w:val="0"/>
                <w:numId w:val="0"/>
              </w:numPr>
              <w:spacing w:before="0"/>
              <w:ind w:left="576" w:hanging="576"/>
              <w:outlineLvl w:val="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p>
        </w:tc>
        <w:tc>
          <w:tcPr>
            <w:tcW w:w="1184" w:type="pct"/>
            <w:tcBorders>
              <w:top w:val="single" w:sz="4" w:space="0" w:color="auto"/>
              <w:left w:val="single" w:sz="4" w:space="0" w:color="auto"/>
              <w:bottom w:val="single" w:sz="4" w:space="0" w:color="auto"/>
              <w:right w:val="single" w:sz="4" w:space="0" w:color="auto"/>
            </w:tcBorders>
            <w:vAlign w:val="center"/>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Harm minimisation measures*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Non-gambling social, leisure, entertainment and recreation facilities and activities</w:t>
            </w:r>
            <w:r>
              <w:rPr>
                <w:rFonts w:ascii="Arial" w:hAnsi="Arial" w:cs="Arial"/>
              </w:rPr>
              <w:t xml:space="preserve"> (number and size in m</w:t>
            </w:r>
            <w:r w:rsidRPr="00DE0D54">
              <w:rPr>
                <w:rFonts w:ascii="Arial" w:hAnsi="Arial" w:cs="Arial"/>
                <w:vertAlign w:val="superscript"/>
              </w:rPr>
              <w:t>2</w:t>
            </w:r>
            <w:r>
              <w:rPr>
                <w:rFonts w:ascii="Arial" w:hAnsi="Arial" w:cs="Arial"/>
              </w:rPr>
              <w:t>)</w:t>
            </w:r>
            <w:r w:rsidRPr="00DE0D54">
              <w:rPr>
                <w:rFonts w:ascii="Arial" w:hAnsi="Arial" w:cs="Arial"/>
              </w:rPr>
              <w:t>*</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Location of gaming lounge in relation to non-gaming activities and facilities*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Liquor licence type and details**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Statutory community contributions*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Non-statutory community contributions*</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Land use zone of site*</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Adjoining zoning*</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Surrounding zoning*</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73520E">
            <w:pPr>
              <w:rPr>
                <w:rFonts w:ascii="Arial" w:hAnsi="Arial" w:cs="Arial"/>
                <w:b w:val="0"/>
                <w:sz w:val="22"/>
                <w:szCs w:val="22"/>
              </w:rPr>
            </w:pPr>
            <w:r w:rsidRPr="00DE0D54">
              <w:rPr>
                <w:rFonts w:ascii="Arial" w:hAnsi="Arial" w:cs="Arial"/>
              </w:rPr>
              <w:t>Density of EGMs per 1000 adults (municipal)**</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E</w:t>
            </w:r>
            <w:r>
              <w:rPr>
                <w:rFonts w:ascii="Arial" w:hAnsi="Arial" w:cs="Arial"/>
              </w:rPr>
              <w:t>GM e</w:t>
            </w:r>
            <w:r w:rsidRPr="00DE0D54">
              <w:rPr>
                <w:rFonts w:ascii="Arial" w:hAnsi="Arial" w:cs="Arial"/>
              </w:rPr>
              <w:t>xpenditure per adult (municipal)**</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283"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Adults per venue (municipal)**</w:t>
            </w:r>
          </w:p>
        </w:tc>
        <w:tc>
          <w:tcPr>
            <w:tcW w:w="153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84"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A75044" w:rsidRPr="00DE0D54" w:rsidRDefault="00A75044" w:rsidP="00A75044">
      <w:pPr>
        <w:rPr>
          <w:rFonts w:ascii="Arial" w:hAnsi="Arial" w:cs="Arial"/>
        </w:rPr>
      </w:pPr>
      <w:r w:rsidRPr="00DE0D54">
        <w:rPr>
          <w:rFonts w:ascii="Arial" w:hAnsi="Arial" w:cs="Arial"/>
        </w:rPr>
        <w:t>Source of data:</w:t>
      </w:r>
      <w:r>
        <w:rPr>
          <w:rFonts w:ascii="Arial" w:hAnsi="Arial" w:cs="Arial"/>
        </w:rPr>
        <w:t xml:space="preserve">   </w:t>
      </w:r>
      <w:r w:rsidRPr="00DE0D54">
        <w:rPr>
          <w:rFonts w:ascii="Arial" w:hAnsi="Arial" w:cs="Arial"/>
        </w:rPr>
        <w:t>*Application documentation (app docs)</w:t>
      </w:r>
      <w:r>
        <w:rPr>
          <w:rFonts w:ascii="Arial" w:hAnsi="Arial" w:cs="Arial"/>
        </w:rPr>
        <w:t xml:space="preserve">      </w:t>
      </w:r>
      <w:r w:rsidRPr="00DE0D54">
        <w:rPr>
          <w:rFonts w:ascii="Arial" w:hAnsi="Arial" w:cs="Arial"/>
        </w:rPr>
        <w:t>**VCGLR</w:t>
      </w:r>
    </w:p>
    <w:p w:rsidR="00A75044" w:rsidRDefault="00A75044" w:rsidP="00F870B7">
      <w:pPr>
        <w:pStyle w:val="Heading2"/>
        <w:numPr>
          <w:ilvl w:val="0"/>
          <w:numId w:val="0"/>
        </w:numPr>
        <w:ind w:left="576" w:hanging="576"/>
        <w:rPr>
          <w:rFonts w:ascii="Arial" w:hAnsi="Arial" w:cs="Arial"/>
          <w:color w:val="auto"/>
        </w:rPr>
      </w:pPr>
      <w:bookmarkStart w:id="243" w:name="_Toc494291049"/>
      <w:r>
        <w:rPr>
          <w:rFonts w:ascii="Arial" w:hAnsi="Arial" w:cs="Arial"/>
          <w:color w:val="auto"/>
        </w:rPr>
        <w:t>R</w:t>
      </w:r>
      <w:r w:rsidRPr="005B4EA4">
        <w:rPr>
          <w:rFonts w:ascii="Arial" w:hAnsi="Arial" w:cs="Arial"/>
          <w:color w:val="auto"/>
        </w:rPr>
        <w:t>isk and protective factors</w:t>
      </w:r>
      <w:bookmarkEnd w:id="243"/>
    </w:p>
    <w:p w:rsidR="00F870B7" w:rsidRPr="00F870B7" w:rsidRDefault="00F870B7" w:rsidP="00F870B7"/>
    <w:p w:rsidR="00A75044" w:rsidRPr="00F870B7" w:rsidRDefault="00A75044" w:rsidP="00A75044">
      <w:pPr>
        <w:rPr>
          <w:rFonts w:ascii="Arial" w:hAnsi="Arial" w:cs="Arial"/>
        </w:rPr>
      </w:pPr>
      <w:r w:rsidRPr="00F870B7">
        <w:rPr>
          <w:rFonts w:ascii="Arial" w:hAnsi="Arial" w:cs="Arial"/>
        </w:rPr>
        <w:t>This section describes specific risk and protective factors that may be associated with the proposal. The risk factors increase the potential for the proposal to contribute to gambling-related harms while the protective factors reduce the potential for the proposal to contribute to gambling-related harms.</w:t>
      </w:r>
    </w:p>
    <w:p w:rsidR="00A75044" w:rsidRPr="005B4EA4" w:rsidRDefault="00A75044" w:rsidP="00A75044">
      <w:pPr>
        <w:rPr>
          <w:rFonts w:ascii="Arial" w:hAnsi="Arial" w:cs="Arial"/>
        </w:rPr>
      </w:pPr>
      <w:r w:rsidRPr="00F870B7">
        <w:rPr>
          <w:rFonts w:ascii="Arial" w:hAnsi="Arial" w:cs="Arial"/>
        </w:rPr>
        <w:t>Columns highlighted in red represent potential risk factors and harms while columns highlighted in green represent potential protective factors and benefits.</w:t>
      </w:r>
    </w:p>
    <w:p w:rsidR="00A75044" w:rsidRDefault="00A75044" w:rsidP="00A75044">
      <w:pPr>
        <w:pStyle w:val="Heading3"/>
        <w:numPr>
          <w:ilvl w:val="0"/>
          <w:numId w:val="0"/>
        </w:numPr>
      </w:pPr>
      <w:r>
        <w:t>Venue features, design and operations</w:t>
      </w:r>
    </w:p>
    <w:p w:rsidR="00A75044" w:rsidRPr="00DE0D54" w:rsidRDefault="00A75044" w:rsidP="00A75044">
      <w:pPr>
        <w:rPr>
          <w:rFonts w:ascii="Arial" w:hAnsi="Arial" w:cs="Arial"/>
        </w:rPr>
      </w:pPr>
      <w:r w:rsidRPr="00F870B7">
        <w:rPr>
          <w:rFonts w:ascii="Arial" w:hAnsi="Arial" w:cs="Arial"/>
        </w:rPr>
        <w:t>The indicators included in this section relate to the changes to key gaming indicators associated with the proposal.</w:t>
      </w:r>
    </w:p>
    <w:tbl>
      <w:tblPr>
        <w:tblStyle w:val="ListTable31"/>
        <w:tblW w:w="5000" w:type="pct"/>
        <w:tblBorders>
          <w:insideH w:val="single" w:sz="4" w:space="0" w:color="auto"/>
          <w:insideV w:val="single" w:sz="4" w:space="0" w:color="auto"/>
        </w:tblBorders>
        <w:tblLook w:val="04A0" w:firstRow="1" w:lastRow="0" w:firstColumn="1" w:lastColumn="0" w:noHBand="0" w:noVBand="1"/>
      </w:tblPr>
      <w:tblGrid>
        <w:gridCol w:w="3149"/>
        <w:gridCol w:w="1494"/>
        <w:gridCol w:w="586"/>
        <w:gridCol w:w="579"/>
        <w:gridCol w:w="3434"/>
      </w:tblGrid>
      <w:tr w:rsidR="00A75044" w:rsidRPr="00C253A9" w:rsidTr="00A75044">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1703" w:type="pct"/>
            <w:tcBorders>
              <w:top w:val="single" w:sz="4" w:space="0" w:color="000000" w:themeColor="text1"/>
              <w:left w:val="single" w:sz="4" w:space="0" w:color="000000" w:themeColor="text1"/>
              <w:bottom w:val="single" w:sz="4" w:space="0" w:color="auto"/>
              <w:right w:val="single" w:sz="4" w:space="0" w:color="auto"/>
            </w:tcBorders>
            <w:vAlign w:val="center"/>
            <w:hideMark/>
          </w:tcPr>
          <w:p w:rsidR="00A75044" w:rsidRPr="00DE0D54" w:rsidRDefault="00A75044" w:rsidP="00A75044">
            <w:pPr>
              <w:rPr>
                <w:rFonts w:ascii="Arial" w:hAnsi="Arial" w:cs="Arial"/>
                <w:sz w:val="22"/>
                <w:szCs w:val="22"/>
              </w:rPr>
            </w:pPr>
            <w:r w:rsidRPr="00DE0D54">
              <w:rPr>
                <w:rFonts w:ascii="Arial" w:hAnsi="Arial" w:cs="Arial"/>
                <w:i/>
              </w:rPr>
              <w:t>Number of EGMs</w:t>
            </w:r>
          </w:p>
        </w:tc>
        <w:tc>
          <w:tcPr>
            <w:tcW w:w="808" w:type="pct"/>
            <w:tcBorders>
              <w:top w:val="single" w:sz="4" w:space="0" w:color="000000" w:themeColor="text1"/>
              <w:left w:val="single" w:sz="4" w:space="0" w:color="auto"/>
              <w:bottom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top w:val="single" w:sz="4" w:space="0" w:color="000000" w:themeColor="text1"/>
              <w:left w:val="single" w:sz="4" w:space="0" w:color="auto"/>
              <w:bottom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top w:val="single" w:sz="4" w:space="0" w:color="000000" w:themeColor="text1"/>
              <w:left w:val="single" w:sz="4" w:space="0" w:color="auto"/>
              <w:bottom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top w:val="single" w:sz="4" w:space="0" w:color="000000" w:themeColor="text1"/>
              <w:left w:val="single" w:sz="4" w:space="0" w:color="auto"/>
              <w:bottom w:val="single" w:sz="4" w:space="0" w:color="auto"/>
              <w:right w:val="single" w:sz="4" w:space="0" w:color="000000" w:themeColor="text1"/>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Pr>
                <w:rFonts w:ascii="Arial" w:hAnsi="Arial" w:cs="Arial"/>
              </w:rPr>
              <w:t>Results in</w:t>
            </w:r>
            <w:r w:rsidRPr="00DE0D54">
              <w:rPr>
                <w:rFonts w:ascii="Arial" w:hAnsi="Arial" w:cs="Arial"/>
              </w:rPr>
              <w:t xml:space="preserve"> net increase in the number of EGMs in the municipality</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i/>
                <w:sz w:val="22"/>
                <w:szCs w:val="22"/>
              </w:rPr>
            </w:pPr>
            <w:r w:rsidRPr="00DE0D54">
              <w:rPr>
                <w:rFonts w:ascii="Arial" w:hAnsi="Arial" w:cs="Arial"/>
                <w:i/>
              </w:rPr>
              <w:t>Density</w:t>
            </w:r>
          </w:p>
        </w:tc>
        <w:tc>
          <w:tcPr>
            <w:tcW w:w="80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Pr>
                <w:rFonts w:ascii="Arial" w:hAnsi="Arial" w:cs="Arial"/>
              </w:rPr>
              <w:t>Results</w:t>
            </w:r>
            <w:r w:rsidRPr="00DE0D54">
              <w:rPr>
                <w:rFonts w:ascii="Arial" w:hAnsi="Arial" w:cs="Arial"/>
              </w:rPr>
              <w:t xml:space="preserve"> in a net increase in density of EGMs per 1,000 adults</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Pr>
                <w:rFonts w:ascii="Arial" w:hAnsi="Arial" w:cs="Arial"/>
              </w:rPr>
              <w:t>Results</w:t>
            </w:r>
            <w:r w:rsidRPr="00DE0D54">
              <w:rPr>
                <w:rFonts w:ascii="Arial" w:hAnsi="Arial" w:cs="Arial"/>
              </w:rPr>
              <w:t xml:space="preserve"> in a density of EGMs per 1,000 adults that is greater than the metropolitan average</w:t>
            </w:r>
          </w:p>
        </w:tc>
        <w:tc>
          <w:tcPr>
            <w:tcW w:w="808"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VCGLR</w:t>
            </w:r>
          </w:p>
        </w:tc>
        <w:tc>
          <w:tcPr>
            <w:tcW w:w="317"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58"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shd w:val="clear" w:color="auto" w:fill="000000" w:themeFill="text1"/>
            <w:hideMark/>
          </w:tcPr>
          <w:p w:rsidR="00A75044" w:rsidRPr="00DE0D54" w:rsidRDefault="00A75044" w:rsidP="00A75044">
            <w:pPr>
              <w:rPr>
                <w:rFonts w:ascii="Arial" w:hAnsi="Arial" w:cs="Arial"/>
                <w:i/>
                <w:sz w:val="22"/>
                <w:szCs w:val="22"/>
              </w:rPr>
            </w:pPr>
            <w:r w:rsidRPr="00DE0D54">
              <w:rPr>
                <w:rFonts w:ascii="Arial" w:hAnsi="Arial" w:cs="Arial"/>
                <w:i/>
              </w:rPr>
              <w:t>Venue</w:t>
            </w:r>
          </w:p>
        </w:tc>
        <w:tc>
          <w:tcPr>
            <w:tcW w:w="808"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left w:val="single" w:sz="4" w:space="0" w:color="000000" w:themeColor="text1"/>
              <w:right w:val="single" w:sz="4" w:space="0" w:color="000000" w:themeColor="text1"/>
            </w:tcBorders>
            <w:shd w:val="clear" w:color="auto" w:fill="000000" w:themeFill="text1"/>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Results in increase in number of venues in municipality</w:t>
            </w:r>
          </w:p>
        </w:tc>
        <w:tc>
          <w:tcPr>
            <w:tcW w:w="808"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58"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Located in area covered by Regional Cap</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VCGLR</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Expenditure</w:t>
            </w:r>
          </w:p>
        </w:tc>
        <w:tc>
          <w:tcPr>
            <w:tcW w:w="80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Has an expenditure per attached EGM entitlement above the average for the City of Melbourne</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VCGLR</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Results in an increase in expenditure per adult</w:t>
            </w:r>
          </w:p>
        </w:tc>
        <w:tc>
          <w:tcPr>
            <w:tcW w:w="808"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VCGLR</w:t>
            </w:r>
          </w:p>
        </w:tc>
        <w:tc>
          <w:tcPr>
            <w:tcW w:w="317"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58"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Results in an expenditure per adult that is above the average for metro Councils</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VCGLR</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Employment</w:t>
            </w:r>
          </w:p>
        </w:tc>
        <w:tc>
          <w:tcPr>
            <w:tcW w:w="80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Increases number of people employed in the gaming room</w:t>
            </w:r>
          </w:p>
        </w:tc>
        <w:tc>
          <w:tcPr>
            <w:tcW w:w="808"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Operating hours</w:t>
            </w:r>
          </w:p>
        </w:tc>
        <w:tc>
          <w:tcPr>
            <w:tcW w:w="80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7"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1858"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Operates after 2am</w:t>
            </w:r>
          </w:p>
        </w:tc>
        <w:tc>
          <w:tcPr>
            <w:tcW w:w="808"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3"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58"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Operates 24 hours per day</w:t>
            </w:r>
          </w:p>
        </w:tc>
        <w:tc>
          <w:tcPr>
            <w:tcW w:w="808"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17"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3"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58"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bl>
    <w:p w:rsidR="00A75044" w:rsidRDefault="00A75044" w:rsidP="00A75044">
      <w:pPr>
        <w:rPr>
          <w:b/>
          <w:sz w:val="28"/>
        </w:rPr>
      </w:pPr>
    </w:p>
    <w:p w:rsidR="00A75044" w:rsidRDefault="00A75044" w:rsidP="00A75044">
      <w:pPr>
        <w:spacing w:line="276" w:lineRule="auto"/>
        <w:ind w:left="720"/>
        <w:rPr>
          <w:b/>
          <w:sz w:val="28"/>
        </w:rPr>
      </w:pPr>
      <w:r>
        <w:rPr>
          <w:b/>
          <w:sz w:val="28"/>
        </w:rPr>
        <w:br w:type="page"/>
      </w:r>
    </w:p>
    <w:p w:rsidR="00A75044" w:rsidRDefault="00A75044" w:rsidP="00A75044">
      <w:r>
        <w:rPr>
          <w:b/>
          <w:sz w:val="28"/>
        </w:rPr>
        <w:t>Venue features, design and operations</w:t>
      </w:r>
      <w:r w:rsidRPr="005B4EA4">
        <w:rPr>
          <w:b/>
          <w:sz w:val="28"/>
        </w:rPr>
        <w:t xml:space="preserve"> continued</w:t>
      </w:r>
    </w:p>
    <w:tbl>
      <w:tblPr>
        <w:tblStyle w:val="ListTable31"/>
        <w:tblW w:w="5000" w:type="pct"/>
        <w:tblBorders>
          <w:insideH w:val="single" w:sz="4" w:space="0" w:color="auto"/>
          <w:insideV w:val="single" w:sz="4" w:space="0" w:color="auto"/>
        </w:tblBorders>
        <w:tblLook w:val="04A0" w:firstRow="1" w:lastRow="0" w:firstColumn="1" w:lastColumn="0" w:noHBand="0" w:noVBand="1"/>
      </w:tblPr>
      <w:tblGrid>
        <w:gridCol w:w="1539"/>
        <w:gridCol w:w="2278"/>
        <w:gridCol w:w="726"/>
        <w:gridCol w:w="502"/>
        <w:gridCol w:w="4197"/>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sz w:val="22"/>
                <w:szCs w:val="22"/>
              </w:rPr>
            </w:pPr>
            <w:r w:rsidRPr="00DE0D54">
              <w:rPr>
                <w:rFonts w:ascii="Arial" w:hAnsi="Arial" w:cs="Arial"/>
              </w:rPr>
              <w:t>Venue design</w:t>
            </w:r>
          </w:p>
        </w:tc>
        <w:tc>
          <w:tcPr>
            <w:tcW w:w="943" w:type="pct"/>
            <w:tcBorders>
              <w:left w:val="single" w:sz="4" w:space="0" w:color="auto"/>
              <w:right w:val="single" w:sz="4" w:space="0" w:color="auto"/>
            </w:tcBorders>
            <w:vAlign w:val="center"/>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75127">
              <w:rPr>
                <w:rFonts w:ascii="Arial" w:hAnsi="Arial" w:cs="Arial"/>
              </w:rPr>
              <w:t>Data Source</w:t>
            </w:r>
          </w:p>
        </w:tc>
        <w:tc>
          <w:tcPr>
            <w:tcW w:w="393" w:type="pct"/>
            <w:tcBorders>
              <w:left w:val="single" w:sz="4" w:space="0" w:color="auto"/>
              <w:right w:val="single" w:sz="4" w:space="0" w:color="auto"/>
            </w:tcBorders>
            <w:vAlign w:val="center"/>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75127">
              <w:rPr>
                <w:rFonts w:ascii="Arial" w:hAnsi="Arial" w:cs="Arial"/>
              </w:rPr>
              <w:t>Yes</w:t>
            </w:r>
          </w:p>
        </w:tc>
        <w:tc>
          <w:tcPr>
            <w:tcW w:w="314" w:type="pct"/>
            <w:tcBorders>
              <w:left w:val="single" w:sz="4" w:space="0" w:color="auto"/>
              <w:right w:val="single" w:sz="4" w:space="0" w:color="auto"/>
            </w:tcBorders>
            <w:vAlign w:val="center"/>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2"/>
                <w:szCs w:val="22"/>
              </w:rPr>
            </w:pPr>
            <w:r w:rsidRPr="00275127">
              <w:rPr>
                <w:rFonts w:ascii="Arial" w:hAnsi="Arial" w:cs="Arial"/>
              </w:rPr>
              <w:t>No</w:t>
            </w:r>
          </w:p>
        </w:tc>
        <w:tc>
          <w:tcPr>
            <w:tcW w:w="1622" w:type="pct"/>
            <w:tcBorders>
              <w:left w:val="single" w:sz="4" w:space="0" w:color="000000" w:themeColor="text1"/>
              <w:right w:val="single" w:sz="4" w:space="0" w:color="000000" w:themeColor="text1"/>
            </w:tcBorders>
            <w:vAlign w:val="center"/>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75127">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Gaming room visible from front entrance</w:t>
            </w:r>
          </w:p>
        </w:tc>
        <w:tc>
          <w:tcPr>
            <w:tcW w:w="943" w:type="pct"/>
            <w:tcBorders>
              <w:left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rPr>
              <w:t xml:space="preserve">Site visit </w:t>
            </w:r>
            <w:r w:rsidRPr="005B4EA4">
              <w:rPr>
                <w:rFonts w:ascii="Arial" w:hAnsi="Arial" w:cs="Arial"/>
              </w:rPr>
              <w:t>and/or 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2"/>
              </w:rPr>
            </w:pPr>
            <w:r w:rsidRPr="005B4EA4">
              <w:rPr>
                <w:rFonts w:ascii="Arial" w:hAnsi="Arial" w:cs="Arial"/>
              </w:rPr>
              <w:t>Gaming room visible from non-gaming activities</w:t>
            </w:r>
          </w:p>
        </w:tc>
        <w:tc>
          <w:tcPr>
            <w:tcW w:w="943"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rPr>
              <w:t xml:space="preserve">Site visit </w:t>
            </w:r>
            <w:r w:rsidRPr="005B4EA4">
              <w:rPr>
                <w:rFonts w:ascii="Arial" w:hAnsi="Arial" w:cs="Arial"/>
              </w:rPr>
              <w:t>and/or app docs</w:t>
            </w:r>
          </w:p>
        </w:tc>
        <w:tc>
          <w:tcPr>
            <w:tcW w:w="393"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top w:val="single" w:sz="4" w:space="0" w:color="auto"/>
              <w:left w:val="single" w:sz="4" w:space="0" w:color="auto"/>
              <w:bottom w:val="single" w:sz="4" w:space="0" w:color="auto"/>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 xml:space="preserve">Gaming room visible and audible from children’s play area </w:t>
            </w:r>
          </w:p>
        </w:tc>
        <w:tc>
          <w:tcPr>
            <w:tcW w:w="943" w:type="pct"/>
            <w:tcBorders>
              <w:left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rPr>
              <w:t xml:space="preserve">Site visit </w:t>
            </w:r>
            <w:r w:rsidRPr="005B4EA4">
              <w:rPr>
                <w:rFonts w:ascii="Arial" w:hAnsi="Arial" w:cs="Arial"/>
              </w:rPr>
              <w:t>and/or 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2"/>
              </w:rPr>
            </w:pPr>
            <w:r w:rsidRPr="005B4EA4">
              <w:rPr>
                <w:rFonts w:ascii="Arial" w:hAnsi="Arial" w:cs="Arial"/>
              </w:rPr>
              <w:t>Gaming room accessed without having to pass through non-gambling activities.</w:t>
            </w:r>
          </w:p>
        </w:tc>
        <w:tc>
          <w:tcPr>
            <w:tcW w:w="943"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rPr>
              <w:t xml:space="preserve">Site visit </w:t>
            </w:r>
            <w:r w:rsidRPr="005B4EA4">
              <w:rPr>
                <w:rFonts w:ascii="Arial" w:hAnsi="Arial" w:cs="Arial"/>
              </w:rPr>
              <w:t>and/or app docs</w:t>
            </w:r>
          </w:p>
        </w:tc>
        <w:tc>
          <w:tcPr>
            <w:tcW w:w="393"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top w:val="single" w:sz="4" w:space="0" w:color="auto"/>
              <w:left w:val="single" w:sz="4" w:space="0" w:color="auto"/>
              <w:bottom w:val="single" w:sz="4" w:space="0" w:color="auto"/>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EGMs visible from footpath and street</w:t>
            </w:r>
          </w:p>
        </w:tc>
        <w:tc>
          <w:tcPr>
            <w:tcW w:w="943" w:type="pct"/>
            <w:tcBorders>
              <w:left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2335B">
              <w:rPr>
                <w:rFonts w:ascii="Arial" w:hAnsi="Arial" w:cs="Arial"/>
              </w:rPr>
              <w:t>Site visit and/or 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2"/>
              </w:rPr>
            </w:pPr>
            <w:r w:rsidRPr="005B4EA4">
              <w:rPr>
                <w:rFonts w:ascii="Arial" w:hAnsi="Arial" w:cs="Arial"/>
              </w:rPr>
              <w:t>Smoking area attached to gaming lounge.</w:t>
            </w:r>
          </w:p>
        </w:tc>
        <w:tc>
          <w:tcPr>
            <w:tcW w:w="943"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2335B">
              <w:rPr>
                <w:rFonts w:ascii="Arial" w:hAnsi="Arial" w:cs="Arial"/>
              </w:rPr>
              <w:t>Site visit and/or app docs</w:t>
            </w:r>
          </w:p>
        </w:tc>
        <w:tc>
          <w:tcPr>
            <w:tcW w:w="393"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top w:val="single" w:sz="4" w:space="0" w:color="auto"/>
              <w:left w:val="single" w:sz="4" w:space="0" w:color="auto"/>
              <w:bottom w:val="single" w:sz="4" w:space="0" w:color="auto"/>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275127"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Serving of alcohol</w:t>
            </w:r>
          </w:p>
        </w:tc>
        <w:tc>
          <w:tcPr>
            <w:tcW w:w="94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75127">
              <w:rPr>
                <w:rFonts w:ascii="Arial" w:hAnsi="Arial" w:cs="Arial"/>
              </w:rPr>
              <w:t>Data Source</w:t>
            </w:r>
          </w:p>
        </w:tc>
        <w:tc>
          <w:tcPr>
            <w:tcW w:w="39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75127">
              <w:rPr>
                <w:rFonts w:ascii="Arial" w:hAnsi="Arial" w:cs="Arial"/>
              </w:rPr>
              <w:t>Yes</w:t>
            </w:r>
          </w:p>
        </w:tc>
        <w:tc>
          <w:tcPr>
            <w:tcW w:w="31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275127">
              <w:rPr>
                <w:rFonts w:ascii="Arial" w:hAnsi="Arial" w:cs="Arial"/>
              </w:rPr>
              <w:t>No</w:t>
            </w:r>
          </w:p>
        </w:tc>
        <w:tc>
          <w:tcPr>
            <w:tcW w:w="1622"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75127">
              <w:rPr>
                <w:rFonts w:ascii="Arial" w:hAnsi="Arial" w:cs="Arial"/>
              </w:rPr>
              <w:t>Comment</w:t>
            </w: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Alcohol served in gaming room after other areas of venue closed.</w:t>
            </w:r>
          </w:p>
        </w:tc>
        <w:tc>
          <w:tcPr>
            <w:tcW w:w="943"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B4EA4">
              <w:rPr>
                <w:rFonts w:ascii="Arial" w:hAnsi="Arial" w:cs="Arial"/>
              </w:rPr>
              <w:t>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275127"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Venue operations and management</w:t>
            </w:r>
          </w:p>
        </w:tc>
        <w:tc>
          <w:tcPr>
            <w:tcW w:w="94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75127">
              <w:rPr>
                <w:rFonts w:ascii="Arial" w:hAnsi="Arial" w:cs="Arial"/>
                <w:b/>
              </w:rPr>
              <w:t>Data Source</w:t>
            </w:r>
          </w:p>
        </w:tc>
        <w:tc>
          <w:tcPr>
            <w:tcW w:w="39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75127">
              <w:rPr>
                <w:rFonts w:ascii="Arial" w:hAnsi="Arial" w:cs="Arial"/>
                <w:b/>
              </w:rPr>
              <w:t>Yes</w:t>
            </w:r>
          </w:p>
        </w:tc>
        <w:tc>
          <w:tcPr>
            <w:tcW w:w="314"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22"/>
                <w:szCs w:val="22"/>
              </w:rPr>
            </w:pPr>
            <w:r w:rsidRPr="00275127">
              <w:rPr>
                <w:rFonts w:ascii="Arial" w:hAnsi="Arial" w:cs="Arial"/>
                <w:b/>
              </w:rPr>
              <w:t>No</w:t>
            </w:r>
          </w:p>
        </w:tc>
        <w:tc>
          <w:tcPr>
            <w:tcW w:w="1622" w:type="pct"/>
            <w:tcBorders>
              <w:top w:val="single" w:sz="4" w:space="0" w:color="auto"/>
              <w:left w:val="single" w:sz="4" w:space="0" w:color="auto"/>
              <w:bottom w:val="single" w:sz="4" w:space="0" w:color="auto"/>
              <w:right w:val="single" w:sz="4" w:space="0" w:color="000000" w:themeColor="text1"/>
            </w:tcBorders>
            <w:shd w:val="clear" w:color="auto" w:fill="000000" w:themeFill="text1"/>
            <w:vAlign w:val="center"/>
            <w:hideMark/>
          </w:tcPr>
          <w:p w:rsidR="00A75044" w:rsidRPr="0027512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275127">
              <w:rPr>
                <w:rFonts w:ascii="Arial" w:hAnsi="Arial" w:cs="Arial"/>
                <w:b/>
              </w:rPr>
              <w:t>Comment</w:t>
            </w: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Venue operates a rewards system.</w:t>
            </w:r>
          </w:p>
        </w:tc>
        <w:tc>
          <w:tcPr>
            <w:tcW w:w="943"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rPr>
              <w:t xml:space="preserve">Site visit </w:t>
            </w:r>
            <w:r w:rsidRPr="005B4EA4">
              <w:rPr>
                <w:rFonts w:ascii="Arial" w:hAnsi="Arial" w:cs="Arial"/>
              </w:rPr>
              <w:t>and/or 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2"/>
              </w:rPr>
            </w:pPr>
            <w:r w:rsidRPr="005B4EA4">
              <w:rPr>
                <w:rFonts w:ascii="Arial" w:hAnsi="Arial" w:cs="Arial"/>
              </w:rPr>
              <w:t>Only proposes statutory harm minimisation measures.</w:t>
            </w:r>
          </w:p>
        </w:tc>
        <w:tc>
          <w:tcPr>
            <w:tcW w:w="943"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B4EA4">
              <w:rPr>
                <w:rFonts w:ascii="Arial" w:hAnsi="Arial" w:cs="Arial"/>
              </w:rPr>
              <w:t xml:space="preserve">App docs </w:t>
            </w:r>
          </w:p>
        </w:tc>
        <w:tc>
          <w:tcPr>
            <w:tcW w:w="393"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622" w:type="pct"/>
            <w:tcBorders>
              <w:top w:val="single" w:sz="4" w:space="0" w:color="auto"/>
              <w:left w:val="single" w:sz="4" w:space="0" w:color="auto"/>
              <w:bottom w:val="single" w:sz="4" w:space="0" w:color="auto"/>
              <w:right w:val="single" w:sz="4" w:space="0" w:color="000000" w:themeColor="text1"/>
            </w:tcBorders>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Only proposes statutory community contributions</w:t>
            </w:r>
          </w:p>
        </w:tc>
        <w:tc>
          <w:tcPr>
            <w:tcW w:w="943"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B4EA4">
              <w:rPr>
                <w:rFonts w:ascii="Arial" w:hAnsi="Arial" w:cs="Arial"/>
              </w:rPr>
              <w:t xml:space="preserve">App docs </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2"/>
              </w:rPr>
            </w:pPr>
            <w:r w:rsidRPr="005B4EA4">
              <w:rPr>
                <w:rFonts w:ascii="Arial" w:hAnsi="Arial" w:cs="Arial"/>
              </w:rPr>
              <w:t>Incorporates other gambling activities</w:t>
            </w:r>
          </w:p>
        </w:tc>
        <w:tc>
          <w:tcPr>
            <w:tcW w:w="943"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08E1">
              <w:rPr>
                <w:rFonts w:ascii="Arial" w:hAnsi="Arial" w:cs="Arial"/>
              </w:rPr>
              <w:t>Site visit and/or app docs</w:t>
            </w:r>
          </w:p>
        </w:tc>
        <w:tc>
          <w:tcPr>
            <w:tcW w:w="393"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4"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622" w:type="pct"/>
            <w:tcBorders>
              <w:top w:val="single" w:sz="4" w:space="0" w:color="auto"/>
              <w:left w:val="single" w:sz="4" w:space="0" w:color="auto"/>
              <w:bottom w:val="single" w:sz="4" w:space="0" w:color="auto"/>
              <w:right w:val="single" w:sz="4" w:space="0" w:color="000000" w:themeColor="text1"/>
            </w:tcBorders>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0" w:type="pct"/>
            <w:tcBorders>
              <w:left w:val="single" w:sz="4" w:space="0" w:color="000000" w:themeColor="text1"/>
              <w:right w:val="single" w:sz="4" w:space="0" w:color="000000" w:themeColor="text1"/>
            </w:tcBorders>
            <w:hideMark/>
          </w:tcPr>
          <w:p w:rsidR="00A75044" w:rsidRPr="005B4EA4" w:rsidRDefault="00A75044" w:rsidP="00A75044">
            <w:pPr>
              <w:rPr>
                <w:rFonts w:ascii="Arial" w:hAnsi="Arial" w:cs="Arial"/>
                <w:b w:val="0"/>
                <w:sz w:val="22"/>
                <w:szCs w:val="22"/>
              </w:rPr>
            </w:pPr>
            <w:r w:rsidRPr="005B4EA4">
              <w:rPr>
                <w:rFonts w:ascii="Arial" w:hAnsi="Arial" w:cs="Arial"/>
              </w:rPr>
              <w:t>Has gambling as the main form of entertainment</w:t>
            </w:r>
          </w:p>
        </w:tc>
        <w:tc>
          <w:tcPr>
            <w:tcW w:w="943"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08E1">
              <w:rPr>
                <w:rFonts w:ascii="Arial" w:hAnsi="Arial" w:cs="Arial"/>
              </w:rPr>
              <w:t>Site visit and/or app docs</w:t>
            </w:r>
          </w:p>
        </w:tc>
        <w:tc>
          <w:tcPr>
            <w:tcW w:w="393" w:type="pct"/>
            <w:tcBorders>
              <w:left w:val="single" w:sz="4" w:space="0" w:color="auto"/>
              <w:right w:val="single" w:sz="4" w:space="0" w:color="auto"/>
            </w:tcBorders>
            <w:shd w:val="clear" w:color="auto" w:fill="FF000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4" w:type="pct"/>
            <w:tcBorders>
              <w:left w:val="single" w:sz="4" w:space="0" w:color="auto"/>
              <w:right w:val="single" w:sz="4" w:space="0" w:color="auto"/>
            </w:tcBorders>
            <w:shd w:val="clear" w:color="auto" w:fill="92D050"/>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622" w:type="pct"/>
            <w:tcBorders>
              <w:left w:val="single" w:sz="4" w:space="0" w:color="000000" w:themeColor="text1"/>
              <w:right w:val="single" w:sz="4" w:space="0" w:color="000000" w:themeColor="text1"/>
            </w:tcBorders>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bl>
    <w:p w:rsidR="00A75044" w:rsidRDefault="00A75044" w:rsidP="00A75044"/>
    <w:p w:rsidR="00A75044" w:rsidRDefault="00A75044" w:rsidP="00A75044">
      <w:pPr>
        <w:pStyle w:val="Heading3"/>
        <w:numPr>
          <w:ilvl w:val="0"/>
          <w:numId w:val="0"/>
        </w:numPr>
      </w:pPr>
      <w:r>
        <w:t>Potential to contribute to convenience gambling</w:t>
      </w:r>
    </w:p>
    <w:p w:rsidR="00A75044" w:rsidRPr="00DE0D54" w:rsidRDefault="00A75044" w:rsidP="00A75044">
      <w:pPr>
        <w:rPr>
          <w:rFonts w:ascii="Arial" w:hAnsi="Arial" w:cs="Arial"/>
        </w:rPr>
      </w:pPr>
      <w:r w:rsidRPr="00F870B7">
        <w:rPr>
          <w:rFonts w:ascii="Arial" w:hAnsi="Arial" w:cs="Arial"/>
        </w:rPr>
        <w:t xml:space="preserve">The indicators in this section relate specifically to the land use aspects of the proposal that determine the extent to which the proposal could result in convenience gambling. These indicators are more relevant to an application for a planning permit considered under the Melbourne Planning Scheme and the </w:t>
      </w:r>
      <w:r w:rsidRPr="00F870B7">
        <w:rPr>
          <w:rFonts w:ascii="Arial" w:hAnsi="Arial" w:cs="Arial"/>
          <w:i/>
        </w:rPr>
        <w:t>Planning and Environment Act 1987.</w:t>
      </w:r>
    </w:p>
    <w:tbl>
      <w:tblPr>
        <w:tblStyle w:val="ListTable31"/>
        <w:tblW w:w="5000" w:type="pct"/>
        <w:tblBorders>
          <w:insideH w:val="single" w:sz="4" w:space="0" w:color="auto"/>
          <w:insideV w:val="single" w:sz="4" w:space="0" w:color="auto"/>
        </w:tblBorders>
        <w:tblLook w:val="04A0" w:firstRow="1" w:lastRow="0" w:firstColumn="1" w:lastColumn="0" w:noHBand="0" w:noVBand="1"/>
      </w:tblPr>
      <w:tblGrid>
        <w:gridCol w:w="3338"/>
        <w:gridCol w:w="1372"/>
        <w:gridCol w:w="917"/>
        <w:gridCol w:w="682"/>
        <w:gridCol w:w="634"/>
        <w:gridCol w:w="2299"/>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pct"/>
            <w:tcBorders>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sz w:val="22"/>
                <w:szCs w:val="22"/>
              </w:rPr>
            </w:pPr>
            <w:r w:rsidRPr="00DE0D54">
              <w:rPr>
                <w:rFonts w:ascii="Arial" w:hAnsi="Arial" w:cs="Arial"/>
              </w:rPr>
              <w:t>Land uses adjoining proposal site</w:t>
            </w:r>
          </w:p>
        </w:tc>
        <w:tc>
          <w:tcPr>
            <w:tcW w:w="742" w:type="pct"/>
            <w:tcBorders>
              <w:left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496" w:type="pct"/>
            <w:tcBorders>
              <w:left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69" w:type="pct"/>
            <w:tcBorders>
              <w:left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343" w:type="pct"/>
            <w:tcBorders>
              <w:left w:val="single" w:sz="4" w:space="0" w:color="auto"/>
              <w:right w:val="single" w:sz="4" w:space="0" w:color="auto"/>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N/A</w:t>
            </w:r>
          </w:p>
        </w:tc>
        <w:tc>
          <w:tcPr>
            <w:tcW w:w="1244" w:type="pct"/>
            <w:tcBorders>
              <w:left w:val="single" w:sz="4" w:space="0" w:color="000000" w:themeColor="text1"/>
              <w:right w:val="single" w:sz="4" w:space="0" w:color="000000" w:themeColor="text1"/>
            </w:tcBorders>
            <w:vAlign w:val="center"/>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EGM gambling venue</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Shopping complex</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Strip shopping centre</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Welfare and support agency</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Train station</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Bus stop</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Tram stop</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Social housing</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Student accommodation</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Tertiary education facility</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45F1A">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6236F0"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sz w:val="22"/>
                <w:szCs w:val="22"/>
              </w:rPr>
            </w:pPr>
            <w:r w:rsidRPr="00DE0D54">
              <w:rPr>
                <w:rFonts w:ascii="Arial" w:hAnsi="Arial" w:cs="Arial"/>
              </w:rPr>
              <w:t>Land uses visible from proposal site</w:t>
            </w:r>
          </w:p>
        </w:tc>
        <w:tc>
          <w:tcPr>
            <w:tcW w:w="742" w:type="pct"/>
            <w:tcBorders>
              <w:top w:val="single" w:sz="4" w:space="0" w:color="auto"/>
              <w:left w:val="single" w:sz="4" w:space="0" w:color="auto"/>
              <w:bottom w:val="single" w:sz="4" w:space="0" w:color="auto"/>
              <w:right w:val="single" w:sz="4" w:space="0" w:color="auto"/>
            </w:tcBorders>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496" w:type="pct"/>
            <w:tcBorders>
              <w:top w:val="single" w:sz="4" w:space="0" w:color="auto"/>
              <w:left w:val="single" w:sz="4" w:space="0" w:color="auto"/>
              <w:bottom w:val="single" w:sz="4" w:space="0" w:color="auto"/>
              <w:right w:val="single" w:sz="4" w:space="0" w:color="auto"/>
            </w:tcBorders>
            <w:shd w:val="clear" w:color="auto" w:fill="FF0000"/>
            <w:vAlign w:val="center"/>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vAlign w:val="center"/>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vAlign w:val="center"/>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vAlign w:val="center"/>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EGM gambling venue</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Shopping complex</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Strip shopping centre</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Welfare and support agency</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Train station</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Bus stop</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Tram stop</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Social housing</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Student accommodation</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Tertiary education facility</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7923">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275127"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2"/>
              </w:rPr>
            </w:pPr>
            <w:r w:rsidRPr="00DE0D54">
              <w:rPr>
                <w:rFonts w:ascii="Arial" w:hAnsi="Arial" w:cs="Arial"/>
              </w:rPr>
              <w:t>Land uses within 400m of proposal site</w:t>
            </w:r>
          </w:p>
        </w:tc>
        <w:tc>
          <w:tcPr>
            <w:tcW w:w="742"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496"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75127">
              <w:rPr>
                <w:rFonts w:ascii="Arial" w:hAnsi="Arial" w:cs="Arial"/>
              </w:rPr>
              <w:t>Yes</w:t>
            </w:r>
          </w:p>
        </w:tc>
        <w:tc>
          <w:tcPr>
            <w:tcW w:w="369"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DE0D54">
              <w:rPr>
                <w:rFonts w:ascii="Arial" w:hAnsi="Arial" w:cs="Arial"/>
              </w:rPr>
              <w:t>No</w:t>
            </w:r>
          </w:p>
        </w:tc>
        <w:tc>
          <w:tcPr>
            <w:tcW w:w="343" w:type="pct"/>
            <w:tcBorders>
              <w:left w:val="single" w:sz="4" w:space="0" w:color="auto"/>
              <w:right w:val="single" w:sz="4" w:space="0" w:color="auto"/>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N/A</w:t>
            </w:r>
          </w:p>
        </w:tc>
        <w:tc>
          <w:tcPr>
            <w:tcW w:w="1244" w:type="pct"/>
            <w:tcBorders>
              <w:left w:val="single" w:sz="4" w:space="0" w:color="000000" w:themeColor="text1"/>
              <w:right w:val="single" w:sz="4" w:space="0" w:color="000000" w:themeColor="text1"/>
            </w:tcBorders>
            <w:shd w:val="clear" w:color="auto" w:fill="000000" w:themeFill="text1"/>
            <w:vAlign w:val="center"/>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EGM gambling venue</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Shopping complex</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Strip shopping centre</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Welfare and support agency</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Train station</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Bus stop</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Tram stop</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Social housing</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Student accommodation</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806" w:type="pct"/>
            <w:tcBorders>
              <w:left w:val="single" w:sz="4" w:space="0" w:color="000000" w:themeColor="text1"/>
              <w:righ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Tertiary education facility</w:t>
            </w:r>
          </w:p>
        </w:tc>
        <w:tc>
          <w:tcPr>
            <w:tcW w:w="74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69"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343" w:type="pct"/>
            <w:tcBorders>
              <w:left w:val="single" w:sz="4" w:space="0" w:color="auto"/>
              <w:right w:val="single" w:sz="4" w:space="0" w:color="auto"/>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244"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Social, leisure, entertainment and recreation uses closed when gaming room is open</w:t>
            </w:r>
          </w:p>
        </w:tc>
        <w:tc>
          <w:tcPr>
            <w:tcW w:w="74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11D9F">
              <w:rPr>
                <w:rFonts w:ascii="Arial" w:hAnsi="Arial" w:cs="Arial"/>
              </w:rPr>
              <w:t>Site visit</w:t>
            </w:r>
          </w:p>
        </w:tc>
        <w:tc>
          <w:tcPr>
            <w:tcW w:w="496"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6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343"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244"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bl>
    <w:p w:rsidR="00A75044" w:rsidRDefault="00A75044" w:rsidP="00A75044"/>
    <w:p w:rsidR="00A75044" w:rsidRPr="00DE0D54" w:rsidRDefault="00A75044" w:rsidP="00A75044">
      <w:pPr>
        <w:pStyle w:val="Heading3"/>
        <w:numPr>
          <w:ilvl w:val="0"/>
          <w:numId w:val="0"/>
        </w:numPr>
      </w:pPr>
      <w:bookmarkStart w:id="244" w:name="_Toc491959263"/>
      <w:bookmarkStart w:id="245" w:name="_Toc491964145"/>
      <w:r w:rsidRPr="00DE0D54">
        <w:rPr>
          <w:rFonts w:ascii="Arial" w:hAnsi="Arial"/>
        </w:rPr>
        <w:t>Municipal socio-economic and health profile</w:t>
      </w:r>
      <w:bookmarkEnd w:id="244"/>
      <w:bookmarkEnd w:id="245"/>
    </w:p>
    <w:p w:rsidR="00A75044" w:rsidRPr="00DE0D54" w:rsidRDefault="00A75044" w:rsidP="00A75044">
      <w:pPr>
        <w:rPr>
          <w:rFonts w:ascii="Arial" w:hAnsi="Arial" w:cs="Arial"/>
        </w:rPr>
      </w:pPr>
      <w:r w:rsidRPr="00F870B7">
        <w:rPr>
          <w:rFonts w:ascii="Arial" w:hAnsi="Arial" w:cs="Arial"/>
        </w:rPr>
        <w:t xml:space="preserve">This section lists the socio-economic and health factors that are associated with gambling-related harms at a municipal level. Where the proportion of each indicator is above that of Victoria, it represents a risk factor. Conversely, where the indicator is below that of Victoria, it represents a protective factor. </w:t>
      </w:r>
    </w:p>
    <w:tbl>
      <w:tblPr>
        <w:tblStyle w:val="ListTable31"/>
        <w:tblW w:w="5000" w:type="pct"/>
        <w:tblBorders>
          <w:insideH w:val="single" w:sz="4" w:space="0" w:color="auto"/>
          <w:insideV w:val="single" w:sz="4" w:space="0" w:color="auto"/>
        </w:tblBorders>
        <w:tblLook w:val="04A0" w:firstRow="1" w:lastRow="0" w:firstColumn="1" w:lastColumn="0" w:noHBand="0" w:noVBand="1"/>
      </w:tblPr>
      <w:tblGrid>
        <w:gridCol w:w="2983"/>
        <w:gridCol w:w="1834"/>
        <w:gridCol w:w="582"/>
        <w:gridCol w:w="571"/>
        <w:gridCol w:w="3272"/>
      </w:tblGrid>
      <w:tr w:rsidR="00A75044" w:rsidRPr="00C253A9" w:rsidTr="00A75044">
        <w:trPr>
          <w:cnfStyle w:val="100000000000" w:firstRow="1" w:lastRow="0" w:firstColumn="0" w:lastColumn="0" w:oddVBand="0" w:evenVBand="0" w:oddHBand="0" w:evenHBand="0" w:firstRowFirstColumn="0" w:firstRowLastColumn="0" w:lastRowFirstColumn="0" w:lastRowLastColumn="0"/>
          <w:trHeight w:val="547"/>
        </w:trPr>
        <w:tc>
          <w:tcPr>
            <w:cnfStyle w:val="001000000100" w:firstRow="0" w:lastRow="0" w:firstColumn="1" w:lastColumn="0" w:oddVBand="0" w:evenVBand="0" w:oddHBand="0" w:evenHBand="0" w:firstRowFirstColumn="1" w:firstRowLastColumn="0" w:lastRowFirstColumn="0" w:lastRowLastColumn="0"/>
            <w:tcW w:w="1614" w:type="pct"/>
            <w:tcBorders>
              <w:top w:val="single" w:sz="4" w:space="0" w:color="000000" w:themeColor="text1"/>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i/>
              </w:rPr>
              <w:t>Health profile</w:t>
            </w:r>
          </w:p>
        </w:tc>
        <w:tc>
          <w:tcPr>
            <w:tcW w:w="992"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5"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09"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No</w:t>
            </w:r>
          </w:p>
        </w:tc>
        <w:tc>
          <w:tcPr>
            <w:tcW w:w="1770" w:type="pct"/>
            <w:tcBorders>
              <w:top w:val="single" w:sz="4" w:space="0" w:color="000000" w:themeColor="text1"/>
              <w:left w:val="single" w:sz="4" w:space="0" w:color="auto"/>
              <w:bottom w:val="single" w:sz="4" w:space="0" w:color="auto"/>
              <w:right w:val="single" w:sz="4" w:space="0" w:color="000000" w:themeColor="text1"/>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Domestic violence</w:t>
            </w:r>
          </w:p>
        </w:tc>
        <w:tc>
          <w:tcPr>
            <w:tcW w:w="99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Crime Statistics Agency</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770"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experiencing drug and alcohol harms</w:t>
            </w:r>
          </w:p>
        </w:tc>
        <w:tc>
          <w:tcPr>
            <w:tcW w:w="99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DHHS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770"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Smokers</w:t>
            </w:r>
          </w:p>
        </w:tc>
        <w:tc>
          <w:tcPr>
            <w:tcW w:w="99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DHHS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770"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Pr>
                <w:rFonts w:ascii="Arial" w:hAnsi="Arial" w:cs="Arial"/>
              </w:rPr>
              <w:t>Gambling-related harms</w:t>
            </w:r>
          </w:p>
        </w:tc>
        <w:tc>
          <w:tcPr>
            <w:tcW w:w="99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DHHS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9"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770"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4" w:type="pct"/>
            <w:tcBorders>
              <w:top w:val="single" w:sz="4" w:space="0" w:color="auto"/>
              <w:left w:val="single" w:sz="4" w:space="0" w:color="000000" w:themeColor="text1"/>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Mental health issues</w:t>
            </w:r>
          </w:p>
        </w:tc>
        <w:tc>
          <w:tcPr>
            <w:tcW w:w="992" w:type="pct"/>
            <w:tcBorders>
              <w:top w:val="single" w:sz="4" w:space="0" w:color="auto"/>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DHHS</w:t>
            </w:r>
          </w:p>
        </w:tc>
        <w:tc>
          <w:tcPr>
            <w:tcW w:w="315" w:type="pct"/>
            <w:tcBorders>
              <w:top w:val="single" w:sz="4" w:space="0" w:color="auto"/>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09" w:type="pct"/>
            <w:tcBorders>
              <w:top w:val="single" w:sz="4" w:space="0" w:color="auto"/>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770" w:type="pct"/>
            <w:tcBorders>
              <w:top w:val="single" w:sz="4" w:space="0" w:color="auto"/>
              <w:left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bl>
    <w:p w:rsidR="00A75044" w:rsidRPr="00DE0D54" w:rsidRDefault="00A75044" w:rsidP="00A75044">
      <w:pPr>
        <w:rPr>
          <w:rFonts w:ascii="Arial" w:hAnsi="Arial" w:cs="Arial"/>
          <w:sz w:val="22"/>
          <w:szCs w:val="22"/>
        </w:rPr>
      </w:pPr>
      <w:r w:rsidRPr="00DE0D54">
        <w:rPr>
          <w:rFonts w:ascii="Arial" w:hAnsi="Arial" w:cs="Arial"/>
        </w:rPr>
        <w:t xml:space="preserve"> </w:t>
      </w:r>
    </w:p>
    <w:p w:rsidR="00A75044" w:rsidRDefault="00A75044" w:rsidP="00A75044">
      <w:pPr>
        <w:pStyle w:val="Heading3"/>
        <w:numPr>
          <w:ilvl w:val="0"/>
          <w:numId w:val="0"/>
        </w:numPr>
      </w:pPr>
      <w:bookmarkStart w:id="246" w:name="_Toc491959264"/>
      <w:bookmarkStart w:id="247" w:name="_Toc491964146"/>
      <w:r w:rsidRPr="00DE0D54">
        <w:rPr>
          <w:rFonts w:ascii="Arial" w:hAnsi="Arial"/>
        </w:rPr>
        <w:t>Socio-economic profile of catchment</w:t>
      </w:r>
      <w:bookmarkEnd w:id="246"/>
      <w:bookmarkEnd w:id="247"/>
    </w:p>
    <w:p w:rsidR="00A75044" w:rsidRDefault="00A75044" w:rsidP="00A75044">
      <w:pPr>
        <w:rPr>
          <w:rFonts w:ascii="Arial" w:hAnsi="Arial" w:cs="Arial"/>
        </w:rPr>
      </w:pPr>
      <w:r w:rsidRPr="00F870B7">
        <w:rPr>
          <w:rFonts w:ascii="Arial" w:hAnsi="Arial" w:cs="Arial"/>
        </w:rPr>
        <w:t>This section lists the socio-economic and health factors that are associated with gambling-related harms within the catchment to be served by the venue. This assessment is conducted at the Statistical Area 1 (SA1) or state suburb (SSC) where the SA1 data are not available. Where the proportion of each indicator is above the City of Melbourne, it represents a risk factor. Conversely, where the indicator is below that the City of Melbourne, it represents a protective factor.</w:t>
      </w:r>
    </w:p>
    <w:p w:rsidR="00F870B7" w:rsidRPr="00DE0D54" w:rsidRDefault="00F870B7" w:rsidP="00A75044">
      <w:pPr>
        <w:rPr>
          <w:rFonts w:ascii="Arial" w:hAnsi="Arial" w:cs="Arial"/>
        </w:rPr>
      </w:pPr>
    </w:p>
    <w:tbl>
      <w:tblPr>
        <w:tblStyle w:val="ListTable31"/>
        <w:tblW w:w="5000" w:type="pct"/>
        <w:tblBorders>
          <w:insideH w:val="single" w:sz="4" w:space="0" w:color="auto"/>
          <w:insideV w:val="single" w:sz="4" w:space="0" w:color="auto"/>
        </w:tblBorders>
        <w:tblLook w:val="04A0" w:firstRow="1" w:lastRow="0" w:firstColumn="1" w:lastColumn="0" w:noHBand="0" w:noVBand="1"/>
      </w:tblPr>
      <w:tblGrid>
        <w:gridCol w:w="3740"/>
        <w:gridCol w:w="1021"/>
        <w:gridCol w:w="582"/>
        <w:gridCol w:w="492"/>
        <w:gridCol w:w="3407"/>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23" w:type="pct"/>
            <w:tcBorders>
              <w:top w:val="single" w:sz="4" w:space="0" w:color="000000" w:themeColor="text1"/>
              <w:left w:val="single" w:sz="4" w:space="0" w:color="000000" w:themeColor="text1"/>
            </w:tcBorders>
            <w:hideMark/>
          </w:tcPr>
          <w:p w:rsidR="00A75044" w:rsidRPr="00DE0D54" w:rsidRDefault="00A75044" w:rsidP="00A75044">
            <w:pPr>
              <w:rPr>
                <w:rFonts w:ascii="Arial" w:hAnsi="Arial" w:cs="Arial"/>
                <w:sz w:val="22"/>
                <w:szCs w:val="22"/>
              </w:rPr>
            </w:pPr>
            <w:r w:rsidRPr="00DE0D54">
              <w:rPr>
                <w:rFonts w:ascii="Arial" w:hAnsi="Arial" w:cs="Arial"/>
              </w:rPr>
              <w:t xml:space="preserve">Socio-economic profile </w:t>
            </w:r>
          </w:p>
        </w:tc>
        <w:tc>
          <w:tcPr>
            <w:tcW w:w="552"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Data source</w:t>
            </w:r>
          </w:p>
        </w:tc>
        <w:tc>
          <w:tcPr>
            <w:tcW w:w="315"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266"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No</w:t>
            </w:r>
          </w:p>
        </w:tc>
        <w:tc>
          <w:tcPr>
            <w:tcW w:w="1843" w:type="pct"/>
            <w:tcBorders>
              <w:top w:val="single" w:sz="4" w:space="0" w:color="000000" w:themeColor="text1"/>
              <w:left w:val="single" w:sz="4" w:space="0" w:color="auto"/>
              <w:bottom w:val="single" w:sz="4" w:space="0" w:color="auto"/>
              <w:right w:val="single" w:sz="4" w:space="0" w:color="000000" w:themeColor="text1"/>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Socio-economic disadvantage</w:t>
            </w:r>
          </w:p>
        </w:tc>
        <w:tc>
          <w:tcPr>
            <w:tcW w:w="552"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bottom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Aboriginal and Torres Strait Islanders</w:t>
            </w:r>
          </w:p>
        </w:tc>
        <w:tc>
          <w:tcPr>
            <w:tcW w:w="55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People who had lower levels of educational attainment (Year 10 or lower)</w:t>
            </w:r>
          </w:p>
        </w:tc>
        <w:tc>
          <w:tcPr>
            <w:tcW w:w="552"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Machinery operators or drivers</w:t>
            </w:r>
          </w:p>
        </w:tc>
        <w:tc>
          <w:tcPr>
            <w:tcW w:w="55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bottom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 xml:space="preserve">Sales workers </w:t>
            </w:r>
          </w:p>
        </w:tc>
        <w:tc>
          <w:tcPr>
            <w:tcW w:w="55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Labourers</w:t>
            </w:r>
          </w:p>
        </w:tc>
        <w:tc>
          <w:tcPr>
            <w:tcW w:w="55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bottom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 xml:space="preserve">People with a personal </w:t>
            </w:r>
            <w:r w:rsidRPr="00DE0D54">
              <w:rPr>
                <w:rFonts w:ascii="Arial" w:hAnsi="Arial" w:cs="Arial"/>
                <w:color w:val="000000"/>
                <w:lang w:eastAsia="en-AU"/>
              </w:rPr>
              <w:t>annual income between $31,200 and $51,999</w:t>
            </w:r>
          </w:p>
        </w:tc>
        <w:tc>
          <w:tcPr>
            <w:tcW w:w="55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People living in households with a m</w:t>
            </w:r>
            <w:r w:rsidRPr="00DE0D54">
              <w:rPr>
                <w:rFonts w:ascii="Arial" w:hAnsi="Arial" w:cs="Arial"/>
                <w:color w:val="000000"/>
                <w:lang w:eastAsia="en-AU"/>
              </w:rPr>
              <w:t>edian annual household income $62,400 - $103,999</w:t>
            </w:r>
          </w:p>
        </w:tc>
        <w:tc>
          <w:tcPr>
            <w:tcW w:w="55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bottom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living in group households</w:t>
            </w:r>
          </w:p>
        </w:tc>
        <w:tc>
          <w:tcPr>
            <w:tcW w:w="55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73520E">
            <w:pPr>
              <w:rPr>
                <w:rFonts w:ascii="Arial" w:hAnsi="Arial" w:cs="Arial"/>
                <w:b w:val="0"/>
                <w:sz w:val="22"/>
                <w:szCs w:val="22"/>
              </w:rPr>
            </w:pPr>
            <w:r w:rsidRPr="00DE0D54">
              <w:rPr>
                <w:rFonts w:ascii="Arial" w:hAnsi="Arial" w:cs="Arial"/>
              </w:rPr>
              <w:t>Young people aged 18</w:t>
            </w:r>
            <w:r w:rsidR="0073520E">
              <w:rPr>
                <w:rFonts w:ascii="Arial" w:hAnsi="Arial" w:cs="Arial"/>
              </w:rPr>
              <w:t>–</w:t>
            </w:r>
            <w:r w:rsidRPr="00DE0D54">
              <w:rPr>
                <w:rFonts w:ascii="Arial" w:hAnsi="Arial" w:cs="Arial"/>
              </w:rPr>
              <w:t>24</w:t>
            </w:r>
          </w:p>
        </w:tc>
        <w:tc>
          <w:tcPr>
            <w:tcW w:w="55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bottom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not speaking English at home or non-Caucasians</w:t>
            </w:r>
          </w:p>
        </w:tc>
        <w:tc>
          <w:tcPr>
            <w:tcW w:w="552"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2023" w:type="pct"/>
            <w:tcBorders>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People who are unemployed or not in the workforce</w:t>
            </w:r>
          </w:p>
        </w:tc>
        <w:tc>
          <w:tcPr>
            <w:tcW w:w="552" w:type="pct"/>
            <w:tcBorders>
              <w:left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left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66" w:type="pct"/>
            <w:tcBorders>
              <w:left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43" w:type="pct"/>
            <w:tcBorders>
              <w:left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auto"/>
              <w:left w:val="single" w:sz="4" w:space="0" w:color="000000" w:themeColor="text1"/>
            </w:tcBorders>
            <w:hideMark/>
          </w:tcPr>
          <w:p w:rsidR="00A75044" w:rsidRPr="00DE0D54" w:rsidRDefault="00A75044" w:rsidP="00A75044">
            <w:pPr>
              <w:rPr>
                <w:rFonts w:ascii="Arial" w:hAnsi="Arial" w:cs="Arial"/>
                <w:b w:val="0"/>
                <w:sz w:val="22"/>
                <w:szCs w:val="22"/>
              </w:rPr>
            </w:pPr>
            <w:r w:rsidRPr="00DE0D54">
              <w:rPr>
                <w:rFonts w:ascii="Arial" w:hAnsi="Arial" w:cs="Arial"/>
              </w:rPr>
              <w:t>Migrants and people from CALD communities, particularly Asian groups including Vietnamese, Chinese and Korean</w:t>
            </w:r>
          </w:p>
        </w:tc>
        <w:tc>
          <w:tcPr>
            <w:tcW w:w="552" w:type="pct"/>
            <w:tcBorders>
              <w:top w:val="single" w:sz="4" w:space="0" w:color="auto"/>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ABS</w:t>
            </w:r>
          </w:p>
        </w:tc>
        <w:tc>
          <w:tcPr>
            <w:tcW w:w="315" w:type="pct"/>
            <w:tcBorders>
              <w:top w:val="single" w:sz="4" w:space="0" w:color="auto"/>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66" w:type="pct"/>
            <w:tcBorders>
              <w:top w:val="single" w:sz="4" w:space="0" w:color="auto"/>
              <w:left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43" w:type="pct"/>
            <w:tcBorders>
              <w:top w:val="single" w:sz="4" w:space="0" w:color="auto"/>
              <w:left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bl>
    <w:p w:rsidR="00A75044" w:rsidRPr="00DE0D54" w:rsidRDefault="00A75044" w:rsidP="00A75044">
      <w:pPr>
        <w:rPr>
          <w:rFonts w:ascii="Arial" w:eastAsiaTheme="majorEastAsia" w:hAnsi="Arial" w:cs="Arial"/>
          <w:color w:val="365F91" w:themeColor="accent1" w:themeShade="BF"/>
          <w:sz w:val="26"/>
          <w:szCs w:val="26"/>
        </w:rPr>
      </w:pPr>
    </w:p>
    <w:p w:rsidR="00A75044" w:rsidRDefault="00A75044" w:rsidP="00A75044">
      <w:pPr>
        <w:spacing w:line="276" w:lineRule="auto"/>
        <w:ind w:left="720"/>
        <w:rPr>
          <w:rFonts w:eastAsiaTheme="majorEastAsia" w:cstheme="majorBidi"/>
          <w:b/>
          <w:bCs/>
          <w:sz w:val="24"/>
        </w:rPr>
      </w:pPr>
      <w:bookmarkStart w:id="248" w:name="_Toc491959265"/>
      <w:bookmarkStart w:id="249" w:name="_Toc491964147"/>
      <w:r>
        <w:br w:type="page"/>
      </w:r>
    </w:p>
    <w:p w:rsidR="00A75044" w:rsidRDefault="00A75044" w:rsidP="00A75044">
      <w:pPr>
        <w:pStyle w:val="Heading3"/>
        <w:numPr>
          <w:ilvl w:val="0"/>
          <w:numId w:val="0"/>
        </w:numPr>
      </w:pPr>
      <w:r w:rsidRPr="00DE0D54">
        <w:rPr>
          <w:rFonts w:ascii="Arial" w:hAnsi="Arial"/>
        </w:rPr>
        <w:t>Socio-economic profile of patron profile</w:t>
      </w:r>
      <w:bookmarkEnd w:id="248"/>
      <w:bookmarkEnd w:id="249"/>
    </w:p>
    <w:p w:rsidR="00A75044" w:rsidRDefault="00A75044" w:rsidP="00A75044">
      <w:pPr>
        <w:rPr>
          <w:rFonts w:ascii="Arial" w:hAnsi="Arial" w:cs="Arial"/>
        </w:rPr>
      </w:pPr>
      <w:r w:rsidRPr="00F870B7">
        <w:rPr>
          <w:rFonts w:ascii="Arial" w:hAnsi="Arial" w:cs="Arial"/>
        </w:rPr>
        <w:t>This section lists the socio-economic and health factors that are associated with gambling-related harms within the patron profile be served by the gaming lounge in the gaming venue. This assessment is conducted for each of the suburbs included in the venue patron profile. Where the proportion of each indicator is above the City of Melbourne or the municipality where the suburbs are located if they are outside the City of Melbourne, it represents a risk factor. Conversely, where the indicator is below that the City of Melbourne or the relevant municipality, it represents a protective factor.</w:t>
      </w:r>
    </w:p>
    <w:p w:rsidR="00F870B7" w:rsidRPr="005B4EA4" w:rsidRDefault="00F870B7" w:rsidP="00A75044">
      <w:pPr>
        <w:rPr>
          <w:rFonts w:ascii="Arial" w:hAnsi="Arial" w:cs="Arial"/>
        </w:rPr>
      </w:pPr>
    </w:p>
    <w:tbl>
      <w:tblPr>
        <w:tblStyle w:val="ListTable31"/>
        <w:tblW w:w="4950" w:type="pct"/>
        <w:tblBorders>
          <w:insideH w:val="single" w:sz="4" w:space="0" w:color="auto"/>
          <w:insideV w:val="single" w:sz="4" w:space="0" w:color="auto"/>
        </w:tblBorders>
        <w:tblLook w:val="04A0" w:firstRow="1" w:lastRow="0" w:firstColumn="1" w:lastColumn="0" w:noHBand="0" w:noVBand="1"/>
      </w:tblPr>
      <w:tblGrid>
        <w:gridCol w:w="2898"/>
        <w:gridCol w:w="1746"/>
        <w:gridCol w:w="586"/>
        <w:gridCol w:w="578"/>
        <w:gridCol w:w="3342"/>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4" w:type="pct"/>
            <w:tcBorders>
              <w:top w:val="single" w:sz="4" w:space="0" w:color="000000" w:themeColor="text1"/>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sz w:val="22"/>
                <w:szCs w:val="22"/>
              </w:rPr>
            </w:pPr>
            <w:r w:rsidRPr="00DE0D54">
              <w:rPr>
                <w:rFonts w:ascii="Arial" w:hAnsi="Arial" w:cs="Arial"/>
              </w:rPr>
              <w:t xml:space="preserve">Socio-economic profile of patrons </w:t>
            </w:r>
          </w:p>
        </w:tc>
        <w:tc>
          <w:tcPr>
            <w:tcW w:w="954"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E0D54">
              <w:rPr>
                <w:rFonts w:ascii="Arial" w:hAnsi="Arial" w:cs="Arial"/>
              </w:rPr>
              <w:t>Data Source</w:t>
            </w:r>
          </w:p>
        </w:tc>
        <w:tc>
          <w:tcPr>
            <w:tcW w:w="320"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Yes</w:t>
            </w:r>
          </w:p>
        </w:tc>
        <w:tc>
          <w:tcPr>
            <w:tcW w:w="316" w:type="pct"/>
            <w:tcBorders>
              <w:top w:val="single" w:sz="4"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No</w:t>
            </w:r>
          </w:p>
        </w:tc>
        <w:tc>
          <w:tcPr>
            <w:tcW w:w="1826" w:type="pct"/>
            <w:tcBorders>
              <w:top w:val="single" w:sz="4" w:space="0" w:color="000000" w:themeColor="text1"/>
              <w:left w:val="single" w:sz="4" w:space="0" w:color="auto"/>
              <w:bottom w:val="single" w:sz="4" w:space="0" w:color="auto"/>
              <w:right w:val="single" w:sz="4" w:space="0" w:color="000000" w:themeColor="text1"/>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Socio-economic disadvantage.</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Aboriginal and Torres Strait Islanders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who had lower levels of educational attainment (Year 10 or lower)</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Community or personal services workers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Machinery operators or drivers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 xml:space="preserve">Sales workers </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Labourers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 xml:space="preserve">People with a personal </w:t>
            </w:r>
            <w:r w:rsidRPr="00DE0D54">
              <w:rPr>
                <w:rFonts w:ascii="Arial" w:hAnsi="Arial" w:cs="Arial"/>
                <w:color w:val="000000"/>
                <w:lang w:eastAsia="en-AU"/>
              </w:rPr>
              <w:t>annual income between $31,200 and $51,999</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living in households with a m</w:t>
            </w:r>
            <w:r w:rsidRPr="00DE0D54">
              <w:rPr>
                <w:rFonts w:ascii="Arial" w:hAnsi="Arial" w:cs="Arial"/>
                <w:color w:val="000000"/>
                <w:lang w:eastAsia="en-AU"/>
              </w:rPr>
              <w:t>edian annual household income $62,400 - $103,999</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living in group households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73520E">
            <w:pPr>
              <w:rPr>
                <w:rFonts w:ascii="Arial" w:hAnsi="Arial" w:cs="Arial"/>
                <w:b w:val="0"/>
                <w:sz w:val="22"/>
                <w:szCs w:val="22"/>
              </w:rPr>
            </w:pPr>
            <w:r w:rsidRPr="00DE0D54">
              <w:rPr>
                <w:rFonts w:ascii="Arial" w:hAnsi="Arial" w:cs="Arial"/>
              </w:rPr>
              <w:t>Young people aged 18</w:t>
            </w:r>
            <w:r w:rsidR="0073520E">
              <w:rPr>
                <w:rFonts w:ascii="Arial" w:hAnsi="Arial" w:cs="Arial"/>
              </w:rPr>
              <w:t>–</w:t>
            </w:r>
            <w:r w:rsidRPr="00DE0D54">
              <w:rPr>
                <w:rFonts w:ascii="Arial" w:hAnsi="Arial" w:cs="Arial"/>
              </w:rPr>
              <w:t>24</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not speaking English at home or non-Caucasi</w:t>
            </w:r>
            <w:r w:rsidR="00E70697">
              <w:rPr>
                <w:rFonts w:ascii="Arial" w:hAnsi="Arial" w:cs="Arial"/>
              </w:rPr>
              <w:t>ans</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People who are unemployed or not in the workforce</w:t>
            </w:r>
          </w:p>
        </w:tc>
        <w:tc>
          <w:tcPr>
            <w:tcW w:w="954"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auto"/>
              <w:right w:val="single" w:sz="4" w:space="0" w:color="000000" w:themeColor="text1"/>
            </w:tcBorders>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84" w:type="pct"/>
            <w:tcBorders>
              <w:top w:val="single" w:sz="4" w:space="0" w:color="auto"/>
              <w:left w:val="single" w:sz="4" w:space="0" w:color="000000" w:themeColor="text1"/>
              <w:bottom w:val="single" w:sz="4" w:space="0" w:color="000000" w:themeColor="text1"/>
              <w:right w:val="single" w:sz="4" w:space="0" w:color="auto"/>
            </w:tcBorders>
            <w:hideMark/>
          </w:tcPr>
          <w:p w:rsidR="00A75044" w:rsidRPr="00DE0D54" w:rsidRDefault="00A75044" w:rsidP="00A75044">
            <w:pPr>
              <w:rPr>
                <w:rFonts w:ascii="Arial" w:hAnsi="Arial" w:cs="Arial"/>
                <w:b w:val="0"/>
                <w:sz w:val="22"/>
                <w:szCs w:val="22"/>
              </w:rPr>
            </w:pPr>
            <w:r w:rsidRPr="00DE0D54">
              <w:rPr>
                <w:rFonts w:ascii="Arial" w:hAnsi="Arial" w:cs="Arial"/>
              </w:rPr>
              <w:t>Migrants and people from CALD communities, particularly Asian groups including Vietnamese, Chinese and Korean</w:t>
            </w:r>
          </w:p>
        </w:tc>
        <w:tc>
          <w:tcPr>
            <w:tcW w:w="954" w:type="pct"/>
            <w:tcBorders>
              <w:top w:val="single" w:sz="4" w:space="0" w:color="auto"/>
              <w:left w:val="single" w:sz="4" w:space="0" w:color="auto"/>
              <w:bottom w:val="single" w:sz="4" w:space="0" w:color="000000" w:themeColor="text1"/>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 and ABS</w:t>
            </w:r>
          </w:p>
        </w:tc>
        <w:tc>
          <w:tcPr>
            <w:tcW w:w="320" w:type="pct"/>
            <w:tcBorders>
              <w:top w:val="single" w:sz="4" w:space="0" w:color="auto"/>
              <w:left w:val="single" w:sz="4" w:space="0" w:color="auto"/>
              <w:bottom w:val="single" w:sz="4" w:space="0" w:color="000000" w:themeColor="text1"/>
              <w:right w:val="single" w:sz="4" w:space="0" w:color="auto"/>
            </w:tcBorders>
            <w:shd w:val="clear" w:color="auto" w:fill="FF000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16" w:type="pct"/>
            <w:tcBorders>
              <w:top w:val="single" w:sz="4" w:space="0" w:color="auto"/>
              <w:left w:val="single" w:sz="4" w:space="0" w:color="auto"/>
              <w:bottom w:val="single" w:sz="4" w:space="0" w:color="000000" w:themeColor="text1"/>
              <w:right w:val="single" w:sz="4" w:space="0" w:color="auto"/>
            </w:tcBorders>
            <w:shd w:val="clear" w:color="auto" w:fill="92D050"/>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c>
          <w:tcPr>
            <w:tcW w:w="1826" w:type="pct"/>
            <w:tcBorders>
              <w:top w:val="single" w:sz="4" w:space="0" w:color="auto"/>
              <w:left w:val="single" w:sz="4" w:space="0" w:color="auto"/>
              <w:bottom w:val="single" w:sz="4" w:space="0" w:color="000000" w:themeColor="text1"/>
              <w:right w:val="single" w:sz="4" w:space="0" w:color="000000" w:themeColor="text1"/>
            </w:tcBorders>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bl>
    <w:p w:rsidR="00A75044" w:rsidRDefault="00A75044" w:rsidP="00A75044"/>
    <w:p w:rsidR="00A75044" w:rsidRDefault="00A75044" w:rsidP="00A75044">
      <w:pPr>
        <w:spacing w:line="276" w:lineRule="auto"/>
        <w:ind w:left="720"/>
        <w:rPr>
          <w:rFonts w:ascii="Arial" w:eastAsiaTheme="majorEastAsia" w:hAnsi="Arial" w:cs="Arial"/>
          <w:b/>
          <w:bCs/>
          <w:color w:val="000000" w:themeColor="text1"/>
          <w:sz w:val="26"/>
          <w:szCs w:val="26"/>
        </w:rPr>
      </w:pPr>
      <w:r>
        <w:rPr>
          <w:rFonts w:ascii="Arial" w:hAnsi="Arial" w:cs="Arial"/>
        </w:rPr>
        <w:br w:type="page"/>
      </w:r>
    </w:p>
    <w:p w:rsidR="00A75044" w:rsidRDefault="00A75044" w:rsidP="00F870B7">
      <w:pPr>
        <w:pStyle w:val="Heading2"/>
        <w:numPr>
          <w:ilvl w:val="0"/>
          <w:numId w:val="0"/>
        </w:numPr>
        <w:ind w:left="576" w:hanging="576"/>
        <w:rPr>
          <w:rFonts w:ascii="Arial" w:hAnsi="Arial" w:cs="Arial"/>
          <w:color w:val="auto"/>
        </w:rPr>
      </w:pPr>
      <w:bookmarkStart w:id="250" w:name="_Toc491959266"/>
      <w:bookmarkStart w:id="251" w:name="_Toc491964148"/>
      <w:bookmarkStart w:id="252" w:name="_Toc494291050"/>
      <w:r w:rsidRPr="00DE0D54">
        <w:rPr>
          <w:rFonts w:ascii="Arial" w:hAnsi="Arial" w:cs="Arial"/>
          <w:color w:val="auto"/>
        </w:rPr>
        <w:t>Impact assessment</w:t>
      </w:r>
      <w:bookmarkEnd w:id="250"/>
      <w:bookmarkEnd w:id="251"/>
      <w:bookmarkEnd w:id="252"/>
    </w:p>
    <w:p w:rsidR="00F870B7" w:rsidRPr="00F870B7" w:rsidRDefault="00F870B7" w:rsidP="00F870B7"/>
    <w:p w:rsidR="00A75044" w:rsidRPr="00DE0D54" w:rsidRDefault="00A75044" w:rsidP="00A75044">
      <w:pPr>
        <w:rPr>
          <w:rFonts w:ascii="Arial" w:eastAsiaTheme="majorEastAsia" w:hAnsi="Arial" w:cs="Arial"/>
          <w:color w:val="365F91" w:themeColor="accent1" w:themeShade="BF"/>
          <w:sz w:val="26"/>
          <w:szCs w:val="26"/>
        </w:rPr>
      </w:pPr>
      <w:r w:rsidRPr="00F870B7">
        <w:rPr>
          <w:rFonts w:ascii="Arial" w:hAnsi="Arial" w:cs="Arial"/>
        </w:rPr>
        <w:t>The information in this section guides the assessment of the potential social and economic benefits and harms associated with the proposal. It incorporates factors physical land use factors, impacts on communities and individuals at an elevated risk of gambling-related harms and potential contributions to the community.</w:t>
      </w:r>
      <w:r w:rsidRPr="00F870B7" w:rsidDel="009E565E">
        <w:rPr>
          <w:rFonts w:ascii="Arial" w:hAnsi="Arial" w:cs="Arial"/>
        </w:rPr>
        <w:t xml:space="preserve"> </w:t>
      </w:r>
    </w:p>
    <w:p w:rsidR="00A75044" w:rsidRPr="00DE0D54" w:rsidRDefault="00A75044" w:rsidP="00A75044">
      <w:pPr>
        <w:pStyle w:val="Heading3"/>
        <w:numPr>
          <w:ilvl w:val="0"/>
          <w:numId w:val="0"/>
        </w:numPr>
      </w:pPr>
      <w:bookmarkStart w:id="253" w:name="_Toc491959267"/>
      <w:bookmarkStart w:id="254" w:name="_Toc491964149"/>
      <w:r w:rsidRPr="00DE0D54">
        <w:rPr>
          <w:rFonts w:ascii="Arial" w:hAnsi="Arial"/>
        </w:rPr>
        <w:t>Potential benefits</w:t>
      </w:r>
      <w:bookmarkEnd w:id="253"/>
      <w:bookmarkEnd w:id="254"/>
    </w:p>
    <w:tbl>
      <w:tblPr>
        <w:tblStyle w:val="LightList"/>
        <w:tblW w:w="5189" w:type="pct"/>
        <w:tblBorders>
          <w:insideH w:val="single" w:sz="4" w:space="0" w:color="auto"/>
          <w:insideV w:val="single" w:sz="4" w:space="0" w:color="auto"/>
        </w:tblBorders>
        <w:tblLook w:val="04A0" w:firstRow="1" w:lastRow="0" w:firstColumn="1" w:lastColumn="0" w:noHBand="0" w:noVBand="1"/>
      </w:tblPr>
      <w:tblGrid>
        <w:gridCol w:w="2892"/>
        <w:gridCol w:w="1315"/>
        <w:gridCol w:w="727"/>
        <w:gridCol w:w="587"/>
        <w:gridCol w:w="725"/>
        <w:gridCol w:w="3345"/>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top w:val="single" w:sz="8" w:space="0" w:color="000000" w:themeColor="text1"/>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sz w:val="22"/>
                <w:szCs w:val="20"/>
              </w:rPr>
            </w:pPr>
            <w:r w:rsidRPr="00DE0D54">
              <w:rPr>
                <w:rFonts w:ascii="Arial" w:hAnsi="Arial" w:cs="Arial"/>
                <w:szCs w:val="20"/>
              </w:rPr>
              <w:t>Social</w:t>
            </w:r>
          </w:p>
        </w:tc>
        <w:tc>
          <w:tcPr>
            <w:tcW w:w="685"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E0D54">
              <w:rPr>
                <w:rFonts w:ascii="Arial" w:hAnsi="Arial" w:cs="Arial"/>
              </w:rPr>
              <w:t>Data source</w:t>
            </w:r>
          </w:p>
        </w:tc>
        <w:tc>
          <w:tcPr>
            <w:tcW w:w="379"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No</w:t>
            </w:r>
          </w:p>
        </w:tc>
        <w:tc>
          <w:tcPr>
            <w:tcW w:w="306"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Yes</w:t>
            </w:r>
          </w:p>
        </w:tc>
        <w:tc>
          <w:tcPr>
            <w:tcW w:w="378"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N/A</w:t>
            </w:r>
          </w:p>
        </w:tc>
        <w:tc>
          <w:tcPr>
            <w:tcW w:w="1744" w:type="pct"/>
            <w:tcBorders>
              <w:top w:val="single" w:sz="8" w:space="0" w:color="000000" w:themeColor="text1"/>
              <w:left w:val="single" w:sz="4" w:space="0" w:color="auto"/>
              <w:bottom w:val="single" w:sz="4" w:space="0" w:color="auto"/>
              <w:right w:val="single" w:sz="8" w:space="0" w:color="000000" w:themeColor="text1"/>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Restoration of historic building</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Provision of new social, leisure, entertainment and recreation facilities that are available to all sectors of the community</w:t>
            </w:r>
          </w:p>
        </w:tc>
        <w:tc>
          <w:tcPr>
            <w:tcW w:w="685"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78"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744" w:type="pct"/>
            <w:tcBorders>
              <w:top w:val="single" w:sz="4" w:space="0" w:color="auto"/>
              <w:left w:val="single" w:sz="4" w:space="0" w:color="auto"/>
              <w:bottom w:val="single" w:sz="4" w:space="0" w:color="auto"/>
              <w:right w:val="single" w:sz="8" w:space="0" w:color="000000" w:themeColor="text1"/>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Upgrading of existing social, leisure, entertainment and recreation facilities that are available to all sectors of the community</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Cash and in kind contributions (over and above statutory requirements) in the City of Melbourne</w:t>
            </w:r>
          </w:p>
        </w:tc>
        <w:tc>
          <w:tcPr>
            <w:tcW w:w="685"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78"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744" w:type="pct"/>
            <w:tcBorders>
              <w:top w:val="single" w:sz="4" w:space="0" w:color="auto"/>
              <w:left w:val="single" w:sz="4" w:space="0" w:color="auto"/>
              <w:bottom w:val="single" w:sz="4" w:space="0" w:color="auto"/>
              <w:right w:val="single" w:sz="8" w:space="0" w:color="000000" w:themeColor="text1"/>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Potential for RSL clubs to deliver support and welfare services</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275127"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0"/>
              </w:rPr>
            </w:pPr>
            <w:r w:rsidRPr="00DE0D54">
              <w:rPr>
                <w:rFonts w:ascii="Arial" w:hAnsi="Arial" w:cs="Arial"/>
                <w:szCs w:val="20"/>
              </w:rPr>
              <w:t>Economic</w:t>
            </w:r>
          </w:p>
        </w:tc>
        <w:tc>
          <w:tcPr>
            <w:tcW w:w="685" w:type="pct"/>
            <w:tcBorders>
              <w:top w:val="single" w:sz="4" w:space="0" w:color="auto"/>
              <w:left w:val="single" w:sz="4" w:space="0" w:color="auto"/>
              <w:bottom w:val="single" w:sz="4" w:space="0" w:color="auto"/>
              <w:right w:val="single" w:sz="4" w:space="0" w:color="auto"/>
            </w:tcBorders>
            <w:shd w:val="clear" w:color="auto" w:fill="000000" w:themeFill="text1"/>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E0D54">
              <w:rPr>
                <w:rFonts w:ascii="Arial" w:hAnsi="Arial" w:cs="Arial"/>
                <w:b/>
              </w:rPr>
              <w:t>Data Source</w:t>
            </w:r>
          </w:p>
        </w:tc>
        <w:tc>
          <w:tcPr>
            <w:tcW w:w="379" w:type="pct"/>
            <w:tcBorders>
              <w:top w:val="single" w:sz="4" w:space="0" w:color="auto"/>
              <w:left w:val="single" w:sz="4" w:space="0" w:color="auto"/>
              <w:bottom w:val="single" w:sz="4" w:space="0" w:color="auto"/>
              <w:right w:val="single" w:sz="4" w:space="0" w:color="auto"/>
            </w:tcBorders>
            <w:shd w:val="clear" w:color="auto" w:fill="000000" w:themeFill="text1"/>
            <w:hideMark/>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0"/>
              </w:rPr>
            </w:pPr>
            <w:r w:rsidRPr="00DE0D54">
              <w:rPr>
                <w:rFonts w:ascii="Arial" w:hAnsi="Arial" w:cs="Arial"/>
                <w:b/>
                <w:szCs w:val="20"/>
              </w:rPr>
              <w:t>No</w:t>
            </w:r>
          </w:p>
        </w:tc>
        <w:tc>
          <w:tcPr>
            <w:tcW w:w="306" w:type="pct"/>
            <w:tcBorders>
              <w:top w:val="single" w:sz="4" w:space="0" w:color="auto"/>
              <w:left w:val="single" w:sz="4" w:space="0" w:color="auto"/>
              <w:bottom w:val="single" w:sz="4" w:space="0" w:color="auto"/>
              <w:right w:val="single" w:sz="4" w:space="0" w:color="auto"/>
            </w:tcBorders>
            <w:shd w:val="clear" w:color="auto" w:fill="000000" w:themeFill="text1"/>
            <w:hideMark/>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0"/>
              </w:rPr>
            </w:pPr>
            <w:r w:rsidRPr="00DE0D54">
              <w:rPr>
                <w:rFonts w:ascii="Arial" w:hAnsi="Arial" w:cs="Arial"/>
                <w:b/>
                <w:szCs w:val="20"/>
              </w:rPr>
              <w:t>Yes</w:t>
            </w:r>
          </w:p>
        </w:tc>
        <w:tc>
          <w:tcPr>
            <w:tcW w:w="378" w:type="pct"/>
            <w:tcBorders>
              <w:top w:val="single" w:sz="4" w:space="0" w:color="auto"/>
              <w:left w:val="single" w:sz="4" w:space="0" w:color="auto"/>
              <w:bottom w:val="single" w:sz="4" w:space="0" w:color="auto"/>
              <w:right w:val="single" w:sz="4" w:space="0" w:color="auto"/>
            </w:tcBorders>
            <w:shd w:val="clear" w:color="auto" w:fill="000000" w:themeFill="text1"/>
            <w:hideMark/>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0"/>
              </w:rPr>
            </w:pPr>
            <w:r w:rsidRPr="00DE0D54">
              <w:rPr>
                <w:rFonts w:ascii="Arial" w:hAnsi="Arial" w:cs="Arial"/>
                <w:b/>
                <w:szCs w:val="20"/>
              </w:rPr>
              <w:t>N/A</w:t>
            </w:r>
          </w:p>
        </w:tc>
        <w:tc>
          <w:tcPr>
            <w:tcW w:w="1744" w:type="pct"/>
            <w:tcBorders>
              <w:top w:val="single" w:sz="4" w:space="0" w:color="auto"/>
              <w:left w:val="single" w:sz="4" w:space="0" w:color="auto"/>
              <w:bottom w:val="single" w:sz="4" w:space="0" w:color="auto"/>
              <w:right w:val="single" w:sz="8" w:space="0" w:color="000000" w:themeColor="text1"/>
            </w:tcBorders>
            <w:shd w:val="clear" w:color="auto" w:fill="000000" w:themeFill="text1"/>
            <w:hideMark/>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0"/>
              </w:rPr>
            </w:pPr>
            <w:r w:rsidRPr="00DE0D54">
              <w:rPr>
                <w:rFonts w:ascii="Arial" w:hAnsi="Arial" w:cs="Arial"/>
                <w:b/>
                <w:szCs w:val="20"/>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Economic stimulus through supply contracts, investment sourced from within City of Melbourne</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 xml:space="preserve">Complementary expenditure </w:t>
            </w:r>
            <w:r>
              <w:rPr>
                <w:rFonts w:ascii="Arial" w:hAnsi="Arial" w:cs="Arial"/>
                <w:szCs w:val="20"/>
              </w:rPr>
              <w:t>increased</w:t>
            </w:r>
            <w:r w:rsidRPr="00EB3A54">
              <w:rPr>
                <w:rFonts w:ascii="Arial" w:hAnsi="Arial" w:cs="Arial"/>
                <w:szCs w:val="20"/>
              </w:rPr>
              <w:t xml:space="preserve"> in the</w:t>
            </w:r>
            <w:r w:rsidRPr="00DE0D54">
              <w:rPr>
                <w:rFonts w:ascii="Arial" w:hAnsi="Arial" w:cs="Arial"/>
                <w:szCs w:val="20"/>
              </w:rPr>
              <w:t xml:space="preserve"> City of Melbourne</w:t>
            </w:r>
          </w:p>
        </w:tc>
        <w:tc>
          <w:tcPr>
            <w:tcW w:w="685"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78"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744" w:type="pct"/>
            <w:tcBorders>
              <w:top w:val="single" w:sz="4" w:space="0" w:color="auto"/>
              <w:left w:val="single" w:sz="4" w:space="0" w:color="auto"/>
              <w:bottom w:val="single" w:sz="4" w:space="0" w:color="auto"/>
              <w:right w:val="single" w:sz="8" w:space="0" w:color="000000" w:themeColor="text1"/>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Potential for the proposal to stimulate competition</w:t>
            </w:r>
            <w:r w:rsidRPr="00DE0D54">
              <w:rPr>
                <w:rStyle w:val="FootnoteReference"/>
                <w:rFonts w:ascii="Arial" w:hAnsi="Arial" w:cs="Arial"/>
                <w:szCs w:val="20"/>
              </w:rPr>
              <w:footnoteReference w:id="1"/>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0"/>
              </w:rPr>
            </w:pPr>
            <w:r>
              <w:rPr>
                <w:rFonts w:ascii="Arial" w:hAnsi="Arial" w:cs="Arial"/>
                <w:szCs w:val="20"/>
              </w:rPr>
              <w:t>Potential to stimulate t</w:t>
            </w:r>
            <w:r w:rsidRPr="00DE0D54">
              <w:rPr>
                <w:rFonts w:ascii="Arial" w:hAnsi="Arial" w:cs="Arial"/>
                <w:szCs w:val="20"/>
              </w:rPr>
              <w:t>ourism</w:t>
            </w:r>
          </w:p>
        </w:tc>
        <w:tc>
          <w:tcPr>
            <w:tcW w:w="685"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78"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744" w:type="pct"/>
            <w:tcBorders>
              <w:top w:val="single" w:sz="4" w:space="0" w:color="auto"/>
              <w:left w:val="single" w:sz="4" w:space="0" w:color="auto"/>
              <w:bottom w:val="single" w:sz="4" w:space="0" w:color="auto"/>
              <w:right w:val="single" w:sz="8" w:space="0" w:color="000000" w:themeColor="text1"/>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Creation of additional employment sourced from the City of Melbourne</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507" w:type="pct"/>
            <w:tcBorders>
              <w:top w:val="single" w:sz="4" w:space="0" w:color="auto"/>
              <w:left w:val="single" w:sz="8" w:space="0" w:color="000000" w:themeColor="text1"/>
              <w:bottom w:val="single" w:sz="4" w:space="0" w:color="auto"/>
              <w:right w:val="single" w:sz="4" w:space="0" w:color="auto"/>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Government revenue through taxes</w:t>
            </w:r>
          </w:p>
        </w:tc>
        <w:tc>
          <w:tcPr>
            <w:tcW w:w="685" w:type="pct"/>
            <w:tcBorders>
              <w:top w:val="single" w:sz="4" w:space="0" w:color="auto"/>
              <w:left w:val="single" w:sz="4" w:space="0" w:color="auto"/>
              <w:bottom w:val="single" w:sz="4" w:space="0" w:color="auto"/>
              <w:right w:val="single" w:sz="4" w:space="0" w:color="auto"/>
            </w:tcBorders>
            <w:hideMark/>
          </w:tcPr>
          <w:p w:rsidR="00A75044" w:rsidRPr="00DE0D5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top w:val="single" w:sz="4" w:space="0" w:color="auto"/>
              <w:left w:val="single" w:sz="4" w:space="0" w:color="auto"/>
              <w:bottom w:val="single" w:sz="4" w:space="0" w:color="auto"/>
              <w:right w:val="single" w:sz="4" w:space="0" w:color="auto"/>
            </w:tcBorders>
            <w:shd w:val="clear" w:color="auto" w:fill="FF000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06" w:type="pct"/>
            <w:tcBorders>
              <w:top w:val="single" w:sz="4" w:space="0" w:color="auto"/>
              <w:left w:val="single" w:sz="4" w:space="0" w:color="auto"/>
              <w:bottom w:val="single" w:sz="4" w:space="0" w:color="auto"/>
              <w:right w:val="single" w:sz="4" w:space="0" w:color="auto"/>
            </w:tcBorders>
            <w:shd w:val="clear" w:color="auto" w:fill="92D050"/>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78" w:type="pct"/>
            <w:tcBorders>
              <w:top w:val="single" w:sz="4" w:space="0" w:color="auto"/>
              <w:left w:val="single" w:sz="4" w:space="0" w:color="auto"/>
              <w:bottom w:val="single" w:sz="4" w:space="0" w:color="auto"/>
              <w:right w:val="single" w:sz="4" w:space="0" w:color="auto"/>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744" w:type="pct"/>
            <w:tcBorders>
              <w:top w:val="single" w:sz="4" w:space="0" w:color="auto"/>
              <w:left w:val="single" w:sz="4" w:space="0" w:color="auto"/>
              <w:bottom w:val="single" w:sz="4" w:space="0" w:color="auto"/>
              <w:right w:val="single" w:sz="8" w:space="0" w:color="000000" w:themeColor="text1"/>
            </w:tcBorders>
          </w:tcPr>
          <w:p w:rsidR="00A75044" w:rsidRPr="00DE0D5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pct"/>
            <w:tcBorders>
              <w:right w:val="single" w:sz="4" w:space="0" w:color="000000" w:themeColor="text1"/>
            </w:tcBorders>
            <w:hideMark/>
          </w:tcPr>
          <w:p w:rsidR="00A75044" w:rsidRPr="00DE0D54" w:rsidRDefault="00A75044" w:rsidP="00A75044">
            <w:pPr>
              <w:rPr>
                <w:rFonts w:ascii="Arial" w:hAnsi="Arial" w:cs="Arial"/>
                <w:b w:val="0"/>
                <w:sz w:val="22"/>
                <w:szCs w:val="20"/>
              </w:rPr>
            </w:pPr>
            <w:r w:rsidRPr="00DE0D54">
              <w:rPr>
                <w:rFonts w:ascii="Arial" w:hAnsi="Arial" w:cs="Arial"/>
                <w:szCs w:val="20"/>
              </w:rPr>
              <w:t xml:space="preserve">Retention of expenditure within </w:t>
            </w:r>
            <w:r>
              <w:rPr>
                <w:rFonts w:ascii="Arial" w:hAnsi="Arial" w:cs="Arial"/>
                <w:szCs w:val="20"/>
              </w:rPr>
              <w:t>City of Melbourne</w:t>
            </w:r>
          </w:p>
        </w:tc>
        <w:tc>
          <w:tcPr>
            <w:tcW w:w="685" w:type="pct"/>
            <w:tcBorders>
              <w:left w:val="single" w:sz="4" w:space="0" w:color="auto"/>
              <w:right w:val="single" w:sz="4" w:space="0" w:color="auto"/>
            </w:tcBorders>
            <w:hideMark/>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E0D54">
              <w:rPr>
                <w:rFonts w:ascii="Arial" w:hAnsi="Arial" w:cs="Arial"/>
              </w:rPr>
              <w:t>App docs</w:t>
            </w:r>
          </w:p>
        </w:tc>
        <w:tc>
          <w:tcPr>
            <w:tcW w:w="379" w:type="pct"/>
            <w:tcBorders>
              <w:left w:val="single" w:sz="4" w:space="0" w:color="auto"/>
              <w:right w:val="single" w:sz="4" w:space="0" w:color="auto"/>
            </w:tcBorders>
            <w:shd w:val="clear" w:color="auto" w:fill="FF0000"/>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0"/>
              </w:rPr>
            </w:pPr>
          </w:p>
        </w:tc>
        <w:tc>
          <w:tcPr>
            <w:tcW w:w="306" w:type="pct"/>
            <w:tcBorders>
              <w:left w:val="single" w:sz="4" w:space="0" w:color="auto"/>
              <w:right w:val="single" w:sz="4" w:space="0" w:color="auto"/>
            </w:tcBorders>
            <w:shd w:val="clear" w:color="auto" w:fill="92D050"/>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78" w:type="pct"/>
            <w:tcBorders>
              <w:left w:val="single" w:sz="4" w:space="0" w:color="auto"/>
              <w:righ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744" w:type="pct"/>
            <w:tcBorders>
              <w:left w:val="single" w:sz="4" w:space="0" w:color="auto"/>
            </w:tcBorders>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bl>
    <w:p w:rsidR="00A75044" w:rsidRPr="00DE0D54" w:rsidRDefault="00A75044" w:rsidP="00A75044">
      <w:pPr>
        <w:rPr>
          <w:rFonts w:ascii="Arial" w:hAnsi="Arial" w:cs="Arial"/>
          <w:sz w:val="22"/>
          <w:szCs w:val="22"/>
        </w:rPr>
      </w:pPr>
    </w:p>
    <w:p w:rsidR="00A75044" w:rsidRPr="00831BF1" w:rsidRDefault="00A75044" w:rsidP="00A75044">
      <w:pPr>
        <w:pStyle w:val="Heading3"/>
        <w:numPr>
          <w:ilvl w:val="0"/>
          <w:numId w:val="0"/>
        </w:numPr>
      </w:pPr>
      <w:r w:rsidRPr="00DE0D54">
        <w:rPr>
          <w:rFonts w:cs="Arial"/>
        </w:rPr>
        <w:br w:type="page"/>
      </w:r>
      <w:r>
        <w:t>Potential harms</w:t>
      </w:r>
    </w:p>
    <w:tbl>
      <w:tblPr>
        <w:tblStyle w:val="LightList"/>
        <w:tblW w:w="5150" w:type="pct"/>
        <w:tblBorders>
          <w:insideH w:val="single" w:sz="4" w:space="0" w:color="auto"/>
          <w:insideV w:val="single" w:sz="4" w:space="0" w:color="auto"/>
        </w:tblBorders>
        <w:tblLook w:val="04A0" w:firstRow="1" w:lastRow="0" w:firstColumn="1" w:lastColumn="0" w:noHBand="0" w:noVBand="1"/>
      </w:tblPr>
      <w:tblGrid>
        <w:gridCol w:w="2318"/>
        <w:gridCol w:w="1456"/>
        <w:gridCol w:w="725"/>
        <w:gridCol w:w="727"/>
        <w:gridCol w:w="727"/>
        <w:gridCol w:w="3566"/>
      </w:tblGrid>
      <w:tr w:rsidR="00A75044" w:rsidRPr="00275127" w:rsidTr="00A75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Borders>
              <w:top w:val="single" w:sz="8" w:space="0" w:color="000000" w:themeColor="text1"/>
              <w:left w:val="single" w:sz="8" w:space="0" w:color="000000" w:themeColor="text1"/>
              <w:bottom w:val="single" w:sz="4" w:space="0" w:color="auto"/>
              <w:right w:val="single" w:sz="4" w:space="0" w:color="auto"/>
            </w:tcBorders>
            <w:hideMark/>
          </w:tcPr>
          <w:p w:rsidR="00A75044" w:rsidRPr="00275127" w:rsidRDefault="00A75044" w:rsidP="00A75044">
            <w:pPr>
              <w:rPr>
                <w:rFonts w:ascii="Arial" w:hAnsi="Arial" w:cs="Arial"/>
                <w:sz w:val="22"/>
                <w:szCs w:val="20"/>
              </w:rPr>
            </w:pPr>
            <w:r w:rsidRPr="00DE0D54">
              <w:rPr>
                <w:rFonts w:ascii="Arial" w:hAnsi="Arial" w:cs="Arial"/>
                <w:szCs w:val="20"/>
              </w:rPr>
              <w:t>Social</w:t>
            </w:r>
            <w:r w:rsidRPr="00275127">
              <w:rPr>
                <w:rFonts w:ascii="Arial" w:hAnsi="Arial" w:cs="Arial"/>
                <w:szCs w:val="20"/>
              </w:rPr>
              <w:t xml:space="preserve"> </w:t>
            </w:r>
          </w:p>
        </w:tc>
        <w:tc>
          <w:tcPr>
            <w:tcW w:w="764" w:type="pct"/>
            <w:tcBorders>
              <w:top w:val="single" w:sz="8" w:space="0" w:color="000000" w:themeColor="text1"/>
              <w:left w:val="single" w:sz="4" w:space="0" w:color="auto"/>
              <w:bottom w:val="single" w:sz="4" w:space="0" w:color="auto"/>
              <w:right w:val="single" w:sz="4" w:space="0" w:color="auto"/>
            </w:tcBorders>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275127">
              <w:rPr>
                <w:rFonts w:ascii="Arial" w:hAnsi="Arial" w:cs="Arial"/>
                <w:szCs w:val="20"/>
              </w:rPr>
              <w:t>Data source</w:t>
            </w:r>
          </w:p>
        </w:tc>
        <w:tc>
          <w:tcPr>
            <w:tcW w:w="381"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Yes</w:t>
            </w:r>
          </w:p>
        </w:tc>
        <w:tc>
          <w:tcPr>
            <w:tcW w:w="382" w:type="pct"/>
            <w:tcBorders>
              <w:top w:val="single" w:sz="8" w:space="0" w:color="000000" w:themeColor="text1"/>
              <w:left w:val="single" w:sz="4" w:space="0" w:color="auto"/>
              <w:bottom w:val="single" w:sz="4" w:space="0" w:color="auto"/>
              <w:right w:val="single" w:sz="4" w:space="0" w:color="auto"/>
            </w:tcBorders>
            <w:hideMark/>
          </w:tcPr>
          <w:p w:rsidR="00A75044" w:rsidRPr="00DE0D54"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0"/>
              </w:rPr>
            </w:pPr>
            <w:r w:rsidRPr="00DE0D54">
              <w:rPr>
                <w:rFonts w:ascii="Arial" w:hAnsi="Arial" w:cs="Arial"/>
                <w:szCs w:val="20"/>
              </w:rPr>
              <w:t>No</w:t>
            </w:r>
          </w:p>
        </w:tc>
        <w:tc>
          <w:tcPr>
            <w:tcW w:w="382" w:type="pct"/>
            <w:tcBorders>
              <w:top w:val="single" w:sz="8" w:space="0" w:color="000000" w:themeColor="text1"/>
              <w:left w:val="single" w:sz="4" w:space="0" w:color="auto"/>
              <w:bottom w:val="single" w:sz="4" w:space="0" w:color="auto"/>
              <w:right w:val="single" w:sz="4" w:space="0" w:color="auto"/>
            </w:tcBorders>
            <w:hideMark/>
          </w:tcPr>
          <w:p w:rsidR="00A75044" w:rsidRPr="00275127" w:rsidRDefault="00A75044" w:rsidP="00A7504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275127">
              <w:rPr>
                <w:rFonts w:ascii="Arial" w:hAnsi="Arial" w:cs="Arial"/>
                <w:szCs w:val="20"/>
              </w:rPr>
              <w:t>N/A</w:t>
            </w:r>
          </w:p>
        </w:tc>
        <w:tc>
          <w:tcPr>
            <w:tcW w:w="1873" w:type="pct"/>
            <w:tcBorders>
              <w:top w:val="single" w:sz="8" w:space="0" w:color="000000" w:themeColor="text1"/>
              <w:left w:val="single" w:sz="4" w:space="0" w:color="auto"/>
              <w:bottom w:val="single" w:sz="4" w:space="0" w:color="auto"/>
              <w:right w:val="single" w:sz="8" w:space="0" w:color="000000" w:themeColor="text1"/>
            </w:tcBorders>
            <w:hideMark/>
          </w:tcPr>
          <w:p w:rsidR="00A75044" w:rsidRPr="00275127" w:rsidRDefault="00A75044" w:rsidP="00A7504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275127">
              <w:rPr>
                <w:rFonts w:ascii="Arial" w:hAnsi="Arial" w:cs="Arial"/>
                <w:szCs w:val="20"/>
              </w:rPr>
              <w:t>Comment</w:t>
            </w: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Borders>
              <w:right w:val="single" w:sz="4" w:space="0" w:color="000000" w:themeColor="text1"/>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 xml:space="preserve">Results in transfer of expenditure </w:t>
            </w:r>
            <w:r>
              <w:rPr>
                <w:rFonts w:ascii="Arial" w:hAnsi="Arial" w:cs="Arial"/>
                <w:szCs w:val="20"/>
              </w:rPr>
              <w:t>to</w:t>
            </w:r>
            <w:r w:rsidRPr="005B4EA4">
              <w:rPr>
                <w:rFonts w:ascii="Arial" w:hAnsi="Arial" w:cs="Arial"/>
                <w:szCs w:val="20"/>
              </w:rPr>
              <w:t xml:space="preserve"> areas displaying high levels of socio-economic disadvantage </w:t>
            </w:r>
          </w:p>
        </w:tc>
        <w:tc>
          <w:tcPr>
            <w:tcW w:w="764" w:type="pct"/>
            <w:tcBorders>
              <w:left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B4EA4">
              <w:rPr>
                <w:rFonts w:ascii="Arial" w:hAnsi="Arial" w:cs="Arial"/>
              </w:rPr>
              <w:t>App docs</w:t>
            </w:r>
          </w:p>
        </w:tc>
        <w:tc>
          <w:tcPr>
            <w:tcW w:w="381" w:type="pct"/>
            <w:tcBorders>
              <w:left w:val="single" w:sz="4" w:space="0" w:color="auto"/>
              <w:right w:val="single" w:sz="4" w:space="0" w:color="auto"/>
            </w:tcBorders>
            <w:shd w:val="clear" w:color="auto" w:fill="FF000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shd w:val="clear" w:color="auto" w:fill="92D05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873" w:type="pct"/>
            <w:tcBorders>
              <w:left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217" w:type="pct"/>
            <w:tcBorders>
              <w:top w:val="single" w:sz="4" w:space="0" w:color="auto"/>
              <w:left w:val="single" w:sz="8" w:space="0" w:color="000000" w:themeColor="text1"/>
              <w:bottom w:val="single" w:sz="4" w:space="0" w:color="auto"/>
              <w:right w:val="single" w:sz="4" w:space="0" w:color="auto"/>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 xml:space="preserve">Results in transfer of EGMs </w:t>
            </w:r>
            <w:r>
              <w:rPr>
                <w:rFonts w:ascii="Arial" w:hAnsi="Arial" w:cs="Arial"/>
                <w:szCs w:val="20"/>
              </w:rPr>
              <w:t>to</w:t>
            </w:r>
            <w:r w:rsidRPr="005B4EA4">
              <w:rPr>
                <w:rFonts w:ascii="Arial" w:hAnsi="Arial" w:cs="Arial"/>
                <w:szCs w:val="20"/>
              </w:rPr>
              <w:t xml:space="preserve"> areas displaying high levels of socio-economic disadvantage</w:t>
            </w:r>
          </w:p>
        </w:tc>
        <w:tc>
          <w:tcPr>
            <w:tcW w:w="764"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B4EA4">
              <w:rPr>
                <w:rFonts w:ascii="Arial" w:hAnsi="Arial" w:cs="Arial"/>
              </w:rPr>
              <w:t>App docs</w:t>
            </w:r>
          </w:p>
        </w:tc>
        <w:tc>
          <w:tcPr>
            <w:tcW w:w="381"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873" w:type="pct"/>
            <w:tcBorders>
              <w:top w:val="single" w:sz="4" w:space="0" w:color="auto"/>
              <w:left w:val="single" w:sz="4" w:space="0" w:color="auto"/>
              <w:bottom w:val="single" w:sz="4" w:space="0" w:color="auto"/>
              <w:right w:val="single" w:sz="8" w:space="0" w:color="000000" w:themeColor="text1"/>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Borders>
              <w:top w:val="single" w:sz="4" w:space="0" w:color="auto"/>
              <w:bottom w:val="single" w:sz="4" w:space="0" w:color="auto"/>
              <w:right w:val="single" w:sz="4" w:space="0" w:color="auto"/>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Potential to increase gambling related crime and disturbance</w:t>
            </w:r>
          </w:p>
        </w:tc>
        <w:tc>
          <w:tcPr>
            <w:tcW w:w="764" w:type="pct"/>
            <w:tcBorders>
              <w:top w:val="single" w:sz="4" w:space="0" w:color="auto"/>
              <w:left w:val="single" w:sz="4" w:space="0" w:color="auto"/>
              <w:bottom w:val="single" w:sz="4" w:space="0" w:color="auto"/>
              <w:right w:val="single" w:sz="4" w:space="0" w:color="auto"/>
            </w:tcBorders>
            <w:hideMark/>
          </w:tcPr>
          <w:p w:rsidR="00A75044" w:rsidRPr="005B4EA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5B4EA4">
              <w:rPr>
                <w:rFonts w:ascii="Arial" w:hAnsi="Arial" w:cs="Arial"/>
                <w:szCs w:val="20"/>
              </w:rPr>
              <w:t>Stakeholder engagement</w:t>
            </w:r>
          </w:p>
        </w:tc>
        <w:tc>
          <w:tcPr>
            <w:tcW w:w="381"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873" w:type="pct"/>
            <w:tcBorders>
              <w:top w:val="single" w:sz="4" w:space="0" w:color="auto"/>
              <w:left w:val="single" w:sz="4" w:space="0" w:color="auto"/>
              <w:bottom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217" w:type="pct"/>
            <w:tcBorders>
              <w:right w:val="single" w:sz="4" w:space="0" w:color="000000" w:themeColor="text1"/>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Exposure of gaming employees to gaming</w:t>
            </w:r>
          </w:p>
        </w:tc>
        <w:tc>
          <w:tcPr>
            <w:tcW w:w="764"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B4EA4">
              <w:rPr>
                <w:rFonts w:ascii="Arial" w:hAnsi="Arial" w:cs="Arial"/>
              </w:rPr>
              <w:t>App docs</w:t>
            </w:r>
          </w:p>
        </w:tc>
        <w:tc>
          <w:tcPr>
            <w:tcW w:w="381" w:type="pct"/>
            <w:tcBorders>
              <w:left w:val="single" w:sz="4" w:space="0" w:color="auto"/>
              <w:right w:val="single" w:sz="4" w:space="0" w:color="auto"/>
            </w:tcBorders>
            <w:shd w:val="clear" w:color="auto" w:fill="FF000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shd w:val="clear" w:color="auto" w:fill="92D05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873" w:type="pct"/>
            <w:tcBorders>
              <w:lef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C253A9"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Borders>
              <w:top w:val="single" w:sz="4" w:space="0" w:color="auto"/>
              <w:bottom w:val="single" w:sz="4" w:space="0" w:color="auto"/>
              <w:right w:val="single" w:sz="4" w:space="0" w:color="auto"/>
            </w:tcBorders>
            <w:hideMark/>
          </w:tcPr>
          <w:p w:rsidR="00A75044" w:rsidRPr="00F870B7" w:rsidRDefault="00A75044" w:rsidP="00A75044">
            <w:pPr>
              <w:rPr>
                <w:rFonts w:ascii="Arial" w:hAnsi="Arial" w:cs="Arial"/>
                <w:b w:val="0"/>
                <w:sz w:val="22"/>
                <w:szCs w:val="20"/>
              </w:rPr>
            </w:pPr>
            <w:r w:rsidRPr="00F870B7">
              <w:rPr>
                <w:rFonts w:ascii="Arial" w:hAnsi="Arial" w:cs="Arial"/>
                <w:szCs w:val="20"/>
              </w:rPr>
              <w:t>Community concern with proposal</w:t>
            </w:r>
          </w:p>
        </w:tc>
        <w:tc>
          <w:tcPr>
            <w:tcW w:w="764" w:type="pct"/>
            <w:tcBorders>
              <w:top w:val="single" w:sz="4" w:space="0" w:color="auto"/>
              <w:left w:val="single" w:sz="4" w:space="0" w:color="auto"/>
              <w:bottom w:val="single" w:sz="4" w:space="0" w:color="auto"/>
              <w:right w:val="single" w:sz="4" w:space="0" w:color="auto"/>
            </w:tcBorders>
            <w:hideMark/>
          </w:tcPr>
          <w:p w:rsidR="00A75044" w:rsidRPr="00F870B7"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F870B7">
              <w:rPr>
                <w:rFonts w:ascii="Arial" w:hAnsi="Arial" w:cs="Arial"/>
                <w:szCs w:val="20"/>
              </w:rPr>
              <w:t>Community survey, objections and submissions</w:t>
            </w:r>
          </w:p>
        </w:tc>
        <w:tc>
          <w:tcPr>
            <w:tcW w:w="381" w:type="pct"/>
            <w:tcBorders>
              <w:top w:val="single" w:sz="4" w:space="0" w:color="auto"/>
              <w:left w:val="single" w:sz="4" w:space="0" w:color="auto"/>
              <w:bottom w:val="single" w:sz="4" w:space="0" w:color="auto"/>
              <w:right w:val="single" w:sz="4" w:space="0" w:color="auto"/>
            </w:tcBorders>
            <w:shd w:val="clear" w:color="auto" w:fill="FF000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shd w:val="clear" w:color="auto" w:fill="92D050"/>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382" w:type="pct"/>
            <w:tcBorders>
              <w:top w:val="single" w:sz="4" w:space="0" w:color="auto"/>
              <w:left w:val="single" w:sz="4" w:space="0" w:color="auto"/>
              <w:bottom w:val="single" w:sz="4" w:space="0" w:color="auto"/>
              <w:right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c>
          <w:tcPr>
            <w:tcW w:w="1873" w:type="pct"/>
            <w:tcBorders>
              <w:top w:val="single" w:sz="4" w:space="0" w:color="auto"/>
              <w:left w:val="single" w:sz="4" w:space="0" w:color="auto"/>
              <w:bottom w:val="single" w:sz="4" w:space="0" w:color="auto"/>
            </w:tcBorders>
          </w:tcPr>
          <w:p w:rsidR="00A75044" w:rsidRPr="005B4EA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217" w:type="pct"/>
            <w:tcBorders>
              <w:right w:val="single" w:sz="4" w:space="0" w:color="000000" w:themeColor="text1"/>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Potential to increase demand for health, welfare and support services</w:t>
            </w:r>
          </w:p>
        </w:tc>
        <w:tc>
          <w:tcPr>
            <w:tcW w:w="764"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5B4EA4">
              <w:rPr>
                <w:rFonts w:ascii="Arial" w:hAnsi="Arial" w:cs="Arial"/>
                <w:szCs w:val="20"/>
              </w:rPr>
              <w:t>Stakeholder engagement</w:t>
            </w:r>
          </w:p>
        </w:tc>
        <w:tc>
          <w:tcPr>
            <w:tcW w:w="381" w:type="pct"/>
            <w:tcBorders>
              <w:left w:val="single" w:sz="4" w:space="0" w:color="auto"/>
              <w:right w:val="single" w:sz="4" w:space="0" w:color="auto"/>
            </w:tcBorders>
            <w:shd w:val="clear" w:color="auto" w:fill="FF000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shd w:val="clear" w:color="auto" w:fill="92D05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873" w:type="pct"/>
            <w:tcBorders>
              <w:lef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r w:rsidR="00A75044" w:rsidRPr="00275127" w:rsidTr="00A75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pct"/>
            <w:tcBorders>
              <w:top w:val="single" w:sz="4" w:space="0" w:color="auto"/>
              <w:bottom w:val="single" w:sz="4" w:space="0" w:color="auto"/>
              <w:right w:val="single" w:sz="4" w:space="0" w:color="auto"/>
            </w:tcBorders>
            <w:shd w:val="clear" w:color="auto" w:fill="000000" w:themeFill="text1"/>
            <w:hideMark/>
          </w:tcPr>
          <w:p w:rsidR="00A75044" w:rsidRPr="00DE0D54" w:rsidRDefault="00A75044" w:rsidP="00A75044">
            <w:pPr>
              <w:rPr>
                <w:rFonts w:ascii="Arial" w:hAnsi="Arial" w:cs="Arial"/>
                <w:sz w:val="22"/>
                <w:szCs w:val="20"/>
              </w:rPr>
            </w:pPr>
            <w:r w:rsidRPr="00DE0D54">
              <w:rPr>
                <w:rFonts w:ascii="Arial" w:hAnsi="Arial" w:cs="Arial"/>
                <w:szCs w:val="20"/>
              </w:rPr>
              <w:t>Economic</w:t>
            </w:r>
          </w:p>
        </w:tc>
        <w:tc>
          <w:tcPr>
            <w:tcW w:w="764" w:type="pct"/>
            <w:tcBorders>
              <w:top w:val="single" w:sz="4" w:space="0" w:color="auto"/>
              <w:left w:val="single" w:sz="4" w:space="0" w:color="auto"/>
              <w:bottom w:val="single" w:sz="4" w:space="0" w:color="auto"/>
              <w:right w:val="single" w:sz="4" w:space="0" w:color="auto"/>
            </w:tcBorders>
            <w:shd w:val="clear" w:color="auto" w:fill="000000" w:themeFill="text1"/>
          </w:tcPr>
          <w:p w:rsidR="00A75044" w:rsidRPr="00DE0D54" w:rsidRDefault="00A75044" w:rsidP="00A7504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275127">
              <w:rPr>
                <w:rFonts w:ascii="Arial" w:hAnsi="Arial" w:cs="Arial"/>
                <w:szCs w:val="20"/>
              </w:rPr>
              <w:t>Data source</w:t>
            </w:r>
          </w:p>
        </w:tc>
        <w:tc>
          <w:tcPr>
            <w:tcW w:w="381" w:type="pct"/>
            <w:tcBorders>
              <w:top w:val="single" w:sz="4" w:space="0" w:color="auto"/>
              <w:left w:val="single" w:sz="4" w:space="0" w:color="auto"/>
              <w:bottom w:val="single" w:sz="4" w:space="0" w:color="auto"/>
              <w:right w:val="single" w:sz="4" w:space="0" w:color="auto"/>
            </w:tcBorders>
            <w:shd w:val="clear" w:color="auto" w:fill="000000" w:themeFill="text1"/>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275127">
              <w:rPr>
                <w:rFonts w:ascii="Arial" w:hAnsi="Arial" w:cs="Arial"/>
                <w:szCs w:val="20"/>
              </w:rPr>
              <w:t>Yes</w:t>
            </w:r>
          </w:p>
        </w:tc>
        <w:tc>
          <w:tcPr>
            <w:tcW w:w="382" w:type="pct"/>
            <w:tcBorders>
              <w:top w:val="single" w:sz="4" w:space="0" w:color="auto"/>
              <w:left w:val="single" w:sz="4" w:space="0" w:color="auto"/>
              <w:bottom w:val="single" w:sz="4" w:space="0" w:color="auto"/>
              <w:right w:val="single" w:sz="4" w:space="0" w:color="auto"/>
            </w:tcBorders>
            <w:shd w:val="clear" w:color="auto" w:fill="000000" w:themeFill="text1"/>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275127">
              <w:rPr>
                <w:rFonts w:ascii="Arial" w:hAnsi="Arial" w:cs="Arial"/>
                <w:szCs w:val="20"/>
              </w:rPr>
              <w:t>No</w:t>
            </w:r>
          </w:p>
        </w:tc>
        <w:tc>
          <w:tcPr>
            <w:tcW w:w="382" w:type="pct"/>
            <w:tcBorders>
              <w:top w:val="single" w:sz="4" w:space="0" w:color="auto"/>
              <w:left w:val="single" w:sz="4" w:space="0" w:color="auto"/>
              <w:bottom w:val="single" w:sz="4" w:space="0" w:color="auto"/>
              <w:right w:val="single" w:sz="4" w:space="0" w:color="auto"/>
            </w:tcBorders>
            <w:shd w:val="clear" w:color="auto" w:fill="000000" w:themeFill="text1"/>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275127">
              <w:rPr>
                <w:rFonts w:ascii="Arial" w:hAnsi="Arial" w:cs="Arial"/>
                <w:szCs w:val="20"/>
              </w:rPr>
              <w:t>N/A</w:t>
            </w:r>
          </w:p>
        </w:tc>
        <w:tc>
          <w:tcPr>
            <w:tcW w:w="1873" w:type="pct"/>
            <w:tcBorders>
              <w:top w:val="single" w:sz="4" w:space="0" w:color="auto"/>
              <w:left w:val="single" w:sz="4" w:space="0" w:color="auto"/>
              <w:bottom w:val="single" w:sz="4" w:space="0" w:color="auto"/>
            </w:tcBorders>
            <w:shd w:val="clear" w:color="auto" w:fill="000000" w:themeFill="text1"/>
          </w:tcPr>
          <w:p w:rsidR="00A75044" w:rsidRPr="00DE0D54" w:rsidRDefault="00A75044" w:rsidP="00A7504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275127">
              <w:rPr>
                <w:rFonts w:ascii="Arial" w:hAnsi="Arial" w:cs="Arial"/>
                <w:szCs w:val="20"/>
              </w:rPr>
              <w:t>Comment</w:t>
            </w:r>
          </w:p>
        </w:tc>
      </w:tr>
      <w:tr w:rsidR="00A75044" w:rsidRPr="00C253A9" w:rsidTr="00A75044">
        <w:tc>
          <w:tcPr>
            <w:cnfStyle w:val="001000000000" w:firstRow="0" w:lastRow="0" w:firstColumn="1" w:lastColumn="0" w:oddVBand="0" w:evenVBand="0" w:oddHBand="0" w:evenHBand="0" w:firstRowFirstColumn="0" w:firstRowLastColumn="0" w:lastRowFirstColumn="0" w:lastRowLastColumn="0"/>
            <w:tcW w:w="1217" w:type="pct"/>
            <w:tcBorders>
              <w:right w:val="single" w:sz="4" w:space="0" w:color="000000" w:themeColor="text1"/>
            </w:tcBorders>
            <w:hideMark/>
          </w:tcPr>
          <w:p w:rsidR="00A75044" w:rsidRPr="005B4EA4" w:rsidRDefault="00A75044" w:rsidP="00A75044">
            <w:pPr>
              <w:rPr>
                <w:rFonts w:ascii="Arial" w:hAnsi="Arial" w:cs="Arial"/>
                <w:b w:val="0"/>
                <w:sz w:val="22"/>
                <w:szCs w:val="20"/>
              </w:rPr>
            </w:pPr>
            <w:r w:rsidRPr="005B4EA4">
              <w:rPr>
                <w:rFonts w:ascii="Arial" w:hAnsi="Arial" w:cs="Arial"/>
                <w:szCs w:val="20"/>
              </w:rPr>
              <w:t>Potential diversion of trade from existing businesses</w:t>
            </w:r>
          </w:p>
        </w:tc>
        <w:tc>
          <w:tcPr>
            <w:tcW w:w="764" w:type="pct"/>
            <w:tcBorders>
              <w:left w:val="single" w:sz="4" w:space="0" w:color="auto"/>
              <w:right w:val="single" w:sz="4" w:space="0" w:color="auto"/>
            </w:tcBorders>
            <w:hideMark/>
          </w:tcPr>
          <w:p w:rsidR="00A75044" w:rsidRPr="005B4EA4" w:rsidRDefault="00A75044" w:rsidP="00A7504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5B4EA4">
              <w:rPr>
                <w:rFonts w:ascii="Arial" w:hAnsi="Arial" w:cs="Arial"/>
                <w:szCs w:val="20"/>
              </w:rPr>
              <w:t>Stakeholder engagement</w:t>
            </w:r>
          </w:p>
        </w:tc>
        <w:tc>
          <w:tcPr>
            <w:tcW w:w="381" w:type="pct"/>
            <w:tcBorders>
              <w:left w:val="single" w:sz="4" w:space="0" w:color="auto"/>
              <w:right w:val="single" w:sz="4" w:space="0" w:color="auto"/>
            </w:tcBorders>
            <w:shd w:val="clear" w:color="auto" w:fill="FF000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shd w:val="clear" w:color="auto" w:fill="92D050"/>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382" w:type="pct"/>
            <w:tcBorders>
              <w:left w:val="single" w:sz="4" w:space="0" w:color="auto"/>
              <w:righ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c>
          <w:tcPr>
            <w:tcW w:w="1873" w:type="pct"/>
            <w:tcBorders>
              <w:left w:val="single" w:sz="4" w:space="0" w:color="auto"/>
            </w:tcBorders>
          </w:tcPr>
          <w:p w:rsidR="00A75044" w:rsidRPr="005B4EA4" w:rsidRDefault="00A75044" w:rsidP="00A7504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bl>
    <w:p w:rsidR="00A75044" w:rsidRPr="005B4EA4" w:rsidRDefault="00A75044" w:rsidP="00A75044">
      <w:pPr>
        <w:rPr>
          <w:rFonts w:ascii="Arial" w:hAnsi="Arial" w:cs="Arial"/>
          <w:sz w:val="22"/>
          <w:szCs w:val="22"/>
        </w:rPr>
      </w:pPr>
    </w:p>
    <w:p w:rsidR="00A75044" w:rsidRDefault="00A75044" w:rsidP="00A75044">
      <w:pPr>
        <w:spacing w:line="276" w:lineRule="auto"/>
        <w:ind w:left="720"/>
        <w:rPr>
          <w:rFonts w:ascii="Arial" w:hAnsi="Arial" w:cs="Arial"/>
        </w:rPr>
      </w:pPr>
      <w:r>
        <w:rPr>
          <w:rFonts w:ascii="Arial" w:hAnsi="Arial" w:cs="Arial"/>
        </w:rPr>
        <w:br w:type="page"/>
      </w:r>
    </w:p>
    <w:p w:rsidR="00A83CEA" w:rsidRPr="008E3F04" w:rsidRDefault="00A83CEA" w:rsidP="008E3F04">
      <w:pPr>
        <w:pStyle w:val="Style1"/>
        <w:numPr>
          <w:ilvl w:val="0"/>
          <w:numId w:val="0"/>
        </w:numPr>
      </w:pPr>
      <w:bookmarkStart w:id="255" w:name="_Toc494291051"/>
      <w:r w:rsidRPr="008E3F04">
        <w:rPr>
          <w:b w:val="0"/>
        </w:rPr>
        <w:t>Appendix 3</w:t>
      </w:r>
      <w:r w:rsidR="00595B44">
        <w:rPr>
          <w:b w:val="0"/>
        </w:rPr>
        <w:t xml:space="preserve"> Key EGM data 201</w:t>
      </w:r>
      <w:r w:rsidR="00C8531A">
        <w:rPr>
          <w:b w:val="0"/>
        </w:rPr>
        <w:t>5</w:t>
      </w:r>
      <w:r w:rsidR="0073520E">
        <w:rPr>
          <w:b w:val="0"/>
        </w:rPr>
        <w:t>–</w:t>
      </w:r>
      <w:r w:rsidR="00595B44">
        <w:rPr>
          <w:b w:val="0"/>
        </w:rPr>
        <w:t>16</w:t>
      </w:r>
      <w:bookmarkEnd w:id="255"/>
    </w:p>
    <w:p w:rsidR="00595B44" w:rsidRDefault="00595B44" w:rsidP="00595B44">
      <w:pPr>
        <w:pStyle w:val="Caption"/>
        <w:rPr>
          <w:rFonts w:cstheme="minorHAnsi"/>
        </w:rPr>
      </w:pPr>
    </w:p>
    <w:tbl>
      <w:tblPr>
        <w:tblStyle w:val="ListTable3"/>
        <w:tblW w:w="5000" w:type="pct"/>
        <w:tblLook w:val="04A0" w:firstRow="1" w:lastRow="0" w:firstColumn="1" w:lastColumn="0" w:noHBand="0" w:noVBand="1"/>
      </w:tblPr>
      <w:tblGrid>
        <w:gridCol w:w="4546"/>
        <w:gridCol w:w="1723"/>
        <w:gridCol w:w="1482"/>
        <w:gridCol w:w="1491"/>
      </w:tblGrid>
      <w:tr w:rsidR="00595B44" w:rsidTr="00073C73">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349" w:type="pct"/>
            <w:tcBorders>
              <w:top w:val="single" w:sz="4" w:space="0" w:color="000000" w:themeColor="text1"/>
              <w:left w:val="single" w:sz="4" w:space="0" w:color="000000" w:themeColor="text1"/>
            </w:tcBorders>
            <w:noWrap/>
            <w:vAlign w:val="center"/>
            <w:hideMark/>
          </w:tcPr>
          <w:p w:rsidR="00595B44" w:rsidRDefault="00595B44" w:rsidP="00073C73">
            <w:pPr>
              <w:spacing w:after="60"/>
              <w:jc w:val="center"/>
              <w:rPr>
                <w:rFonts w:cs="Calibri"/>
                <w:szCs w:val="20"/>
                <w:lang w:eastAsia="en-AU"/>
              </w:rPr>
            </w:pPr>
            <w:r>
              <w:rPr>
                <w:rFonts w:cs="Calibri"/>
                <w:szCs w:val="20"/>
                <w:lang w:eastAsia="en-AU"/>
              </w:rPr>
              <w:t>Indicator</w:t>
            </w:r>
          </w:p>
        </w:tc>
        <w:tc>
          <w:tcPr>
            <w:tcW w:w="1217" w:type="pct"/>
            <w:tcBorders>
              <w:top w:val="single" w:sz="4" w:space="0" w:color="000000" w:themeColor="text1"/>
              <w:left w:val="nil"/>
              <w:bottom w:val="nil"/>
              <w:right w:val="nil"/>
            </w:tcBorders>
            <w:noWrap/>
            <w:vAlign w:val="center"/>
            <w:hideMark/>
          </w:tcPr>
          <w:p w:rsidR="00595B44" w:rsidRDefault="00595B44" w:rsidP="00073C73">
            <w:pPr>
              <w:spacing w:after="60"/>
              <w:jc w:val="center"/>
              <w:cnfStyle w:val="100000000000" w:firstRow="1" w:lastRow="0" w:firstColumn="0" w:lastColumn="0" w:oddVBand="0" w:evenVBand="0" w:oddHBand="0" w:evenHBand="0" w:firstRowFirstColumn="0" w:firstRowLastColumn="0" w:lastRowFirstColumn="0" w:lastRowLastColumn="0"/>
              <w:rPr>
                <w:rFonts w:cs="Calibri"/>
                <w:szCs w:val="20"/>
                <w:lang w:eastAsia="en-AU"/>
              </w:rPr>
            </w:pPr>
            <w:r>
              <w:rPr>
                <w:rFonts w:cs="Calibri"/>
                <w:szCs w:val="20"/>
                <w:lang w:eastAsia="en-AU"/>
              </w:rPr>
              <w:t>City of Melbourne</w:t>
            </w:r>
          </w:p>
        </w:tc>
        <w:tc>
          <w:tcPr>
            <w:tcW w:w="1217" w:type="pct"/>
            <w:tcBorders>
              <w:top w:val="single" w:sz="4" w:space="0" w:color="000000" w:themeColor="text1"/>
              <w:left w:val="nil"/>
              <w:bottom w:val="nil"/>
              <w:right w:val="nil"/>
            </w:tcBorders>
            <w:vAlign w:val="center"/>
            <w:hideMark/>
          </w:tcPr>
          <w:p w:rsidR="00595B44" w:rsidRDefault="00595B44" w:rsidP="00073C73">
            <w:pPr>
              <w:spacing w:after="60"/>
              <w:jc w:val="center"/>
              <w:cnfStyle w:val="100000000000" w:firstRow="1" w:lastRow="0" w:firstColumn="0" w:lastColumn="0" w:oddVBand="0" w:evenVBand="0" w:oddHBand="0" w:evenHBand="0" w:firstRowFirstColumn="0" w:firstRowLastColumn="0" w:lastRowFirstColumn="0" w:lastRowLastColumn="0"/>
              <w:rPr>
                <w:rFonts w:cs="Calibri"/>
                <w:szCs w:val="20"/>
                <w:lang w:eastAsia="en-AU"/>
              </w:rPr>
            </w:pPr>
            <w:r>
              <w:rPr>
                <w:rFonts w:cs="Calibri"/>
                <w:szCs w:val="20"/>
                <w:lang w:eastAsia="en-AU"/>
              </w:rPr>
              <w:t>Average metropolitan Melbourne</w:t>
            </w:r>
          </w:p>
        </w:tc>
        <w:tc>
          <w:tcPr>
            <w:tcW w:w="1216" w:type="pct"/>
            <w:tcBorders>
              <w:top w:val="single" w:sz="4" w:space="0" w:color="000000" w:themeColor="text1"/>
              <w:left w:val="nil"/>
              <w:bottom w:val="nil"/>
              <w:right w:val="single" w:sz="4" w:space="0" w:color="000000" w:themeColor="text1"/>
            </w:tcBorders>
            <w:vAlign w:val="center"/>
            <w:hideMark/>
          </w:tcPr>
          <w:p w:rsidR="00595B44" w:rsidRDefault="00595B44" w:rsidP="00073C73">
            <w:pPr>
              <w:spacing w:after="60"/>
              <w:jc w:val="center"/>
              <w:cnfStyle w:val="100000000000" w:firstRow="1" w:lastRow="0" w:firstColumn="0" w:lastColumn="0" w:oddVBand="0" w:evenVBand="0" w:oddHBand="0" w:evenHBand="0" w:firstRowFirstColumn="0" w:firstRowLastColumn="0" w:lastRowFirstColumn="0" w:lastRowLastColumn="0"/>
              <w:rPr>
                <w:rFonts w:cs="Calibri"/>
                <w:szCs w:val="20"/>
                <w:lang w:eastAsia="en-AU"/>
              </w:rPr>
            </w:pPr>
            <w:r>
              <w:rPr>
                <w:rFonts w:cs="Calibri"/>
                <w:szCs w:val="20"/>
                <w:lang w:eastAsia="en-AU"/>
              </w:rPr>
              <w:t>Victoria</w:t>
            </w:r>
          </w:p>
        </w:tc>
      </w:tr>
      <w:tr w:rsidR="00595B44" w:rsidTr="00073C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noWrap/>
            <w:vAlign w:val="center"/>
            <w:hideMark/>
          </w:tcPr>
          <w:p w:rsidR="00595B44" w:rsidRDefault="00595B44" w:rsidP="00073C73">
            <w:pPr>
              <w:spacing w:after="60"/>
              <w:rPr>
                <w:rFonts w:cs="Calibri"/>
                <w:szCs w:val="20"/>
                <w:lang w:eastAsia="en-AU"/>
              </w:rPr>
            </w:pPr>
            <w:r>
              <w:rPr>
                <w:rFonts w:cs="Calibri"/>
                <w:szCs w:val="20"/>
                <w:lang w:eastAsia="en-AU"/>
              </w:rPr>
              <w:t>SEIFA score of relative socio-economic disadvantage</w:t>
            </w:r>
          </w:p>
        </w:tc>
        <w:tc>
          <w:tcPr>
            <w:tcW w:w="1217" w:type="pct"/>
            <w:tcBorders>
              <w:left w:val="nil"/>
              <w:right w:val="nil"/>
            </w:tcBorders>
            <w:noWrap/>
            <w:vAlign w:val="center"/>
            <w:hideMark/>
          </w:tcPr>
          <w:p w:rsidR="00595B44" w:rsidRDefault="00595B44" w:rsidP="0073520E">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szCs w:val="20"/>
                <w:lang w:eastAsia="en-AU"/>
              </w:rPr>
              <w:t>1050.7</w:t>
            </w:r>
          </w:p>
        </w:tc>
        <w:tc>
          <w:tcPr>
            <w:tcW w:w="1217" w:type="pct"/>
            <w:tcBorders>
              <w:left w:val="nil"/>
              <w:right w:val="nil"/>
            </w:tcBorders>
            <w:vAlign w:val="center"/>
            <w:hideMark/>
          </w:tcPr>
          <w:p w:rsidR="00595B44" w:rsidRDefault="00595B44" w:rsidP="0073520E">
            <w:pPr>
              <w:spacing w:after="60"/>
              <w:jc w:val="center"/>
              <w:cnfStyle w:val="000000100000" w:firstRow="0" w:lastRow="0" w:firstColumn="0" w:lastColumn="0" w:oddVBand="0" w:evenVBand="0" w:oddHBand="1" w:evenHBand="0" w:firstRowFirstColumn="0" w:firstRowLastColumn="0" w:lastRowFirstColumn="0" w:lastRowLastColumn="0"/>
              <w:rPr>
                <w:rFonts w:cs="Calibri"/>
                <w:b/>
                <w:szCs w:val="20"/>
                <w:lang w:eastAsia="en-AU"/>
              </w:rPr>
            </w:pPr>
            <w:r>
              <w:rPr>
                <w:rFonts w:cs="Calibri"/>
                <w:color w:val="000000"/>
                <w:szCs w:val="20"/>
              </w:rPr>
              <w:t>1020.3</w:t>
            </w:r>
          </w:p>
        </w:tc>
        <w:tc>
          <w:tcPr>
            <w:tcW w:w="1216" w:type="pct"/>
            <w:tcBorders>
              <w:left w:val="nil"/>
              <w:right w:val="single" w:sz="4" w:space="0" w:color="000000" w:themeColor="text1"/>
            </w:tcBorders>
            <w:vAlign w:val="center"/>
            <w:hideMark/>
          </w:tcPr>
          <w:p w:rsidR="00595B44" w:rsidRDefault="00595B44" w:rsidP="0073520E">
            <w:pPr>
              <w:spacing w:after="60"/>
              <w:jc w:val="center"/>
              <w:cnfStyle w:val="000000100000" w:firstRow="0" w:lastRow="0" w:firstColumn="0" w:lastColumn="0" w:oddVBand="0" w:evenVBand="0" w:oddHBand="1" w:evenHBand="0" w:firstRowFirstColumn="0" w:firstRowLastColumn="0" w:lastRowFirstColumn="0" w:lastRowLastColumn="0"/>
              <w:rPr>
                <w:rFonts w:cs="Calibri"/>
                <w:b/>
                <w:szCs w:val="20"/>
                <w:lang w:eastAsia="en-AU"/>
              </w:rPr>
            </w:pPr>
            <w:r>
              <w:rPr>
                <w:rFonts w:cs="Calibri"/>
                <w:color w:val="000000"/>
                <w:szCs w:val="20"/>
              </w:rPr>
              <w:t>1009.6</w:t>
            </w:r>
          </w:p>
        </w:tc>
      </w:tr>
      <w:tr w:rsidR="00595B44" w:rsidTr="00073C73">
        <w:trPr>
          <w:trHeight w:val="20"/>
        </w:trPr>
        <w:tc>
          <w:tcPr>
            <w:cnfStyle w:val="001000000000" w:firstRow="0" w:lastRow="0" w:firstColumn="1" w:lastColumn="0" w:oddVBand="0" w:evenVBand="0" w:oddHBand="0" w:evenHBand="0" w:firstRowFirstColumn="0" w:firstRowLastColumn="0" w:lastRowFirstColumn="0" w:lastRowLastColumn="0"/>
            <w:tcW w:w="1349" w:type="pct"/>
            <w:tcBorders>
              <w:top w:val="nil"/>
              <w:left w:val="single" w:sz="4" w:space="0" w:color="000000" w:themeColor="text1"/>
              <w:bottom w:val="nil"/>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Number of attached EGM entitlements (operating EGMs)</w:t>
            </w:r>
          </w:p>
        </w:tc>
        <w:tc>
          <w:tcPr>
            <w:tcW w:w="1217" w:type="pct"/>
            <w:tcBorders>
              <w:top w:val="nil"/>
              <w:left w:val="nil"/>
              <w:bottom w:val="nil"/>
              <w:right w:val="nil"/>
            </w:tcBorders>
            <w:noWrap/>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746</w:t>
            </w:r>
          </w:p>
        </w:tc>
        <w:tc>
          <w:tcPr>
            <w:tcW w:w="1217" w:type="pct"/>
            <w:tcBorders>
              <w:top w:val="nil"/>
              <w:left w:val="nil"/>
              <w:bottom w:val="nil"/>
              <w:right w:val="nil"/>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N/A</w:t>
            </w:r>
          </w:p>
        </w:tc>
        <w:tc>
          <w:tcPr>
            <w:tcW w:w="1216" w:type="pct"/>
            <w:tcBorders>
              <w:top w:val="nil"/>
              <w:left w:val="nil"/>
              <w:bottom w:val="nil"/>
              <w:right w:val="single" w:sz="4" w:space="0" w:color="000000" w:themeColor="text1"/>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N/A</w:t>
            </w:r>
          </w:p>
        </w:tc>
      </w:tr>
      <w:tr w:rsidR="00595B44" w:rsidTr="00073C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Number of EGM licences</w:t>
            </w:r>
          </w:p>
        </w:tc>
        <w:tc>
          <w:tcPr>
            <w:tcW w:w="1217" w:type="pct"/>
            <w:tcBorders>
              <w:left w:val="nil"/>
              <w:right w:val="nil"/>
            </w:tcBorders>
            <w:noWrap/>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lang w:eastAsia="en-AU"/>
              </w:rPr>
              <w:t>799</w:t>
            </w:r>
          </w:p>
        </w:tc>
        <w:tc>
          <w:tcPr>
            <w:tcW w:w="1217" w:type="pct"/>
            <w:tcBorders>
              <w:left w:val="nil"/>
              <w:right w:val="nil"/>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622</w:t>
            </w:r>
          </w:p>
        </w:tc>
        <w:tc>
          <w:tcPr>
            <w:tcW w:w="1216" w:type="pct"/>
            <w:tcBorders>
              <w:left w:val="nil"/>
              <w:right w:val="single" w:sz="4" w:space="0" w:color="000000" w:themeColor="text1"/>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462</w:t>
            </w:r>
          </w:p>
        </w:tc>
      </w:tr>
      <w:tr w:rsidR="00595B44" w:rsidTr="00073C73">
        <w:trPr>
          <w:trHeight w:val="20"/>
        </w:trPr>
        <w:tc>
          <w:tcPr>
            <w:cnfStyle w:val="001000000000" w:firstRow="0" w:lastRow="0" w:firstColumn="1" w:lastColumn="0" w:oddVBand="0" w:evenVBand="0" w:oddHBand="0" w:evenHBand="0" w:firstRowFirstColumn="0" w:firstRowLastColumn="0" w:lastRowFirstColumn="0" w:lastRowLastColumn="0"/>
            <w:tcW w:w="1349" w:type="pct"/>
            <w:tcBorders>
              <w:top w:val="nil"/>
              <w:left w:val="single" w:sz="4" w:space="0" w:color="000000" w:themeColor="text1"/>
              <w:bottom w:val="nil"/>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Number of venues</w:t>
            </w:r>
          </w:p>
        </w:tc>
        <w:tc>
          <w:tcPr>
            <w:tcW w:w="1217" w:type="pct"/>
            <w:tcBorders>
              <w:top w:val="nil"/>
              <w:left w:val="nil"/>
              <w:bottom w:val="nil"/>
              <w:right w:val="nil"/>
            </w:tcBorders>
            <w:noWrap/>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11</w:t>
            </w:r>
          </w:p>
        </w:tc>
        <w:tc>
          <w:tcPr>
            <w:tcW w:w="1217" w:type="pct"/>
            <w:tcBorders>
              <w:top w:val="nil"/>
              <w:left w:val="nil"/>
              <w:bottom w:val="nil"/>
              <w:right w:val="nil"/>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10</w:t>
            </w:r>
          </w:p>
        </w:tc>
        <w:tc>
          <w:tcPr>
            <w:tcW w:w="1216" w:type="pct"/>
            <w:tcBorders>
              <w:top w:val="nil"/>
              <w:left w:val="nil"/>
              <w:bottom w:val="nil"/>
              <w:right w:val="single" w:sz="4" w:space="0" w:color="000000" w:themeColor="text1"/>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9</w:t>
            </w:r>
          </w:p>
        </w:tc>
      </w:tr>
      <w:tr w:rsidR="00595B44" w:rsidTr="008E3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Total EGM expenditure/player Loss</w:t>
            </w:r>
          </w:p>
        </w:tc>
        <w:tc>
          <w:tcPr>
            <w:tcW w:w="1217" w:type="pct"/>
            <w:tcBorders>
              <w:left w:val="nil"/>
              <w:right w:val="nil"/>
            </w:tcBorders>
            <w:noWrap/>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lang w:eastAsia="en-AU"/>
              </w:rPr>
              <w:t>$ 79,770,052.63</w:t>
            </w:r>
          </w:p>
        </w:tc>
        <w:tc>
          <w:tcPr>
            <w:tcW w:w="1217" w:type="pct"/>
            <w:tcBorders>
              <w:left w:val="nil"/>
              <w:right w:val="nil"/>
            </w:tcBorders>
            <w:vAlign w:val="center"/>
            <w:hideMark/>
          </w:tcPr>
          <w:p w:rsidR="00595B44" w:rsidRDefault="00595B44" w:rsidP="00757B06">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$67,121,836.29</w:t>
            </w:r>
          </w:p>
        </w:tc>
        <w:tc>
          <w:tcPr>
            <w:tcW w:w="1216" w:type="pct"/>
            <w:tcBorders>
              <w:left w:val="nil"/>
              <w:right w:val="single" w:sz="4" w:space="0" w:color="000000" w:themeColor="text1"/>
            </w:tcBorders>
            <w:vAlign w:val="center"/>
            <w:hideMark/>
          </w:tcPr>
          <w:p w:rsidR="00595B44" w:rsidRDefault="00595B44" w:rsidP="00757B06">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$45,907,078.87</w:t>
            </w:r>
          </w:p>
        </w:tc>
      </w:tr>
      <w:tr w:rsidR="00595B44" w:rsidTr="00073C73">
        <w:trPr>
          <w:trHeight w:val="20"/>
        </w:trPr>
        <w:tc>
          <w:tcPr>
            <w:cnfStyle w:val="001000000000" w:firstRow="0" w:lastRow="0" w:firstColumn="1" w:lastColumn="0" w:oddVBand="0" w:evenVBand="0" w:oddHBand="0" w:evenHBand="0" w:firstRowFirstColumn="0" w:firstRowLastColumn="0" w:lastRowFirstColumn="0" w:lastRowLastColumn="0"/>
            <w:tcW w:w="1349" w:type="pct"/>
            <w:tcBorders>
              <w:top w:val="nil"/>
              <w:left w:val="single" w:sz="4" w:space="0" w:color="000000" w:themeColor="text1"/>
              <w:bottom w:val="nil"/>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Average number of attached EGMs per venue</w:t>
            </w:r>
          </w:p>
        </w:tc>
        <w:tc>
          <w:tcPr>
            <w:tcW w:w="1217" w:type="pct"/>
            <w:tcBorders>
              <w:top w:val="nil"/>
              <w:left w:val="nil"/>
              <w:bottom w:val="nil"/>
              <w:right w:val="nil"/>
            </w:tcBorders>
            <w:noWrap/>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68</w:t>
            </w:r>
          </w:p>
        </w:tc>
        <w:tc>
          <w:tcPr>
            <w:tcW w:w="1217" w:type="pct"/>
            <w:tcBorders>
              <w:top w:val="nil"/>
              <w:left w:val="nil"/>
              <w:bottom w:val="nil"/>
              <w:right w:val="nil"/>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59</w:t>
            </w:r>
          </w:p>
        </w:tc>
        <w:tc>
          <w:tcPr>
            <w:tcW w:w="1216" w:type="pct"/>
            <w:tcBorders>
              <w:top w:val="nil"/>
              <w:left w:val="nil"/>
              <w:bottom w:val="nil"/>
              <w:right w:val="single" w:sz="4" w:space="0" w:color="000000" w:themeColor="text1"/>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50</w:t>
            </w:r>
          </w:p>
        </w:tc>
      </w:tr>
      <w:tr w:rsidR="00595B44" w:rsidTr="00073C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Average EGM expenditure per venue</w:t>
            </w:r>
          </w:p>
        </w:tc>
        <w:tc>
          <w:tcPr>
            <w:tcW w:w="1217" w:type="pct"/>
            <w:tcBorders>
              <w:left w:val="nil"/>
              <w:right w:val="nil"/>
            </w:tcBorders>
            <w:noWrap/>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lang w:eastAsia="en-AU"/>
              </w:rPr>
              <w:t>$ 7,251,822.97</w:t>
            </w:r>
          </w:p>
        </w:tc>
        <w:tc>
          <w:tcPr>
            <w:tcW w:w="1217" w:type="pct"/>
            <w:tcBorders>
              <w:left w:val="nil"/>
              <w:right w:val="nil"/>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$6,227,313.61</w:t>
            </w:r>
          </w:p>
        </w:tc>
        <w:tc>
          <w:tcPr>
            <w:tcW w:w="1216" w:type="pct"/>
            <w:tcBorders>
              <w:left w:val="nil"/>
              <w:right w:val="single" w:sz="4" w:space="0" w:color="000000" w:themeColor="text1"/>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color w:val="000000"/>
                <w:szCs w:val="20"/>
                <w:lang w:eastAsia="en-AU"/>
              </w:rPr>
            </w:pPr>
            <w:r>
              <w:rPr>
                <w:rFonts w:cs="Calibri"/>
                <w:color w:val="000000"/>
                <w:szCs w:val="20"/>
              </w:rPr>
              <w:t>$4,587,454.53</w:t>
            </w:r>
          </w:p>
        </w:tc>
      </w:tr>
      <w:tr w:rsidR="00595B44" w:rsidTr="00073C73">
        <w:trPr>
          <w:trHeight w:val="20"/>
        </w:trPr>
        <w:tc>
          <w:tcPr>
            <w:cnfStyle w:val="001000000000" w:firstRow="0" w:lastRow="0" w:firstColumn="1" w:lastColumn="0" w:oddVBand="0" w:evenVBand="0" w:oddHBand="0" w:evenHBand="0" w:firstRowFirstColumn="0" w:firstRowLastColumn="0" w:lastRowFirstColumn="0" w:lastRowLastColumn="0"/>
            <w:tcW w:w="1349" w:type="pct"/>
            <w:tcBorders>
              <w:top w:val="nil"/>
              <w:left w:val="single" w:sz="4" w:space="0" w:color="000000" w:themeColor="text1"/>
              <w:bottom w:val="nil"/>
            </w:tcBorders>
            <w:vAlign w:val="center"/>
            <w:hideMark/>
          </w:tcPr>
          <w:p w:rsidR="00595B44" w:rsidRDefault="00595B44" w:rsidP="00073C73">
            <w:pPr>
              <w:spacing w:after="60"/>
              <w:rPr>
                <w:rFonts w:cs="Calibri"/>
                <w:color w:val="000000"/>
                <w:szCs w:val="20"/>
                <w:lang w:eastAsia="en-AU"/>
              </w:rPr>
            </w:pPr>
            <w:r>
              <w:rPr>
                <w:rFonts w:cs="Calibri"/>
                <w:color w:val="000000"/>
                <w:szCs w:val="20"/>
                <w:lang w:eastAsia="en-AU"/>
              </w:rPr>
              <w:t>Average expenditure per attached EGM entitlement</w:t>
            </w:r>
          </w:p>
        </w:tc>
        <w:tc>
          <w:tcPr>
            <w:tcW w:w="1217" w:type="pct"/>
            <w:tcBorders>
              <w:top w:val="nil"/>
              <w:left w:val="nil"/>
              <w:bottom w:val="nil"/>
              <w:right w:val="nil"/>
            </w:tcBorders>
            <w:noWrap/>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lang w:eastAsia="en-AU"/>
              </w:rPr>
              <w:t>$106,930.37</w:t>
            </w:r>
          </w:p>
        </w:tc>
        <w:tc>
          <w:tcPr>
            <w:tcW w:w="1217" w:type="pct"/>
            <w:tcBorders>
              <w:top w:val="nil"/>
              <w:left w:val="nil"/>
              <w:bottom w:val="nil"/>
              <w:right w:val="nil"/>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$104,767.04</w:t>
            </w:r>
          </w:p>
        </w:tc>
        <w:tc>
          <w:tcPr>
            <w:tcW w:w="1216" w:type="pct"/>
            <w:tcBorders>
              <w:top w:val="nil"/>
              <w:left w:val="nil"/>
              <w:bottom w:val="nil"/>
              <w:right w:val="single" w:sz="4" w:space="0" w:color="000000" w:themeColor="text1"/>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color w:val="000000"/>
                <w:szCs w:val="20"/>
                <w:lang w:eastAsia="en-AU"/>
              </w:rPr>
            </w:pPr>
            <w:r>
              <w:rPr>
                <w:rFonts w:cs="Calibri"/>
                <w:color w:val="000000"/>
                <w:szCs w:val="20"/>
              </w:rPr>
              <w:t>$87,776.28</w:t>
            </w:r>
          </w:p>
        </w:tc>
      </w:tr>
      <w:tr w:rsidR="00595B44" w:rsidTr="00073C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vAlign w:val="center"/>
            <w:hideMark/>
          </w:tcPr>
          <w:p w:rsidR="00595B44" w:rsidRDefault="00595B44" w:rsidP="00073C73">
            <w:pPr>
              <w:spacing w:after="60"/>
              <w:rPr>
                <w:rFonts w:cs="Calibri"/>
                <w:szCs w:val="20"/>
                <w:lang w:eastAsia="en-AU"/>
              </w:rPr>
            </w:pPr>
            <w:r>
              <w:rPr>
                <w:rFonts w:cs="Calibri"/>
                <w:szCs w:val="20"/>
                <w:lang w:eastAsia="en-AU"/>
              </w:rPr>
              <w:t>Adults per venue</w:t>
            </w:r>
          </w:p>
        </w:tc>
        <w:tc>
          <w:tcPr>
            <w:tcW w:w="1217" w:type="pct"/>
            <w:tcBorders>
              <w:left w:val="nil"/>
              <w:right w:val="nil"/>
            </w:tcBorders>
            <w:noWrap/>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szCs w:val="20"/>
                <w:lang w:eastAsia="en-AU"/>
              </w:rPr>
              <w:t>11,102</w:t>
            </w:r>
          </w:p>
        </w:tc>
        <w:tc>
          <w:tcPr>
            <w:tcW w:w="1217" w:type="pct"/>
            <w:tcBorders>
              <w:left w:val="nil"/>
              <w:right w:val="nil"/>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color w:val="000000"/>
                <w:szCs w:val="20"/>
              </w:rPr>
              <w:t>11,359</w:t>
            </w:r>
          </w:p>
        </w:tc>
        <w:tc>
          <w:tcPr>
            <w:tcW w:w="1216" w:type="pct"/>
            <w:tcBorders>
              <w:left w:val="nil"/>
              <w:right w:val="single" w:sz="4" w:space="0" w:color="000000" w:themeColor="text1"/>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color w:val="000000"/>
                <w:szCs w:val="20"/>
              </w:rPr>
              <w:t>9,461</w:t>
            </w:r>
          </w:p>
        </w:tc>
      </w:tr>
      <w:tr w:rsidR="00595B44" w:rsidTr="00073C73">
        <w:trPr>
          <w:trHeight w:val="20"/>
        </w:trPr>
        <w:tc>
          <w:tcPr>
            <w:cnfStyle w:val="001000000000" w:firstRow="0" w:lastRow="0" w:firstColumn="1" w:lastColumn="0" w:oddVBand="0" w:evenVBand="0" w:oddHBand="0" w:evenHBand="0" w:firstRowFirstColumn="0" w:firstRowLastColumn="0" w:lastRowFirstColumn="0" w:lastRowLastColumn="0"/>
            <w:tcW w:w="1349" w:type="pct"/>
            <w:tcBorders>
              <w:top w:val="nil"/>
              <w:left w:val="single" w:sz="4" w:space="0" w:color="000000" w:themeColor="text1"/>
              <w:bottom w:val="nil"/>
            </w:tcBorders>
            <w:vAlign w:val="center"/>
            <w:hideMark/>
          </w:tcPr>
          <w:p w:rsidR="00595B44" w:rsidRDefault="00595B44" w:rsidP="00073C73">
            <w:pPr>
              <w:spacing w:after="60"/>
              <w:rPr>
                <w:rFonts w:cs="Calibri"/>
                <w:szCs w:val="20"/>
                <w:lang w:eastAsia="en-AU"/>
              </w:rPr>
            </w:pPr>
            <w:r>
              <w:rPr>
                <w:rFonts w:cs="Calibri"/>
                <w:szCs w:val="20"/>
                <w:lang w:eastAsia="en-AU"/>
              </w:rPr>
              <w:t>Density EGMs per 1,000 adults</w:t>
            </w:r>
          </w:p>
        </w:tc>
        <w:tc>
          <w:tcPr>
            <w:tcW w:w="1217" w:type="pct"/>
            <w:tcBorders>
              <w:top w:val="nil"/>
              <w:left w:val="nil"/>
              <w:bottom w:val="nil"/>
              <w:right w:val="nil"/>
            </w:tcBorders>
            <w:noWrap/>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szCs w:val="20"/>
                <w:lang w:eastAsia="en-AU"/>
              </w:rPr>
            </w:pPr>
            <w:r>
              <w:rPr>
                <w:rFonts w:cs="Calibri"/>
                <w:szCs w:val="20"/>
                <w:lang w:eastAsia="en-AU"/>
              </w:rPr>
              <w:t>6.1</w:t>
            </w:r>
          </w:p>
        </w:tc>
        <w:tc>
          <w:tcPr>
            <w:tcW w:w="1217" w:type="pct"/>
            <w:tcBorders>
              <w:top w:val="nil"/>
              <w:left w:val="nil"/>
              <w:bottom w:val="nil"/>
              <w:right w:val="nil"/>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szCs w:val="20"/>
                <w:lang w:eastAsia="en-AU"/>
              </w:rPr>
            </w:pPr>
            <w:r>
              <w:rPr>
                <w:rFonts w:cs="Calibri"/>
                <w:color w:val="000000"/>
                <w:szCs w:val="20"/>
              </w:rPr>
              <w:t>5.3</w:t>
            </w:r>
          </w:p>
        </w:tc>
        <w:tc>
          <w:tcPr>
            <w:tcW w:w="1216" w:type="pct"/>
            <w:tcBorders>
              <w:top w:val="nil"/>
              <w:left w:val="nil"/>
              <w:bottom w:val="nil"/>
              <w:right w:val="single" w:sz="4" w:space="0" w:color="000000" w:themeColor="text1"/>
            </w:tcBorders>
            <w:vAlign w:val="center"/>
            <w:hideMark/>
          </w:tcPr>
          <w:p w:rsidR="00595B44" w:rsidRDefault="00595B44" w:rsidP="00073C73">
            <w:pPr>
              <w:spacing w:after="60"/>
              <w:jc w:val="center"/>
              <w:cnfStyle w:val="000000000000" w:firstRow="0" w:lastRow="0" w:firstColumn="0" w:lastColumn="0" w:oddVBand="0" w:evenVBand="0" w:oddHBand="0" w:evenHBand="0" w:firstRowFirstColumn="0" w:firstRowLastColumn="0" w:lastRowFirstColumn="0" w:lastRowLastColumn="0"/>
              <w:rPr>
                <w:rFonts w:cs="Calibri"/>
                <w:szCs w:val="20"/>
                <w:lang w:eastAsia="en-AU"/>
              </w:rPr>
            </w:pPr>
            <w:r>
              <w:rPr>
                <w:rFonts w:cs="Calibri"/>
                <w:color w:val="000000"/>
                <w:szCs w:val="20"/>
              </w:rPr>
              <w:t>5.7</w:t>
            </w:r>
          </w:p>
        </w:tc>
      </w:tr>
      <w:tr w:rsidR="00595B44" w:rsidTr="00073C7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9" w:type="pct"/>
            <w:tcBorders>
              <w:left w:val="single" w:sz="4" w:space="0" w:color="000000" w:themeColor="text1"/>
            </w:tcBorders>
            <w:vAlign w:val="center"/>
            <w:hideMark/>
          </w:tcPr>
          <w:p w:rsidR="00595B44" w:rsidRDefault="00595B44" w:rsidP="00073C73">
            <w:pPr>
              <w:spacing w:after="60"/>
              <w:rPr>
                <w:rFonts w:cs="Calibri"/>
                <w:szCs w:val="20"/>
                <w:lang w:eastAsia="en-AU"/>
              </w:rPr>
            </w:pPr>
            <w:r>
              <w:rPr>
                <w:rFonts w:cs="Calibri"/>
                <w:szCs w:val="20"/>
                <w:lang w:eastAsia="en-AU"/>
              </w:rPr>
              <w:t>EGM expenditure per adult</w:t>
            </w:r>
          </w:p>
        </w:tc>
        <w:tc>
          <w:tcPr>
            <w:tcW w:w="1217" w:type="pct"/>
            <w:tcBorders>
              <w:left w:val="nil"/>
              <w:right w:val="nil"/>
            </w:tcBorders>
            <w:noWrap/>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szCs w:val="20"/>
                <w:lang w:eastAsia="en-AU"/>
              </w:rPr>
              <w:t>$653.19</w:t>
            </w:r>
          </w:p>
        </w:tc>
        <w:tc>
          <w:tcPr>
            <w:tcW w:w="1217" w:type="pct"/>
            <w:tcBorders>
              <w:left w:val="nil"/>
              <w:right w:val="nil"/>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color w:val="000000"/>
                <w:szCs w:val="20"/>
              </w:rPr>
              <w:t>$575.20</w:t>
            </w:r>
          </w:p>
        </w:tc>
        <w:tc>
          <w:tcPr>
            <w:tcW w:w="1216" w:type="pct"/>
            <w:tcBorders>
              <w:left w:val="nil"/>
              <w:right w:val="single" w:sz="4" w:space="0" w:color="000000" w:themeColor="text1"/>
            </w:tcBorders>
            <w:vAlign w:val="center"/>
            <w:hideMark/>
          </w:tcPr>
          <w:p w:rsidR="00595B44" w:rsidRDefault="00595B44" w:rsidP="00073C73">
            <w:pPr>
              <w:spacing w:after="60"/>
              <w:jc w:val="center"/>
              <w:cnfStyle w:val="000000100000" w:firstRow="0" w:lastRow="0" w:firstColumn="0" w:lastColumn="0" w:oddVBand="0" w:evenVBand="0" w:oddHBand="1" w:evenHBand="0" w:firstRowFirstColumn="0" w:firstRowLastColumn="0" w:lastRowFirstColumn="0" w:lastRowLastColumn="0"/>
              <w:rPr>
                <w:rFonts w:cs="Calibri"/>
                <w:szCs w:val="20"/>
                <w:lang w:eastAsia="en-AU"/>
              </w:rPr>
            </w:pPr>
            <w:r>
              <w:rPr>
                <w:rFonts w:cs="Calibri"/>
                <w:color w:val="000000"/>
                <w:szCs w:val="20"/>
              </w:rPr>
              <w:t>$553.13</w:t>
            </w:r>
          </w:p>
        </w:tc>
      </w:tr>
    </w:tbl>
    <w:p w:rsidR="00595B44" w:rsidRDefault="00595B44" w:rsidP="00595B44">
      <w:pPr>
        <w:rPr>
          <w:rFonts w:cstheme="minorHAnsi"/>
        </w:rPr>
      </w:pPr>
      <w:r>
        <w:rPr>
          <w:rFonts w:cstheme="minorHAnsi"/>
        </w:rPr>
        <w:t>Source: VCGLR</w:t>
      </w:r>
    </w:p>
    <w:p w:rsidR="00595B44" w:rsidRDefault="00595B44">
      <w:pPr>
        <w:spacing w:line="276" w:lineRule="auto"/>
        <w:ind w:left="720"/>
        <w:rPr>
          <w:rFonts w:ascii="Arial" w:hAnsi="Arial"/>
        </w:rPr>
      </w:pPr>
      <w:r>
        <w:rPr>
          <w:rFonts w:ascii="Arial" w:hAnsi="Arial"/>
        </w:rPr>
        <w:br w:type="page"/>
      </w:r>
    </w:p>
    <w:p w:rsidR="00A83CEA" w:rsidRPr="008E3F04" w:rsidRDefault="00A83CEA" w:rsidP="008E3F04">
      <w:pPr>
        <w:pStyle w:val="Style1"/>
        <w:numPr>
          <w:ilvl w:val="0"/>
          <w:numId w:val="0"/>
        </w:numPr>
        <w:rPr>
          <w:b w:val="0"/>
          <w:bCs w:val="0"/>
        </w:rPr>
      </w:pPr>
      <w:bookmarkStart w:id="256" w:name="_Toc494291052"/>
      <w:r w:rsidRPr="008E3F04">
        <w:rPr>
          <w:b w:val="0"/>
        </w:rPr>
        <w:t>References</w:t>
      </w:r>
      <w:bookmarkEnd w:id="256"/>
    </w:p>
    <w:p w:rsidR="00972B59" w:rsidRPr="008E3F04" w:rsidRDefault="00972B59" w:rsidP="008E3F04">
      <w:pPr>
        <w:spacing w:line="276" w:lineRule="auto"/>
        <w:rPr>
          <w:rFonts w:ascii="Arial" w:eastAsiaTheme="majorEastAsia" w:hAnsi="Arial" w:cs="Arial"/>
          <w:b/>
          <w:bCs/>
          <w:color w:val="632423" w:themeColor="accent2" w:themeShade="80"/>
          <w:sz w:val="28"/>
          <w:szCs w:val="28"/>
        </w:rPr>
      </w:pPr>
    </w:p>
    <w:sectPr w:rsidR="00972B59" w:rsidRPr="008E3F04" w:rsidSect="00B30F5B">
      <w:headerReference w:type="default" r:id="rId17"/>
      <w:footerReference w:type="default" r:id="rId18"/>
      <w:headerReference w:type="first" r:id="rId19"/>
      <w:endnotePr>
        <w:numFmt w:val="decimal"/>
      </w:endnotePr>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ABD" w:rsidRDefault="00977ABD" w:rsidP="00375206">
      <w:pPr>
        <w:spacing w:after="0"/>
      </w:pPr>
      <w:r>
        <w:separator/>
      </w:r>
    </w:p>
  </w:endnote>
  <w:endnote w:type="continuationSeparator" w:id="0">
    <w:p w:rsidR="00977ABD" w:rsidRDefault="00977ABD" w:rsidP="00375206">
      <w:pPr>
        <w:spacing w:after="0"/>
      </w:pPr>
      <w:r>
        <w:continuationSeparator/>
      </w:r>
    </w:p>
  </w:endnote>
  <w:endnote w:id="1">
    <w:p w:rsidR="000C0A4F" w:rsidRDefault="000C0A4F" w:rsidP="00A83CEA">
      <w:pPr>
        <w:pStyle w:val="EndnoteText"/>
        <w:rPr>
          <w:rFonts w:cs="Calibri"/>
        </w:rPr>
      </w:pPr>
      <w:r>
        <w:rPr>
          <w:rStyle w:val="EndnoteReference"/>
          <w:rFonts w:cs="Calibri"/>
        </w:rPr>
        <w:endnoteRef/>
      </w:r>
      <w:r>
        <w:rPr>
          <w:rFonts w:cs="Calibri"/>
        </w:rPr>
        <w:t xml:space="preserve"> Clause 21.02-1 Melbourne Planning Scheme</w:t>
      </w:r>
    </w:p>
  </w:endnote>
  <w:endnote w:id="2">
    <w:p w:rsidR="000C0A4F" w:rsidRDefault="000C0A4F" w:rsidP="00A83CEA">
      <w:pPr>
        <w:pStyle w:val="EndnoteText"/>
        <w:rPr>
          <w:rFonts w:cs="Calibri"/>
        </w:rPr>
      </w:pPr>
      <w:r>
        <w:rPr>
          <w:rStyle w:val="EndnoteReference"/>
          <w:rFonts w:cs="Calibri"/>
        </w:rPr>
        <w:endnoteRef/>
      </w:r>
      <w:r>
        <w:rPr>
          <w:rFonts w:cs="Calibri"/>
        </w:rPr>
        <w:t xml:space="preserve"> http://melbournepopulation.geografia.com.au/</w:t>
      </w:r>
    </w:p>
  </w:endnote>
  <w:endnote w:id="3">
    <w:p w:rsidR="000C0A4F" w:rsidRDefault="000C0A4F" w:rsidP="00A83CEA">
      <w:pPr>
        <w:pStyle w:val="EndnoteText"/>
      </w:pPr>
      <w:r>
        <w:rPr>
          <w:rStyle w:val="EndnoteReference"/>
        </w:rPr>
        <w:endnoteRef/>
      </w:r>
      <w:r>
        <w:t xml:space="preserve"> http://www.melbourne.vic.gov.au/about-melbourne/research-and-statistics/Pages/daily-population-interactive-visualisation.aspx</w:t>
      </w:r>
    </w:p>
  </w:endnote>
  <w:endnote w:id="4">
    <w:p w:rsidR="000C0A4F" w:rsidRDefault="000C0A4F" w:rsidP="00A83CEA">
      <w:pPr>
        <w:pStyle w:val="EndnoteText"/>
      </w:pPr>
      <w:r>
        <w:rPr>
          <w:rStyle w:val="EndnoteReference"/>
        </w:rPr>
        <w:endnoteRef/>
      </w:r>
      <w:r>
        <w:t xml:space="preserve"> http://www.melbourne.vic.gov.au/about-melbourne/research-and-statistics/Pages/daily-population-estimates-and-forecasts.aspx</w:t>
      </w:r>
    </w:p>
  </w:endnote>
  <w:endnote w:id="5">
    <w:p w:rsidR="000C0A4F" w:rsidRDefault="000C0A4F" w:rsidP="009879A7">
      <w:pPr>
        <w:pStyle w:val="EndnoteText"/>
        <w:rPr>
          <w:rFonts w:cs="Calibri"/>
        </w:rPr>
      </w:pPr>
      <w:r>
        <w:rPr>
          <w:rStyle w:val="EndnoteReference"/>
          <w:rFonts w:cs="Calibri"/>
        </w:rPr>
        <w:endnoteRef/>
      </w:r>
      <w:r>
        <w:rPr>
          <w:rFonts w:cs="Calibri"/>
        </w:rPr>
        <w:t xml:space="preserve"> Adapted from VCEC Inquiry into Costs of Problem Gambling (2012), and VCGLR submission forms</w:t>
      </w:r>
    </w:p>
  </w:endnote>
  <w:endnote w:id="6">
    <w:p w:rsidR="000C0A4F" w:rsidRDefault="000C0A4F" w:rsidP="009879A7">
      <w:pPr>
        <w:pStyle w:val="EndnoteText"/>
      </w:pPr>
      <w:r>
        <w:rPr>
          <w:rStyle w:val="EndnoteReference"/>
        </w:rPr>
        <w:endnoteRef/>
      </w:r>
      <w:r>
        <w:t xml:space="preserve"> http://problem gambling.gov.au/facts/</w:t>
      </w:r>
    </w:p>
  </w:endnote>
  <w:endnote w:id="7">
    <w:p w:rsidR="000C0A4F" w:rsidRDefault="000C0A4F" w:rsidP="00A83CEA">
      <w:pPr>
        <w:pStyle w:val="EndnoteText"/>
        <w:rPr>
          <w:rFonts w:cs="Calibri"/>
        </w:rPr>
      </w:pPr>
      <w:r>
        <w:rPr>
          <w:rStyle w:val="EndnoteReference"/>
          <w:rFonts w:cs="Calibri"/>
        </w:rPr>
        <w:endnoteRef/>
      </w:r>
      <w:r>
        <w:rPr>
          <w:rFonts w:cs="Calibri"/>
        </w:rPr>
        <w:t xml:space="preserve"> South Australian Centre for Economic Studies (2005) </w:t>
      </w:r>
      <w:r>
        <w:rPr>
          <w:rFonts w:cs="Calibri"/>
          <w:i/>
        </w:rPr>
        <w:t xml:space="preserve">Problem Gambling and Harm: Towards a National Definition </w:t>
      </w:r>
      <w:r>
        <w:rPr>
          <w:rFonts w:cs="Calibri"/>
        </w:rPr>
        <w:t>Office of Gaming and Racing, Victorian Government Department of Justice, Melbourne, Victoria</w:t>
      </w:r>
    </w:p>
  </w:endnote>
  <w:endnote w:id="8">
    <w:p w:rsidR="000C0A4F" w:rsidRDefault="000C0A4F" w:rsidP="00A83CEA">
      <w:pPr>
        <w:pStyle w:val="EndnoteText"/>
        <w:rPr>
          <w:rFonts w:cs="Calibri"/>
        </w:rPr>
      </w:pPr>
      <w:r>
        <w:rPr>
          <w:rStyle w:val="EndnoteReference"/>
          <w:rFonts w:cs="Calibri"/>
        </w:rPr>
        <w:endnoteRef/>
      </w:r>
      <w:r>
        <w:rPr>
          <w:rFonts w:cs="Calibri"/>
        </w:rPr>
        <w:t xml:space="preserve"> Browne, M, Langham, E, Rawat, V, Greer, N, Li, E, Rose, J, Rockloff, M, Donaldson, P, Thorne, H, Goodwin, B, Bryden, G &amp; Best, T 2016, Assessing gambling-related harm in Victoria: a public health perspective, Victorian Responsible Gambling Foundation, Melbourne.</w:t>
      </w:r>
    </w:p>
  </w:endnote>
  <w:endnote w:id="9">
    <w:p w:rsidR="000C0A4F" w:rsidRDefault="000C0A4F" w:rsidP="00A83CEA">
      <w:pPr>
        <w:pStyle w:val="EndnoteText"/>
        <w:rPr>
          <w:rFonts w:cs="Calibri"/>
        </w:rPr>
      </w:pPr>
      <w:r>
        <w:rPr>
          <w:rStyle w:val="EndnoteReference"/>
          <w:rFonts w:cs="Calibri"/>
        </w:rPr>
        <w:endnoteRef/>
      </w:r>
      <w:r>
        <w:rPr>
          <w:rFonts w:cs="Calibri"/>
        </w:rPr>
        <w:t xml:space="preserve"> State Government of Victoria (2009) A study of gambling in Victoria.</w:t>
      </w:r>
    </w:p>
  </w:endnote>
  <w:endnote w:id="10">
    <w:p w:rsidR="000C0A4F" w:rsidRDefault="000C0A4F" w:rsidP="00A83CEA">
      <w:pPr>
        <w:pStyle w:val="EndnoteText"/>
        <w:rPr>
          <w:rFonts w:cs="Calibri"/>
          <w:i/>
        </w:rPr>
      </w:pPr>
      <w:r>
        <w:rPr>
          <w:rStyle w:val="EndnoteReference"/>
          <w:rFonts w:cs="Calibri"/>
        </w:rPr>
        <w:endnoteRef/>
      </w:r>
      <w:r>
        <w:rPr>
          <w:rFonts w:cs="Calibri"/>
        </w:rPr>
        <w:t xml:space="preserve"> VRGF (2014) </w:t>
      </w:r>
      <w:r>
        <w:rPr>
          <w:rFonts w:cs="Calibri"/>
          <w:i/>
        </w:rPr>
        <w:t>Study of gambling and health in Victoria</w:t>
      </w:r>
    </w:p>
  </w:endnote>
  <w:endnote w:id="11">
    <w:p w:rsidR="000C0A4F" w:rsidRDefault="000C0A4F" w:rsidP="00A83CEA">
      <w:pPr>
        <w:pStyle w:val="EndnoteText"/>
        <w:rPr>
          <w:rFonts w:cs="Calibri"/>
        </w:rPr>
      </w:pPr>
      <w:r>
        <w:rPr>
          <w:rStyle w:val="EndnoteReference"/>
          <w:rFonts w:cs="Calibri"/>
        </w:rPr>
        <w:endnoteRef/>
      </w:r>
      <w:r>
        <w:rPr>
          <w:rFonts w:cs="Calibri"/>
        </w:rPr>
        <w:t xml:space="preserve"> Australian Government Productivity Commission (2010) p5.22</w:t>
      </w:r>
    </w:p>
  </w:endnote>
  <w:endnote w:id="12">
    <w:p w:rsidR="000C0A4F" w:rsidRDefault="000C0A4F" w:rsidP="00A83CEA">
      <w:pPr>
        <w:pStyle w:val="EndnoteText"/>
        <w:rPr>
          <w:rFonts w:cs="Calibri"/>
        </w:rPr>
      </w:pPr>
      <w:r>
        <w:rPr>
          <w:rStyle w:val="EndnoteReference"/>
          <w:rFonts w:cs="Calibri"/>
        </w:rPr>
        <w:endnoteRef/>
      </w:r>
      <w:r>
        <w:rPr>
          <w:rFonts w:cs="Calibri"/>
        </w:rPr>
        <w:t xml:space="preserve"> Australian Government Productivity Commission (2010) p5.26</w:t>
      </w:r>
    </w:p>
  </w:endnote>
  <w:endnote w:id="13">
    <w:p w:rsidR="000C0A4F" w:rsidRDefault="000C0A4F" w:rsidP="00A83CEA">
      <w:pPr>
        <w:pStyle w:val="EndnoteText"/>
        <w:rPr>
          <w:rFonts w:cs="Calibri"/>
        </w:rPr>
      </w:pPr>
      <w:r>
        <w:rPr>
          <w:rStyle w:val="EndnoteReference"/>
          <w:rFonts w:cs="Calibri"/>
        </w:rPr>
        <w:endnoteRef/>
      </w:r>
      <w:r>
        <w:rPr>
          <w:rFonts w:cs="Calibri"/>
        </w:rPr>
        <w:t xml:space="preserve"> http://www.problemgambling.gov.au/facts/</w:t>
      </w:r>
    </w:p>
  </w:endnote>
  <w:endnote w:id="14">
    <w:p w:rsidR="000C0A4F" w:rsidRDefault="000C0A4F" w:rsidP="00A83CEA">
      <w:pPr>
        <w:pStyle w:val="EndnoteText"/>
        <w:rPr>
          <w:rFonts w:cs="Calibri"/>
        </w:rPr>
      </w:pPr>
      <w:r>
        <w:rPr>
          <w:rStyle w:val="EndnoteReference"/>
          <w:rFonts w:cs="Calibri"/>
        </w:rPr>
        <w:endnoteRef/>
      </w:r>
      <w:r>
        <w:rPr>
          <w:rFonts w:cs="Calibri"/>
        </w:rPr>
        <w:t xml:space="preserve"> Storer, J, Abbot, M and Stubbs, J (2009) ‘Access or adaptation? A meta-analysis of surveys of problem gambling prevalence in Australian and New Zealand with respect to concentration of electronic gaming machines’ </w:t>
      </w:r>
      <w:r>
        <w:rPr>
          <w:rFonts w:cs="Calibri"/>
          <w:i/>
        </w:rPr>
        <w:t xml:space="preserve">International Gambling Studies </w:t>
      </w:r>
      <w:r>
        <w:rPr>
          <w:rFonts w:cs="Calibri"/>
        </w:rPr>
        <w:t>Volume. 9, No. 3, December 2009, p238</w:t>
      </w:r>
    </w:p>
  </w:endnote>
  <w:endnote w:id="15">
    <w:p w:rsidR="000C0A4F" w:rsidRDefault="000C0A4F" w:rsidP="00A83CEA">
      <w:pPr>
        <w:pStyle w:val="EndnoteText"/>
        <w:rPr>
          <w:rFonts w:cs="Calibri"/>
          <w:i/>
        </w:rPr>
      </w:pPr>
      <w:r>
        <w:rPr>
          <w:rStyle w:val="EndnoteReference"/>
          <w:rFonts w:cs="Calibri"/>
        </w:rPr>
        <w:endnoteRef/>
      </w:r>
      <w:r>
        <w:rPr>
          <w:rFonts w:cs="Calibri"/>
        </w:rPr>
        <w:t xml:space="preserve"> Victorian Responsible Gambling Foundation (2013) </w:t>
      </w:r>
      <w:r>
        <w:rPr>
          <w:rFonts w:cs="Calibri"/>
          <w:i/>
        </w:rPr>
        <w:t>The Responsible Gambling Guide</w:t>
      </w:r>
    </w:p>
  </w:endnote>
  <w:endnote w:id="16">
    <w:p w:rsidR="000C0A4F" w:rsidRDefault="000C0A4F" w:rsidP="00A83CEA">
      <w:pPr>
        <w:pStyle w:val="EndnoteText"/>
        <w:rPr>
          <w:rFonts w:cs="Calibri"/>
        </w:rPr>
      </w:pPr>
      <w:r>
        <w:rPr>
          <w:rStyle w:val="EndnoteReference"/>
          <w:rFonts w:cs="Calibri"/>
        </w:rPr>
        <w:endnoteRef/>
      </w:r>
      <w:r>
        <w:rPr>
          <w:rFonts w:cs="Calibri"/>
        </w:rPr>
        <w:t xml:space="preserve"> Adapted from the Victorian Competition and Efficiency Commission (2010) p33</w:t>
      </w:r>
    </w:p>
  </w:endnote>
  <w:endnote w:id="17">
    <w:p w:rsidR="000C0A4F" w:rsidRDefault="000C0A4F" w:rsidP="00A83CEA">
      <w:pPr>
        <w:pStyle w:val="EndnoteText"/>
        <w:rPr>
          <w:rFonts w:asciiTheme="minorHAnsi" w:hAnsiTheme="minorHAnsi" w:cstheme="minorHAnsi"/>
          <w:sz w:val="16"/>
          <w:szCs w:val="16"/>
        </w:rPr>
      </w:pPr>
      <w:r>
        <w:rPr>
          <w:rStyle w:val="EndnoteReference"/>
          <w:rFonts w:asciiTheme="minorHAnsi" w:eastAsiaTheme="minorEastAsia" w:hAnsiTheme="minorHAnsi" w:cstheme="minorHAnsi"/>
          <w:sz w:val="16"/>
          <w:szCs w:val="16"/>
        </w:rPr>
        <w:endnoteRef/>
      </w:r>
      <w:r>
        <w:rPr>
          <w:rFonts w:asciiTheme="minorHAnsi" w:hAnsiTheme="minorHAnsi" w:cstheme="minorHAnsi"/>
          <w:sz w:val="16"/>
          <w:szCs w:val="16"/>
        </w:rPr>
        <w:t xml:space="preserve"> </w:t>
      </w:r>
      <w:r>
        <w:rPr>
          <w:rFonts w:asciiTheme="minorHAnsi" w:hAnsiTheme="minorHAnsi" w:cstheme="minorHAnsi"/>
          <w:color w:val="222222"/>
          <w:sz w:val="16"/>
          <w:szCs w:val="16"/>
          <w:shd w:val="clear" w:color="auto" w:fill="FFFFFF"/>
        </w:rPr>
        <w:t>Browne, M, Langham, E, Rawat, V, Greer, N, Li, E, Rose, J, Rockloff, M, Donaldson, P, Thorne, H, Goodwin, B, Bryden, G &amp; Best, T  (2016)</w:t>
      </w:r>
      <w:r>
        <w:rPr>
          <w:rStyle w:val="apple-converted-space"/>
          <w:rFonts w:asciiTheme="minorHAnsi" w:hAnsiTheme="minorHAnsi" w:cstheme="minorHAnsi"/>
          <w:color w:val="222222"/>
          <w:sz w:val="16"/>
          <w:szCs w:val="16"/>
          <w:shd w:val="clear" w:color="auto" w:fill="FFFFFF"/>
        </w:rPr>
        <w:t> </w:t>
      </w:r>
      <w:r>
        <w:rPr>
          <w:rStyle w:val="Emphasis"/>
          <w:rFonts w:asciiTheme="minorHAnsi" w:hAnsiTheme="minorHAnsi" w:cstheme="minorHAnsi"/>
          <w:color w:val="222222"/>
          <w:sz w:val="16"/>
          <w:szCs w:val="16"/>
          <w:shd w:val="clear" w:color="auto" w:fill="FFFFFF"/>
        </w:rPr>
        <w:t>Assessing gambling-related harm in Victoria: a public health perspective,</w:t>
      </w:r>
      <w:r>
        <w:rPr>
          <w:rFonts w:asciiTheme="minorHAnsi" w:hAnsiTheme="minorHAnsi" w:cstheme="minorHAnsi"/>
          <w:color w:val="222222"/>
          <w:sz w:val="16"/>
          <w:szCs w:val="16"/>
          <w:shd w:val="clear" w:color="auto" w:fill="FFFFFF"/>
        </w:rPr>
        <w:t> Victorian Responsible Gambling Foundation, Melbourne.</w:t>
      </w:r>
    </w:p>
  </w:endnote>
  <w:endnote w:id="18">
    <w:p w:rsidR="000C0A4F" w:rsidRDefault="000C0A4F" w:rsidP="00A83CEA">
      <w:pPr>
        <w:autoSpaceDE w:val="0"/>
        <w:autoSpaceDN w:val="0"/>
        <w:adjustRightInd w:val="0"/>
        <w:spacing w:after="0"/>
      </w:pPr>
      <w:r>
        <w:rPr>
          <w:rStyle w:val="EndnoteReference"/>
        </w:rPr>
        <w:endnoteRef/>
      </w:r>
      <w:r>
        <w:t xml:space="preserve"> </w:t>
      </w:r>
      <w:r>
        <w:rPr>
          <w:rFonts w:ascii="font000000001d1bc9d5" w:eastAsiaTheme="minorHAnsi" w:hAnsi="font000000001d1bc9d5" w:cs="font000000001d1bc9d5"/>
          <w:szCs w:val="20"/>
        </w:rPr>
        <w:t xml:space="preserve">Markham, F., Doran, B., Young, M., The relationship between electronic gaming machine accessibility and police-recorded domestic violence: A spatio-temporal analysis of 654 postcodes in Victoria, Australia, 2005–2014, </w:t>
      </w:r>
      <w:r>
        <w:rPr>
          <w:rFonts w:ascii="font000000001d1bc9d5" w:eastAsiaTheme="minorHAnsi" w:hAnsi="font000000001d1bc9d5" w:cs="font000000001d1bc9d5"/>
          <w:i/>
          <w:iCs/>
          <w:szCs w:val="20"/>
        </w:rPr>
        <w:t xml:space="preserve">Social Science &amp; Medicine </w:t>
      </w:r>
      <w:r>
        <w:rPr>
          <w:rFonts w:ascii="font000000001d1bc9d5" w:eastAsiaTheme="minorHAnsi" w:hAnsi="font000000001d1bc9d5" w:cs="font000000001d1bc9d5"/>
          <w:szCs w:val="20"/>
        </w:rPr>
        <w:t>(2016), doi: 10.1016/ j.socscimed.2016.06.008.</w:t>
      </w:r>
    </w:p>
  </w:endnote>
  <w:endnote w:id="19">
    <w:p w:rsidR="000C0A4F" w:rsidRDefault="000C0A4F" w:rsidP="00A83CEA">
      <w:pPr>
        <w:pStyle w:val="EndnoteText"/>
        <w:rPr>
          <w:rFonts w:cs="Calibri"/>
        </w:rPr>
      </w:pPr>
      <w:r>
        <w:rPr>
          <w:rStyle w:val="EndnoteReference"/>
          <w:rFonts w:cs="Calibri"/>
        </w:rPr>
        <w:endnoteRef/>
      </w:r>
      <w:r>
        <w:rPr>
          <w:rFonts w:cs="Calibri"/>
        </w:rPr>
        <w:t xml:space="preserve"> The evidence base for these determinants of gambling-related harms is presented in the </w:t>
      </w:r>
      <w:r>
        <w:rPr>
          <w:rFonts w:cs="Calibri"/>
          <w:i/>
        </w:rPr>
        <w:t>Melbourne City Council Gambling Policy and Decision-Making Framework Background 2017</w:t>
      </w:r>
    </w:p>
  </w:endnote>
  <w:endnote w:id="20">
    <w:p w:rsidR="000C0A4F" w:rsidRDefault="000C0A4F" w:rsidP="00A83CEA">
      <w:pPr>
        <w:pStyle w:val="EndnoteText"/>
        <w:rPr>
          <w:rFonts w:cs="Calibri"/>
        </w:rPr>
      </w:pPr>
      <w:r>
        <w:rPr>
          <w:rStyle w:val="EndnoteReference"/>
          <w:rFonts w:cs="Calibri"/>
        </w:rPr>
        <w:endnoteRef/>
      </w:r>
      <w:r>
        <w:rPr>
          <w:rFonts w:cs="Calibri"/>
        </w:rPr>
        <w:t xml:space="preserve"> The evidence base for these determinants of gambling-related harms is presented in the </w:t>
      </w:r>
      <w:r>
        <w:rPr>
          <w:rFonts w:cs="Calibri"/>
          <w:i/>
        </w:rPr>
        <w:t>Melbourne City Council Gambling Policy and Decision-Making Framework Background 2017</w:t>
      </w:r>
    </w:p>
  </w:endnote>
  <w:endnote w:id="21">
    <w:p w:rsidR="000C0A4F" w:rsidRDefault="000C0A4F" w:rsidP="00A83CEA">
      <w:pPr>
        <w:pStyle w:val="EndnoteText"/>
        <w:rPr>
          <w:rFonts w:cs="Calibri"/>
        </w:rPr>
      </w:pPr>
      <w:r>
        <w:rPr>
          <w:rStyle w:val="EndnoteReference"/>
          <w:rFonts w:cs="Calibri"/>
        </w:rPr>
        <w:endnoteRef/>
      </w:r>
      <w:r>
        <w:rPr>
          <w:rFonts w:cs="Calibri"/>
        </w:rPr>
        <w:t xml:space="preserve"> State Government of Victoria (2009) A study of gambling in Victoria.</w:t>
      </w:r>
    </w:p>
  </w:endnote>
  <w:endnote w:id="22">
    <w:p w:rsidR="000C0A4F" w:rsidRDefault="000C0A4F" w:rsidP="00A83CEA">
      <w:pPr>
        <w:pStyle w:val="EndnoteText"/>
        <w:rPr>
          <w:rFonts w:cs="Calibri"/>
        </w:rPr>
      </w:pPr>
      <w:r>
        <w:rPr>
          <w:rStyle w:val="EndnoteReference"/>
          <w:rFonts w:cs="Calibri"/>
        </w:rPr>
        <w:endnoteRef/>
      </w:r>
      <w:r>
        <w:rPr>
          <w:rFonts w:cs="Calibri"/>
        </w:rPr>
        <w:t xml:space="preserve"> Wyndham Planning Panel Report, Amendment C174:</w:t>
      </w:r>
    </w:p>
  </w:endnote>
  <w:endnote w:id="23">
    <w:p w:rsidR="000C0A4F" w:rsidRDefault="000C0A4F" w:rsidP="00A83CEA">
      <w:pPr>
        <w:pStyle w:val="EndnoteText"/>
        <w:rPr>
          <w:rFonts w:cs="Calibri"/>
        </w:rPr>
      </w:pPr>
      <w:r>
        <w:rPr>
          <w:rStyle w:val="EndnoteReference"/>
          <w:rFonts w:cs="Calibri"/>
        </w:rPr>
        <w:endnoteRef/>
      </w:r>
      <w:r>
        <w:rPr>
          <w:rFonts w:cs="Calibri"/>
        </w:rPr>
        <w:t xml:space="preserve"> Romsey Hotel Pty Ltd v Victorian Commission for Gambling Regulation (Occupational and Business Regulation) [2007] VCAT 1</w:t>
      </w:r>
    </w:p>
  </w:endnote>
  <w:endnote w:id="24">
    <w:p w:rsidR="000C0A4F" w:rsidRDefault="000C0A4F" w:rsidP="00A83CEA">
      <w:pPr>
        <w:pStyle w:val="EndnoteText"/>
        <w:rPr>
          <w:rFonts w:cs="Calibri"/>
        </w:rPr>
      </w:pPr>
      <w:r>
        <w:rPr>
          <w:rStyle w:val="EndnoteReference"/>
          <w:rFonts w:cs="Calibri"/>
        </w:rPr>
        <w:endnoteRef/>
      </w:r>
      <w:r>
        <w:rPr>
          <w:rFonts w:cs="Calibri"/>
        </w:rPr>
        <w:t xml:space="preserve"> Commission Decision, Glenroy RSL 2016</w:t>
      </w:r>
    </w:p>
  </w:endnote>
  <w:endnote w:id="25">
    <w:p w:rsidR="000C0A4F" w:rsidRDefault="000C0A4F" w:rsidP="00A83CEA">
      <w:pPr>
        <w:pStyle w:val="EndnoteText"/>
        <w:rPr>
          <w:rFonts w:cs="Calibri"/>
        </w:rPr>
      </w:pPr>
      <w:r>
        <w:rPr>
          <w:rStyle w:val="EndnoteReference"/>
          <w:rFonts w:cs="Calibri"/>
        </w:rPr>
        <w:endnoteRef/>
      </w:r>
      <w:r>
        <w:rPr>
          <w:rFonts w:cs="Calibri"/>
        </w:rPr>
        <w:t xml:space="preserve"> Commission Decision Braybrook Hotel</w:t>
      </w:r>
    </w:p>
  </w:endnote>
  <w:endnote w:id="26">
    <w:p w:rsidR="000C0A4F" w:rsidRDefault="000C0A4F" w:rsidP="00A83CEA">
      <w:pPr>
        <w:spacing w:after="0"/>
        <w:rPr>
          <w:rFonts w:cs="Calibri"/>
          <w:szCs w:val="20"/>
        </w:rPr>
      </w:pPr>
      <w:r>
        <w:rPr>
          <w:rStyle w:val="EndnoteReference"/>
          <w:rFonts w:cs="Calibri"/>
          <w:szCs w:val="20"/>
        </w:rPr>
        <w:endnoteRef/>
      </w:r>
      <w:r>
        <w:rPr>
          <w:rFonts w:cs="Calibri"/>
          <w:szCs w:val="20"/>
        </w:rPr>
        <w:t xml:space="preserve"> Darebin CC v Victorian Commission for Gambling and Liquor Regulation &amp; Anor</w:t>
      </w:r>
    </w:p>
  </w:endnote>
  <w:endnote w:id="27">
    <w:p w:rsidR="000C0A4F" w:rsidRDefault="000C0A4F" w:rsidP="00A83CEA">
      <w:pPr>
        <w:pStyle w:val="EndnoteText"/>
        <w:rPr>
          <w:rFonts w:cs="Calibri"/>
        </w:rPr>
      </w:pPr>
      <w:r>
        <w:rPr>
          <w:rStyle w:val="EndnoteReference"/>
          <w:rFonts w:cs="Calibri"/>
        </w:rPr>
        <w:endnoteRef/>
      </w:r>
      <w:r>
        <w:rPr>
          <w:rFonts w:cs="Calibri"/>
        </w:rPr>
        <w:t xml:space="preserve"> Commission Decision, Commercial Hotel</w:t>
      </w:r>
    </w:p>
  </w:endnote>
  <w:endnote w:id="28">
    <w:p w:rsidR="000C0A4F" w:rsidRDefault="000C0A4F" w:rsidP="00A83CEA">
      <w:pPr>
        <w:pStyle w:val="EndnoteText"/>
        <w:rPr>
          <w:rFonts w:cs="Calibri"/>
        </w:rPr>
      </w:pPr>
      <w:r>
        <w:rPr>
          <w:rStyle w:val="EndnoteReference"/>
          <w:rFonts w:cs="Calibri"/>
        </w:rPr>
        <w:endnoteRef/>
      </w:r>
      <w:r>
        <w:rPr>
          <w:rFonts w:cs="Calibri"/>
        </w:rPr>
        <w:t xml:space="preserve"> Commission Decision, Commercial Hotel</w:t>
      </w:r>
    </w:p>
  </w:endnote>
  <w:endnote w:id="29">
    <w:p w:rsidR="000C0A4F" w:rsidRDefault="000C0A4F" w:rsidP="00A83CEA">
      <w:pPr>
        <w:pStyle w:val="EndnoteText"/>
        <w:rPr>
          <w:rFonts w:cs="Calibri"/>
        </w:rPr>
      </w:pPr>
      <w:r>
        <w:rPr>
          <w:rStyle w:val="EndnoteReference"/>
          <w:rFonts w:cs="Calibri"/>
        </w:rPr>
        <w:endnoteRef/>
      </w:r>
      <w:r>
        <w:rPr>
          <w:rFonts w:cs="Calibri"/>
        </w:rPr>
        <w:t xml:space="preserve"> Commission Decision, Braybrook Hotel, Commission Decision, Commercial Hotel</w:t>
      </w:r>
    </w:p>
  </w:endnote>
  <w:endnote w:id="30">
    <w:p w:rsidR="000C0A4F" w:rsidRDefault="000C0A4F" w:rsidP="00A83CEA">
      <w:pPr>
        <w:pStyle w:val="EndnoteText"/>
        <w:rPr>
          <w:rFonts w:cs="Calibri"/>
        </w:rPr>
      </w:pPr>
      <w:r>
        <w:rPr>
          <w:rStyle w:val="EndnoteReference"/>
          <w:rFonts w:cs="Calibri"/>
        </w:rPr>
        <w:endnoteRef/>
      </w:r>
      <w:r>
        <w:rPr>
          <w:rFonts w:cs="Calibri"/>
        </w:rPr>
        <w:t xml:space="preserve"> Commission Decision, Braybrook Hotel</w:t>
      </w:r>
    </w:p>
  </w:endnote>
  <w:endnote w:id="31">
    <w:p w:rsidR="000C0A4F" w:rsidRDefault="000C0A4F" w:rsidP="00A83CEA">
      <w:pPr>
        <w:spacing w:after="0"/>
        <w:rPr>
          <w:rFonts w:cs="Calibri"/>
          <w:szCs w:val="20"/>
        </w:rPr>
      </w:pPr>
      <w:r>
        <w:rPr>
          <w:rStyle w:val="EndnoteReference"/>
          <w:rFonts w:cs="Calibri"/>
          <w:szCs w:val="20"/>
        </w:rPr>
        <w:endnoteRef/>
      </w:r>
      <w:r>
        <w:rPr>
          <w:rFonts w:cs="Calibri"/>
          <w:szCs w:val="20"/>
        </w:rPr>
        <w:t xml:space="preserve"> </w:t>
      </w:r>
      <w:r>
        <w:rPr>
          <w:rFonts w:cs="Calibri"/>
          <w:noProof/>
          <w:szCs w:val="20"/>
        </w:rPr>
        <w:t>Glenroy RSL Sub Branch Inc v Moreland CC [2017] VCAT 531</w:t>
      </w:r>
    </w:p>
  </w:endnote>
  <w:endnote w:id="32">
    <w:p w:rsidR="000C0A4F" w:rsidRDefault="000C0A4F" w:rsidP="00A83CEA">
      <w:pPr>
        <w:spacing w:after="0"/>
        <w:jc w:val="both"/>
        <w:rPr>
          <w:rFonts w:cs="Calibri"/>
          <w:szCs w:val="20"/>
        </w:rPr>
      </w:pPr>
      <w:r>
        <w:rPr>
          <w:rStyle w:val="EndnoteReference"/>
          <w:rFonts w:cs="Calibri"/>
          <w:szCs w:val="20"/>
        </w:rPr>
        <w:endnoteRef/>
      </w:r>
      <w:r>
        <w:rPr>
          <w:rFonts w:cs="Calibri"/>
          <w:szCs w:val="20"/>
        </w:rPr>
        <w:t xml:space="preserve"> </w:t>
      </w:r>
      <w:r>
        <w:rPr>
          <w:rFonts w:cs="Calibri"/>
          <w:noProof/>
          <w:szCs w:val="20"/>
        </w:rPr>
        <w:t>Glenroy RSL Sub Branch Inc v Moreland CC [2017] VCAT 531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
    <w:altName w:val="Franklin Gothic Medium Con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altName w:val="Arial"/>
    <w:panose1 w:val="00000000000000000000"/>
    <w:charset w:val="00"/>
    <w:family w:val="modern"/>
    <w:notTrueType/>
    <w:pitch w:val="variable"/>
    <w:sig w:usb0="A10000FF" w:usb1="4000005B" w:usb2="00000000" w:usb3="00000000" w:csb0="0000009B" w:csb1="00000000"/>
  </w:font>
  <w:font w:name="font000000001d1bc9d5">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A4F" w:rsidRDefault="000C0A4F">
    <w:pPr>
      <w:pStyle w:val="Footer"/>
    </w:pPr>
  </w:p>
  <w:p w:rsidR="000C0A4F" w:rsidRPr="00932871" w:rsidRDefault="000C0A4F" w:rsidP="00C27DD7">
    <w:pPr>
      <w:pStyle w:val="Footer"/>
      <w:jc w:val="center"/>
      <w:rPr>
        <w:b/>
        <w:bCs/>
        <w:color w:val="C0504D" w:themeColor="accent2"/>
        <w:sz w:val="16"/>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196915"/>
      <w:docPartObj>
        <w:docPartGallery w:val="Page Numbers (Bottom of Page)"/>
        <w:docPartUnique/>
      </w:docPartObj>
    </w:sdtPr>
    <w:sdtEndPr>
      <w:rPr>
        <w:noProof/>
      </w:rPr>
    </w:sdtEndPr>
    <w:sdtContent>
      <w:p w:rsidR="000C0A4F" w:rsidRDefault="000C0A4F">
        <w:pPr>
          <w:pStyle w:val="Footer"/>
        </w:pPr>
        <w:r>
          <w:fldChar w:fldCharType="begin"/>
        </w:r>
        <w:r>
          <w:instrText xml:space="preserve"> PAGE   \* MERGEFORMAT </w:instrText>
        </w:r>
        <w:r>
          <w:fldChar w:fldCharType="separate"/>
        </w:r>
        <w:r w:rsidR="00DA5951">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839990"/>
      <w:docPartObj>
        <w:docPartGallery w:val="Page Numbers (Bottom of Page)"/>
        <w:docPartUnique/>
      </w:docPartObj>
    </w:sdtPr>
    <w:sdtEndPr>
      <w:rPr>
        <w:noProof/>
      </w:rPr>
    </w:sdtEndPr>
    <w:sdtContent>
      <w:p w:rsidR="003963D6" w:rsidRDefault="003963D6">
        <w:pPr>
          <w:pStyle w:val="Footer"/>
        </w:pPr>
        <w:r>
          <w:fldChar w:fldCharType="begin"/>
        </w:r>
        <w:r>
          <w:instrText xml:space="preserve"> PAGE   \* MERGEFORMAT </w:instrText>
        </w:r>
        <w:r>
          <w:fldChar w:fldCharType="separate"/>
        </w:r>
        <w:r w:rsidR="00DA5951">
          <w:rPr>
            <w:noProof/>
          </w:rPr>
          <w:t>32</w:t>
        </w:r>
        <w:r>
          <w:rPr>
            <w:noProof/>
          </w:rPr>
          <w:fldChar w:fldCharType="end"/>
        </w:r>
      </w:p>
    </w:sdtContent>
  </w:sdt>
  <w:p w:rsidR="003963D6" w:rsidRPr="00932871" w:rsidRDefault="003963D6" w:rsidP="00C27DD7">
    <w:pPr>
      <w:pStyle w:val="Footer"/>
      <w:jc w:val="center"/>
      <w:rPr>
        <w:b/>
        <w:bCs/>
        <w:color w:val="C0504D" w:themeColor="accent2"/>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ABD" w:rsidRDefault="00977ABD" w:rsidP="00375206">
      <w:pPr>
        <w:spacing w:after="0"/>
      </w:pPr>
      <w:r>
        <w:separator/>
      </w:r>
    </w:p>
  </w:footnote>
  <w:footnote w:type="continuationSeparator" w:id="0">
    <w:p w:rsidR="00977ABD" w:rsidRDefault="00977ABD" w:rsidP="00375206">
      <w:pPr>
        <w:spacing w:after="0"/>
      </w:pPr>
      <w:r>
        <w:continuationSeparator/>
      </w:r>
    </w:p>
  </w:footnote>
  <w:footnote w:id="1">
    <w:p w:rsidR="000C0A4F" w:rsidRDefault="000C0A4F" w:rsidP="00A75044">
      <w:pPr>
        <w:spacing w:after="0"/>
        <w:rPr>
          <w:sz w:val="16"/>
          <w:szCs w:val="16"/>
        </w:rPr>
      </w:pPr>
      <w:r>
        <w:rPr>
          <w:rStyle w:val="FootnoteReference"/>
          <w:sz w:val="16"/>
          <w:szCs w:val="16"/>
        </w:rPr>
        <w:footnoteRef/>
      </w:r>
      <w:r>
        <w:rPr>
          <w:sz w:val="16"/>
          <w:szCs w:val="16"/>
        </w:rPr>
        <w:t xml:space="preserve"> </w:t>
      </w:r>
      <w:r>
        <w:rPr>
          <w:i/>
          <w:sz w:val="16"/>
          <w:szCs w:val="16"/>
        </w:rPr>
        <w:t xml:space="preserve">Mount Alexander SC v Victorian Commission for Gambling and Liquor Regulation &amp; Ors [2013] </w:t>
      </w:r>
      <w:r>
        <w:rPr>
          <w:sz w:val="16"/>
          <w:szCs w:val="16"/>
        </w:rPr>
        <w:t>Para 25, 164 and 165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D6" w:rsidRDefault="003963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3D6" w:rsidRDefault="003963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B04DCD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1">
    <w:nsid w:val="00F31533"/>
    <w:multiLevelType w:val="hybridMultilevel"/>
    <w:tmpl w:val="0ADE38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534C47"/>
    <w:multiLevelType w:val="hybridMultilevel"/>
    <w:tmpl w:val="23C6E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D1849"/>
    <w:multiLevelType w:val="hybridMultilevel"/>
    <w:tmpl w:val="D48C8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0025CF"/>
    <w:multiLevelType w:val="hybridMultilevel"/>
    <w:tmpl w:val="43F47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903B4E"/>
    <w:multiLevelType w:val="hybridMultilevel"/>
    <w:tmpl w:val="9C12C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1502EE"/>
    <w:multiLevelType w:val="hybridMultilevel"/>
    <w:tmpl w:val="817E59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3368F5"/>
    <w:multiLevelType w:val="hybridMultilevel"/>
    <w:tmpl w:val="74B4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687F2C"/>
    <w:multiLevelType w:val="hybridMultilevel"/>
    <w:tmpl w:val="0ABA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A81283"/>
    <w:multiLevelType w:val="hybridMultilevel"/>
    <w:tmpl w:val="1958C2B2"/>
    <w:lvl w:ilvl="0" w:tplc="6D527BE2">
      <w:start w:val="1"/>
      <w:numFmt w:val="decimal"/>
      <w:pStyle w:val="Para1"/>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D43EE484">
      <w:start w:val="3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CF66CC"/>
    <w:multiLevelType w:val="multilevel"/>
    <w:tmpl w:val="3AB8379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color w:val="auto"/>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024EBA"/>
    <w:multiLevelType w:val="hybridMultilevel"/>
    <w:tmpl w:val="E7A2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F6718CE"/>
    <w:multiLevelType w:val="hybridMultilevel"/>
    <w:tmpl w:val="431CE2DA"/>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3">
    <w:nsid w:val="11EF39F2"/>
    <w:multiLevelType w:val="hybridMultilevel"/>
    <w:tmpl w:val="7128934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nsid w:val="15673931"/>
    <w:multiLevelType w:val="hybridMultilevel"/>
    <w:tmpl w:val="926CB78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361C4F"/>
    <w:multiLevelType w:val="hybridMultilevel"/>
    <w:tmpl w:val="6DA23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6A690F"/>
    <w:multiLevelType w:val="hybridMultilevel"/>
    <w:tmpl w:val="675E06B6"/>
    <w:lvl w:ilvl="0" w:tplc="0C090001">
      <w:start w:val="1"/>
      <w:numFmt w:val="bullet"/>
      <w:lvlText w:val=""/>
      <w:lvlJc w:val="left"/>
      <w:pPr>
        <w:ind w:left="1494" w:hanging="360"/>
      </w:pPr>
      <w:rPr>
        <w:rFonts w:ascii="Symbol" w:hAnsi="Symbol" w:hint="default"/>
      </w:rPr>
    </w:lvl>
    <w:lvl w:ilvl="1" w:tplc="0C090005">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nsid w:val="18DC719A"/>
    <w:multiLevelType w:val="hybridMultilevel"/>
    <w:tmpl w:val="EF229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2439F9"/>
    <w:multiLevelType w:val="hybridMultilevel"/>
    <w:tmpl w:val="694C27B8"/>
    <w:lvl w:ilvl="0" w:tplc="0C090001">
      <w:start w:val="1"/>
      <w:numFmt w:val="bullet"/>
      <w:lvlText w:val=""/>
      <w:lvlJc w:val="left"/>
      <w:pPr>
        <w:ind w:left="1494" w:hanging="360"/>
      </w:pPr>
      <w:rPr>
        <w:rFonts w:ascii="Symbol" w:hAnsi="Symbol" w:hint="default"/>
      </w:rPr>
    </w:lvl>
    <w:lvl w:ilvl="1" w:tplc="0C090005">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nsid w:val="1ADC28BC"/>
    <w:multiLevelType w:val="hybridMultilevel"/>
    <w:tmpl w:val="5A8621BE"/>
    <w:lvl w:ilvl="0" w:tplc="C4DA61D6">
      <w:start w:val="1"/>
      <w:numFmt w:val="bullet"/>
      <w:pStyle w:val="bt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DAA3F79"/>
    <w:multiLevelType w:val="hybridMultilevel"/>
    <w:tmpl w:val="8D801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8C493E"/>
    <w:multiLevelType w:val="multilevel"/>
    <w:tmpl w:val="140EC270"/>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23DF656E"/>
    <w:multiLevelType w:val="hybridMultilevel"/>
    <w:tmpl w:val="EBAC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44D601B"/>
    <w:multiLevelType w:val="multilevel"/>
    <w:tmpl w:val="A344F496"/>
    <w:styleLink w:val="Style7"/>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24EE7164"/>
    <w:multiLevelType w:val="hybridMultilevel"/>
    <w:tmpl w:val="BD7A6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56B3352"/>
    <w:multiLevelType w:val="hybridMultilevel"/>
    <w:tmpl w:val="817E59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7C870C8"/>
    <w:multiLevelType w:val="hybridMultilevel"/>
    <w:tmpl w:val="5B4CC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A33352"/>
    <w:multiLevelType w:val="multilevel"/>
    <w:tmpl w:val="1D02566A"/>
    <w:styleLink w:val="Style6"/>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8CE1330"/>
    <w:multiLevelType w:val="hybridMultilevel"/>
    <w:tmpl w:val="6F488EBA"/>
    <w:lvl w:ilvl="0" w:tplc="04090001">
      <w:start w:val="1"/>
      <w:numFmt w:val="bullet"/>
      <w:lvlText w:val=""/>
      <w:lvlJc w:val="left"/>
      <w:pPr>
        <w:ind w:left="720" w:hanging="360"/>
      </w:pPr>
      <w:rPr>
        <w:rFonts w:ascii="Symbol" w:hAnsi="Symbol" w:hint="default"/>
      </w:rPr>
    </w:lvl>
    <w:lvl w:ilvl="1" w:tplc="CF76A0C6">
      <w:start w:val="1"/>
      <w:numFmt w:val="bullet"/>
      <w:lvlText w:val="o"/>
      <w:lvlJc w:val="left"/>
      <w:pPr>
        <w:ind w:left="1440" w:hanging="360"/>
      </w:pPr>
      <w:rPr>
        <w:rFonts w:ascii="Courier New" w:hAnsi="Courier New" w:cs="Courier New" w:hint="default"/>
        <w:strike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AC0159"/>
    <w:multiLevelType w:val="hybridMultilevel"/>
    <w:tmpl w:val="BE30C8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2E0317"/>
    <w:multiLevelType w:val="hybridMultilevel"/>
    <w:tmpl w:val="C0A29B9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1942992"/>
    <w:multiLevelType w:val="hybridMultilevel"/>
    <w:tmpl w:val="270A3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5344ED5"/>
    <w:multiLevelType w:val="hybridMultilevel"/>
    <w:tmpl w:val="1AF44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6BF6934"/>
    <w:multiLevelType w:val="hybridMultilevel"/>
    <w:tmpl w:val="97B22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7404FC0"/>
    <w:multiLevelType w:val="hybridMultilevel"/>
    <w:tmpl w:val="59E293B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6">
    <w:nsid w:val="38A135B2"/>
    <w:multiLevelType w:val="hybridMultilevel"/>
    <w:tmpl w:val="3F2CFC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nsid w:val="4002546A"/>
    <w:multiLevelType w:val="hybridMultilevel"/>
    <w:tmpl w:val="124432B6"/>
    <w:lvl w:ilvl="0" w:tplc="0C090001">
      <w:start w:val="1"/>
      <w:numFmt w:val="bullet"/>
      <w:lvlText w:val=""/>
      <w:lvlJc w:val="left"/>
      <w:pPr>
        <w:ind w:left="1494" w:hanging="360"/>
      </w:pPr>
      <w:rPr>
        <w:rFonts w:ascii="Symbol" w:hAnsi="Symbol" w:hint="default"/>
      </w:rPr>
    </w:lvl>
    <w:lvl w:ilvl="1" w:tplc="0C090005">
      <w:start w:val="1"/>
      <w:numFmt w:val="bullet"/>
      <w:lvlText w:val=""/>
      <w:lvlJc w:val="left"/>
      <w:pPr>
        <w:ind w:left="2214" w:hanging="360"/>
      </w:pPr>
      <w:rPr>
        <w:rFonts w:ascii="Wingdings" w:hAnsi="Wingdings"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nsid w:val="4016529D"/>
    <w:multiLevelType w:val="hybridMultilevel"/>
    <w:tmpl w:val="15363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3426A57"/>
    <w:multiLevelType w:val="hybridMultilevel"/>
    <w:tmpl w:val="D6540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9F77E1"/>
    <w:multiLevelType w:val="hybridMultilevel"/>
    <w:tmpl w:val="9D5AF44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1">
    <w:nsid w:val="445F412A"/>
    <w:multiLevelType w:val="multilevel"/>
    <w:tmpl w:val="9FBA34CC"/>
    <w:name w:val="Fact Sheet Bullets"/>
    <w:lvl w:ilvl="0">
      <w:start w:val="1"/>
      <w:numFmt w:val="bullet"/>
      <w:pStyle w:val="FactSheetBullet1"/>
      <w:lvlText w:val=""/>
      <w:lvlJc w:val="left"/>
      <w:pPr>
        <w:tabs>
          <w:tab w:val="num" w:pos="283"/>
        </w:tabs>
        <w:ind w:left="283" w:hanging="283"/>
      </w:pPr>
      <w:rPr>
        <w:rFonts w:ascii="Symbol" w:hAnsi="Symbol" w:hint="default"/>
        <w:b w:val="0"/>
        <w:i w:val="0"/>
        <w:sz w:val="18"/>
      </w:rPr>
    </w:lvl>
    <w:lvl w:ilvl="1">
      <w:start w:val="1"/>
      <w:numFmt w:val="bullet"/>
      <w:pStyle w:val="FactSheetBullet2"/>
      <w:lvlText w:val="–"/>
      <w:lvlJc w:val="left"/>
      <w:pPr>
        <w:tabs>
          <w:tab w:val="num" w:pos="567"/>
        </w:tabs>
        <w:ind w:left="567" w:hanging="284"/>
      </w:pPr>
      <w:rPr>
        <w:rFonts w:ascii="Calibri" w:hAnsi="Calibri" w:hint="default"/>
        <w:b w:val="0"/>
        <w:i w:val="0"/>
        <w:sz w:val="18"/>
      </w:rPr>
    </w:lvl>
    <w:lvl w:ilvl="2">
      <w:start w:val="1"/>
      <w:numFmt w:val="bullet"/>
      <w:pStyle w:val="FactSheetBullet3"/>
      <w:lvlText w:val=""/>
      <w:lvlJc w:val="left"/>
      <w:pPr>
        <w:tabs>
          <w:tab w:val="num" w:pos="850"/>
        </w:tabs>
        <w:ind w:left="850" w:hanging="283"/>
      </w:pPr>
      <w:rPr>
        <w:rFonts w:ascii="Symbol" w:hAnsi="Symbol" w:hint="default"/>
        <w:b w:val="0"/>
        <w:i w:val="0"/>
        <w:sz w:val="18"/>
      </w:rPr>
    </w:lvl>
    <w:lvl w:ilvl="3">
      <w:start w:val="1"/>
      <w:numFmt w:val="bullet"/>
      <w:lvlText w:val=""/>
      <w:lvlJc w:val="left"/>
      <w:pPr>
        <w:tabs>
          <w:tab w:val="num" w:pos="1134"/>
        </w:tabs>
        <w:ind w:left="1134" w:hanging="284"/>
      </w:pPr>
      <w:rPr>
        <w:rFonts w:ascii="Symbol" w:hAnsi="Symbol" w:hint="default"/>
        <w:b w:val="0"/>
        <w:i w:val="0"/>
        <w:sz w:val="18"/>
      </w:rPr>
    </w:lvl>
    <w:lvl w:ilvl="4">
      <w:start w:val="1"/>
      <w:numFmt w:val="bullet"/>
      <w:lvlText w:val=""/>
      <w:lvlJc w:val="left"/>
      <w:pPr>
        <w:tabs>
          <w:tab w:val="num" w:pos="1417"/>
        </w:tabs>
        <w:ind w:left="1417" w:hanging="283"/>
      </w:pPr>
      <w:rPr>
        <w:rFonts w:ascii="Symbol" w:hAnsi="Symbol" w:hint="default"/>
        <w:b w:val="0"/>
        <w:i w:val="0"/>
        <w:sz w:val="18"/>
      </w:rPr>
    </w:lvl>
    <w:lvl w:ilvl="5">
      <w:start w:val="1"/>
      <w:numFmt w:val="bullet"/>
      <w:lvlText w:val=""/>
      <w:lvlJc w:val="left"/>
      <w:pPr>
        <w:tabs>
          <w:tab w:val="num" w:pos="1701"/>
        </w:tabs>
        <w:ind w:left="1701" w:hanging="284"/>
      </w:pPr>
      <w:rPr>
        <w:rFonts w:ascii="Symbol" w:hAnsi="Symbol" w:hint="default"/>
        <w:b w:val="0"/>
        <w:i w:val="0"/>
        <w:sz w:val="18"/>
      </w:rPr>
    </w:lvl>
    <w:lvl w:ilvl="6">
      <w:start w:val="1"/>
      <w:numFmt w:val="bullet"/>
      <w:lvlText w:val=""/>
      <w:lvlJc w:val="left"/>
      <w:pPr>
        <w:tabs>
          <w:tab w:val="num" w:pos="1984"/>
        </w:tabs>
        <w:ind w:left="1984" w:hanging="283"/>
      </w:pPr>
      <w:rPr>
        <w:rFonts w:ascii="Symbol" w:hAnsi="Symbol" w:hint="default"/>
        <w:b w:val="0"/>
        <w:i w:val="0"/>
        <w:sz w:val="18"/>
      </w:rPr>
    </w:lvl>
    <w:lvl w:ilvl="7">
      <w:start w:val="1"/>
      <w:numFmt w:val="bullet"/>
      <w:lvlText w:val=""/>
      <w:lvlJc w:val="left"/>
      <w:pPr>
        <w:tabs>
          <w:tab w:val="num" w:pos="2268"/>
        </w:tabs>
        <w:ind w:left="2268" w:hanging="284"/>
      </w:pPr>
      <w:rPr>
        <w:rFonts w:ascii="Symbol" w:hAnsi="Symbol" w:hint="default"/>
        <w:b w:val="0"/>
        <w:i w:val="0"/>
        <w:sz w:val="18"/>
      </w:rPr>
    </w:lvl>
    <w:lvl w:ilvl="8">
      <w:start w:val="1"/>
      <w:numFmt w:val="bullet"/>
      <w:lvlText w:val=""/>
      <w:lvlJc w:val="left"/>
      <w:pPr>
        <w:tabs>
          <w:tab w:val="num" w:pos="2551"/>
        </w:tabs>
        <w:ind w:left="2551" w:hanging="283"/>
      </w:pPr>
      <w:rPr>
        <w:rFonts w:ascii="Symbol" w:hAnsi="Symbol" w:hint="default"/>
        <w:b w:val="0"/>
        <w:i w:val="0"/>
        <w:sz w:val="18"/>
      </w:rPr>
    </w:lvl>
  </w:abstractNum>
  <w:abstractNum w:abstractNumId="42">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3">
    <w:nsid w:val="47350613"/>
    <w:multiLevelType w:val="hybridMultilevel"/>
    <w:tmpl w:val="8E1C5924"/>
    <w:lvl w:ilvl="0" w:tplc="0C090001">
      <w:start w:val="1"/>
      <w:numFmt w:val="bullet"/>
      <w:lvlText w:val=""/>
      <w:lvlJc w:val="left"/>
      <w:pPr>
        <w:ind w:left="-568" w:hanging="360"/>
      </w:pPr>
      <w:rPr>
        <w:rFonts w:ascii="Symbol" w:hAnsi="Symbol" w:hint="default"/>
      </w:rPr>
    </w:lvl>
    <w:lvl w:ilvl="1" w:tplc="0C090003">
      <w:start w:val="1"/>
      <w:numFmt w:val="bullet"/>
      <w:lvlText w:val="o"/>
      <w:lvlJc w:val="left"/>
      <w:pPr>
        <w:ind w:left="152" w:hanging="360"/>
      </w:pPr>
      <w:rPr>
        <w:rFonts w:ascii="Courier New" w:hAnsi="Courier New" w:cs="Courier New" w:hint="default"/>
      </w:rPr>
    </w:lvl>
    <w:lvl w:ilvl="2" w:tplc="0C090005" w:tentative="1">
      <w:start w:val="1"/>
      <w:numFmt w:val="bullet"/>
      <w:lvlText w:val=""/>
      <w:lvlJc w:val="left"/>
      <w:pPr>
        <w:ind w:left="872" w:hanging="360"/>
      </w:pPr>
      <w:rPr>
        <w:rFonts w:ascii="Wingdings" w:hAnsi="Wingdings" w:hint="default"/>
      </w:rPr>
    </w:lvl>
    <w:lvl w:ilvl="3" w:tplc="0C090001" w:tentative="1">
      <w:start w:val="1"/>
      <w:numFmt w:val="bullet"/>
      <w:lvlText w:val=""/>
      <w:lvlJc w:val="left"/>
      <w:pPr>
        <w:ind w:left="1592" w:hanging="360"/>
      </w:pPr>
      <w:rPr>
        <w:rFonts w:ascii="Symbol" w:hAnsi="Symbol" w:hint="default"/>
      </w:rPr>
    </w:lvl>
    <w:lvl w:ilvl="4" w:tplc="0C090003" w:tentative="1">
      <w:start w:val="1"/>
      <w:numFmt w:val="bullet"/>
      <w:lvlText w:val="o"/>
      <w:lvlJc w:val="left"/>
      <w:pPr>
        <w:ind w:left="2312" w:hanging="360"/>
      </w:pPr>
      <w:rPr>
        <w:rFonts w:ascii="Courier New" w:hAnsi="Courier New" w:cs="Courier New" w:hint="default"/>
      </w:rPr>
    </w:lvl>
    <w:lvl w:ilvl="5" w:tplc="0C090005" w:tentative="1">
      <w:start w:val="1"/>
      <w:numFmt w:val="bullet"/>
      <w:lvlText w:val=""/>
      <w:lvlJc w:val="left"/>
      <w:pPr>
        <w:ind w:left="3032" w:hanging="360"/>
      </w:pPr>
      <w:rPr>
        <w:rFonts w:ascii="Wingdings" w:hAnsi="Wingdings" w:hint="default"/>
      </w:rPr>
    </w:lvl>
    <w:lvl w:ilvl="6" w:tplc="0C090001" w:tentative="1">
      <w:start w:val="1"/>
      <w:numFmt w:val="bullet"/>
      <w:lvlText w:val=""/>
      <w:lvlJc w:val="left"/>
      <w:pPr>
        <w:ind w:left="3752" w:hanging="360"/>
      </w:pPr>
      <w:rPr>
        <w:rFonts w:ascii="Symbol" w:hAnsi="Symbol" w:hint="default"/>
      </w:rPr>
    </w:lvl>
    <w:lvl w:ilvl="7" w:tplc="0C090003" w:tentative="1">
      <w:start w:val="1"/>
      <w:numFmt w:val="bullet"/>
      <w:lvlText w:val="o"/>
      <w:lvlJc w:val="left"/>
      <w:pPr>
        <w:ind w:left="4472" w:hanging="360"/>
      </w:pPr>
      <w:rPr>
        <w:rFonts w:ascii="Courier New" w:hAnsi="Courier New" w:cs="Courier New" w:hint="default"/>
      </w:rPr>
    </w:lvl>
    <w:lvl w:ilvl="8" w:tplc="0C090005" w:tentative="1">
      <w:start w:val="1"/>
      <w:numFmt w:val="bullet"/>
      <w:lvlText w:val=""/>
      <w:lvlJc w:val="left"/>
      <w:pPr>
        <w:ind w:left="5192" w:hanging="360"/>
      </w:pPr>
      <w:rPr>
        <w:rFonts w:ascii="Wingdings" w:hAnsi="Wingdings" w:hint="default"/>
      </w:rPr>
    </w:lvl>
  </w:abstractNum>
  <w:abstractNum w:abstractNumId="44">
    <w:nsid w:val="49A50487"/>
    <w:multiLevelType w:val="hybridMultilevel"/>
    <w:tmpl w:val="87C4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A5A164B"/>
    <w:multiLevelType w:val="hybridMultilevel"/>
    <w:tmpl w:val="D1CE4AF8"/>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6">
    <w:nsid w:val="4BCA457D"/>
    <w:multiLevelType w:val="hybridMultilevel"/>
    <w:tmpl w:val="3E48C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F0545D8"/>
    <w:multiLevelType w:val="hybridMultilevel"/>
    <w:tmpl w:val="5FA6E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10E3EF2"/>
    <w:multiLevelType w:val="hybridMultilevel"/>
    <w:tmpl w:val="224E57C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9">
    <w:nsid w:val="525C5883"/>
    <w:multiLevelType w:val="hybridMultilevel"/>
    <w:tmpl w:val="E0606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nsid w:val="54421D9C"/>
    <w:multiLevelType w:val="hybridMultilevel"/>
    <w:tmpl w:val="360C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6111DE1"/>
    <w:multiLevelType w:val="singleLevel"/>
    <w:tmpl w:val="47004A16"/>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52">
    <w:nsid w:val="57470BB0"/>
    <w:multiLevelType w:val="hybridMultilevel"/>
    <w:tmpl w:val="386E4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061833"/>
    <w:multiLevelType w:val="hybridMultilevel"/>
    <w:tmpl w:val="19EE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1D31A62"/>
    <w:multiLevelType w:val="hybridMultilevel"/>
    <w:tmpl w:val="A83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233051E"/>
    <w:multiLevelType w:val="hybridMultilevel"/>
    <w:tmpl w:val="115E89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62437D89"/>
    <w:multiLevelType w:val="hybridMultilevel"/>
    <w:tmpl w:val="A92C7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4F31773"/>
    <w:multiLevelType w:val="hybridMultilevel"/>
    <w:tmpl w:val="629C78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67A7474E"/>
    <w:multiLevelType w:val="hybridMultilevel"/>
    <w:tmpl w:val="03400956"/>
    <w:lvl w:ilvl="0" w:tplc="04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9">
    <w:nsid w:val="683E4DCC"/>
    <w:multiLevelType w:val="hybridMultilevel"/>
    <w:tmpl w:val="B560A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B1966C2"/>
    <w:multiLevelType w:val="hybridMultilevel"/>
    <w:tmpl w:val="E3C0D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E894685"/>
    <w:multiLevelType w:val="hybridMultilevel"/>
    <w:tmpl w:val="B672E2CC"/>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62">
    <w:nsid w:val="6FBB1AC5"/>
    <w:multiLevelType w:val="hybridMultilevel"/>
    <w:tmpl w:val="5194F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0E607FA"/>
    <w:multiLevelType w:val="hybridMultilevel"/>
    <w:tmpl w:val="87D2F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3990D8E"/>
    <w:multiLevelType w:val="hybridMultilevel"/>
    <w:tmpl w:val="606ED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4455283"/>
    <w:multiLevelType w:val="hybridMultilevel"/>
    <w:tmpl w:val="7F882394"/>
    <w:lvl w:ilvl="0" w:tplc="5658BFFA">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74A66047"/>
    <w:multiLevelType w:val="hybridMultilevel"/>
    <w:tmpl w:val="8346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6974FF9"/>
    <w:multiLevelType w:val="hybridMultilevel"/>
    <w:tmpl w:val="9F8E8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6E80225"/>
    <w:multiLevelType w:val="hybridMultilevel"/>
    <w:tmpl w:val="E1FC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9"/>
  </w:num>
  <w:num w:numId="4">
    <w:abstractNumId w:val="32"/>
  </w:num>
  <w:num w:numId="5">
    <w:abstractNumId w:val="41"/>
  </w:num>
  <w:num w:numId="6">
    <w:abstractNumId w:val="42"/>
  </w:num>
  <w:num w:numId="7">
    <w:abstractNumId w:val="10"/>
  </w:num>
  <w:num w:numId="8">
    <w:abstractNumId w:val="19"/>
  </w:num>
  <w:num w:numId="9">
    <w:abstractNumId w:val="0"/>
  </w:num>
  <w:num w:numId="10">
    <w:abstractNumId w:val="63"/>
  </w:num>
  <w:num w:numId="11">
    <w:abstractNumId w:val="51"/>
  </w:num>
  <w:num w:numId="12">
    <w:abstractNumId w:val="20"/>
  </w:num>
  <w:num w:numId="13">
    <w:abstractNumId w:val="17"/>
  </w:num>
  <w:num w:numId="14">
    <w:abstractNumId w:val="64"/>
  </w:num>
  <w:num w:numId="15">
    <w:abstractNumId w:val="34"/>
  </w:num>
  <w:num w:numId="16">
    <w:abstractNumId w:val="56"/>
  </w:num>
  <w:num w:numId="17">
    <w:abstractNumId w:val="52"/>
  </w:num>
  <w:num w:numId="18">
    <w:abstractNumId w:val="22"/>
  </w:num>
  <w:num w:numId="19">
    <w:abstractNumId w:val="50"/>
  </w:num>
  <w:num w:numId="20">
    <w:abstractNumId w:val="57"/>
  </w:num>
  <w:num w:numId="21">
    <w:abstractNumId w:val="30"/>
  </w:num>
  <w:num w:numId="22">
    <w:abstractNumId w:val="11"/>
  </w:num>
  <w:num w:numId="23">
    <w:abstractNumId w:val="15"/>
  </w:num>
  <w:num w:numId="24">
    <w:abstractNumId w:val="38"/>
  </w:num>
  <w:num w:numId="25">
    <w:abstractNumId w:val="7"/>
  </w:num>
  <w:num w:numId="26">
    <w:abstractNumId w:val="48"/>
  </w:num>
  <w:num w:numId="27">
    <w:abstractNumId w:val="31"/>
  </w:num>
  <w:num w:numId="28">
    <w:abstractNumId w:val="49"/>
  </w:num>
  <w:num w:numId="29">
    <w:abstractNumId w:val="21"/>
  </w:num>
  <w:num w:numId="30">
    <w:abstractNumId w:val="28"/>
  </w:num>
  <w:num w:numId="31">
    <w:abstractNumId w:val="58"/>
  </w:num>
  <w:num w:numId="32">
    <w:abstractNumId w:val="43"/>
  </w:num>
  <w:num w:numId="33">
    <w:abstractNumId w:val="24"/>
  </w:num>
  <w:num w:numId="34">
    <w:abstractNumId w:val="5"/>
  </w:num>
  <w:num w:numId="35">
    <w:abstractNumId w:val="26"/>
  </w:num>
  <w:num w:numId="36">
    <w:abstractNumId w:val="14"/>
  </w:num>
  <w:num w:numId="37">
    <w:abstractNumId w:val="33"/>
  </w:num>
  <w:num w:numId="38">
    <w:abstractNumId w:val="61"/>
  </w:num>
  <w:num w:numId="39">
    <w:abstractNumId w:val="36"/>
  </w:num>
  <w:num w:numId="40">
    <w:abstractNumId w:val="3"/>
  </w:num>
  <w:num w:numId="41">
    <w:abstractNumId w:val="29"/>
  </w:num>
  <w:num w:numId="42">
    <w:abstractNumId w:val="46"/>
  </w:num>
  <w:num w:numId="43">
    <w:abstractNumId w:val="45"/>
  </w:num>
  <w:num w:numId="44">
    <w:abstractNumId w:val="12"/>
  </w:num>
  <w:num w:numId="45">
    <w:abstractNumId w:val="13"/>
  </w:num>
  <w:num w:numId="46">
    <w:abstractNumId w:val="40"/>
  </w:num>
  <w:num w:numId="47">
    <w:abstractNumId w:val="37"/>
  </w:num>
  <w:num w:numId="48">
    <w:abstractNumId w:val="55"/>
  </w:num>
  <w:num w:numId="49">
    <w:abstractNumId w:val="18"/>
  </w:num>
  <w:num w:numId="50">
    <w:abstractNumId w:val="16"/>
  </w:num>
  <w:num w:numId="51">
    <w:abstractNumId w:val="35"/>
  </w:num>
  <w:num w:numId="52">
    <w:abstractNumId w:val="60"/>
  </w:num>
  <w:num w:numId="53">
    <w:abstractNumId w:val="59"/>
  </w:num>
  <w:num w:numId="54">
    <w:abstractNumId w:val="1"/>
  </w:num>
  <w:num w:numId="55">
    <w:abstractNumId w:val="44"/>
  </w:num>
  <w:num w:numId="56">
    <w:abstractNumId w:val="10"/>
  </w:num>
  <w:num w:numId="57">
    <w:abstractNumId w:val="62"/>
  </w:num>
  <w:num w:numId="58">
    <w:abstractNumId w:val="8"/>
  </w:num>
  <w:num w:numId="59">
    <w:abstractNumId w:val="2"/>
  </w:num>
  <w:num w:numId="60">
    <w:abstractNumId w:val="66"/>
  </w:num>
  <w:num w:numId="61">
    <w:abstractNumId w:val="47"/>
  </w:num>
  <w:num w:numId="62">
    <w:abstractNumId w:val="10"/>
  </w:num>
  <w:num w:numId="63">
    <w:abstractNumId w:val="10"/>
  </w:num>
  <w:num w:numId="64">
    <w:abstractNumId w:val="10"/>
  </w:num>
  <w:num w:numId="65">
    <w:abstractNumId w:val="10"/>
  </w:num>
  <w:num w:numId="66">
    <w:abstractNumId w:val="10"/>
  </w:num>
  <w:num w:numId="67">
    <w:abstractNumId w:val="10"/>
  </w:num>
  <w:num w:numId="68">
    <w:abstractNumId w:val="10"/>
  </w:num>
  <w:num w:numId="69">
    <w:abstractNumId w:val="10"/>
  </w:num>
  <w:num w:numId="70">
    <w:abstractNumId w:val="10"/>
  </w:num>
  <w:num w:numId="71">
    <w:abstractNumId w:val="10"/>
  </w:num>
  <w:num w:numId="72">
    <w:abstractNumId w:val="10"/>
  </w:num>
  <w:num w:numId="73">
    <w:abstractNumId w:val="10"/>
  </w:num>
  <w:num w:numId="74">
    <w:abstractNumId w:val="10"/>
  </w:num>
  <w:num w:numId="75">
    <w:abstractNumId w:val="10"/>
  </w:num>
  <w:num w:numId="76">
    <w:abstractNumId w:val="10"/>
  </w:num>
  <w:num w:numId="77">
    <w:abstractNumId w:val="10"/>
  </w:num>
  <w:num w:numId="78">
    <w:abstractNumId w:val="10"/>
  </w:num>
  <w:num w:numId="79">
    <w:abstractNumId w:val="10"/>
  </w:num>
  <w:num w:numId="80">
    <w:abstractNumId w:val="10"/>
  </w:num>
  <w:num w:numId="81">
    <w:abstractNumId w:val="10"/>
  </w:num>
  <w:num w:numId="82">
    <w:abstractNumId w:val="10"/>
  </w:num>
  <w:num w:numId="83">
    <w:abstractNumId w:val="10"/>
  </w:num>
  <w:num w:numId="84">
    <w:abstractNumId w:val="10"/>
  </w:num>
  <w:num w:numId="85">
    <w:abstractNumId w:val="10"/>
  </w:num>
  <w:num w:numId="86">
    <w:abstractNumId w:val="10"/>
  </w:num>
  <w:num w:numId="87">
    <w:abstractNumId w:val="10"/>
  </w:num>
  <w:num w:numId="88">
    <w:abstractNumId w:val="10"/>
  </w:num>
  <w:num w:numId="89">
    <w:abstractNumId w:val="10"/>
  </w:num>
  <w:num w:numId="90">
    <w:abstractNumId w:val="10"/>
  </w:num>
  <w:num w:numId="91">
    <w:abstractNumId w:val="10"/>
  </w:num>
  <w:num w:numId="92">
    <w:abstractNumId w:val="10"/>
  </w:num>
  <w:num w:numId="93">
    <w:abstractNumId w:val="10"/>
  </w:num>
  <w:num w:numId="94">
    <w:abstractNumId w:val="10"/>
  </w:num>
  <w:num w:numId="95">
    <w:abstractNumId w:val="10"/>
  </w:num>
  <w:num w:numId="96">
    <w:abstractNumId w:val="10"/>
  </w:num>
  <w:num w:numId="97">
    <w:abstractNumId w:val="10"/>
  </w:num>
  <w:num w:numId="98">
    <w:abstractNumId w:val="10"/>
  </w:num>
  <w:num w:numId="99">
    <w:abstractNumId w:val="10"/>
  </w:num>
  <w:num w:numId="100">
    <w:abstractNumId w:val="10"/>
  </w:num>
  <w:num w:numId="101">
    <w:abstractNumId w:val="10"/>
  </w:num>
  <w:num w:numId="102">
    <w:abstractNumId w:val="10"/>
  </w:num>
  <w:num w:numId="103">
    <w:abstractNumId w:val="10"/>
  </w:num>
  <w:num w:numId="104">
    <w:abstractNumId w:val="68"/>
  </w:num>
  <w:num w:numId="105">
    <w:abstractNumId w:val="10"/>
  </w:num>
  <w:num w:numId="106">
    <w:abstractNumId w:val="10"/>
  </w:num>
  <w:num w:numId="107">
    <w:abstractNumId w:val="10"/>
  </w:num>
  <w:num w:numId="108">
    <w:abstractNumId w:val="4"/>
  </w:num>
  <w:num w:numId="109">
    <w:abstractNumId w:val="67"/>
  </w:num>
  <w:num w:numId="110">
    <w:abstractNumId w:val="54"/>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num>
  <w:num w:numId="113">
    <w:abstractNumId w:val="9"/>
    <w:lvlOverride w:ilvl="0">
      <w:startOverride w:val="1"/>
    </w:lvlOverride>
    <w:lvlOverride w:ilvl="1"/>
    <w:lvlOverride w:ilvl="2">
      <w:startOverride w:val="3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2"/>
  </w:num>
  <w:num w:numId="115">
    <w:abstractNumId w:val="41"/>
  </w:num>
  <w:num w:numId="116">
    <w:abstractNumId w:val="42"/>
  </w:num>
  <w:num w:numId="117">
    <w:abstractNumId w:val="19"/>
  </w:num>
  <w:num w:numId="118">
    <w:abstractNumId w:val="51"/>
  </w:num>
  <w:num w:numId="119">
    <w:abstractNumId w:val="44"/>
  </w:num>
  <w:num w:numId="120">
    <w:abstractNumId w:val="59"/>
  </w:num>
  <w:num w:numId="121">
    <w:abstractNumId w:val="20"/>
  </w:num>
  <w:num w:numId="122">
    <w:abstractNumId w:val="68"/>
  </w:num>
  <w:num w:numId="123">
    <w:abstractNumId w:val="63"/>
  </w:num>
  <w:num w:numId="124">
    <w:abstractNumId w:val="15"/>
  </w:num>
  <w:num w:numId="125">
    <w:abstractNumId w:val="8"/>
  </w:num>
  <w:num w:numId="126">
    <w:abstractNumId w:val="2"/>
  </w:num>
  <w:num w:numId="127">
    <w:abstractNumId w:val="66"/>
  </w:num>
  <w:num w:numId="128">
    <w:abstractNumId w:val="47"/>
  </w:num>
  <w:num w:numId="129">
    <w:abstractNumId w:val="60"/>
  </w:num>
  <w:num w:numId="130">
    <w:abstractNumId w:val="17"/>
  </w:num>
  <w:num w:numId="131">
    <w:abstractNumId w:val="34"/>
  </w:num>
  <w:num w:numId="132">
    <w:abstractNumId w:val="56"/>
  </w:num>
  <w:num w:numId="133">
    <w:abstractNumId w:val="57"/>
  </w:num>
  <w:num w:numId="134">
    <w:abstractNumId w:val="67"/>
  </w:num>
  <w:num w:numId="135">
    <w:abstractNumId w:val="4"/>
  </w:num>
  <w:num w:numId="136">
    <w:abstractNumId w:val="54"/>
  </w:num>
  <w:num w:numId="137">
    <w:abstractNumId w:val="2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
  </w:num>
  <w:num w:numId="140">
    <w:abstractNumId w:val="10"/>
  </w:num>
  <w:num w:numId="141">
    <w:abstractNumId w:val="10"/>
  </w:num>
  <w:num w:numId="142">
    <w:abstractNumId w:val="10"/>
  </w:num>
  <w:num w:numId="143">
    <w:abstractNumId w:val="53"/>
  </w:num>
  <w:num w:numId="144">
    <w:abstractNumId w:val="25"/>
  </w:num>
  <w:num w:numId="145">
    <w:abstractNumId w:val="6"/>
  </w:num>
  <w:num w:numId="146">
    <w:abstractNumId w:val="65"/>
  </w:num>
  <w:num w:numId="147">
    <w:abstractNumId w:val="10"/>
  </w:num>
  <w:num w:numId="148">
    <w:abstractNumId w:val="3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6"/>
    <w:rsid w:val="000006DB"/>
    <w:rsid w:val="000007F1"/>
    <w:rsid w:val="00001449"/>
    <w:rsid w:val="00003683"/>
    <w:rsid w:val="00003BD0"/>
    <w:rsid w:val="000063C0"/>
    <w:rsid w:val="00006C25"/>
    <w:rsid w:val="00007CC2"/>
    <w:rsid w:val="0001077C"/>
    <w:rsid w:val="00010FBB"/>
    <w:rsid w:val="00011450"/>
    <w:rsid w:val="000132A9"/>
    <w:rsid w:val="000137A3"/>
    <w:rsid w:val="0001445D"/>
    <w:rsid w:val="000149C1"/>
    <w:rsid w:val="000157B8"/>
    <w:rsid w:val="00015F32"/>
    <w:rsid w:val="000172FA"/>
    <w:rsid w:val="00017642"/>
    <w:rsid w:val="000177F9"/>
    <w:rsid w:val="00017F2B"/>
    <w:rsid w:val="00020B20"/>
    <w:rsid w:val="00021C60"/>
    <w:rsid w:val="000223AA"/>
    <w:rsid w:val="000223CA"/>
    <w:rsid w:val="00022569"/>
    <w:rsid w:val="0002287F"/>
    <w:rsid w:val="00022B5B"/>
    <w:rsid w:val="00022DAE"/>
    <w:rsid w:val="000231D4"/>
    <w:rsid w:val="0002368D"/>
    <w:rsid w:val="00023A38"/>
    <w:rsid w:val="00023E0F"/>
    <w:rsid w:val="000249E0"/>
    <w:rsid w:val="0002524C"/>
    <w:rsid w:val="000267DD"/>
    <w:rsid w:val="00026957"/>
    <w:rsid w:val="00027007"/>
    <w:rsid w:val="00027274"/>
    <w:rsid w:val="00027831"/>
    <w:rsid w:val="00027E9E"/>
    <w:rsid w:val="0003051E"/>
    <w:rsid w:val="0003102A"/>
    <w:rsid w:val="000310DE"/>
    <w:rsid w:val="000313F1"/>
    <w:rsid w:val="00031677"/>
    <w:rsid w:val="0003170E"/>
    <w:rsid w:val="00032091"/>
    <w:rsid w:val="00032192"/>
    <w:rsid w:val="0003271D"/>
    <w:rsid w:val="00032DFD"/>
    <w:rsid w:val="0003316D"/>
    <w:rsid w:val="0003335B"/>
    <w:rsid w:val="00033B3F"/>
    <w:rsid w:val="00034F08"/>
    <w:rsid w:val="000350A9"/>
    <w:rsid w:val="000357DB"/>
    <w:rsid w:val="00035A15"/>
    <w:rsid w:val="0003669B"/>
    <w:rsid w:val="00036D30"/>
    <w:rsid w:val="00037A63"/>
    <w:rsid w:val="00040D76"/>
    <w:rsid w:val="00040FA2"/>
    <w:rsid w:val="00041DAC"/>
    <w:rsid w:val="00041F2B"/>
    <w:rsid w:val="00042C00"/>
    <w:rsid w:val="00043066"/>
    <w:rsid w:val="0004398F"/>
    <w:rsid w:val="00043A3F"/>
    <w:rsid w:val="00043C63"/>
    <w:rsid w:val="00044223"/>
    <w:rsid w:val="00045275"/>
    <w:rsid w:val="00045637"/>
    <w:rsid w:val="00045E3B"/>
    <w:rsid w:val="00046827"/>
    <w:rsid w:val="0004732C"/>
    <w:rsid w:val="00047CF5"/>
    <w:rsid w:val="0005005D"/>
    <w:rsid w:val="00050548"/>
    <w:rsid w:val="00050E76"/>
    <w:rsid w:val="00051089"/>
    <w:rsid w:val="0005122C"/>
    <w:rsid w:val="0005220D"/>
    <w:rsid w:val="0005251D"/>
    <w:rsid w:val="00052CE1"/>
    <w:rsid w:val="00052D34"/>
    <w:rsid w:val="000530D7"/>
    <w:rsid w:val="000538B2"/>
    <w:rsid w:val="00053BD9"/>
    <w:rsid w:val="000546E0"/>
    <w:rsid w:val="00054AFD"/>
    <w:rsid w:val="0005575B"/>
    <w:rsid w:val="000568FF"/>
    <w:rsid w:val="00056BC4"/>
    <w:rsid w:val="00057D24"/>
    <w:rsid w:val="0006045F"/>
    <w:rsid w:val="000604FA"/>
    <w:rsid w:val="00060CAC"/>
    <w:rsid w:val="00060F27"/>
    <w:rsid w:val="00060F57"/>
    <w:rsid w:val="000616A8"/>
    <w:rsid w:val="00061813"/>
    <w:rsid w:val="00061CA7"/>
    <w:rsid w:val="00061F30"/>
    <w:rsid w:val="000623C1"/>
    <w:rsid w:val="000626C2"/>
    <w:rsid w:val="00063063"/>
    <w:rsid w:val="00063D4B"/>
    <w:rsid w:val="00063E61"/>
    <w:rsid w:val="00063F31"/>
    <w:rsid w:val="00064766"/>
    <w:rsid w:val="000649D9"/>
    <w:rsid w:val="00064CB8"/>
    <w:rsid w:val="00065056"/>
    <w:rsid w:val="000650D3"/>
    <w:rsid w:val="000653EE"/>
    <w:rsid w:val="00065488"/>
    <w:rsid w:val="00065560"/>
    <w:rsid w:val="0006566C"/>
    <w:rsid w:val="00066124"/>
    <w:rsid w:val="00066965"/>
    <w:rsid w:val="00066F07"/>
    <w:rsid w:val="00067C65"/>
    <w:rsid w:val="00070073"/>
    <w:rsid w:val="0007025F"/>
    <w:rsid w:val="000705D1"/>
    <w:rsid w:val="00070CD7"/>
    <w:rsid w:val="0007324B"/>
    <w:rsid w:val="000733F3"/>
    <w:rsid w:val="00073C73"/>
    <w:rsid w:val="0007440D"/>
    <w:rsid w:val="00074978"/>
    <w:rsid w:val="00075121"/>
    <w:rsid w:val="0007528C"/>
    <w:rsid w:val="00075A52"/>
    <w:rsid w:val="0007613B"/>
    <w:rsid w:val="00076BA6"/>
    <w:rsid w:val="00077CCD"/>
    <w:rsid w:val="000802E5"/>
    <w:rsid w:val="00080F96"/>
    <w:rsid w:val="000813D4"/>
    <w:rsid w:val="0008196E"/>
    <w:rsid w:val="000823FB"/>
    <w:rsid w:val="0008285A"/>
    <w:rsid w:val="00083251"/>
    <w:rsid w:val="00083A2C"/>
    <w:rsid w:val="00083F20"/>
    <w:rsid w:val="00084465"/>
    <w:rsid w:val="00084A17"/>
    <w:rsid w:val="00084D90"/>
    <w:rsid w:val="00084F6F"/>
    <w:rsid w:val="0008551A"/>
    <w:rsid w:val="000864B0"/>
    <w:rsid w:val="00086D69"/>
    <w:rsid w:val="00087D9D"/>
    <w:rsid w:val="00087FFB"/>
    <w:rsid w:val="0009100E"/>
    <w:rsid w:val="000914DB"/>
    <w:rsid w:val="0009154E"/>
    <w:rsid w:val="00092856"/>
    <w:rsid w:val="0009315D"/>
    <w:rsid w:val="00093851"/>
    <w:rsid w:val="00093E08"/>
    <w:rsid w:val="00095293"/>
    <w:rsid w:val="000953EF"/>
    <w:rsid w:val="000954C8"/>
    <w:rsid w:val="00096FFD"/>
    <w:rsid w:val="00097363"/>
    <w:rsid w:val="0009749A"/>
    <w:rsid w:val="000A0752"/>
    <w:rsid w:val="000A0E0D"/>
    <w:rsid w:val="000A166F"/>
    <w:rsid w:val="000A3074"/>
    <w:rsid w:val="000A3CEA"/>
    <w:rsid w:val="000A3D5A"/>
    <w:rsid w:val="000A4BC2"/>
    <w:rsid w:val="000A5305"/>
    <w:rsid w:val="000A5AC9"/>
    <w:rsid w:val="000A5B2A"/>
    <w:rsid w:val="000A7615"/>
    <w:rsid w:val="000B00AC"/>
    <w:rsid w:val="000B03F8"/>
    <w:rsid w:val="000B1536"/>
    <w:rsid w:val="000B1943"/>
    <w:rsid w:val="000B277B"/>
    <w:rsid w:val="000B2787"/>
    <w:rsid w:val="000B331D"/>
    <w:rsid w:val="000B3D19"/>
    <w:rsid w:val="000B4137"/>
    <w:rsid w:val="000B56A7"/>
    <w:rsid w:val="000B5CE9"/>
    <w:rsid w:val="000B5D95"/>
    <w:rsid w:val="000B5E64"/>
    <w:rsid w:val="000B61C7"/>
    <w:rsid w:val="000B6960"/>
    <w:rsid w:val="000B70AD"/>
    <w:rsid w:val="000C0A4F"/>
    <w:rsid w:val="000C0E72"/>
    <w:rsid w:val="000C237B"/>
    <w:rsid w:val="000C3126"/>
    <w:rsid w:val="000C332F"/>
    <w:rsid w:val="000C3528"/>
    <w:rsid w:val="000C36E1"/>
    <w:rsid w:val="000C3A64"/>
    <w:rsid w:val="000C479C"/>
    <w:rsid w:val="000C4854"/>
    <w:rsid w:val="000C4A3D"/>
    <w:rsid w:val="000C5B39"/>
    <w:rsid w:val="000C5F0E"/>
    <w:rsid w:val="000C794F"/>
    <w:rsid w:val="000D0288"/>
    <w:rsid w:val="000D0333"/>
    <w:rsid w:val="000D058E"/>
    <w:rsid w:val="000D12A3"/>
    <w:rsid w:val="000D1852"/>
    <w:rsid w:val="000D1B62"/>
    <w:rsid w:val="000D3EE6"/>
    <w:rsid w:val="000D3FD4"/>
    <w:rsid w:val="000D4184"/>
    <w:rsid w:val="000D4627"/>
    <w:rsid w:val="000D470A"/>
    <w:rsid w:val="000D4E77"/>
    <w:rsid w:val="000D50C6"/>
    <w:rsid w:val="000D582C"/>
    <w:rsid w:val="000D6005"/>
    <w:rsid w:val="000D750B"/>
    <w:rsid w:val="000E01E9"/>
    <w:rsid w:val="000E0381"/>
    <w:rsid w:val="000E1499"/>
    <w:rsid w:val="000E187B"/>
    <w:rsid w:val="000E225E"/>
    <w:rsid w:val="000E2474"/>
    <w:rsid w:val="000E2A80"/>
    <w:rsid w:val="000E3365"/>
    <w:rsid w:val="000E3FD2"/>
    <w:rsid w:val="000E43FC"/>
    <w:rsid w:val="000E4938"/>
    <w:rsid w:val="000E5B9C"/>
    <w:rsid w:val="000E5D7F"/>
    <w:rsid w:val="000E5EE5"/>
    <w:rsid w:val="000E6161"/>
    <w:rsid w:val="000E6BF9"/>
    <w:rsid w:val="000E7414"/>
    <w:rsid w:val="000F020E"/>
    <w:rsid w:val="000F08FD"/>
    <w:rsid w:val="000F0937"/>
    <w:rsid w:val="000F0A5E"/>
    <w:rsid w:val="000F16A2"/>
    <w:rsid w:val="000F1F56"/>
    <w:rsid w:val="000F21E4"/>
    <w:rsid w:val="000F2744"/>
    <w:rsid w:val="000F30D5"/>
    <w:rsid w:val="000F32A7"/>
    <w:rsid w:val="000F3BCB"/>
    <w:rsid w:val="000F3BE2"/>
    <w:rsid w:val="000F4647"/>
    <w:rsid w:val="000F49AE"/>
    <w:rsid w:val="000F559A"/>
    <w:rsid w:val="000F676E"/>
    <w:rsid w:val="000F7488"/>
    <w:rsid w:val="001004BF"/>
    <w:rsid w:val="00100BC5"/>
    <w:rsid w:val="00101FE4"/>
    <w:rsid w:val="001024DA"/>
    <w:rsid w:val="0010252E"/>
    <w:rsid w:val="001026C0"/>
    <w:rsid w:val="00102D46"/>
    <w:rsid w:val="00103531"/>
    <w:rsid w:val="00103C51"/>
    <w:rsid w:val="00104010"/>
    <w:rsid w:val="00104211"/>
    <w:rsid w:val="001044AC"/>
    <w:rsid w:val="00104A70"/>
    <w:rsid w:val="001051CB"/>
    <w:rsid w:val="00105314"/>
    <w:rsid w:val="0010566B"/>
    <w:rsid w:val="00105890"/>
    <w:rsid w:val="00105BFF"/>
    <w:rsid w:val="00105D71"/>
    <w:rsid w:val="001070E9"/>
    <w:rsid w:val="00107596"/>
    <w:rsid w:val="00110D75"/>
    <w:rsid w:val="001113E8"/>
    <w:rsid w:val="00112658"/>
    <w:rsid w:val="001126ED"/>
    <w:rsid w:val="00112717"/>
    <w:rsid w:val="00113908"/>
    <w:rsid w:val="00114495"/>
    <w:rsid w:val="00114FC4"/>
    <w:rsid w:val="0011656A"/>
    <w:rsid w:val="0011678D"/>
    <w:rsid w:val="001167FD"/>
    <w:rsid w:val="00116861"/>
    <w:rsid w:val="00116CD5"/>
    <w:rsid w:val="0011743F"/>
    <w:rsid w:val="00120B09"/>
    <w:rsid w:val="00120FFB"/>
    <w:rsid w:val="001210AF"/>
    <w:rsid w:val="001214D6"/>
    <w:rsid w:val="001217FF"/>
    <w:rsid w:val="00121D05"/>
    <w:rsid w:val="0012269C"/>
    <w:rsid w:val="00122CD3"/>
    <w:rsid w:val="001231CF"/>
    <w:rsid w:val="001232AB"/>
    <w:rsid w:val="001236E6"/>
    <w:rsid w:val="00124BA6"/>
    <w:rsid w:val="00125160"/>
    <w:rsid w:val="00127135"/>
    <w:rsid w:val="00127B56"/>
    <w:rsid w:val="00130583"/>
    <w:rsid w:val="00130D1E"/>
    <w:rsid w:val="00131108"/>
    <w:rsid w:val="0013131A"/>
    <w:rsid w:val="00131ADA"/>
    <w:rsid w:val="00131EB7"/>
    <w:rsid w:val="001328D3"/>
    <w:rsid w:val="00132A53"/>
    <w:rsid w:val="00132B21"/>
    <w:rsid w:val="00132EA0"/>
    <w:rsid w:val="00133548"/>
    <w:rsid w:val="0013367C"/>
    <w:rsid w:val="00133746"/>
    <w:rsid w:val="00133973"/>
    <w:rsid w:val="00135CA8"/>
    <w:rsid w:val="00135D7C"/>
    <w:rsid w:val="00136C82"/>
    <w:rsid w:val="00136EFB"/>
    <w:rsid w:val="001373C8"/>
    <w:rsid w:val="00137C43"/>
    <w:rsid w:val="0014097F"/>
    <w:rsid w:val="001418B4"/>
    <w:rsid w:val="00141937"/>
    <w:rsid w:val="0014380F"/>
    <w:rsid w:val="00143E11"/>
    <w:rsid w:val="00144456"/>
    <w:rsid w:val="001446EF"/>
    <w:rsid w:val="00144847"/>
    <w:rsid w:val="001448E9"/>
    <w:rsid w:val="0014495E"/>
    <w:rsid w:val="00145DA7"/>
    <w:rsid w:val="00146732"/>
    <w:rsid w:val="0014763F"/>
    <w:rsid w:val="0014776D"/>
    <w:rsid w:val="00147C0B"/>
    <w:rsid w:val="0015058A"/>
    <w:rsid w:val="00150AF4"/>
    <w:rsid w:val="00150BC6"/>
    <w:rsid w:val="00152122"/>
    <w:rsid w:val="0015260E"/>
    <w:rsid w:val="00152EEA"/>
    <w:rsid w:val="001532FD"/>
    <w:rsid w:val="00153AD4"/>
    <w:rsid w:val="00153F0D"/>
    <w:rsid w:val="00155CE8"/>
    <w:rsid w:val="00156972"/>
    <w:rsid w:val="00156AF0"/>
    <w:rsid w:val="0015786E"/>
    <w:rsid w:val="0016079C"/>
    <w:rsid w:val="00160B20"/>
    <w:rsid w:val="00160E9E"/>
    <w:rsid w:val="0016113F"/>
    <w:rsid w:val="00161634"/>
    <w:rsid w:val="001616F9"/>
    <w:rsid w:val="00161B9C"/>
    <w:rsid w:val="00161FE1"/>
    <w:rsid w:val="001622B1"/>
    <w:rsid w:val="00162C12"/>
    <w:rsid w:val="001631C5"/>
    <w:rsid w:val="001633F5"/>
    <w:rsid w:val="00163487"/>
    <w:rsid w:val="001645D8"/>
    <w:rsid w:val="00164818"/>
    <w:rsid w:val="0016486F"/>
    <w:rsid w:val="00164F9C"/>
    <w:rsid w:val="00165125"/>
    <w:rsid w:val="00166238"/>
    <w:rsid w:val="001664CF"/>
    <w:rsid w:val="00167110"/>
    <w:rsid w:val="001675D9"/>
    <w:rsid w:val="00170224"/>
    <w:rsid w:val="001711B7"/>
    <w:rsid w:val="00171308"/>
    <w:rsid w:val="0017170A"/>
    <w:rsid w:val="00171762"/>
    <w:rsid w:val="0017196C"/>
    <w:rsid w:val="0017238E"/>
    <w:rsid w:val="001731E9"/>
    <w:rsid w:val="00174980"/>
    <w:rsid w:val="00175645"/>
    <w:rsid w:val="00175B6A"/>
    <w:rsid w:val="00175DB7"/>
    <w:rsid w:val="00175F13"/>
    <w:rsid w:val="00176188"/>
    <w:rsid w:val="00176598"/>
    <w:rsid w:val="001765E8"/>
    <w:rsid w:val="00177DB6"/>
    <w:rsid w:val="001808A3"/>
    <w:rsid w:val="001808D9"/>
    <w:rsid w:val="00180DBB"/>
    <w:rsid w:val="001820CC"/>
    <w:rsid w:val="001835D4"/>
    <w:rsid w:val="001837CB"/>
    <w:rsid w:val="0018380F"/>
    <w:rsid w:val="00183874"/>
    <w:rsid w:val="00183C98"/>
    <w:rsid w:val="00184015"/>
    <w:rsid w:val="00184089"/>
    <w:rsid w:val="0018486C"/>
    <w:rsid w:val="001849F5"/>
    <w:rsid w:val="00184ACA"/>
    <w:rsid w:val="00184AEB"/>
    <w:rsid w:val="00185B2A"/>
    <w:rsid w:val="00185C06"/>
    <w:rsid w:val="00185C7A"/>
    <w:rsid w:val="00186532"/>
    <w:rsid w:val="0018690D"/>
    <w:rsid w:val="00186DFB"/>
    <w:rsid w:val="00187193"/>
    <w:rsid w:val="00187677"/>
    <w:rsid w:val="00190821"/>
    <w:rsid w:val="001908C0"/>
    <w:rsid w:val="001917FD"/>
    <w:rsid w:val="00191BFD"/>
    <w:rsid w:val="00191D2D"/>
    <w:rsid w:val="00192712"/>
    <w:rsid w:val="0019326C"/>
    <w:rsid w:val="0019347F"/>
    <w:rsid w:val="0019356A"/>
    <w:rsid w:val="001943EE"/>
    <w:rsid w:val="00194DA6"/>
    <w:rsid w:val="00194F01"/>
    <w:rsid w:val="00195177"/>
    <w:rsid w:val="00195E60"/>
    <w:rsid w:val="00196314"/>
    <w:rsid w:val="00196626"/>
    <w:rsid w:val="001967F2"/>
    <w:rsid w:val="00196C15"/>
    <w:rsid w:val="00196F2E"/>
    <w:rsid w:val="001974AE"/>
    <w:rsid w:val="001975DF"/>
    <w:rsid w:val="00197FAD"/>
    <w:rsid w:val="001A09B0"/>
    <w:rsid w:val="001A1ECB"/>
    <w:rsid w:val="001A22AD"/>
    <w:rsid w:val="001A22E4"/>
    <w:rsid w:val="001A26EA"/>
    <w:rsid w:val="001A2E0B"/>
    <w:rsid w:val="001A30ED"/>
    <w:rsid w:val="001A34FA"/>
    <w:rsid w:val="001A36CF"/>
    <w:rsid w:val="001A5911"/>
    <w:rsid w:val="001A7228"/>
    <w:rsid w:val="001A7996"/>
    <w:rsid w:val="001B01BF"/>
    <w:rsid w:val="001B01CE"/>
    <w:rsid w:val="001B115D"/>
    <w:rsid w:val="001B15B4"/>
    <w:rsid w:val="001B1A4C"/>
    <w:rsid w:val="001B2265"/>
    <w:rsid w:val="001B2F5C"/>
    <w:rsid w:val="001B3778"/>
    <w:rsid w:val="001B3D40"/>
    <w:rsid w:val="001B465A"/>
    <w:rsid w:val="001B4CF2"/>
    <w:rsid w:val="001B5221"/>
    <w:rsid w:val="001B57AE"/>
    <w:rsid w:val="001B5D64"/>
    <w:rsid w:val="001B66BA"/>
    <w:rsid w:val="001B6870"/>
    <w:rsid w:val="001B6895"/>
    <w:rsid w:val="001B770A"/>
    <w:rsid w:val="001B7A94"/>
    <w:rsid w:val="001C0909"/>
    <w:rsid w:val="001C0F1E"/>
    <w:rsid w:val="001C10FD"/>
    <w:rsid w:val="001C1E06"/>
    <w:rsid w:val="001C2947"/>
    <w:rsid w:val="001C2BE3"/>
    <w:rsid w:val="001C2C65"/>
    <w:rsid w:val="001C3F78"/>
    <w:rsid w:val="001C4938"/>
    <w:rsid w:val="001C5127"/>
    <w:rsid w:val="001C57E3"/>
    <w:rsid w:val="001C5805"/>
    <w:rsid w:val="001C581B"/>
    <w:rsid w:val="001C5A8E"/>
    <w:rsid w:val="001C622E"/>
    <w:rsid w:val="001C6449"/>
    <w:rsid w:val="001C649F"/>
    <w:rsid w:val="001C65B7"/>
    <w:rsid w:val="001C6D80"/>
    <w:rsid w:val="001C763E"/>
    <w:rsid w:val="001D02F0"/>
    <w:rsid w:val="001D0D1E"/>
    <w:rsid w:val="001D1AE7"/>
    <w:rsid w:val="001D1EF3"/>
    <w:rsid w:val="001D2B38"/>
    <w:rsid w:val="001D32D5"/>
    <w:rsid w:val="001D3478"/>
    <w:rsid w:val="001D36A5"/>
    <w:rsid w:val="001D3E5C"/>
    <w:rsid w:val="001D3F2F"/>
    <w:rsid w:val="001D459B"/>
    <w:rsid w:val="001D48D2"/>
    <w:rsid w:val="001D4C8E"/>
    <w:rsid w:val="001D52A6"/>
    <w:rsid w:val="001D5486"/>
    <w:rsid w:val="001D5C0F"/>
    <w:rsid w:val="001D62F2"/>
    <w:rsid w:val="001D65F1"/>
    <w:rsid w:val="001D6F04"/>
    <w:rsid w:val="001D7005"/>
    <w:rsid w:val="001D73B5"/>
    <w:rsid w:val="001D7511"/>
    <w:rsid w:val="001D7773"/>
    <w:rsid w:val="001D7816"/>
    <w:rsid w:val="001D7924"/>
    <w:rsid w:val="001E0465"/>
    <w:rsid w:val="001E04F8"/>
    <w:rsid w:val="001E0AE1"/>
    <w:rsid w:val="001E158A"/>
    <w:rsid w:val="001E1AEE"/>
    <w:rsid w:val="001E2391"/>
    <w:rsid w:val="001E254B"/>
    <w:rsid w:val="001E2674"/>
    <w:rsid w:val="001E2963"/>
    <w:rsid w:val="001E29D4"/>
    <w:rsid w:val="001E2D6F"/>
    <w:rsid w:val="001E2F92"/>
    <w:rsid w:val="001E316A"/>
    <w:rsid w:val="001E34CE"/>
    <w:rsid w:val="001E3A37"/>
    <w:rsid w:val="001E449A"/>
    <w:rsid w:val="001E451A"/>
    <w:rsid w:val="001E4582"/>
    <w:rsid w:val="001E48A4"/>
    <w:rsid w:val="001E58C9"/>
    <w:rsid w:val="001E60E3"/>
    <w:rsid w:val="001E76F4"/>
    <w:rsid w:val="001F004F"/>
    <w:rsid w:val="001F1128"/>
    <w:rsid w:val="001F13E2"/>
    <w:rsid w:val="001F1734"/>
    <w:rsid w:val="001F1C62"/>
    <w:rsid w:val="001F1F0B"/>
    <w:rsid w:val="001F2022"/>
    <w:rsid w:val="001F23DD"/>
    <w:rsid w:val="001F25D1"/>
    <w:rsid w:val="001F29C2"/>
    <w:rsid w:val="001F2BAB"/>
    <w:rsid w:val="001F378B"/>
    <w:rsid w:val="001F4A52"/>
    <w:rsid w:val="001F4B2B"/>
    <w:rsid w:val="001F55EB"/>
    <w:rsid w:val="001F5796"/>
    <w:rsid w:val="001F5821"/>
    <w:rsid w:val="001F660B"/>
    <w:rsid w:val="001F75AE"/>
    <w:rsid w:val="001F76D5"/>
    <w:rsid w:val="001F7717"/>
    <w:rsid w:val="00200149"/>
    <w:rsid w:val="002008EB"/>
    <w:rsid w:val="00200FF1"/>
    <w:rsid w:val="00201D4E"/>
    <w:rsid w:val="0020227E"/>
    <w:rsid w:val="002026DD"/>
    <w:rsid w:val="0020319B"/>
    <w:rsid w:val="00203A68"/>
    <w:rsid w:val="00203AE9"/>
    <w:rsid w:val="00204429"/>
    <w:rsid w:val="0020461A"/>
    <w:rsid w:val="002047C4"/>
    <w:rsid w:val="002047E9"/>
    <w:rsid w:val="0020495D"/>
    <w:rsid w:val="00204EF7"/>
    <w:rsid w:val="00204FED"/>
    <w:rsid w:val="002054CB"/>
    <w:rsid w:val="00205970"/>
    <w:rsid w:val="00205B08"/>
    <w:rsid w:val="002068BB"/>
    <w:rsid w:val="00206A98"/>
    <w:rsid w:val="00206F6C"/>
    <w:rsid w:val="00207AA6"/>
    <w:rsid w:val="00210255"/>
    <w:rsid w:val="002107CC"/>
    <w:rsid w:val="00210A23"/>
    <w:rsid w:val="0021169A"/>
    <w:rsid w:val="002118EF"/>
    <w:rsid w:val="00211E89"/>
    <w:rsid w:val="00212066"/>
    <w:rsid w:val="00212365"/>
    <w:rsid w:val="00213281"/>
    <w:rsid w:val="00213307"/>
    <w:rsid w:val="00213FBE"/>
    <w:rsid w:val="0021447A"/>
    <w:rsid w:val="002149C3"/>
    <w:rsid w:val="00214C84"/>
    <w:rsid w:val="0021513B"/>
    <w:rsid w:val="00215CA5"/>
    <w:rsid w:val="00215FC9"/>
    <w:rsid w:val="00216218"/>
    <w:rsid w:val="0021627B"/>
    <w:rsid w:val="00216813"/>
    <w:rsid w:val="0021693F"/>
    <w:rsid w:val="00217486"/>
    <w:rsid w:val="00217D4F"/>
    <w:rsid w:val="00220255"/>
    <w:rsid w:val="0022040E"/>
    <w:rsid w:val="0022162E"/>
    <w:rsid w:val="00221B06"/>
    <w:rsid w:val="00221C5F"/>
    <w:rsid w:val="00222131"/>
    <w:rsid w:val="002221C1"/>
    <w:rsid w:val="00222FFD"/>
    <w:rsid w:val="00223BC4"/>
    <w:rsid w:val="002245E9"/>
    <w:rsid w:val="00224792"/>
    <w:rsid w:val="002247EF"/>
    <w:rsid w:val="00224A11"/>
    <w:rsid w:val="002258E4"/>
    <w:rsid w:val="0022592C"/>
    <w:rsid w:val="00225E61"/>
    <w:rsid w:val="00225EEE"/>
    <w:rsid w:val="002261E3"/>
    <w:rsid w:val="0022636D"/>
    <w:rsid w:val="002269C1"/>
    <w:rsid w:val="00226ADD"/>
    <w:rsid w:val="00226D70"/>
    <w:rsid w:val="002271D2"/>
    <w:rsid w:val="0022733D"/>
    <w:rsid w:val="002273FA"/>
    <w:rsid w:val="00227ACA"/>
    <w:rsid w:val="002323FB"/>
    <w:rsid w:val="00233F9F"/>
    <w:rsid w:val="00234117"/>
    <w:rsid w:val="002352B3"/>
    <w:rsid w:val="00235893"/>
    <w:rsid w:val="00235D5E"/>
    <w:rsid w:val="00235DA8"/>
    <w:rsid w:val="00236859"/>
    <w:rsid w:val="00236B72"/>
    <w:rsid w:val="002373AC"/>
    <w:rsid w:val="00237541"/>
    <w:rsid w:val="00237DBA"/>
    <w:rsid w:val="002408D5"/>
    <w:rsid w:val="00240AC1"/>
    <w:rsid w:val="0024270C"/>
    <w:rsid w:val="00243B5F"/>
    <w:rsid w:val="0024477D"/>
    <w:rsid w:val="00244944"/>
    <w:rsid w:val="00244EE2"/>
    <w:rsid w:val="00245142"/>
    <w:rsid w:val="0024530B"/>
    <w:rsid w:val="0024612C"/>
    <w:rsid w:val="00246B82"/>
    <w:rsid w:val="00246BF2"/>
    <w:rsid w:val="002473FE"/>
    <w:rsid w:val="002474AD"/>
    <w:rsid w:val="002477C1"/>
    <w:rsid w:val="00247A9B"/>
    <w:rsid w:val="00247CDD"/>
    <w:rsid w:val="00247E98"/>
    <w:rsid w:val="002504C8"/>
    <w:rsid w:val="0025099A"/>
    <w:rsid w:val="002510B8"/>
    <w:rsid w:val="00251F09"/>
    <w:rsid w:val="0025270D"/>
    <w:rsid w:val="0025331E"/>
    <w:rsid w:val="002533B3"/>
    <w:rsid w:val="0025397B"/>
    <w:rsid w:val="002539B3"/>
    <w:rsid w:val="00254E88"/>
    <w:rsid w:val="00254EF8"/>
    <w:rsid w:val="002550D9"/>
    <w:rsid w:val="002555C5"/>
    <w:rsid w:val="00255EDB"/>
    <w:rsid w:val="00257527"/>
    <w:rsid w:val="002577AA"/>
    <w:rsid w:val="00257D1C"/>
    <w:rsid w:val="00257D32"/>
    <w:rsid w:val="00260AF6"/>
    <w:rsid w:val="00260B0A"/>
    <w:rsid w:val="00260F8E"/>
    <w:rsid w:val="00261D71"/>
    <w:rsid w:val="00261E6F"/>
    <w:rsid w:val="002629A2"/>
    <w:rsid w:val="00262E67"/>
    <w:rsid w:val="00263B04"/>
    <w:rsid w:val="00264687"/>
    <w:rsid w:val="002652CA"/>
    <w:rsid w:val="002655E8"/>
    <w:rsid w:val="00265DA8"/>
    <w:rsid w:val="002663C9"/>
    <w:rsid w:val="00266E30"/>
    <w:rsid w:val="002673C8"/>
    <w:rsid w:val="0027019F"/>
    <w:rsid w:val="0027048D"/>
    <w:rsid w:val="002705FF"/>
    <w:rsid w:val="00270A38"/>
    <w:rsid w:val="00270CFD"/>
    <w:rsid w:val="00270F3F"/>
    <w:rsid w:val="0027170C"/>
    <w:rsid w:val="00271EAA"/>
    <w:rsid w:val="00271F6B"/>
    <w:rsid w:val="002723B4"/>
    <w:rsid w:val="0027267F"/>
    <w:rsid w:val="002728FC"/>
    <w:rsid w:val="0027442E"/>
    <w:rsid w:val="00274D71"/>
    <w:rsid w:val="00274EEC"/>
    <w:rsid w:val="002750B6"/>
    <w:rsid w:val="00275726"/>
    <w:rsid w:val="002758A0"/>
    <w:rsid w:val="002765E9"/>
    <w:rsid w:val="00276679"/>
    <w:rsid w:val="00276BD5"/>
    <w:rsid w:val="00276C98"/>
    <w:rsid w:val="00276DE3"/>
    <w:rsid w:val="00277454"/>
    <w:rsid w:val="00280F2A"/>
    <w:rsid w:val="00281191"/>
    <w:rsid w:val="00281D7B"/>
    <w:rsid w:val="00282464"/>
    <w:rsid w:val="00283463"/>
    <w:rsid w:val="00285003"/>
    <w:rsid w:val="0028605C"/>
    <w:rsid w:val="002863DE"/>
    <w:rsid w:val="00286410"/>
    <w:rsid w:val="00286C04"/>
    <w:rsid w:val="002874DE"/>
    <w:rsid w:val="00287D62"/>
    <w:rsid w:val="00287EA1"/>
    <w:rsid w:val="002901AD"/>
    <w:rsid w:val="00290791"/>
    <w:rsid w:val="00290B3B"/>
    <w:rsid w:val="00290BE0"/>
    <w:rsid w:val="002911CF"/>
    <w:rsid w:val="002916B8"/>
    <w:rsid w:val="00291FEC"/>
    <w:rsid w:val="0029270E"/>
    <w:rsid w:val="002932B6"/>
    <w:rsid w:val="00293AC8"/>
    <w:rsid w:val="00293D35"/>
    <w:rsid w:val="00293D51"/>
    <w:rsid w:val="00293DBD"/>
    <w:rsid w:val="00294416"/>
    <w:rsid w:val="00294E3E"/>
    <w:rsid w:val="002950D4"/>
    <w:rsid w:val="00296071"/>
    <w:rsid w:val="002964AB"/>
    <w:rsid w:val="0029659D"/>
    <w:rsid w:val="00296B3D"/>
    <w:rsid w:val="00296D8C"/>
    <w:rsid w:val="00297137"/>
    <w:rsid w:val="00297495"/>
    <w:rsid w:val="0029766A"/>
    <w:rsid w:val="00297E3E"/>
    <w:rsid w:val="002A0460"/>
    <w:rsid w:val="002A088A"/>
    <w:rsid w:val="002A1113"/>
    <w:rsid w:val="002A1B31"/>
    <w:rsid w:val="002A2519"/>
    <w:rsid w:val="002A2849"/>
    <w:rsid w:val="002A2BC3"/>
    <w:rsid w:val="002A2BD4"/>
    <w:rsid w:val="002A2DBB"/>
    <w:rsid w:val="002A2E13"/>
    <w:rsid w:val="002A330B"/>
    <w:rsid w:val="002A3AA7"/>
    <w:rsid w:val="002A43CB"/>
    <w:rsid w:val="002A44D2"/>
    <w:rsid w:val="002A49D1"/>
    <w:rsid w:val="002A59DA"/>
    <w:rsid w:val="002A68E0"/>
    <w:rsid w:val="002A69B1"/>
    <w:rsid w:val="002A6E8D"/>
    <w:rsid w:val="002A719F"/>
    <w:rsid w:val="002A7FB6"/>
    <w:rsid w:val="002B1062"/>
    <w:rsid w:val="002B10AD"/>
    <w:rsid w:val="002B1FA3"/>
    <w:rsid w:val="002B2016"/>
    <w:rsid w:val="002B2125"/>
    <w:rsid w:val="002B2AB1"/>
    <w:rsid w:val="002B32D4"/>
    <w:rsid w:val="002B3F19"/>
    <w:rsid w:val="002B4056"/>
    <w:rsid w:val="002B4217"/>
    <w:rsid w:val="002B5B8C"/>
    <w:rsid w:val="002B6489"/>
    <w:rsid w:val="002B69A1"/>
    <w:rsid w:val="002B6CED"/>
    <w:rsid w:val="002B769D"/>
    <w:rsid w:val="002B7725"/>
    <w:rsid w:val="002B78A3"/>
    <w:rsid w:val="002C04EA"/>
    <w:rsid w:val="002C05EA"/>
    <w:rsid w:val="002C1074"/>
    <w:rsid w:val="002C18A9"/>
    <w:rsid w:val="002C2AF4"/>
    <w:rsid w:val="002C304E"/>
    <w:rsid w:val="002C319A"/>
    <w:rsid w:val="002C342E"/>
    <w:rsid w:val="002C3A17"/>
    <w:rsid w:val="002C3B53"/>
    <w:rsid w:val="002C4272"/>
    <w:rsid w:val="002C490A"/>
    <w:rsid w:val="002C4C2A"/>
    <w:rsid w:val="002C4CD3"/>
    <w:rsid w:val="002C5A6F"/>
    <w:rsid w:val="002C5FEA"/>
    <w:rsid w:val="002C6034"/>
    <w:rsid w:val="002C679C"/>
    <w:rsid w:val="002C705F"/>
    <w:rsid w:val="002C727C"/>
    <w:rsid w:val="002C7CAA"/>
    <w:rsid w:val="002D0413"/>
    <w:rsid w:val="002D1BA2"/>
    <w:rsid w:val="002D208D"/>
    <w:rsid w:val="002D2800"/>
    <w:rsid w:val="002D31C0"/>
    <w:rsid w:val="002D3AE1"/>
    <w:rsid w:val="002D3C40"/>
    <w:rsid w:val="002D40C6"/>
    <w:rsid w:val="002D44AC"/>
    <w:rsid w:val="002D4BAB"/>
    <w:rsid w:val="002D5959"/>
    <w:rsid w:val="002D5EC6"/>
    <w:rsid w:val="002D635E"/>
    <w:rsid w:val="002D636E"/>
    <w:rsid w:val="002D6CD2"/>
    <w:rsid w:val="002D7348"/>
    <w:rsid w:val="002D738B"/>
    <w:rsid w:val="002D7ED2"/>
    <w:rsid w:val="002E02C9"/>
    <w:rsid w:val="002E2642"/>
    <w:rsid w:val="002E2700"/>
    <w:rsid w:val="002E349F"/>
    <w:rsid w:val="002E40B5"/>
    <w:rsid w:val="002E50CD"/>
    <w:rsid w:val="002E50FD"/>
    <w:rsid w:val="002E5D13"/>
    <w:rsid w:val="002E5F69"/>
    <w:rsid w:val="002E64F7"/>
    <w:rsid w:val="002E71DA"/>
    <w:rsid w:val="002E7312"/>
    <w:rsid w:val="002E764D"/>
    <w:rsid w:val="002E778C"/>
    <w:rsid w:val="002F079D"/>
    <w:rsid w:val="002F1DF2"/>
    <w:rsid w:val="002F2157"/>
    <w:rsid w:val="002F3108"/>
    <w:rsid w:val="002F497F"/>
    <w:rsid w:val="002F5093"/>
    <w:rsid w:val="002F70CC"/>
    <w:rsid w:val="002F7536"/>
    <w:rsid w:val="002F7A17"/>
    <w:rsid w:val="00300545"/>
    <w:rsid w:val="00300B73"/>
    <w:rsid w:val="00300D9A"/>
    <w:rsid w:val="0030124A"/>
    <w:rsid w:val="0030164D"/>
    <w:rsid w:val="0030182E"/>
    <w:rsid w:val="00301F19"/>
    <w:rsid w:val="003033F2"/>
    <w:rsid w:val="00303A23"/>
    <w:rsid w:val="00303B8E"/>
    <w:rsid w:val="00304232"/>
    <w:rsid w:val="00304845"/>
    <w:rsid w:val="00304C32"/>
    <w:rsid w:val="00305811"/>
    <w:rsid w:val="0030594F"/>
    <w:rsid w:val="003061C9"/>
    <w:rsid w:val="00306461"/>
    <w:rsid w:val="0030694C"/>
    <w:rsid w:val="00306EB4"/>
    <w:rsid w:val="003075DC"/>
    <w:rsid w:val="00307610"/>
    <w:rsid w:val="00307753"/>
    <w:rsid w:val="00307D9C"/>
    <w:rsid w:val="003104AB"/>
    <w:rsid w:val="003105FD"/>
    <w:rsid w:val="003109B4"/>
    <w:rsid w:val="00310DD6"/>
    <w:rsid w:val="003117E6"/>
    <w:rsid w:val="00311CF5"/>
    <w:rsid w:val="003121C8"/>
    <w:rsid w:val="00312C5F"/>
    <w:rsid w:val="00312EE9"/>
    <w:rsid w:val="00313300"/>
    <w:rsid w:val="003136E6"/>
    <w:rsid w:val="00313D59"/>
    <w:rsid w:val="00315D57"/>
    <w:rsid w:val="00317228"/>
    <w:rsid w:val="003178A0"/>
    <w:rsid w:val="00317918"/>
    <w:rsid w:val="00317A32"/>
    <w:rsid w:val="00317FE0"/>
    <w:rsid w:val="0032015D"/>
    <w:rsid w:val="00320E36"/>
    <w:rsid w:val="00321A42"/>
    <w:rsid w:val="00321BB7"/>
    <w:rsid w:val="00321FA6"/>
    <w:rsid w:val="00322263"/>
    <w:rsid w:val="00322CBB"/>
    <w:rsid w:val="0032324E"/>
    <w:rsid w:val="00323559"/>
    <w:rsid w:val="003235EF"/>
    <w:rsid w:val="003238DE"/>
    <w:rsid w:val="0032395B"/>
    <w:rsid w:val="003248ED"/>
    <w:rsid w:val="003253EB"/>
    <w:rsid w:val="0032574F"/>
    <w:rsid w:val="00325811"/>
    <w:rsid w:val="00326743"/>
    <w:rsid w:val="00326B9F"/>
    <w:rsid w:val="00326C46"/>
    <w:rsid w:val="00326D81"/>
    <w:rsid w:val="00330155"/>
    <w:rsid w:val="003304B0"/>
    <w:rsid w:val="00330783"/>
    <w:rsid w:val="003309B2"/>
    <w:rsid w:val="00330A90"/>
    <w:rsid w:val="00330CC1"/>
    <w:rsid w:val="00330D4B"/>
    <w:rsid w:val="0033109B"/>
    <w:rsid w:val="00331E53"/>
    <w:rsid w:val="00331F54"/>
    <w:rsid w:val="003322A8"/>
    <w:rsid w:val="00332C7F"/>
    <w:rsid w:val="00332DD6"/>
    <w:rsid w:val="0033328A"/>
    <w:rsid w:val="00334930"/>
    <w:rsid w:val="00334FF6"/>
    <w:rsid w:val="00335211"/>
    <w:rsid w:val="00335528"/>
    <w:rsid w:val="003359EA"/>
    <w:rsid w:val="00335A84"/>
    <w:rsid w:val="00336654"/>
    <w:rsid w:val="003366C6"/>
    <w:rsid w:val="00337EDB"/>
    <w:rsid w:val="003406B5"/>
    <w:rsid w:val="00340A41"/>
    <w:rsid w:val="003415AE"/>
    <w:rsid w:val="00341BB3"/>
    <w:rsid w:val="00341CE6"/>
    <w:rsid w:val="00344028"/>
    <w:rsid w:val="0034420B"/>
    <w:rsid w:val="0034459A"/>
    <w:rsid w:val="003449CC"/>
    <w:rsid w:val="0034513D"/>
    <w:rsid w:val="0034582F"/>
    <w:rsid w:val="003466F5"/>
    <w:rsid w:val="00346A5F"/>
    <w:rsid w:val="003475EA"/>
    <w:rsid w:val="00347AA9"/>
    <w:rsid w:val="003502D4"/>
    <w:rsid w:val="00351EC7"/>
    <w:rsid w:val="00352A7A"/>
    <w:rsid w:val="003538E0"/>
    <w:rsid w:val="00353A48"/>
    <w:rsid w:val="00353AA2"/>
    <w:rsid w:val="00353B10"/>
    <w:rsid w:val="003544F8"/>
    <w:rsid w:val="00355546"/>
    <w:rsid w:val="00355756"/>
    <w:rsid w:val="00355AF5"/>
    <w:rsid w:val="0035665F"/>
    <w:rsid w:val="0035692C"/>
    <w:rsid w:val="00356ADE"/>
    <w:rsid w:val="00356DCF"/>
    <w:rsid w:val="00357822"/>
    <w:rsid w:val="00357995"/>
    <w:rsid w:val="00357C26"/>
    <w:rsid w:val="00357D0A"/>
    <w:rsid w:val="00357F35"/>
    <w:rsid w:val="00360744"/>
    <w:rsid w:val="00361D10"/>
    <w:rsid w:val="00361DEA"/>
    <w:rsid w:val="00362362"/>
    <w:rsid w:val="003625B9"/>
    <w:rsid w:val="00362B25"/>
    <w:rsid w:val="0036360B"/>
    <w:rsid w:val="003642C6"/>
    <w:rsid w:val="0036477A"/>
    <w:rsid w:val="00364C8D"/>
    <w:rsid w:val="00364E20"/>
    <w:rsid w:val="00365E4B"/>
    <w:rsid w:val="00367053"/>
    <w:rsid w:val="00367A92"/>
    <w:rsid w:val="00367EEB"/>
    <w:rsid w:val="00367F4B"/>
    <w:rsid w:val="003705EB"/>
    <w:rsid w:val="003707EC"/>
    <w:rsid w:val="00370B27"/>
    <w:rsid w:val="00371015"/>
    <w:rsid w:val="0037148E"/>
    <w:rsid w:val="00371F52"/>
    <w:rsid w:val="00371FD2"/>
    <w:rsid w:val="00372135"/>
    <w:rsid w:val="0037263D"/>
    <w:rsid w:val="00373196"/>
    <w:rsid w:val="00374D23"/>
    <w:rsid w:val="00375206"/>
    <w:rsid w:val="003777F1"/>
    <w:rsid w:val="003804C9"/>
    <w:rsid w:val="0038060C"/>
    <w:rsid w:val="00380885"/>
    <w:rsid w:val="0038088A"/>
    <w:rsid w:val="00380955"/>
    <w:rsid w:val="003817B2"/>
    <w:rsid w:val="00382117"/>
    <w:rsid w:val="00382911"/>
    <w:rsid w:val="00382D03"/>
    <w:rsid w:val="00382DDB"/>
    <w:rsid w:val="00383132"/>
    <w:rsid w:val="00383482"/>
    <w:rsid w:val="0038351A"/>
    <w:rsid w:val="00383758"/>
    <w:rsid w:val="0038396C"/>
    <w:rsid w:val="00384239"/>
    <w:rsid w:val="003848D5"/>
    <w:rsid w:val="00385171"/>
    <w:rsid w:val="00385467"/>
    <w:rsid w:val="00385951"/>
    <w:rsid w:val="00385B9E"/>
    <w:rsid w:val="003869AC"/>
    <w:rsid w:val="00386CAE"/>
    <w:rsid w:val="00386D0E"/>
    <w:rsid w:val="0038741E"/>
    <w:rsid w:val="003876B8"/>
    <w:rsid w:val="00387E33"/>
    <w:rsid w:val="00390763"/>
    <w:rsid w:val="00390821"/>
    <w:rsid w:val="00390999"/>
    <w:rsid w:val="00390AEB"/>
    <w:rsid w:val="00390DAF"/>
    <w:rsid w:val="00390FEC"/>
    <w:rsid w:val="00391544"/>
    <w:rsid w:val="00391FC1"/>
    <w:rsid w:val="00392A66"/>
    <w:rsid w:val="00393168"/>
    <w:rsid w:val="00393184"/>
    <w:rsid w:val="0039379F"/>
    <w:rsid w:val="00393C70"/>
    <w:rsid w:val="003940B5"/>
    <w:rsid w:val="0039519F"/>
    <w:rsid w:val="0039548D"/>
    <w:rsid w:val="00395B23"/>
    <w:rsid w:val="003963D6"/>
    <w:rsid w:val="00396B60"/>
    <w:rsid w:val="00397003"/>
    <w:rsid w:val="003972AE"/>
    <w:rsid w:val="0039769F"/>
    <w:rsid w:val="003A07C8"/>
    <w:rsid w:val="003A083C"/>
    <w:rsid w:val="003A0A97"/>
    <w:rsid w:val="003A0C4B"/>
    <w:rsid w:val="003A0CBC"/>
    <w:rsid w:val="003A16B1"/>
    <w:rsid w:val="003A16D4"/>
    <w:rsid w:val="003A1ED4"/>
    <w:rsid w:val="003A1F81"/>
    <w:rsid w:val="003A213D"/>
    <w:rsid w:val="003A23DC"/>
    <w:rsid w:val="003A24DF"/>
    <w:rsid w:val="003A2B06"/>
    <w:rsid w:val="003A307E"/>
    <w:rsid w:val="003A42BA"/>
    <w:rsid w:val="003A4A66"/>
    <w:rsid w:val="003A4AFD"/>
    <w:rsid w:val="003A52CB"/>
    <w:rsid w:val="003A6496"/>
    <w:rsid w:val="003A65F4"/>
    <w:rsid w:val="003A6E1E"/>
    <w:rsid w:val="003A6F99"/>
    <w:rsid w:val="003A6FB0"/>
    <w:rsid w:val="003A71E1"/>
    <w:rsid w:val="003A7426"/>
    <w:rsid w:val="003B0459"/>
    <w:rsid w:val="003B0A91"/>
    <w:rsid w:val="003B0F39"/>
    <w:rsid w:val="003B14ED"/>
    <w:rsid w:val="003B169F"/>
    <w:rsid w:val="003B170F"/>
    <w:rsid w:val="003B1EBE"/>
    <w:rsid w:val="003B3144"/>
    <w:rsid w:val="003B3202"/>
    <w:rsid w:val="003B3459"/>
    <w:rsid w:val="003B3927"/>
    <w:rsid w:val="003B3C3A"/>
    <w:rsid w:val="003B426C"/>
    <w:rsid w:val="003B4D4C"/>
    <w:rsid w:val="003B57A6"/>
    <w:rsid w:val="003B5ABD"/>
    <w:rsid w:val="003B70AD"/>
    <w:rsid w:val="003B7BE5"/>
    <w:rsid w:val="003B7C9B"/>
    <w:rsid w:val="003C0273"/>
    <w:rsid w:val="003C04E7"/>
    <w:rsid w:val="003C07EA"/>
    <w:rsid w:val="003C1211"/>
    <w:rsid w:val="003C162C"/>
    <w:rsid w:val="003C2575"/>
    <w:rsid w:val="003C26DF"/>
    <w:rsid w:val="003C2D61"/>
    <w:rsid w:val="003C30CD"/>
    <w:rsid w:val="003C3EE3"/>
    <w:rsid w:val="003C4BA6"/>
    <w:rsid w:val="003C5142"/>
    <w:rsid w:val="003C560E"/>
    <w:rsid w:val="003C5A6D"/>
    <w:rsid w:val="003C6A4C"/>
    <w:rsid w:val="003C6B99"/>
    <w:rsid w:val="003C70F2"/>
    <w:rsid w:val="003C7ABF"/>
    <w:rsid w:val="003C7B6E"/>
    <w:rsid w:val="003C7C28"/>
    <w:rsid w:val="003C7DC7"/>
    <w:rsid w:val="003D0FFA"/>
    <w:rsid w:val="003D120D"/>
    <w:rsid w:val="003D14B0"/>
    <w:rsid w:val="003D1656"/>
    <w:rsid w:val="003D1708"/>
    <w:rsid w:val="003D1E0C"/>
    <w:rsid w:val="003D274D"/>
    <w:rsid w:val="003D2C29"/>
    <w:rsid w:val="003D2E46"/>
    <w:rsid w:val="003D31D1"/>
    <w:rsid w:val="003D345E"/>
    <w:rsid w:val="003D3528"/>
    <w:rsid w:val="003D35AE"/>
    <w:rsid w:val="003D3F95"/>
    <w:rsid w:val="003D40B5"/>
    <w:rsid w:val="003D4152"/>
    <w:rsid w:val="003D4B12"/>
    <w:rsid w:val="003D54E1"/>
    <w:rsid w:val="003D5665"/>
    <w:rsid w:val="003D566B"/>
    <w:rsid w:val="003D7EE9"/>
    <w:rsid w:val="003E007C"/>
    <w:rsid w:val="003E0B0C"/>
    <w:rsid w:val="003E1052"/>
    <w:rsid w:val="003E1200"/>
    <w:rsid w:val="003E1E52"/>
    <w:rsid w:val="003E307C"/>
    <w:rsid w:val="003E4B2F"/>
    <w:rsid w:val="003E4E6C"/>
    <w:rsid w:val="003E569E"/>
    <w:rsid w:val="003E5CA9"/>
    <w:rsid w:val="003E658C"/>
    <w:rsid w:val="003E6EAF"/>
    <w:rsid w:val="003E771C"/>
    <w:rsid w:val="003F005B"/>
    <w:rsid w:val="003F061F"/>
    <w:rsid w:val="003F08F3"/>
    <w:rsid w:val="003F0C36"/>
    <w:rsid w:val="003F0DB7"/>
    <w:rsid w:val="003F1C0B"/>
    <w:rsid w:val="003F1E59"/>
    <w:rsid w:val="003F2BB8"/>
    <w:rsid w:val="003F30BD"/>
    <w:rsid w:val="003F30F0"/>
    <w:rsid w:val="003F3135"/>
    <w:rsid w:val="003F38DF"/>
    <w:rsid w:val="003F3A8C"/>
    <w:rsid w:val="003F3FD8"/>
    <w:rsid w:val="003F431D"/>
    <w:rsid w:val="003F44B9"/>
    <w:rsid w:val="003F5B15"/>
    <w:rsid w:val="003F5B91"/>
    <w:rsid w:val="003F6AE3"/>
    <w:rsid w:val="003F75C6"/>
    <w:rsid w:val="003F7754"/>
    <w:rsid w:val="00400345"/>
    <w:rsid w:val="00400553"/>
    <w:rsid w:val="0040090B"/>
    <w:rsid w:val="00400E1C"/>
    <w:rsid w:val="00400F9D"/>
    <w:rsid w:val="0040102A"/>
    <w:rsid w:val="00401328"/>
    <w:rsid w:val="00401C8E"/>
    <w:rsid w:val="00401EFD"/>
    <w:rsid w:val="00403263"/>
    <w:rsid w:val="00403544"/>
    <w:rsid w:val="00403A9D"/>
    <w:rsid w:val="00403F21"/>
    <w:rsid w:val="00403FDC"/>
    <w:rsid w:val="004055EA"/>
    <w:rsid w:val="00405CA8"/>
    <w:rsid w:val="0040650A"/>
    <w:rsid w:val="00407783"/>
    <w:rsid w:val="004101B1"/>
    <w:rsid w:val="00410937"/>
    <w:rsid w:val="00410A82"/>
    <w:rsid w:val="00410E10"/>
    <w:rsid w:val="0041168A"/>
    <w:rsid w:val="00411882"/>
    <w:rsid w:val="004118D2"/>
    <w:rsid w:val="00411FA9"/>
    <w:rsid w:val="00412311"/>
    <w:rsid w:val="00413138"/>
    <w:rsid w:val="004132FD"/>
    <w:rsid w:val="004134DB"/>
    <w:rsid w:val="00414075"/>
    <w:rsid w:val="004141BD"/>
    <w:rsid w:val="00415B8F"/>
    <w:rsid w:val="0041649F"/>
    <w:rsid w:val="004164D2"/>
    <w:rsid w:val="00416DF1"/>
    <w:rsid w:val="00416EC3"/>
    <w:rsid w:val="004172D3"/>
    <w:rsid w:val="004219FD"/>
    <w:rsid w:val="00422259"/>
    <w:rsid w:val="00422A1A"/>
    <w:rsid w:val="00422CBD"/>
    <w:rsid w:val="0042318B"/>
    <w:rsid w:val="00423876"/>
    <w:rsid w:val="00423BC7"/>
    <w:rsid w:val="00423E50"/>
    <w:rsid w:val="00424AA3"/>
    <w:rsid w:val="00425201"/>
    <w:rsid w:val="00425698"/>
    <w:rsid w:val="004256D8"/>
    <w:rsid w:val="00425989"/>
    <w:rsid w:val="0042634F"/>
    <w:rsid w:val="0042696B"/>
    <w:rsid w:val="004278AE"/>
    <w:rsid w:val="00427CFF"/>
    <w:rsid w:val="00430132"/>
    <w:rsid w:val="004306D4"/>
    <w:rsid w:val="0043099E"/>
    <w:rsid w:val="0043107B"/>
    <w:rsid w:val="00431247"/>
    <w:rsid w:val="004316BE"/>
    <w:rsid w:val="00431955"/>
    <w:rsid w:val="00431BCE"/>
    <w:rsid w:val="00431D29"/>
    <w:rsid w:val="00432319"/>
    <w:rsid w:val="00432CFF"/>
    <w:rsid w:val="0043325C"/>
    <w:rsid w:val="00433505"/>
    <w:rsid w:val="004339B6"/>
    <w:rsid w:val="00433C41"/>
    <w:rsid w:val="00434CAC"/>
    <w:rsid w:val="00434E03"/>
    <w:rsid w:val="00435065"/>
    <w:rsid w:val="004351F2"/>
    <w:rsid w:val="004371AE"/>
    <w:rsid w:val="004371F6"/>
    <w:rsid w:val="00437271"/>
    <w:rsid w:val="0043778F"/>
    <w:rsid w:val="00437895"/>
    <w:rsid w:val="0044035F"/>
    <w:rsid w:val="00440605"/>
    <w:rsid w:val="00440648"/>
    <w:rsid w:val="004406CD"/>
    <w:rsid w:val="004406EE"/>
    <w:rsid w:val="00440A36"/>
    <w:rsid w:val="00440C8E"/>
    <w:rsid w:val="00441C72"/>
    <w:rsid w:val="004425E2"/>
    <w:rsid w:val="00442626"/>
    <w:rsid w:val="00442F6F"/>
    <w:rsid w:val="004433B2"/>
    <w:rsid w:val="004434A6"/>
    <w:rsid w:val="00443D2E"/>
    <w:rsid w:val="00444189"/>
    <w:rsid w:val="004447C5"/>
    <w:rsid w:val="00444ABC"/>
    <w:rsid w:val="00444B68"/>
    <w:rsid w:val="00445637"/>
    <w:rsid w:val="00447C73"/>
    <w:rsid w:val="00450926"/>
    <w:rsid w:val="004511EE"/>
    <w:rsid w:val="0045193E"/>
    <w:rsid w:val="00451F3F"/>
    <w:rsid w:val="0045244A"/>
    <w:rsid w:val="004527F6"/>
    <w:rsid w:val="00452EF5"/>
    <w:rsid w:val="004532B4"/>
    <w:rsid w:val="00453887"/>
    <w:rsid w:val="004559B8"/>
    <w:rsid w:val="0045666F"/>
    <w:rsid w:val="00456B86"/>
    <w:rsid w:val="00456E13"/>
    <w:rsid w:val="00457749"/>
    <w:rsid w:val="004600F7"/>
    <w:rsid w:val="00460C05"/>
    <w:rsid w:val="004627BB"/>
    <w:rsid w:val="004627CF"/>
    <w:rsid w:val="00462A20"/>
    <w:rsid w:val="00462B1E"/>
    <w:rsid w:val="00463030"/>
    <w:rsid w:val="00463357"/>
    <w:rsid w:val="00463767"/>
    <w:rsid w:val="004637E4"/>
    <w:rsid w:val="00463B07"/>
    <w:rsid w:val="00463CA3"/>
    <w:rsid w:val="00463DA4"/>
    <w:rsid w:val="004649D7"/>
    <w:rsid w:val="00465D9E"/>
    <w:rsid w:val="00465FCC"/>
    <w:rsid w:val="004662BA"/>
    <w:rsid w:val="00467A89"/>
    <w:rsid w:val="00467B17"/>
    <w:rsid w:val="00467EDB"/>
    <w:rsid w:val="0047018B"/>
    <w:rsid w:val="0047036A"/>
    <w:rsid w:val="004706E3"/>
    <w:rsid w:val="00470979"/>
    <w:rsid w:val="00470EFE"/>
    <w:rsid w:val="00471F39"/>
    <w:rsid w:val="00472430"/>
    <w:rsid w:val="00472E7C"/>
    <w:rsid w:val="0047314E"/>
    <w:rsid w:val="0047363E"/>
    <w:rsid w:val="00473952"/>
    <w:rsid w:val="00473BB0"/>
    <w:rsid w:val="00473C1C"/>
    <w:rsid w:val="00473E13"/>
    <w:rsid w:val="00474314"/>
    <w:rsid w:val="004743C1"/>
    <w:rsid w:val="004743CF"/>
    <w:rsid w:val="00474A01"/>
    <w:rsid w:val="00474A62"/>
    <w:rsid w:val="00474DBF"/>
    <w:rsid w:val="00474ED1"/>
    <w:rsid w:val="0047572E"/>
    <w:rsid w:val="00475B4C"/>
    <w:rsid w:val="004766E8"/>
    <w:rsid w:val="004767B6"/>
    <w:rsid w:val="004769FC"/>
    <w:rsid w:val="00476A4B"/>
    <w:rsid w:val="00476C00"/>
    <w:rsid w:val="00476D46"/>
    <w:rsid w:val="0047739E"/>
    <w:rsid w:val="00477F50"/>
    <w:rsid w:val="00477FC2"/>
    <w:rsid w:val="00480FDC"/>
    <w:rsid w:val="00481F0C"/>
    <w:rsid w:val="0048366B"/>
    <w:rsid w:val="0048498D"/>
    <w:rsid w:val="004856DE"/>
    <w:rsid w:val="004857AD"/>
    <w:rsid w:val="0049000A"/>
    <w:rsid w:val="00490529"/>
    <w:rsid w:val="0049055F"/>
    <w:rsid w:val="00490FC4"/>
    <w:rsid w:val="004919D2"/>
    <w:rsid w:val="00491BC9"/>
    <w:rsid w:val="00491DDC"/>
    <w:rsid w:val="0049285B"/>
    <w:rsid w:val="00492F1D"/>
    <w:rsid w:val="004938E6"/>
    <w:rsid w:val="00493EB7"/>
    <w:rsid w:val="004942DC"/>
    <w:rsid w:val="00494381"/>
    <w:rsid w:val="0049450E"/>
    <w:rsid w:val="00495D1E"/>
    <w:rsid w:val="00495D49"/>
    <w:rsid w:val="00496653"/>
    <w:rsid w:val="004970EB"/>
    <w:rsid w:val="004979CF"/>
    <w:rsid w:val="004A0DBE"/>
    <w:rsid w:val="004A1881"/>
    <w:rsid w:val="004A1A80"/>
    <w:rsid w:val="004A1D58"/>
    <w:rsid w:val="004A2718"/>
    <w:rsid w:val="004A2862"/>
    <w:rsid w:val="004A2CB6"/>
    <w:rsid w:val="004A2E91"/>
    <w:rsid w:val="004A2F61"/>
    <w:rsid w:val="004A3C30"/>
    <w:rsid w:val="004A45C1"/>
    <w:rsid w:val="004A57D2"/>
    <w:rsid w:val="004A7B9A"/>
    <w:rsid w:val="004B0021"/>
    <w:rsid w:val="004B047F"/>
    <w:rsid w:val="004B04A0"/>
    <w:rsid w:val="004B0722"/>
    <w:rsid w:val="004B0A74"/>
    <w:rsid w:val="004B0D30"/>
    <w:rsid w:val="004B0F6F"/>
    <w:rsid w:val="004B1807"/>
    <w:rsid w:val="004B18A7"/>
    <w:rsid w:val="004B1BF1"/>
    <w:rsid w:val="004B1FD2"/>
    <w:rsid w:val="004B3758"/>
    <w:rsid w:val="004B38C2"/>
    <w:rsid w:val="004B3FB1"/>
    <w:rsid w:val="004B43D9"/>
    <w:rsid w:val="004B4432"/>
    <w:rsid w:val="004B4C52"/>
    <w:rsid w:val="004B547A"/>
    <w:rsid w:val="004B59A9"/>
    <w:rsid w:val="004B64B4"/>
    <w:rsid w:val="004B68C3"/>
    <w:rsid w:val="004C05DA"/>
    <w:rsid w:val="004C12A1"/>
    <w:rsid w:val="004C14E8"/>
    <w:rsid w:val="004C1789"/>
    <w:rsid w:val="004C3234"/>
    <w:rsid w:val="004C3755"/>
    <w:rsid w:val="004C38E1"/>
    <w:rsid w:val="004C4294"/>
    <w:rsid w:val="004C56A4"/>
    <w:rsid w:val="004C57B9"/>
    <w:rsid w:val="004C5839"/>
    <w:rsid w:val="004C594C"/>
    <w:rsid w:val="004C5C5C"/>
    <w:rsid w:val="004C70D1"/>
    <w:rsid w:val="004C79CA"/>
    <w:rsid w:val="004D02CA"/>
    <w:rsid w:val="004D05A5"/>
    <w:rsid w:val="004D0B36"/>
    <w:rsid w:val="004D0E79"/>
    <w:rsid w:val="004D0E86"/>
    <w:rsid w:val="004D1198"/>
    <w:rsid w:val="004D1744"/>
    <w:rsid w:val="004D1BAC"/>
    <w:rsid w:val="004D230E"/>
    <w:rsid w:val="004D2DDF"/>
    <w:rsid w:val="004D45B4"/>
    <w:rsid w:val="004D581F"/>
    <w:rsid w:val="004D5CA9"/>
    <w:rsid w:val="004D6C48"/>
    <w:rsid w:val="004D73C0"/>
    <w:rsid w:val="004D73C8"/>
    <w:rsid w:val="004D793A"/>
    <w:rsid w:val="004D7BA6"/>
    <w:rsid w:val="004E037F"/>
    <w:rsid w:val="004E072F"/>
    <w:rsid w:val="004E0817"/>
    <w:rsid w:val="004E0BD5"/>
    <w:rsid w:val="004E0D3D"/>
    <w:rsid w:val="004E1135"/>
    <w:rsid w:val="004E12D5"/>
    <w:rsid w:val="004E1315"/>
    <w:rsid w:val="004E1364"/>
    <w:rsid w:val="004E14B9"/>
    <w:rsid w:val="004E182A"/>
    <w:rsid w:val="004E18A7"/>
    <w:rsid w:val="004E199B"/>
    <w:rsid w:val="004E2A22"/>
    <w:rsid w:val="004E2C19"/>
    <w:rsid w:val="004E2E2B"/>
    <w:rsid w:val="004E33F6"/>
    <w:rsid w:val="004E3786"/>
    <w:rsid w:val="004E3794"/>
    <w:rsid w:val="004E3B5D"/>
    <w:rsid w:val="004E3C7F"/>
    <w:rsid w:val="004E43CB"/>
    <w:rsid w:val="004E4B5D"/>
    <w:rsid w:val="004E4C83"/>
    <w:rsid w:val="004E4D0E"/>
    <w:rsid w:val="004E51F3"/>
    <w:rsid w:val="004E69CF"/>
    <w:rsid w:val="004E6E92"/>
    <w:rsid w:val="004E6FAF"/>
    <w:rsid w:val="004E7380"/>
    <w:rsid w:val="004E77C6"/>
    <w:rsid w:val="004F002D"/>
    <w:rsid w:val="004F00F5"/>
    <w:rsid w:val="004F0215"/>
    <w:rsid w:val="004F0A07"/>
    <w:rsid w:val="004F1350"/>
    <w:rsid w:val="004F212F"/>
    <w:rsid w:val="004F2C3F"/>
    <w:rsid w:val="004F2CFA"/>
    <w:rsid w:val="004F3E57"/>
    <w:rsid w:val="004F5556"/>
    <w:rsid w:val="004F5C82"/>
    <w:rsid w:val="004F6764"/>
    <w:rsid w:val="004F6A3E"/>
    <w:rsid w:val="004F6BD4"/>
    <w:rsid w:val="004F6DE8"/>
    <w:rsid w:val="004F6E4B"/>
    <w:rsid w:val="004F7987"/>
    <w:rsid w:val="00500894"/>
    <w:rsid w:val="00500B43"/>
    <w:rsid w:val="00503202"/>
    <w:rsid w:val="00503B18"/>
    <w:rsid w:val="00503EA6"/>
    <w:rsid w:val="00503EBC"/>
    <w:rsid w:val="005041B8"/>
    <w:rsid w:val="00504494"/>
    <w:rsid w:val="005046D6"/>
    <w:rsid w:val="00504DB6"/>
    <w:rsid w:val="005052C0"/>
    <w:rsid w:val="00505854"/>
    <w:rsid w:val="005058F0"/>
    <w:rsid w:val="00506487"/>
    <w:rsid w:val="00506EB8"/>
    <w:rsid w:val="0050703F"/>
    <w:rsid w:val="00507E80"/>
    <w:rsid w:val="00510A7D"/>
    <w:rsid w:val="005112FC"/>
    <w:rsid w:val="0051162D"/>
    <w:rsid w:val="00512497"/>
    <w:rsid w:val="00512835"/>
    <w:rsid w:val="00512C83"/>
    <w:rsid w:val="00512F47"/>
    <w:rsid w:val="005130D3"/>
    <w:rsid w:val="005137AB"/>
    <w:rsid w:val="00513AB9"/>
    <w:rsid w:val="00513C66"/>
    <w:rsid w:val="00514483"/>
    <w:rsid w:val="005149FC"/>
    <w:rsid w:val="005153D8"/>
    <w:rsid w:val="005159C8"/>
    <w:rsid w:val="00515CDA"/>
    <w:rsid w:val="00517500"/>
    <w:rsid w:val="00517E47"/>
    <w:rsid w:val="00517EA0"/>
    <w:rsid w:val="00517F67"/>
    <w:rsid w:val="00520433"/>
    <w:rsid w:val="00520AF9"/>
    <w:rsid w:val="00521603"/>
    <w:rsid w:val="00521DE9"/>
    <w:rsid w:val="00522902"/>
    <w:rsid w:val="005232A7"/>
    <w:rsid w:val="00523630"/>
    <w:rsid w:val="00523E1E"/>
    <w:rsid w:val="00524421"/>
    <w:rsid w:val="00524501"/>
    <w:rsid w:val="005245B5"/>
    <w:rsid w:val="0052490A"/>
    <w:rsid w:val="00525FC0"/>
    <w:rsid w:val="005263DA"/>
    <w:rsid w:val="0052667A"/>
    <w:rsid w:val="0052690B"/>
    <w:rsid w:val="0052758E"/>
    <w:rsid w:val="00527A67"/>
    <w:rsid w:val="00527B9B"/>
    <w:rsid w:val="005307AB"/>
    <w:rsid w:val="00531B86"/>
    <w:rsid w:val="005322BC"/>
    <w:rsid w:val="00532315"/>
    <w:rsid w:val="00533391"/>
    <w:rsid w:val="0053352D"/>
    <w:rsid w:val="00533789"/>
    <w:rsid w:val="0053463B"/>
    <w:rsid w:val="005347C0"/>
    <w:rsid w:val="00534EF9"/>
    <w:rsid w:val="00535D5C"/>
    <w:rsid w:val="00536002"/>
    <w:rsid w:val="00536016"/>
    <w:rsid w:val="00536273"/>
    <w:rsid w:val="00536BF6"/>
    <w:rsid w:val="00537F4E"/>
    <w:rsid w:val="00540141"/>
    <w:rsid w:val="00540753"/>
    <w:rsid w:val="00541485"/>
    <w:rsid w:val="005417AD"/>
    <w:rsid w:val="00542197"/>
    <w:rsid w:val="00543F9F"/>
    <w:rsid w:val="00544674"/>
    <w:rsid w:val="005449EF"/>
    <w:rsid w:val="0054504D"/>
    <w:rsid w:val="00545177"/>
    <w:rsid w:val="00545288"/>
    <w:rsid w:val="005457F4"/>
    <w:rsid w:val="00545864"/>
    <w:rsid w:val="00545DCB"/>
    <w:rsid w:val="0054607A"/>
    <w:rsid w:val="005460D3"/>
    <w:rsid w:val="0054613D"/>
    <w:rsid w:val="005461A5"/>
    <w:rsid w:val="0054644B"/>
    <w:rsid w:val="0054661B"/>
    <w:rsid w:val="00547D15"/>
    <w:rsid w:val="00547D3C"/>
    <w:rsid w:val="00547DF2"/>
    <w:rsid w:val="00550676"/>
    <w:rsid w:val="005506D3"/>
    <w:rsid w:val="005507D0"/>
    <w:rsid w:val="00550AB4"/>
    <w:rsid w:val="00550B3B"/>
    <w:rsid w:val="00550DC8"/>
    <w:rsid w:val="0055100A"/>
    <w:rsid w:val="005511EC"/>
    <w:rsid w:val="00551471"/>
    <w:rsid w:val="005514CC"/>
    <w:rsid w:val="0055196E"/>
    <w:rsid w:val="00551C32"/>
    <w:rsid w:val="00551CDE"/>
    <w:rsid w:val="0055202A"/>
    <w:rsid w:val="00552901"/>
    <w:rsid w:val="00553CBB"/>
    <w:rsid w:val="0055542E"/>
    <w:rsid w:val="00555854"/>
    <w:rsid w:val="00557589"/>
    <w:rsid w:val="005578B4"/>
    <w:rsid w:val="00560DA6"/>
    <w:rsid w:val="00560E38"/>
    <w:rsid w:val="00561168"/>
    <w:rsid w:val="005615DD"/>
    <w:rsid w:val="005618C0"/>
    <w:rsid w:val="00561E84"/>
    <w:rsid w:val="005627D8"/>
    <w:rsid w:val="00563232"/>
    <w:rsid w:val="00563B2F"/>
    <w:rsid w:val="005644D6"/>
    <w:rsid w:val="00565B40"/>
    <w:rsid w:val="00566185"/>
    <w:rsid w:val="005662B3"/>
    <w:rsid w:val="00566376"/>
    <w:rsid w:val="00566AB6"/>
    <w:rsid w:val="00566AD1"/>
    <w:rsid w:val="00566D77"/>
    <w:rsid w:val="00567A32"/>
    <w:rsid w:val="00570DCF"/>
    <w:rsid w:val="00571B3B"/>
    <w:rsid w:val="00571DEA"/>
    <w:rsid w:val="00572687"/>
    <w:rsid w:val="00572A00"/>
    <w:rsid w:val="00573281"/>
    <w:rsid w:val="005737A0"/>
    <w:rsid w:val="00573C6A"/>
    <w:rsid w:val="005748E3"/>
    <w:rsid w:val="00574957"/>
    <w:rsid w:val="00575C64"/>
    <w:rsid w:val="00575DDD"/>
    <w:rsid w:val="00576DAD"/>
    <w:rsid w:val="00577165"/>
    <w:rsid w:val="00580EC5"/>
    <w:rsid w:val="005812A9"/>
    <w:rsid w:val="005814B5"/>
    <w:rsid w:val="0058338B"/>
    <w:rsid w:val="00583A74"/>
    <w:rsid w:val="00583D93"/>
    <w:rsid w:val="00584538"/>
    <w:rsid w:val="00584C2D"/>
    <w:rsid w:val="00585027"/>
    <w:rsid w:val="00587183"/>
    <w:rsid w:val="00587935"/>
    <w:rsid w:val="0059043F"/>
    <w:rsid w:val="00590892"/>
    <w:rsid w:val="00590B1A"/>
    <w:rsid w:val="00590D48"/>
    <w:rsid w:val="00591361"/>
    <w:rsid w:val="005917F3"/>
    <w:rsid w:val="00591DAC"/>
    <w:rsid w:val="00592389"/>
    <w:rsid w:val="0059283E"/>
    <w:rsid w:val="005934B2"/>
    <w:rsid w:val="0059359F"/>
    <w:rsid w:val="00593B8B"/>
    <w:rsid w:val="00593C9C"/>
    <w:rsid w:val="0059425C"/>
    <w:rsid w:val="00594455"/>
    <w:rsid w:val="00594572"/>
    <w:rsid w:val="0059476E"/>
    <w:rsid w:val="005947E0"/>
    <w:rsid w:val="005949A3"/>
    <w:rsid w:val="005952B9"/>
    <w:rsid w:val="00595992"/>
    <w:rsid w:val="00595B44"/>
    <w:rsid w:val="00595B94"/>
    <w:rsid w:val="00595BBA"/>
    <w:rsid w:val="005964A8"/>
    <w:rsid w:val="00596B9B"/>
    <w:rsid w:val="0059705F"/>
    <w:rsid w:val="00597826"/>
    <w:rsid w:val="005A0010"/>
    <w:rsid w:val="005A1207"/>
    <w:rsid w:val="005A165B"/>
    <w:rsid w:val="005A1B23"/>
    <w:rsid w:val="005A1E18"/>
    <w:rsid w:val="005A2104"/>
    <w:rsid w:val="005A2475"/>
    <w:rsid w:val="005A2C6A"/>
    <w:rsid w:val="005A45F2"/>
    <w:rsid w:val="005A5076"/>
    <w:rsid w:val="005A57B7"/>
    <w:rsid w:val="005A5A3F"/>
    <w:rsid w:val="005A5E89"/>
    <w:rsid w:val="005A6257"/>
    <w:rsid w:val="005A70A4"/>
    <w:rsid w:val="005A7479"/>
    <w:rsid w:val="005B09E5"/>
    <w:rsid w:val="005B126A"/>
    <w:rsid w:val="005B1B43"/>
    <w:rsid w:val="005B27EF"/>
    <w:rsid w:val="005B28E6"/>
    <w:rsid w:val="005B3D01"/>
    <w:rsid w:val="005B426E"/>
    <w:rsid w:val="005B4367"/>
    <w:rsid w:val="005B454E"/>
    <w:rsid w:val="005B4B92"/>
    <w:rsid w:val="005B4C8A"/>
    <w:rsid w:val="005B53A8"/>
    <w:rsid w:val="005B5D59"/>
    <w:rsid w:val="005B6612"/>
    <w:rsid w:val="005B6715"/>
    <w:rsid w:val="005B73CD"/>
    <w:rsid w:val="005B75A7"/>
    <w:rsid w:val="005B76AE"/>
    <w:rsid w:val="005B7A90"/>
    <w:rsid w:val="005C01D8"/>
    <w:rsid w:val="005C0621"/>
    <w:rsid w:val="005C0709"/>
    <w:rsid w:val="005C13FC"/>
    <w:rsid w:val="005C14CB"/>
    <w:rsid w:val="005C18AD"/>
    <w:rsid w:val="005C228B"/>
    <w:rsid w:val="005C245F"/>
    <w:rsid w:val="005C2C66"/>
    <w:rsid w:val="005C2D12"/>
    <w:rsid w:val="005C2E05"/>
    <w:rsid w:val="005C2F0C"/>
    <w:rsid w:val="005C3830"/>
    <w:rsid w:val="005C3F96"/>
    <w:rsid w:val="005C483E"/>
    <w:rsid w:val="005C4A6D"/>
    <w:rsid w:val="005C52F3"/>
    <w:rsid w:val="005C5AE1"/>
    <w:rsid w:val="005C618C"/>
    <w:rsid w:val="005C739C"/>
    <w:rsid w:val="005C7AA1"/>
    <w:rsid w:val="005C7B00"/>
    <w:rsid w:val="005D0130"/>
    <w:rsid w:val="005D044A"/>
    <w:rsid w:val="005D045B"/>
    <w:rsid w:val="005D0764"/>
    <w:rsid w:val="005D0DAF"/>
    <w:rsid w:val="005D213B"/>
    <w:rsid w:val="005D23A0"/>
    <w:rsid w:val="005D3669"/>
    <w:rsid w:val="005D4AC9"/>
    <w:rsid w:val="005D5096"/>
    <w:rsid w:val="005D603B"/>
    <w:rsid w:val="005D65A1"/>
    <w:rsid w:val="005D6D37"/>
    <w:rsid w:val="005D767F"/>
    <w:rsid w:val="005E01BB"/>
    <w:rsid w:val="005E01EC"/>
    <w:rsid w:val="005E166D"/>
    <w:rsid w:val="005E1A1F"/>
    <w:rsid w:val="005E1CD7"/>
    <w:rsid w:val="005E22C7"/>
    <w:rsid w:val="005E23CA"/>
    <w:rsid w:val="005E2624"/>
    <w:rsid w:val="005E2E20"/>
    <w:rsid w:val="005E3BB4"/>
    <w:rsid w:val="005E4D03"/>
    <w:rsid w:val="005E5708"/>
    <w:rsid w:val="005E58F9"/>
    <w:rsid w:val="005E5BE7"/>
    <w:rsid w:val="005E605B"/>
    <w:rsid w:val="005E63D5"/>
    <w:rsid w:val="005E6DE7"/>
    <w:rsid w:val="005E7EAA"/>
    <w:rsid w:val="005F0852"/>
    <w:rsid w:val="005F1128"/>
    <w:rsid w:val="005F12F4"/>
    <w:rsid w:val="005F1356"/>
    <w:rsid w:val="005F1FD1"/>
    <w:rsid w:val="005F278A"/>
    <w:rsid w:val="005F3423"/>
    <w:rsid w:val="005F4236"/>
    <w:rsid w:val="005F4AB3"/>
    <w:rsid w:val="005F52B4"/>
    <w:rsid w:val="005F5E1D"/>
    <w:rsid w:val="005F6178"/>
    <w:rsid w:val="005F7480"/>
    <w:rsid w:val="005F74AE"/>
    <w:rsid w:val="005F74FC"/>
    <w:rsid w:val="005F7523"/>
    <w:rsid w:val="005F75BD"/>
    <w:rsid w:val="005F7E43"/>
    <w:rsid w:val="00600025"/>
    <w:rsid w:val="00600C0D"/>
    <w:rsid w:val="0060140F"/>
    <w:rsid w:val="006017A4"/>
    <w:rsid w:val="00601FAC"/>
    <w:rsid w:val="00602451"/>
    <w:rsid w:val="0060245D"/>
    <w:rsid w:val="00603F9E"/>
    <w:rsid w:val="0060404D"/>
    <w:rsid w:val="00605434"/>
    <w:rsid w:val="00605B69"/>
    <w:rsid w:val="00605B93"/>
    <w:rsid w:val="00605BF3"/>
    <w:rsid w:val="00606BD3"/>
    <w:rsid w:val="00607A58"/>
    <w:rsid w:val="00607D80"/>
    <w:rsid w:val="006100F6"/>
    <w:rsid w:val="0061030E"/>
    <w:rsid w:val="006109BE"/>
    <w:rsid w:val="006117B0"/>
    <w:rsid w:val="006121A8"/>
    <w:rsid w:val="00612562"/>
    <w:rsid w:val="006128D3"/>
    <w:rsid w:val="006132BB"/>
    <w:rsid w:val="00613947"/>
    <w:rsid w:val="00613D52"/>
    <w:rsid w:val="00613D6C"/>
    <w:rsid w:val="00613DAD"/>
    <w:rsid w:val="00613E05"/>
    <w:rsid w:val="00614136"/>
    <w:rsid w:val="00614A1E"/>
    <w:rsid w:val="00615982"/>
    <w:rsid w:val="00615E07"/>
    <w:rsid w:val="006170EE"/>
    <w:rsid w:val="006173A2"/>
    <w:rsid w:val="0061741F"/>
    <w:rsid w:val="00617EF4"/>
    <w:rsid w:val="0062070F"/>
    <w:rsid w:val="00620B59"/>
    <w:rsid w:val="006215A9"/>
    <w:rsid w:val="006218DC"/>
    <w:rsid w:val="00622B2B"/>
    <w:rsid w:val="00622CFF"/>
    <w:rsid w:val="00622D1F"/>
    <w:rsid w:val="00623482"/>
    <w:rsid w:val="00625240"/>
    <w:rsid w:val="006254BD"/>
    <w:rsid w:val="006255FE"/>
    <w:rsid w:val="00625C17"/>
    <w:rsid w:val="00625CC4"/>
    <w:rsid w:val="00626371"/>
    <w:rsid w:val="0062763D"/>
    <w:rsid w:val="00630200"/>
    <w:rsid w:val="0063055E"/>
    <w:rsid w:val="00630C74"/>
    <w:rsid w:val="0063152F"/>
    <w:rsid w:val="006328C7"/>
    <w:rsid w:val="00635C37"/>
    <w:rsid w:val="00635DF8"/>
    <w:rsid w:val="00636634"/>
    <w:rsid w:val="00636BD8"/>
    <w:rsid w:val="0063710F"/>
    <w:rsid w:val="00637701"/>
    <w:rsid w:val="00637778"/>
    <w:rsid w:val="00640150"/>
    <w:rsid w:val="006401D7"/>
    <w:rsid w:val="00641019"/>
    <w:rsid w:val="006411DF"/>
    <w:rsid w:val="006418BA"/>
    <w:rsid w:val="0064210E"/>
    <w:rsid w:val="006424D9"/>
    <w:rsid w:val="00642663"/>
    <w:rsid w:val="00643A44"/>
    <w:rsid w:val="00643B77"/>
    <w:rsid w:val="00643BC0"/>
    <w:rsid w:val="006441F8"/>
    <w:rsid w:val="0064428E"/>
    <w:rsid w:val="006442D0"/>
    <w:rsid w:val="0064452A"/>
    <w:rsid w:val="00644697"/>
    <w:rsid w:val="00644B23"/>
    <w:rsid w:val="00644D03"/>
    <w:rsid w:val="00644F60"/>
    <w:rsid w:val="00645D32"/>
    <w:rsid w:val="00646145"/>
    <w:rsid w:val="0064643C"/>
    <w:rsid w:val="00646F3F"/>
    <w:rsid w:val="0065063A"/>
    <w:rsid w:val="00651749"/>
    <w:rsid w:val="00652C9E"/>
    <w:rsid w:val="00653572"/>
    <w:rsid w:val="0065361E"/>
    <w:rsid w:val="00653BB4"/>
    <w:rsid w:val="00654455"/>
    <w:rsid w:val="006563EA"/>
    <w:rsid w:val="00656DFB"/>
    <w:rsid w:val="00657866"/>
    <w:rsid w:val="006579E9"/>
    <w:rsid w:val="00657C22"/>
    <w:rsid w:val="0066011A"/>
    <w:rsid w:val="00660A52"/>
    <w:rsid w:val="00661406"/>
    <w:rsid w:val="00661DBD"/>
    <w:rsid w:val="0066257A"/>
    <w:rsid w:val="0066333C"/>
    <w:rsid w:val="00663492"/>
    <w:rsid w:val="00663E73"/>
    <w:rsid w:val="00664CD2"/>
    <w:rsid w:val="00664D2B"/>
    <w:rsid w:val="00664F58"/>
    <w:rsid w:val="0066551E"/>
    <w:rsid w:val="00665845"/>
    <w:rsid w:val="00665A10"/>
    <w:rsid w:val="00665E17"/>
    <w:rsid w:val="006668C2"/>
    <w:rsid w:val="00666BE7"/>
    <w:rsid w:val="00667082"/>
    <w:rsid w:val="00667497"/>
    <w:rsid w:val="00667CE8"/>
    <w:rsid w:val="00670184"/>
    <w:rsid w:val="00670A1B"/>
    <w:rsid w:val="00670AE6"/>
    <w:rsid w:val="00670F58"/>
    <w:rsid w:val="006710A3"/>
    <w:rsid w:val="0067124E"/>
    <w:rsid w:val="006712F1"/>
    <w:rsid w:val="00671C46"/>
    <w:rsid w:val="00672916"/>
    <w:rsid w:val="00672985"/>
    <w:rsid w:val="00672B48"/>
    <w:rsid w:val="00673881"/>
    <w:rsid w:val="00673CEE"/>
    <w:rsid w:val="00673DA6"/>
    <w:rsid w:val="006740F3"/>
    <w:rsid w:val="00675191"/>
    <w:rsid w:val="0067574E"/>
    <w:rsid w:val="00675BBB"/>
    <w:rsid w:val="006761FB"/>
    <w:rsid w:val="00676480"/>
    <w:rsid w:val="00676B3B"/>
    <w:rsid w:val="00676C87"/>
    <w:rsid w:val="0067781A"/>
    <w:rsid w:val="0068001E"/>
    <w:rsid w:val="00680658"/>
    <w:rsid w:val="00680B87"/>
    <w:rsid w:val="0068142B"/>
    <w:rsid w:val="00681C98"/>
    <w:rsid w:val="00682CD7"/>
    <w:rsid w:val="006835A8"/>
    <w:rsid w:val="00683809"/>
    <w:rsid w:val="00683C0E"/>
    <w:rsid w:val="00684135"/>
    <w:rsid w:val="0068425B"/>
    <w:rsid w:val="006842E6"/>
    <w:rsid w:val="0068448C"/>
    <w:rsid w:val="006847DF"/>
    <w:rsid w:val="00684825"/>
    <w:rsid w:val="00684A08"/>
    <w:rsid w:val="00684B2B"/>
    <w:rsid w:val="00684CF3"/>
    <w:rsid w:val="00685E8C"/>
    <w:rsid w:val="00686C10"/>
    <w:rsid w:val="00686FF9"/>
    <w:rsid w:val="00687027"/>
    <w:rsid w:val="00687A85"/>
    <w:rsid w:val="00687C13"/>
    <w:rsid w:val="00690866"/>
    <w:rsid w:val="00692016"/>
    <w:rsid w:val="006923E9"/>
    <w:rsid w:val="00692BE3"/>
    <w:rsid w:val="00692C1A"/>
    <w:rsid w:val="0069385D"/>
    <w:rsid w:val="00693D27"/>
    <w:rsid w:val="0069473B"/>
    <w:rsid w:val="00695B59"/>
    <w:rsid w:val="006963CA"/>
    <w:rsid w:val="0069736E"/>
    <w:rsid w:val="006A17C4"/>
    <w:rsid w:val="006A1BEC"/>
    <w:rsid w:val="006A25BD"/>
    <w:rsid w:val="006A32A0"/>
    <w:rsid w:val="006A343D"/>
    <w:rsid w:val="006A3EA2"/>
    <w:rsid w:val="006A53B9"/>
    <w:rsid w:val="006A5C25"/>
    <w:rsid w:val="006A6156"/>
    <w:rsid w:val="006A64F8"/>
    <w:rsid w:val="006A69E5"/>
    <w:rsid w:val="006A6B3D"/>
    <w:rsid w:val="006A6D2F"/>
    <w:rsid w:val="006A76C1"/>
    <w:rsid w:val="006A7B00"/>
    <w:rsid w:val="006B082C"/>
    <w:rsid w:val="006B09A9"/>
    <w:rsid w:val="006B0F36"/>
    <w:rsid w:val="006B1B1B"/>
    <w:rsid w:val="006B2351"/>
    <w:rsid w:val="006B264A"/>
    <w:rsid w:val="006B2A8E"/>
    <w:rsid w:val="006B3078"/>
    <w:rsid w:val="006B3782"/>
    <w:rsid w:val="006B3930"/>
    <w:rsid w:val="006B3980"/>
    <w:rsid w:val="006B4824"/>
    <w:rsid w:val="006B4911"/>
    <w:rsid w:val="006B4B6A"/>
    <w:rsid w:val="006B4F81"/>
    <w:rsid w:val="006B55FE"/>
    <w:rsid w:val="006B567E"/>
    <w:rsid w:val="006B5820"/>
    <w:rsid w:val="006B5963"/>
    <w:rsid w:val="006B74B3"/>
    <w:rsid w:val="006B7785"/>
    <w:rsid w:val="006B77A0"/>
    <w:rsid w:val="006C0507"/>
    <w:rsid w:val="006C0889"/>
    <w:rsid w:val="006C0AF7"/>
    <w:rsid w:val="006C1490"/>
    <w:rsid w:val="006C1ADD"/>
    <w:rsid w:val="006C1BCC"/>
    <w:rsid w:val="006C1D1D"/>
    <w:rsid w:val="006C1D3E"/>
    <w:rsid w:val="006C40C5"/>
    <w:rsid w:val="006C5FAD"/>
    <w:rsid w:val="006C6179"/>
    <w:rsid w:val="006C624B"/>
    <w:rsid w:val="006C6DC4"/>
    <w:rsid w:val="006C6F4D"/>
    <w:rsid w:val="006C74B2"/>
    <w:rsid w:val="006C74FB"/>
    <w:rsid w:val="006D0331"/>
    <w:rsid w:val="006D0C6A"/>
    <w:rsid w:val="006D0DE7"/>
    <w:rsid w:val="006D167E"/>
    <w:rsid w:val="006D18D6"/>
    <w:rsid w:val="006D2659"/>
    <w:rsid w:val="006D285A"/>
    <w:rsid w:val="006D28D8"/>
    <w:rsid w:val="006D2CF1"/>
    <w:rsid w:val="006D3597"/>
    <w:rsid w:val="006D3DB2"/>
    <w:rsid w:val="006D3F78"/>
    <w:rsid w:val="006D532D"/>
    <w:rsid w:val="006D6862"/>
    <w:rsid w:val="006D69B8"/>
    <w:rsid w:val="006D6BAC"/>
    <w:rsid w:val="006D6DCF"/>
    <w:rsid w:val="006D71B0"/>
    <w:rsid w:val="006D7281"/>
    <w:rsid w:val="006D741E"/>
    <w:rsid w:val="006D753B"/>
    <w:rsid w:val="006D7645"/>
    <w:rsid w:val="006D769D"/>
    <w:rsid w:val="006E1052"/>
    <w:rsid w:val="006E1A42"/>
    <w:rsid w:val="006E1EB0"/>
    <w:rsid w:val="006E2B96"/>
    <w:rsid w:val="006E2FEC"/>
    <w:rsid w:val="006E3498"/>
    <w:rsid w:val="006E43DA"/>
    <w:rsid w:val="006E52E9"/>
    <w:rsid w:val="006E54E3"/>
    <w:rsid w:val="006E5795"/>
    <w:rsid w:val="006E5B77"/>
    <w:rsid w:val="006E64EC"/>
    <w:rsid w:val="006E6848"/>
    <w:rsid w:val="006E7954"/>
    <w:rsid w:val="006F00DE"/>
    <w:rsid w:val="006F053F"/>
    <w:rsid w:val="006F0577"/>
    <w:rsid w:val="006F12D6"/>
    <w:rsid w:val="006F140B"/>
    <w:rsid w:val="006F1549"/>
    <w:rsid w:val="006F1704"/>
    <w:rsid w:val="006F1AE3"/>
    <w:rsid w:val="006F214D"/>
    <w:rsid w:val="006F21D0"/>
    <w:rsid w:val="006F2D02"/>
    <w:rsid w:val="006F3DEA"/>
    <w:rsid w:val="006F4619"/>
    <w:rsid w:val="006F4819"/>
    <w:rsid w:val="006F519C"/>
    <w:rsid w:val="006F62D0"/>
    <w:rsid w:val="006F6313"/>
    <w:rsid w:val="006F6C27"/>
    <w:rsid w:val="006F750F"/>
    <w:rsid w:val="006F77B4"/>
    <w:rsid w:val="00701721"/>
    <w:rsid w:val="007017B9"/>
    <w:rsid w:val="00701834"/>
    <w:rsid w:val="00701F00"/>
    <w:rsid w:val="0070237B"/>
    <w:rsid w:val="00702915"/>
    <w:rsid w:val="00702A34"/>
    <w:rsid w:val="00702AED"/>
    <w:rsid w:val="0070391E"/>
    <w:rsid w:val="007043D8"/>
    <w:rsid w:val="0070624B"/>
    <w:rsid w:val="0070649E"/>
    <w:rsid w:val="00706554"/>
    <w:rsid w:val="007069D2"/>
    <w:rsid w:val="00707468"/>
    <w:rsid w:val="00707C0E"/>
    <w:rsid w:val="00707E96"/>
    <w:rsid w:val="00707FF4"/>
    <w:rsid w:val="00711E70"/>
    <w:rsid w:val="007131B9"/>
    <w:rsid w:val="007136C6"/>
    <w:rsid w:val="00714375"/>
    <w:rsid w:val="00714655"/>
    <w:rsid w:val="00714956"/>
    <w:rsid w:val="00714B16"/>
    <w:rsid w:val="00714C34"/>
    <w:rsid w:val="007163FC"/>
    <w:rsid w:val="007167A2"/>
    <w:rsid w:val="00716C48"/>
    <w:rsid w:val="00716CA6"/>
    <w:rsid w:val="00716EF2"/>
    <w:rsid w:val="007172C5"/>
    <w:rsid w:val="00717858"/>
    <w:rsid w:val="007201EB"/>
    <w:rsid w:val="00720666"/>
    <w:rsid w:val="007207A7"/>
    <w:rsid w:val="00721389"/>
    <w:rsid w:val="0072194E"/>
    <w:rsid w:val="00721EBD"/>
    <w:rsid w:val="00723019"/>
    <w:rsid w:val="00723B69"/>
    <w:rsid w:val="00723E36"/>
    <w:rsid w:val="00723F8D"/>
    <w:rsid w:val="00724828"/>
    <w:rsid w:val="00724DEA"/>
    <w:rsid w:val="00725377"/>
    <w:rsid w:val="0072581F"/>
    <w:rsid w:val="00725E1E"/>
    <w:rsid w:val="007269B3"/>
    <w:rsid w:val="00726CE8"/>
    <w:rsid w:val="00727E51"/>
    <w:rsid w:val="00730E4A"/>
    <w:rsid w:val="00731388"/>
    <w:rsid w:val="00732213"/>
    <w:rsid w:val="00732D3C"/>
    <w:rsid w:val="007335D4"/>
    <w:rsid w:val="007336E3"/>
    <w:rsid w:val="0073394C"/>
    <w:rsid w:val="007342CD"/>
    <w:rsid w:val="00735008"/>
    <w:rsid w:val="0073520E"/>
    <w:rsid w:val="00735775"/>
    <w:rsid w:val="00735934"/>
    <w:rsid w:val="00736C8D"/>
    <w:rsid w:val="00736E71"/>
    <w:rsid w:val="00736EA8"/>
    <w:rsid w:val="00737321"/>
    <w:rsid w:val="007373AE"/>
    <w:rsid w:val="00737BE0"/>
    <w:rsid w:val="00740642"/>
    <w:rsid w:val="00740787"/>
    <w:rsid w:val="007415CB"/>
    <w:rsid w:val="00742706"/>
    <w:rsid w:val="00742B41"/>
    <w:rsid w:val="00743BDE"/>
    <w:rsid w:val="007441CA"/>
    <w:rsid w:val="00744CA1"/>
    <w:rsid w:val="00745600"/>
    <w:rsid w:val="00745690"/>
    <w:rsid w:val="00745FAA"/>
    <w:rsid w:val="007465EC"/>
    <w:rsid w:val="007466EA"/>
    <w:rsid w:val="00746C46"/>
    <w:rsid w:val="00746D4C"/>
    <w:rsid w:val="00746E28"/>
    <w:rsid w:val="00746EFB"/>
    <w:rsid w:val="00746FDE"/>
    <w:rsid w:val="007470C7"/>
    <w:rsid w:val="00747992"/>
    <w:rsid w:val="0075034D"/>
    <w:rsid w:val="00750C1A"/>
    <w:rsid w:val="007518E2"/>
    <w:rsid w:val="0075193C"/>
    <w:rsid w:val="00751F5E"/>
    <w:rsid w:val="007527B8"/>
    <w:rsid w:val="00753212"/>
    <w:rsid w:val="007532AA"/>
    <w:rsid w:val="0075332A"/>
    <w:rsid w:val="007533AC"/>
    <w:rsid w:val="0075391F"/>
    <w:rsid w:val="00753DE9"/>
    <w:rsid w:val="0075531C"/>
    <w:rsid w:val="00755F36"/>
    <w:rsid w:val="007562FF"/>
    <w:rsid w:val="00756EB0"/>
    <w:rsid w:val="00757B06"/>
    <w:rsid w:val="00760262"/>
    <w:rsid w:val="007608A4"/>
    <w:rsid w:val="00760D39"/>
    <w:rsid w:val="007614D2"/>
    <w:rsid w:val="00761B7C"/>
    <w:rsid w:val="007625E5"/>
    <w:rsid w:val="0076285B"/>
    <w:rsid w:val="007632B0"/>
    <w:rsid w:val="00764478"/>
    <w:rsid w:val="0076482E"/>
    <w:rsid w:val="00764F59"/>
    <w:rsid w:val="00766905"/>
    <w:rsid w:val="0076741F"/>
    <w:rsid w:val="007674C2"/>
    <w:rsid w:val="007700EF"/>
    <w:rsid w:val="0077042E"/>
    <w:rsid w:val="00770687"/>
    <w:rsid w:val="007707F3"/>
    <w:rsid w:val="007711D3"/>
    <w:rsid w:val="007718D7"/>
    <w:rsid w:val="00771A24"/>
    <w:rsid w:val="007728E1"/>
    <w:rsid w:val="00772A5A"/>
    <w:rsid w:val="00772B21"/>
    <w:rsid w:val="00772F8F"/>
    <w:rsid w:val="007737E4"/>
    <w:rsid w:val="007738AA"/>
    <w:rsid w:val="00773C88"/>
    <w:rsid w:val="007745FB"/>
    <w:rsid w:val="0077469A"/>
    <w:rsid w:val="00774AF4"/>
    <w:rsid w:val="0077507C"/>
    <w:rsid w:val="007750EC"/>
    <w:rsid w:val="00775767"/>
    <w:rsid w:val="007757F4"/>
    <w:rsid w:val="00775E38"/>
    <w:rsid w:val="00777290"/>
    <w:rsid w:val="00777565"/>
    <w:rsid w:val="007775BD"/>
    <w:rsid w:val="00777738"/>
    <w:rsid w:val="00781D0B"/>
    <w:rsid w:val="007823B6"/>
    <w:rsid w:val="00783AF8"/>
    <w:rsid w:val="00784144"/>
    <w:rsid w:val="007843E5"/>
    <w:rsid w:val="00785207"/>
    <w:rsid w:val="00786169"/>
    <w:rsid w:val="00787189"/>
    <w:rsid w:val="007872FA"/>
    <w:rsid w:val="00791E79"/>
    <w:rsid w:val="007922C2"/>
    <w:rsid w:val="00792692"/>
    <w:rsid w:val="00792820"/>
    <w:rsid w:val="00793613"/>
    <w:rsid w:val="007938D1"/>
    <w:rsid w:val="00794C51"/>
    <w:rsid w:val="00794D91"/>
    <w:rsid w:val="007951E8"/>
    <w:rsid w:val="0079529A"/>
    <w:rsid w:val="00795CF4"/>
    <w:rsid w:val="00796D9F"/>
    <w:rsid w:val="00797B64"/>
    <w:rsid w:val="007A0936"/>
    <w:rsid w:val="007A0C69"/>
    <w:rsid w:val="007A0D8C"/>
    <w:rsid w:val="007A13A3"/>
    <w:rsid w:val="007A1CA5"/>
    <w:rsid w:val="007A2EEF"/>
    <w:rsid w:val="007A3B09"/>
    <w:rsid w:val="007A3E31"/>
    <w:rsid w:val="007A403B"/>
    <w:rsid w:val="007A4E4B"/>
    <w:rsid w:val="007A5C8D"/>
    <w:rsid w:val="007A612E"/>
    <w:rsid w:val="007A75C6"/>
    <w:rsid w:val="007A7AE2"/>
    <w:rsid w:val="007A7ECD"/>
    <w:rsid w:val="007B007D"/>
    <w:rsid w:val="007B15BE"/>
    <w:rsid w:val="007B16A8"/>
    <w:rsid w:val="007B1DF7"/>
    <w:rsid w:val="007B3C5A"/>
    <w:rsid w:val="007B3DD6"/>
    <w:rsid w:val="007B4885"/>
    <w:rsid w:val="007B4B3F"/>
    <w:rsid w:val="007B5A02"/>
    <w:rsid w:val="007B5DB4"/>
    <w:rsid w:val="007B65CE"/>
    <w:rsid w:val="007B6652"/>
    <w:rsid w:val="007B6CFD"/>
    <w:rsid w:val="007B7C23"/>
    <w:rsid w:val="007C0E3E"/>
    <w:rsid w:val="007C137A"/>
    <w:rsid w:val="007C1732"/>
    <w:rsid w:val="007C18C7"/>
    <w:rsid w:val="007C1F31"/>
    <w:rsid w:val="007C2480"/>
    <w:rsid w:val="007C2E08"/>
    <w:rsid w:val="007C35BE"/>
    <w:rsid w:val="007C35E2"/>
    <w:rsid w:val="007C4005"/>
    <w:rsid w:val="007C415F"/>
    <w:rsid w:val="007C48AB"/>
    <w:rsid w:val="007C53A2"/>
    <w:rsid w:val="007C55DF"/>
    <w:rsid w:val="007C58D5"/>
    <w:rsid w:val="007C6B6F"/>
    <w:rsid w:val="007C7C0A"/>
    <w:rsid w:val="007C7D37"/>
    <w:rsid w:val="007C7F39"/>
    <w:rsid w:val="007D024A"/>
    <w:rsid w:val="007D04CF"/>
    <w:rsid w:val="007D1751"/>
    <w:rsid w:val="007D1EA8"/>
    <w:rsid w:val="007D20B5"/>
    <w:rsid w:val="007D249C"/>
    <w:rsid w:val="007D2540"/>
    <w:rsid w:val="007D32CC"/>
    <w:rsid w:val="007D33BE"/>
    <w:rsid w:val="007D4540"/>
    <w:rsid w:val="007D5266"/>
    <w:rsid w:val="007D56A5"/>
    <w:rsid w:val="007D6592"/>
    <w:rsid w:val="007D665A"/>
    <w:rsid w:val="007D66F8"/>
    <w:rsid w:val="007D7F8D"/>
    <w:rsid w:val="007D7FC5"/>
    <w:rsid w:val="007E0C5A"/>
    <w:rsid w:val="007E0E82"/>
    <w:rsid w:val="007E1088"/>
    <w:rsid w:val="007E150D"/>
    <w:rsid w:val="007E1A55"/>
    <w:rsid w:val="007E20BB"/>
    <w:rsid w:val="007E25B6"/>
    <w:rsid w:val="007E3110"/>
    <w:rsid w:val="007E31B8"/>
    <w:rsid w:val="007E31BC"/>
    <w:rsid w:val="007E32CE"/>
    <w:rsid w:val="007E41DA"/>
    <w:rsid w:val="007E4362"/>
    <w:rsid w:val="007E4A70"/>
    <w:rsid w:val="007E51C2"/>
    <w:rsid w:val="007E6145"/>
    <w:rsid w:val="007E6903"/>
    <w:rsid w:val="007E6B04"/>
    <w:rsid w:val="007E7556"/>
    <w:rsid w:val="007E7BB9"/>
    <w:rsid w:val="007E7D3A"/>
    <w:rsid w:val="007F039B"/>
    <w:rsid w:val="007F03B3"/>
    <w:rsid w:val="007F04EF"/>
    <w:rsid w:val="007F07EB"/>
    <w:rsid w:val="007F0EC1"/>
    <w:rsid w:val="007F1555"/>
    <w:rsid w:val="007F21A2"/>
    <w:rsid w:val="007F2201"/>
    <w:rsid w:val="007F2314"/>
    <w:rsid w:val="007F2552"/>
    <w:rsid w:val="007F2C8F"/>
    <w:rsid w:val="007F32F0"/>
    <w:rsid w:val="007F359F"/>
    <w:rsid w:val="007F383A"/>
    <w:rsid w:val="007F3E86"/>
    <w:rsid w:val="007F4121"/>
    <w:rsid w:val="007F4134"/>
    <w:rsid w:val="007F48BB"/>
    <w:rsid w:val="007F61D7"/>
    <w:rsid w:val="007F6FD0"/>
    <w:rsid w:val="007F76BA"/>
    <w:rsid w:val="007F7DBC"/>
    <w:rsid w:val="00800A48"/>
    <w:rsid w:val="008022D9"/>
    <w:rsid w:val="00802B6F"/>
    <w:rsid w:val="00803669"/>
    <w:rsid w:val="00804175"/>
    <w:rsid w:val="008042E8"/>
    <w:rsid w:val="00804559"/>
    <w:rsid w:val="00804E9C"/>
    <w:rsid w:val="0080609D"/>
    <w:rsid w:val="0080639D"/>
    <w:rsid w:val="008067E5"/>
    <w:rsid w:val="008072FF"/>
    <w:rsid w:val="0081001B"/>
    <w:rsid w:val="00810EF3"/>
    <w:rsid w:val="00811454"/>
    <w:rsid w:val="0081157B"/>
    <w:rsid w:val="00812613"/>
    <w:rsid w:val="00812999"/>
    <w:rsid w:val="00812A95"/>
    <w:rsid w:val="00812D69"/>
    <w:rsid w:val="00812E0E"/>
    <w:rsid w:val="008134ED"/>
    <w:rsid w:val="0081381E"/>
    <w:rsid w:val="00813A1F"/>
    <w:rsid w:val="00813C5E"/>
    <w:rsid w:val="00813D9A"/>
    <w:rsid w:val="00813E39"/>
    <w:rsid w:val="008146E5"/>
    <w:rsid w:val="008151C7"/>
    <w:rsid w:val="00815833"/>
    <w:rsid w:val="00815EA1"/>
    <w:rsid w:val="00816287"/>
    <w:rsid w:val="00816564"/>
    <w:rsid w:val="008167DD"/>
    <w:rsid w:val="00816AB2"/>
    <w:rsid w:val="008173F6"/>
    <w:rsid w:val="008174A5"/>
    <w:rsid w:val="00817738"/>
    <w:rsid w:val="00817875"/>
    <w:rsid w:val="00817BC5"/>
    <w:rsid w:val="00817F78"/>
    <w:rsid w:val="00820285"/>
    <w:rsid w:val="00820371"/>
    <w:rsid w:val="00820857"/>
    <w:rsid w:val="008212C0"/>
    <w:rsid w:val="00821652"/>
    <w:rsid w:val="008218F8"/>
    <w:rsid w:val="00822032"/>
    <w:rsid w:val="008228C2"/>
    <w:rsid w:val="0082328E"/>
    <w:rsid w:val="0082340F"/>
    <w:rsid w:val="0082364D"/>
    <w:rsid w:val="0082400B"/>
    <w:rsid w:val="008240D2"/>
    <w:rsid w:val="008248CC"/>
    <w:rsid w:val="00824A35"/>
    <w:rsid w:val="00825004"/>
    <w:rsid w:val="0082508D"/>
    <w:rsid w:val="00825C2D"/>
    <w:rsid w:val="0082600F"/>
    <w:rsid w:val="0082611E"/>
    <w:rsid w:val="00826583"/>
    <w:rsid w:val="00826861"/>
    <w:rsid w:val="008275D2"/>
    <w:rsid w:val="0083111D"/>
    <w:rsid w:val="00831B0D"/>
    <w:rsid w:val="00831BAB"/>
    <w:rsid w:val="00831BF1"/>
    <w:rsid w:val="00832764"/>
    <w:rsid w:val="008334FB"/>
    <w:rsid w:val="00834C44"/>
    <w:rsid w:val="00835254"/>
    <w:rsid w:val="008362B3"/>
    <w:rsid w:val="00836337"/>
    <w:rsid w:val="008368B8"/>
    <w:rsid w:val="0083699E"/>
    <w:rsid w:val="00836E40"/>
    <w:rsid w:val="00837052"/>
    <w:rsid w:val="0083754D"/>
    <w:rsid w:val="008376F6"/>
    <w:rsid w:val="00837C9E"/>
    <w:rsid w:val="00840509"/>
    <w:rsid w:val="00840DA8"/>
    <w:rsid w:val="0084127C"/>
    <w:rsid w:val="00841331"/>
    <w:rsid w:val="008414BE"/>
    <w:rsid w:val="0084163E"/>
    <w:rsid w:val="0084197D"/>
    <w:rsid w:val="00841C33"/>
    <w:rsid w:val="00841E6C"/>
    <w:rsid w:val="00842009"/>
    <w:rsid w:val="008423E7"/>
    <w:rsid w:val="00842759"/>
    <w:rsid w:val="00843106"/>
    <w:rsid w:val="008433D2"/>
    <w:rsid w:val="008438C8"/>
    <w:rsid w:val="00843925"/>
    <w:rsid w:val="00843D37"/>
    <w:rsid w:val="008451A9"/>
    <w:rsid w:val="008453D0"/>
    <w:rsid w:val="00845C37"/>
    <w:rsid w:val="00845CCC"/>
    <w:rsid w:val="008476D5"/>
    <w:rsid w:val="008478E8"/>
    <w:rsid w:val="00847DD3"/>
    <w:rsid w:val="00850973"/>
    <w:rsid w:val="00850D3A"/>
    <w:rsid w:val="00850F17"/>
    <w:rsid w:val="00851C26"/>
    <w:rsid w:val="00851C9A"/>
    <w:rsid w:val="00852072"/>
    <w:rsid w:val="0085249C"/>
    <w:rsid w:val="0085291F"/>
    <w:rsid w:val="00853885"/>
    <w:rsid w:val="00854AE3"/>
    <w:rsid w:val="008559A2"/>
    <w:rsid w:val="00855D7A"/>
    <w:rsid w:val="00857290"/>
    <w:rsid w:val="008573BD"/>
    <w:rsid w:val="008576B7"/>
    <w:rsid w:val="008576D4"/>
    <w:rsid w:val="0085793C"/>
    <w:rsid w:val="008579BA"/>
    <w:rsid w:val="008603D7"/>
    <w:rsid w:val="008604EB"/>
    <w:rsid w:val="008608E1"/>
    <w:rsid w:val="00860B8E"/>
    <w:rsid w:val="00860F99"/>
    <w:rsid w:val="008611C5"/>
    <w:rsid w:val="008615FE"/>
    <w:rsid w:val="00861AFC"/>
    <w:rsid w:val="00863005"/>
    <w:rsid w:val="008636A5"/>
    <w:rsid w:val="00863ACD"/>
    <w:rsid w:val="00863E05"/>
    <w:rsid w:val="00863EED"/>
    <w:rsid w:val="008648F7"/>
    <w:rsid w:val="00864BA9"/>
    <w:rsid w:val="008653AE"/>
    <w:rsid w:val="008658CF"/>
    <w:rsid w:val="00866693"/>
    <w:rsid w:val="00867985"/>
    <w:rsid w:val="0087033A"/>
    <w:rsid w:val="008708DA"/>
    <w:rsid w:val="008717B6"/>
    <w:rsid w:val="008717E8"/>
    <w:rsid w:val="008718B0"/>
    <w:rsid w:val="00871C5C"/>
    <w:rsid w:val="00872191"/>
    <w:rsid w:val="00872526"/>
    <w:rsid w:val="00873469"/>
    <w:rsid w:val="0087384D"/>
    <w:rsid w:val="00874543"/>
    <w:rsid w:val="00875191"/>
    <w:rsid w:val="00875729"/>
    <w:rsid w:val="00876625"/>
    <w:rsid w:val="008766DB"/>
    <w:rsid w:val="008770C5"/>
    <w:rsid w:val="00880443"/>
    <w:rsid w:val="00880DA1"/>
    <w:rsid w:val="0088118D"/>
    <w:rsid w:val="0088294B"/>
    <w:rsid w:val="00882FE8"/>
    <w:rsid w:val="0088336B"/>
    <w:rsid w:val="00884016"/>
    <w:rsid w:val="00884145"/>
    <w:rsid w:val="008852B9"/>
    <w:rsid w:val="00885708"/>
    <w:rsid w:val="00885FAF"/>
    <w:rsid w:val="008864CD"/>
    <w:rsid w:val="00886AEB"/>
    <w:rsid w:val="00886F6A"/>
    <w:rsid w:val="00887400"/>
    <w:rsid w:val="00887843"/>
    <w:rsid w:val="00890279"/>
    <w:rsid w:val="00890587"/>
    <w:rsid w:val="00890ADD"/>
    <w:rsid w:val="00890C74"/>
    <w:rsid w:val="00891445"/>
    <w:rsid w:val="00891467"/>
    <w:rsid w:val="00891C19"/>
    <w:rsid w:val="00891DF1"/>
    <w:rsid w:val="008924E5"/>
    <w:rsid w:val="008930B7"/>
    <w:rsid w:val="00893F32"/>
    <w:rsid w:val="0089479C"/>
    <w:rsid w:val="008948DE"/>
    <w:rsid w:val="0089572B"/>
    <w:rsid w:val="008972D9"/>
    <w:rsid w:val="008972EE"/>
    <w:rsid w:val="00897332"/>
    <w:rsid w:val="008975C9"/>
    <w:rsid w:val="008A0051"/>
    <w:rsid w:val="008A03E3"/>
    <w:rsid w:val="008A0485"/>
    <w:rsid w:val="008A14AB"/>
    <w:rsid w:val="008A3D5F"/>
    <w:rsid w:val="008A5685"/>
    <w:rsid w:val="008A657E"/>
    <w:rsid w:val="008A6AFE"/>
    <w:rsid w:val="008A7964"/>
    <w:rsid w:val="008B04CC"/>
    <w:rsid w:val="008B081E"/>
    <w:rsid w:val="008B09D2"/>
    <w:rsid w:val="008B0DA4"/>
    <w:rsid w:val="008B0E48"/>
    <w:rsid w:val="008B1122"/>
    <w:rsid w:val="008B13A5"/>
    <w:rsid w:val="008B1CB1"/>
    <w:rsid w:val="008B2113"/>
    <w:rsid w:val="008B2250"/>
    <w:rsid w:val="008B24B8"/>
    <w:rsid w:val="008B367E"/>
    <w:rsid w:val="008B38C7"/>
    <w:rsid w:val="008B3E15"/>
    <w:rsid w:val="008B5597"/>
    <w:rsid w:val="008B63EC"/>
    <w:rsid w:val="008B67A3"/>
    <w:rsid w:val="008B6C72"/>
    <w:rsid w:val="008B72A7"/>
    <w:rsid w:val="008B7374"/>
    <w:rsid w:val="008B7795"/>
    <w:rsid w:val="008B783A"/>
    <w:rsid w:val="008B7A46"/>
    <w:rsid w:val="008B7E5F"/>
    <w:rsid w:val="008C0F93"/>
    <w:rsid w:val="008C16AB"/>
    <w:rsid w:val="008C230F"/>
    <w:rsid w:val="008C236E"/>
    <w:rsid w:val="008C47D9"/>
    <w:rsid w:val="008C48AF"/>
    <w:rsid w:val="008C48C7"/>
    <w:rsid w:val="008C49D5"/>
    <w:rsid w:val="008C4A5F"/>
    <w:rsid w:val="008C5C68"/>
    <w:rsid w:val="008C5EE2"/>
    <w:rsid w:val="008C69AF"/>
    <w:rsid w:val="008C6F67"/>
    <w:rsid w:val="008C7661"/>
    <w:rsid w:val="008C7844"/>
    <w:rsid w:val="008D00E7"/>
    <w:rsid w:val="008D113C"/>
    <w:rsid w:val="008D11C4"/>
    <w:rsid w:val="008D190E"/>
    <w:rsid w:val="008D2F80"/>
    <w:rsid w:val="008D5EB5"/>
    <w:rsid w:val="008D5F5A"/>
    <w:rsid w:val="008D76BD"/>
    <w:rsid w:val="008D7978"/>
    <w:rsid w:val="008E04C6"/>
    <w:rsid w:val="008E087F"/>
    <w:rsid w:val="008E10FB"/>
    <w:rsid w:val="008E1451"/>
    <w:rsid w:val="008E16CE"/>
    <w:rsid w:val="008E1B06"/>
    <w:rsid w:val="008E247E"/>
    <w:rsid w:val="008E3C42"/>
    <w:rsid w:val="008E3F04"/>
    <w:rsid w:val="008E4433"/>
    <w:rsid w:val="008E557F"/>
    <w:rsid w:val="008E72D9"/>
    <w:rsid w:val="008E7A0F"/>
    <w:rsid w:val="008E7B94"/>
    <w:rsid w:val="008F12ED"/>
    <w:rsid w:val="008F1C09"/>
    <w:rsid w:val="008F1C16"/>
    <w:rsid w:val="008F1D1C"/>
    <w:rsid w:val="008F1F8F"/>
    <w:rsid w:val="008F2687"/>
    <w:rsid w:val="008F302B"/>
    <w:rsid w:val="008F3217"/>
    <w:rsid w:val="008F34C0"/>
    <w:rsid w:val="008F3A23"/>
    <w:rsid w:val="008F4072"/>
    <w:rsid w:val="008F4B7D"/>
    <w:rsid w:val="008F4EE3"/>
    <w:rsid w:val="008F5325"/>
    <w:rsid w:val="008F55B0"/>
    <w:rsid w:val="008F5CF9"/>
    <w:rsid w:val="008F5EB9"/>
    <w:rsid w:val="008F609E"/>
    <w:rsid w:val="008F6367"/>
    <w:rsid w:val="008F6C6B"/>
    <w:rsid w:val="008F6DEE"/>
    <w:rsid w:val="008F7059"/>
    <w:rsid w:val="008F78EB"/>
    <w:rsid w:val="00900081"/>
    <w:rsid w:val="0090066C"/>
    <w:rsid w:val="009010C9"/>
    <w:rsid w:val="009016D5"/>
    <w:rsid w:val="00901777"/>
    <w:rsid w:val="00901C99"/>
    <w:rsid w:val="00903615"/>
    <w:rsid w:val="00904603"/>
    <w:rsid w:val="009056EB"/>
    <w:rsid w:val="00910096"/>
    <w:rsid w:val="009104CC"/>
    <w:rsid w:val="009105DB"/>
    <w:rsid w:val="00910760"/>
    <w:rsid w:val="00911134"/>
    <w:rsid w:val="009112ED"/>
    <w:rsid w:val="009120EA"/>
    <w:rsid w:val="0091264D"/>
    <w:rsid w:val="0091290C"/>
    <w:rsid w:val="00912EE8"/>
    <w:rsid w:val="00913278"/>
    <w:rsid w:val="0091338A"/>
    <w:rsid w:val="0091346F"/>
    <w:rsid w:val="00913995"/>
    <w:rsid w:val="00913E26"/>
    <w:rsid w:val="0091416A"/>
    <w:rsid w:val="0091508C"/>
    <w:rsid w:val="009170A1"/>
    <w:rsid w:val="00917ADB"/>
    <w:rsid w:val="00921115"/>
    <w:rsid w:val="00921DBB"/>
    <w:rsid w:val="00922C30"/>
    <w:rsid w:val="00922C48"/>
    <w:rsid w:val="0092477B"/>
    <w:rsid w:val="0092570B"/>
    <w:rsid w:val="00925A38"/>
    <w:rsid w:val="009264AF"/>
    <w:rsid w:val="009266CF"/>
    <w:rsid w:val="00930629"/>
    <w:rsid w:val="009324EE"/>
    <w:rsid w:val="009336A4"/>
    <w:rsid w:val="00933C75"/>
    <w:rsid w:val="00933D38"/>
    <w:rsid w:val="00934272"/>
    <w:rsid w:val="00934569"/>
    <w:rsid w:val="00934C16"/>
    <w:rsid w:val="009356D2"/>
    <w:rsid w:val="00936332"/>
    <w:rsid w:val="00936B98"/>
    <w:rsid w:val="00937176"/>
    <w:rsid w:val="009374C8"/>
    <w:rsid w:val="009405F7"/>
    <w:rsid w:val="009410D3"/>
    <w:rsid w:val="0094127C"/>
    <w:rsid w:val="00942368"/>
    <w:rsid w:val="0094364A"/>
    <w:rsid w:val="0094574E"/>
    <w:rsid w:val="00945778"/>
    <w:rsid w:val="00945EA5"/>
    <w:rsid w:val="009460BC"/>
    <w:rsid w:val="009466F3"/>
    <w:rsid w:val="00946DEE"/>
    <w:rsid w:val="00947C64"/>
    <w:rsid w:val="00947DFC"/>
    <w:rsid w:val="00950C21"/>
    <w:rsid w:val="0095101C"/>
    <w:rsid w:val="00951360"/>
    <w:rsid w:val="009513D1"/>
    <w:rsid w:val="00951CAF"/>
    <w:rsid w:val="00952435"/>
    <w:rsid w:val="00952787"/>
    <w:rsid w:val="00952E0C"/>
    <w:rsid w:val="009530FC"/>
    <w:rsid w:val="00953FDC"/>
    <w:rsid w:val="0095474B"/>
    <w:rsid w:val="00954DDB"/>
    <w:rsid w:val="00956A3C"/>
    <w:rsid w:val="00956F4D"/>
    <w:rsid w:val="00956FF9"/>
    <w:rsid w:val="00957C17"/>
    <w:rsid w:val="00957C9B"/>
    <w:rsid w:val="00957EF6"/>
    <w:rsid w:val="0096016E"/>
    <w:rsid w:val="00960396"/>
    <w:rsid w:val="009604B7"/>
    <w:rsid w:val="00960724"/>
    <w:rsid w:val="00960A41"/>
    <w:rsid w:val="00961425"/>
    <w:rsid w:val="009615E9"/>
    <w:rsid w:val="00961CFE"/>
    <w:rsid w:val="00962108"/>
    <w:rsid w:val="0096252B"/>
    <w:rsid w:val="00962B47"/>
    <w:rsid w:val="00962C5E"/>
    <w:rsid w:val="009637C6"/>
    <w:rsid w:val="00963AEF"/>
    <w:rsid w:val="009648FA"/>
    <w:rsid w:val="00964E5A"/>
    <w:rsid w:val="0096545A"/>
    <w:rsid w:val="009679A8"/>
    <w:rsid w:val="00967C04"/>
    <w:rsid w:val="0097061D"/>
    <w:rsid w:val="00970B1A"/>
    <w:rsid w:val="009713F7"/>
    <w:rsid w:val="0097164F"/>
    <w:rsid w:val="009718D3"/>
    <w:rsid w:val="00971B7D"/>
    <w:rsid w:val="00972613"/>
    <w:rsid w:val="00972A41"/>
    <w:rsid w:val="00972B59"/>
    <w:rsid w:val="00972CFE"/>
    <w:rsid w:val="0097316A"/>
    <w:rsid w:val="009734F0"/>
    <w:rsid w:val="0097382A"/>
    <w:rsid w:val="00973A0F"/>
    <w:rsid w:val="00973C18"/>
    <w:rsid w:val="0097435A"/>
    <w:rsid w:val="0097518F"/>
    <w:rsid w:val="009754B5"/>
    <w:rsid w:val="0097567E"/>
    <w:rsid w:val="00975699"/>
    <w:rsid w:val="00975A12"/>
    <w:rsid w:val="0097648F"/>
    <w:rsid w:val="0097742A"/>
    <w:rsid w:val="00977ABD"/>
    <w:rsid w:val="00977B0D"/>
    <w:rsid w:val="00977CE7"/>
    <w:rsid w:val="00977DAC"/>
    <w:rsid w:val="00980E24"/>
    <w:rsid w:val="00981570"/>
    <w:rsid w:val="009825E9"/>
    <w:rsid w:val="00982ADC"/>
    <w:rsid w:val="00983107"/>
    <w:rsid w:val="00983170"/>
    <w:rsid w:val="00983224"/>
    <w:rsid w:val="00985337"/>
    <w:rsid w:val="00986527"/>
    <w:rsid w:val="00986C5E"/>
    <w:rsid w:val="0098765D"/>
    <w:rsid w:val="00987794"/>
    <w:rsid w:val="009878CB"/>
    <w:rsid w:val="009879A7"/>
    <w:rsid w:val="00987E6D"/>
    <w:rsid w:val="009903CE"/>
    <w:rsid w:val="00990746"/>
    <w:rsid w:val="009908A0"/>
    <w:rsid w:val="009908A3"/>
    <w:rsid w:val="0099092E"/>
    <w:rsid w:val="00991031"/>
    <w:rsid w:val="00991825"/>
    <w:rsid w:val="009929DC"/>
    <w:rsid w:val="0099310C"/>
    <w:rsid w:val="00993599"/>
    <w:rsid w:val="0099376F"/>
    <w:rsid w:val="00993932"/>
    <w:rsid w:val="00993B20"/>
    <w:rsid w:val="009940B4"/>
    <w:rsid w:val="0099452D"/>
    <w:rsid w:val="00994685"/>
    <w:rsid w:val="00994AF9"/>
    <w:rsid w:val="00994B79"/>
    <w:rsid w:val="00994FE9"/>
    <w:rsid w:val="0099789F"/>
    <w:rsid w:val="00997CE1"/>
    <w:rsid w:val="009A0BA2"/>
    <w:rsid w:val="009A1564"/>
    <w:rsid w:val="009A15BE"/>
    <w:rsid w:val="009A1899"/>
    <w:rsid w:val="009A1A41"/>
    <w:rsid w:val="009A1BB5"/>
    <w:rsid w:val="009A1C4E"/>
    <w:rsid w:val="009A28B5"/>
    <w:rsid w:val="009A33F4"/>
    <w:rsid w:val="009A3465"/>
    <w:rsid w:val="009A4454"/>
    <w:rsid w:val="009A4AFF"/>
    <w:rsid w:val="009A4DC9"/>
    <w:rsid w:val="009A5167"/>
    <w:rsid w:val="009A58ED"/>
    <w:rsid w:val="009A5DD1"/>
    <w:rsid w:val="009A62DD"/>
    <w:rsid w:val="009A66F1"/>
    <w:rsid w:val="009A681F"/>
    <w:rsid w:val="009A69C7"/>
    <w:rsid w:val="009A6F66"/>
    <w:rsid w:val="009A73A4"/>
    <w:rsid w:val="009A73AE"/>
    <w:rsid w:val="009A749C"/>
    <w:rsid w:val="009A7C25"/>
    <w:rsid w:val="009B003F"/>
    <w:rsid w:val="009B0A51"/>
    <w:rsid w:val="009B0F71"/>
    <w:rsid w:val="009B1005"/>
    <w:rsid w:val="009B1490"/>
    <w:rsid w:val="009B1AA0"/>
    <w:rsid w:val="009B1F4B"/>
    <w:rsid w:val="009B24B5"/>
    <w:rsid w:val="009B2BA5"/>
    <w:rsid w:val="009B453B"/>
    <w:rsid w:val="009B5D02"/>
    <w:rsid w:val="009B61F9"/>
    <w:rsid w:val="009B6BB2"/>
    <w:rsid w:val="009B6F92"/>
    <w:rsid w:val="009B722E"/>
    <w:rsid w:val="009B7CD9"/>
    <w:rsid w:val="009C14E2"/>
    <w:rsid w:val="009C1640"/>
    <w:rsid w:val="009C2647"/>
    <w:rsid w:val="009C2D79"/>
    <w:rsid w:val="009C4160"/>
    <w:rsid w:val="009C4A23"/>
    <w:rsid w:val="009C4EE5"/>
    <w:rsid w:val="009C5D71"/>
    <w:rsid w:val="009C5E48"/>
    <w:rsid w:val="009C61B9"/>
    <w:rsid w:val="009C6500"/>
    <w:rsid w:val="009C6DDB"/>
    <w:rsid w:val="009C6E0A"/>
    <w:rsid w:val="009C6EB3"/>
    <w:rsid w:val="009C6FB6"/>
    <w:rsid w:val="009C7AF7"/>
    <w:rsid w:val="009D02C8"/>
    <w:rsid w:val="009D0A8E"/>
    <w:rsid w:val="009D137D"/>
    <w:rsid w:val="009D1380"/>
    <w:rsid w:val="009D1391"/>
    <w:rsid w:val="009D1C45"/>
    <w:rsid w:val="009D255C"/>
    <w:rsid w:val="009D2DCD"/>
    <w:rsid w:val="009D33EB"/>
    <w:rsid w:val="009D360C"/>
    <w:rsid w:val="009D3B88"/>
    <w:rsid w:val="009D3C7C"/>
    <w:rsid w:val="009D3D18"/>
    <w:rsid w:val="009D4891"/>
    <w:rsid w:val="009D496C"/>
    <w:rsid w:val="009D51B9"/>
    <w:rsid w:val="009D5467"/>
    <w:rsid w:val="009D56C3"/>
    <w:rsid w:val="009D5D1C"/>
    <w:rsid w:val="009D637A"/>
    <w:rsid w:val="009D6CFB"/>
    <w:rsid w:val="009D7AE6"/>
    <w:rsid w:val="009E03E6"/>
    <w:rsid w:val="009E08DE"/>
    <w:rsid w:val="009E0B4D"/>
    <w:rsid w:val="009E148D"/>
    <w:rsid w:val="009E1640"/>
    <w:rsid w:val="009E2144"/>
    <w:rsid w:val="009E3FC9"/>
    <w:rsid w:val="009E47A8"/>
    <w:rsid w:val="009E6A29"/>
    <w:rsid w:val="009E6BE6"/>
    <w:rsid w:val="009E71D1"/>
    <w:rsid w:val="009E7279"/>
    <w:rsid w:val="009E7492"/>
    <w:rsid w:val="009E7798"/>
    <w:rsid w:val="009F0341"/>
    <w:rsid w:val="009F0FF8"/>
    <w:rsid w:val="009F1A51"/>
    <w:rsid w:val="009F1BBE"/>
    <w:rsid w:val="009F209B"/>
    <w:rsid w:val="009F2253"/>
    <w:rsid w:val="009F29A4"/>
    <w:rsid w:val="009F29F5"/>
    <w:rsid w:val="009F2D74"/>
    <w:rsid w:val="009F3050"/>
    <w:rsid w:val="009F385A"/>
    <w:rsid w:val="009F38F8"/>
    <w:rsid w:val="009F4AA4"/>
    <w:rsid w:val="009F4B66"/>
    <w:rsid w:val="009F4F4F"/>
    <w:rsid w:val="009F5662"/>
    <w:rsid w:val="009F5AB5"/>
    <w:rsid w:val="009F5B4D"/>
    <w:rsid w:val="009F5BDE"/>
    <w:rsid w:val="009F6658"/>
    <w:rsid w:val="009F688E"/>
    <w:rsid w:val="009F6A44"/>
    <w:rsid w:val="009F6CAC"/>
    <w:rsid w:val="00A00285"/>
    <w:rsid w:val="00A009AE"/>
    <w:rsid w:val="00A00A60"/>
    <w:rsid w:val="00A015ED"/>
    <w:rsid w:val="00A01605"/>
    <w:rsid w:val="00A0160D"/>
    <w:rsid w:val="00A017A6"/>
    <w:rsid w:val="00A02897"/>
    <w:rsid w:val="00A0289C"/>
    <w:rsid w:val="00A02C18"/>
    <w:rsid w:val="00A03B59"/>
    <w:rsid w:val="00A04DF2"/>
    <w:rsid w:val="00A04F6B"/>
    <w:rsid w:val="00A05166"/>
    <w:rsid w:val="00A05268"/>
    <w:rsid w:val="00A05479"/>
    <w:rsid w:val="00A0560B"/>
    <w:rsid w:val="00A05ABD"/>
    <w:rsid w:val="00A05D91"/>
    <w:rsid w:val="00A0630C"/>
    <w:rsid w:val="00A0680B"/>
    <w:rsid w:val="00A06E9C"/>
    <w:rsid w:val="00A0714E"/>
    <w:rsid w:val="00A07219"/>
    <w:rsid w:val="00A0726A"/>
    <w:rsid w:val="00A078A9"/>
    <w:rsid w:val="00A078FD"/>
    <w:rsid w:val="00A07CDF"/>
    <w:rsid w:val="00A07EAA"/>
    <w:rsid w:val="00A10846"/>
    <w:rsid w:val="00A109B3"/>
    <w:rsid w:val="00A1113C"/>
    <w:rsid w:val="00A111BE"/>
    <w:rsid w:val="00A118BD"/>
    <w:rsid w:val="00A11E2B"/>
    <w:rsid w:val="00A121A4"/>
    <w:rsid w:val="00A12D34"/>
    <w:rsid w:val="00A12D8B"/>
    <w:rsid w:val="00A132FC"/>
    <w:rsid w:val="00A13DDF"/>
    <w:rsid w:val="00A13E7C"/>
    <w:rsid w:val="00A14161"/>
    <w:rsid w:val="00A14AD2"/>
    <w:rsid w:val="00A14D7A"/>
    <w:rsid w:val="00A15945"/>
    <w:rsid w:val="00A15D21"/>
    <w:rsid w:val="00A165D8"/>
    <w:rsid w:val="00A16805"/>
    <w:rsid w:val="00A1686D"/>
    <w:rsid w:val="00A1748C"/>
    <w:rsid w:val="00A1754D"/>
    <w:rsid w:val="00A20BAA"/>
    <w:rsid w:val="00A21480"/>
    <w:rsid w:val="00A21A2A"/>
    <w:rsid w:val="00A21A98"/>
    <w:rsid w:val="00A21EA3"/>
    <w:rsid w:val="00A21F0F"/>
    <w:rsid w:val="00A22033"/>
    <w:rsid w:val="00A2228B"/>
    <w:rsid w:val="00A22A61"/>
    <w:rsid w:val="00A2337C"/>
    <w:rsid w:val="00A23B73"/>
    <w:rsid w:val="00A24B1E"/>
    <w:rsid w:val="00A24FF1"/>
    <w:rsid w:val="00A2503E"/>
    <w:rsid w:val="00A257AE"/>
    <w:rsid w:val="00A257B1"/>
    <w:rsid w:val="00A25BA2"/>
    <w:rsid w:val="00A25CD2"/>
    <w:rsid w:val="00A2629A"/>
    <w:rsid w:val="00A266DB"/>
    <w:rsid w:val="00A267AE"/>
    <w:rsid w:val="00A26CCB"/>
    <w:rsid w:val="00A275D9"/>
    <w:rsid w:val="00A27876"/>
    <w:rsid w:val="00A3026D"/>
    <w:rsid w:val="00A309CA"/>
    <w:rsid w:val="00A30C49"/>
    <w:rsid w:val="00A32B93"/>
    <w:rsid w:val="00A33660"/>
    <w:rsid w:val="00A33AB3"/>
    <w:rsid w:val="00A34165"/>
    <w:rsid w:val="00A342C1"/>
    <w:rsid w:val="00A34449"/>
    <w:rsid w:val="00A34712"/>
    <w:rsid w:val="00A3484F"/>
    <w:rsid w:val="00A34B60"/>
    <w:rsid w:val="00A34CAC"/>
    <w:rsid w:val="00A34F06"/>
    <w:rsid w:val="00A3533E"/>
    <w:rsid w:val="00A35B32"/>
    <w:rsid w:val="00A363AB"/>
    <w:rsid w:val="00A36C3C"/>
    <w:rsid w:val="00A36E9C"/>
    <w:rsid w:val="00A3760D"/>
    <w:rsid w:val="00A37827"/>
    <w:rsid w:val="00A3784C"/>
    <w:rsid w:val="00A4022D"/>
    <w:rsid w:val="00A409E4"/>
    <w:rsid w:val="00A40C16"/>
    <w:rsid w:val="00A40C63"/>
    <w:rsid w:val="00A410B2"/>
    <w:rsid w:val="00A41833"/>
    <w:rsid w:val="00A41AED"/>
    <w:rsid w:val="00A422BB"/>
    <w:rsid w:val="00A42B79"/>
    <w:rsid w:val="00A42E73"/>
    <w:rsid w:val="00A43414"/>
    <w:rsid w:val="00A43580"/>
    <w:rsid w:val="00A43595"/>
    <w:rsid w:val="00A43C54"/>
    <w:rsid w:val="00A44F06"/>
    <w:rsid w:val="00A4545C"/>
    <w:rsid w:val="00A46193"/>
    <w:rsid w:val="00A4652E"/>
    <w:rsid w:val="00A46665"/>
    <w:rsid w:val="00A46960"/>
    <w:rsid w:val="00A477FB"/>
    <w:rsid w:val="00A50DBA"/>
    <w:rsid w:val="00A512DE"/>
    <w:rsid w:val="00A51A61"/>
    <w:rsid w:val="00A51DC5"/>
    <w:rsid w:val="00A52637"/>
    <w:rsid w:val="00A52A75"/>
    <w:rsid w:val="00A5307E"/>
    <w:rsid w:val="00A53EBE"/>
    <w:rsid w:val="00A53F15"/>
    <w:rsid w:val="00A54B76"/>
    <w:rsid w:val="00A558DC"/>
    <w:rsid w:val="00A55EC2"/>
    <w:rsid w:val="00A560F4"/>
    <w:rsid w:val="00A575BC"/>
    <w:rsid w:val="00A57790"/>
    <w:rsid w:val="00A57958"/>
    <w:rsid w:val="00A605BC"/>
    <w:rsid w:val="00A6064D"/>
    <w:rsid w:val="00A609AA"/>
    <w:rsid w:val="00A60D6B"/>
    <w:rsid w:val="00A61CCB"/>
    <w:rsid w:val="00A621D5"/>
    <w:rsid w:val="00A626DD"/>
    <w:rsid w:val="00A6349E"/>
    <w:rsid w:val="00A636C7"/>
    <w:rsid w:val="00A63960"/>
    <w:rsid w:val="00A63E15"/>
    <w:rsid w:val="00A63F74"/>
    <w:rsid w:val="00A64246"/>
    <w:rsid w:val="00A657AC"/>
    <w:rsid w:val="00A65941"/>
    <w:rsid w:val="00A662B4"/>
    <w:rsid w:val="00A667BC"/>
    <w:rsid w:val="00A67087"/>
    <w:rsid w:val="00A67270"/>
    <w:rsid w:val="00A67279"/>
    <w:rsid w:val="00A704D6"/>
    <w:rsid w:val="00A7103A"/>
    <w:rsid w:val="00A71251"/>
    <w:rsid w:val="00A712A8"/>
    <w:rsid w:val="00A71F0C"/>
    <w:rsid w:val="00A72327"/>
    <w:rsid w:val="00A72E79"/>
    <w:rsid w:val="00A731F2"/>
    <w:rsid w:val="00A7320E"/>
    <w:rsid w:val="00A75044"/>
    <w:rsid w:val="00A753D6"/>
    <w:rsid w:val="00A761D4"/>
    <w:rsid w:val="00A76659"/>
    <w:rsid w:val="00A768AD"/>
    <w:rsid w:val="00A77C78"/>
    <w:rsid w:val="00A811EE"/>
    <w:rsid w:val="00A8128C"/>
    <w:rsid w:val="00A8178F"/>
    <w:rsid w:val="00A82560"/>
    <w:rsid w:val="00A832AD"/>
    <w:rsid w:val="00A8351D"/>
    <w:rsid w:val="00A83CEA"/>
    <w:rsid w:val="00A84024"/>
    <w:rsid w:val="00A844A0"/>
    <w:rsid w:val="00A84B90"/>
    <w:rsid w:val="00A84EA7"/>
    <w:rsid w:val="00A850F6"/>
    <w:rsid w:val="00A85FCA"/>
    <w:rsid w:val="00A86156"/>
    <w:rsid w:val="00A8628B"/>
    <w:rsid w:val="00A87324"/>
    <w:rsid w:val="00A87642"/>
    <w:rsid w:val="00A87902"/>
    <w:rsid w:val="00A87A09"/>
    <w:rsid w:val="00A90115"/>
    <w:rsid w:val="00A90242"/>
    <w:rsid w:val="00A9064E"/>
    <w:rsid w:val="00A9079C"/>
    <w:rsid w:val="00A90892"/>
    <w:rsid w:val="00A90B4C"/>
    <w:rsid w:val="00A90CDD"/>
    <w:rsid w:val="00A90D8A"/>
    <w:rsid w:val="00A91413"/>
    <w:rsid w:val="00A91711"/>
    <w:rsid w:val="00A92005"/>
    <w:rsid w:val="00A924AA"/>
    <w:rsid w:val="00A9252D"/>
    <w:rsid w:val="00A92815"/>
    <w:rsid w:val="00A92AAA"/>
    <w:rsid w:val="00A92C0D"/>
    <w:rsid w:val="00A9348B"/>
    <w:rsid w:val="00A934B8"/>
    <w:rsid w:val="00A9376C"/>
    <w:rsid w:val="00A94227"/>
    <w:rsid w:val="00A943A7"/>
    <w:rsid w:val="00A94D41"/>
    <w:rsid w:val="00A94EF1"/>
    <w:rsid w:val="00A95F18"/>
    <w:rsid w:val="00A96349"/>
    <w:rsid w:val="00A96A2F"/>
    <w:rsid w:val="00A9708A"/>
    <w:rsid w:val="00A9756E"/>
    <w:rsid w:val="00A97EC0"/>
    <w:rsid w:val="00AA039D"/>
    <w:rsid w:val="00AA05E8"/>
    <w:rsid w:val="00AA1021"/>
    <w:rsid w:val="00AA1493"/>
    <w:rsid w:val="00AA1A43"/>
    <w:rsid w:val="00AA2059"/>
    <w:rsid w:val="00AA24D9"/>
    <w:rsid w:val="00AA2DB9"/>
    <w:rsid w:val="00AA397A"/>
    <w:rsid w:val="00AA3E17"/>
    <w:rsid w:val="00AA591F"/>
    <w:rsid w:val="00AA5FF5"/>
    <w:rsid w:val="00AA66DC"/>
    <w:rsid w:val="00AA6D7B"/>
    <w:rsid w:val="00AA76EA"/>
    <w:rsid w:val="00AA7962"/>
    <w:rsid w:val="00AA7F70"/>
    <w:rsid w:val="00AB07BE"/>
    <w:rsid w:val="00AB085E"/>
    <w:rsid w:val="00AB09CB"/>
    <w:rsid w:val="00AB10BA"/>
    <w:rsid w:val="00AB1A5F"/>
    <w:rsid w:val="00AB1C2C"/>
    <w:rsid w:val="00AB1FA7"/>
    <w:rsid w:val="00AB274B"/>
    <w:rsid w:val="00AB2867"/>
    <w:rsid w:val="00AB33AF"/>
    <w:rsid w:val="00AB3D6A"/>
    <w:rsid w:val="00AB4558"/>
    <w:rsid w:val="00AB47CB"/>
    <w:rsid w:val="00AB4D05"/>
    <w:rsid w:val="00AB5E00"/>
    <w:rsid w:val="00AB612B"/>
    <w:rsid w:val="00AB6831"/>
    <w:rsid w:val="00AB6850"/>
    <w:rsid w:val="00AB6BB2"/>
    <w:rsid w:val="00AB6C0F"/>
    <w:rsid w:val="00AB6C3C"/>
    <w:rsid w:val="00AB6E2A"/>
    <w:rsid w:val="00AB7132"/>
    <w:rsid w:val="00AB741E"/>
    <w:rsid w:val="00AB771B"/>
    <w:rsid w:val="00AB79D5"/>
    <w:rsid w:val="00AC020C"/>
    <w:rsid w:val="00AC03DD"/>
    <w:rsid w:val="00AC04E8"/>
    <w:rsid w:val="00AC0D15"/>
    <w:rsid w:val="00AC1234"/>
    <w:rsid w:val="00AC1616"/>
    <w:rsid w:val="00AC183D"/>
    <w:rsid w:val="00AC22A5"/>
    <w:rsid w:val="00AC32FD"/>
    <w:rsid w:val="00AC34B0"/>
    <w:rsid w:val="00AC3FBA"/>
    <w:rsid w:val="00AC416D"/>
    <w:rsid w:val="00AC453E"/>
    <w:rsid w:val="00AC4A90"/>
    <w:rsid w:val="00AC532B"/>
    <w:rsid w:val="00AC5542"/>
    <w:rsid w:val="00AC564D"/>
    <w:rsid w:val="00AC6E8D"/>
    <w:rsid w:val="00AC70E7"/>
    <w:rsid w:val="00AC7EBD"/>
    <w:rsid w:val="00AD0255"/>
    <w:rsid w:val="00AD06F6"/>
    <w:rsid w:val="00AD11DC"/>
    <w:rsid w:val="00AD12F2"/>
    <w:rsid w:val="00AD2CE4"/>
    <w:rsid w:val="00AD2F29"/>
    <w:rsid w:val="00AD36C7"/>
    <w:rsid w:val="00AD42A8"/>
    <w:rsid w:val="00AD4C38"/>
    <w:rsid w:val="00AD5346"/>
    <w:rsid w:val="00AD538C"/>
    <w:rsid w:val="00AD5636"/>
    <w:rsid w:val="00AD592C"/>
    <w:rsid w:val="00AD617C"/>
    <w:rsid w:val="00AD6843"/>
    <w:rsid w:val="00AE0014"/>
    <w:rsid w:val="00AE039F"/>
    <w:rsid w:val="00AE13D1"/>
    <w:rsid w:val="00AE1890"/>
    <w:rsid w:val="00AE209A"/>
    <w:rsid w:val="00AE2489"/>
    <w:rsid w:val="00AE2628"/>
    <w:rsid w:val="00AE344B"/>
    <w:rsid w:val="00AE3A67"/>
    <w:rsid w:val="00AE3D0F"/>
    <w:rsid w:val="00AE3EA8"/>
    <w:rsid w:val="00AE47B7"/>
    <w:rsid w:val="00AE5337"/>
    <w:rsid w:val="00AE67A5"/>
    <w:rsid w:val="00AE6BA4"/>
    <w:rsid w:val="00AE6C65"/>
    <w:rsid w:val="00AE6F5D"/>
    <w:rsid w:val="00AE70D2"/>
    <w:rsid w:val="00AE7218"/>
    <w:rsid w:val="00AE763A"/>
    <w:rsid w:val="00AE7C6E"/>
    <w:rsid w:val="00AE7CB7"/>
    <w:rsid w:val="00AE7CBF"/>
    <w:rsid w:val="00AF0830"/>
    <w:rsid w:val="00AF0DDE"/>
    <w:rsid w:val="00AF1ADB"/>
    <w:rsid w:val="00AF1DE8"/>
    <w:rsid w:val="00AF1FEF"/>
    <w:rsid w:val="00AF2010"/>
    <w:rsid w:val="00AF259C"/>
    <w:rsid w:val="00AF2741"/>
    <w:rsid w:val="00AF3399"/>
    <w:rsid w:val="00AF33F7"/>
    <w:rsid w:val="00AF3795"/>
    <w:rsid w:val="00AF41AF"/>
    <w:rsid w:val="00AF4C2D"/>
    <w:rsid w:val="00AF5D5F"/>
    <w:rsid w:val="00AF650A"/>
    <w:rsid w:val="00AF6D2C"/>
    <w:rsid w:val="00AF6D9B"/>
    <w:rsid w:val="00AF6F44"/>
    <w:rsid w:val="00AF713C"/>
    <w:rsid w:val="00AF71E9"/>
    <w:rsid w:val="00AF7228"/>
    <w:rsid w:val="00AF796C"/>
    <w:rsid w:val="00AF7FFB"/>
    <w:rsid w:val="00B0093F"/>
    <w:rsid w:val="00B01071"/>
    <w:rsid w:val="00B01F58"/>
    <w:rsid w:val="00B029AB"/>
    <w:rsid w:val="00B02D5D"/>
    <w:rsid w:val="00B03FE2"/>
    <w:rsid w:val="00B04614"/>
    <w:rsid w:val="00B05B68"/>
    <w:rsid w:val="00B063D1"/>
    <w:rsid w:val="00B068B5"/>
    <w:rsid w:val="00B0768E"/>
    <w:rsid w:val="00B07757"/>
    <w:rsid w:val="00B10180"/>
    <w:rsid w:val="00B11CDA"/>
    <w:rsid w:val="00B11E88"/>
    <w:rsid w:val="00B120A7"/>
    <w:rsid w:val="00B1233E"/>
    <w:rsid w:val="00B13549"/>
    <w:rsid w:val="00B14815"/>
    <w:rsid w:val="00B14B89"/>
    <w:rsid w:val="00B153A9"/>
    <w:rsid w:val="00B153CC"/>
    <w:rsid w:val="00B15440"/>
    <w:rsid w:val="00B15831"/>
    <w:rsid w:val="00B15EEA"/>
    <w:rsid w:val="00B1670F"/>
    <w:rsid w:val="00B17C74"/>
    <w:rsid w:val="00B17E7C"/>
    <w:rsid w:val="00B2009D"/>
    <w:rsid w:val="00B20366"/>
    <w:rsid w:val="00B20404"/>
    <w:rsid w:val="00B20566"/>
    <w:rsid w:val="00B20C71"/>
    <w:rsid w:val="00B21812"/>
    <w:rsid w:val="00B21AFD"/>
    <w:rsid w:val="00B21C21"/>
    <w:rsid w:val="00B225F6"/>
    <w:rsid w:val="00B226C3"/>
    <w:rsid w:val="00B22F81"/>
    <w:rsid w:val="00B232D3"/>
    <w:rsid w:val="00B246D4"/>
    <w:rsid w:val="00B24D7E"/>
    <w:rsid w:val="00B25B8F"/>
    <w:rsid w:val="00B25D36"/>
    <w:rsid w:val="00B25E1E"/>
    <w:rsid w:val="00B266C9"/>
    <w:rsid w:val="00B26C49"/>
    <w:rsid w:val="00B27034"/>
    <w:rsid w:val="00B276AD"/>
    <w:rsid w:val="00B30253"/>
    <w:rsid w:val="00B30D1F"/>
    <w:rsid w:val="00B30F5B"/>
    <w:rsid w:val="00B31472"/>
    <w:rsid w:val="00B322B5"/>
    <w:rsid w:val="00B324B2"/>
    <w:rsid w:val="00B32B13"/>
    <w:rsid w:val="00B331CA"/>
    <w:rsid w:val="00B33589"/>
    <w:rsid w:val="00B336C9"/>
    <w:rsid w:val="00B339F5"/>
    <w:rsid w:val="00B33C3C"/>
    <w:rsid w:val="00B3404D"/>
    <w:rsid w:val="00B342DD"/>
    <w:rsid w:val="00B34CB2"/>
    <w:rsid w:val="00B355B2"/>
    <w:rsid w:val="00B35783"/>
    <w:rsid w:val="00B35A15"/>
    <w:rsid w:val="00B35C33"/>
    <w:rsid w:val="00B36A73"/>
    <w:rsid w:val="00B36D9C"/>
    <w:rsid w:val="00B3755C"/>
    <w:rsid w:val="00B376DE"/>
    <w:rsid w:val="00B37C62"/>
    <w:rsid w:val="00B40093"/>
    <w:rsid w:val="00B40537"/>
    <w:rsid w:val="00B40D5B"/>
    <w:rsid w:val="00B421DE"/>
    <w:rsid w:val="00B4296D"/>
    <w:rsid w:val="00B42D85"/>
    <w:rsid w:val="00B43D47"/>
    <w:rsid w:val="00B43D8F"/>
    <w:rsid w:val="00B44339"/>
    <w:rsid w:val="00B447C3"/>
    <w:rsid w:val="00B450C9"/>
    <w:rsid w:val="00B4512B"/>
    <w:rsid w:val="00B45551"/>
    <w:rsid w:val="00B46EF6"/>
    <w:rsid w:val="00B47914"/>
    <w:rsid w:val="00B47B2A"/>
    <w:rsid w:val="00B47D79"/>
    <w:rsid w:val="00B50059"/>
    <w:rsid w:val="00B50903"/>
    <w:rsid w:val="00B50DFF"/>
    <w:rsid w:val="00B5123E"/>
    <w:rsid w:val="00B51415"/>
    <w:rsid w:val="00B51694"/>
    <w:rsid w:val="00B524FE"/>
    <w:rsid w:val="00B5281C"/>
    <w:rsid w:val="00B52BC5"/>
    <w:rsid w:val="00B52C9A"/>
    <w:rsid w:val="00B52F29"/>
    <w:rsid w:val="00B53144"/>
    <w:rsid w:val="00B53C87"/>
    <w:rsid w:val="00B546ED"/>
    <w:rsid w:val="00B547CC"/>
    <w:rsid w:val="00B55403"/>
    <w:rsid w:val="00B5561D"/>
    <w:rsid w:val="00B55867"/>
    <w:rsid w:val="00B56041"/>
    <w:rsid w:val="00B569AA"/>
    <w:rsid w:val="00B56A8C"/>
    <w:rsid w:val="00B56D63"/>
    <w:rsid w:val="00B57055"/>
    <w:rsid w:val="00B573B8"/>
    <w:rsid w:val="00B57A75"/>
    <w:rsid w:val="00B601A4"/>
    <w:rsid w:val="00B60965"/>
    <w:rsid w:val="00B61702"/>
    <w:rsid w:val="00B618C2"/>
    <w:rsid w:val="00B620E6"/>
    <w:rsid w:val="00B626FD"/>
    <w:rsid w:val="00B62859"/>
    <w:rsid w:val="00B62EEB"/>
    <w:rsid w:val="00B63293"/>
    <w:rsid w:val="00B6343B"/>
    <w:rsid w:val="00B6360E"/>
    <w:rsid w:val="00B63A69"/>
    <w:rsid w:val="00B645F3"/>
    <w:rsid w:val="00B646F7"/>
    <w:rsid w:val="00B64A1C"/>
    <w:rsid w:val="00B64A33"/>
    <w:rsid w:val="00B650D3"/>
    <w:rsid w:val="00B6522E"/>
    <w:rsid w:val="00B657EE"/>
    <w:rsid w:val="00B658A7"/>
    <w:rsid w:val="00B66E9A"/>
    <w:rsid w:val="00B671DA"/>
    <w:rsid w:val="00B671DC"/>
    <w:rsid w:val="00B67875"/>
    <w:rsid w:val="00B67B0D"/>
    <w:rsid w:val="00B67B76"/>
    <w:rsid w:val="00B67E29"/>
    <w:rsid w:val="00B70103"/>
    <w:rsid w:val="00B7138F"/>
    <w:rsid w:val="00B71DA8"/>
    <w:rsid w:val="00B72545"/>
    <w:rsid w:val="00B7274A"/>
    <w:rsid w:val="00B73AC0"/>
    <w:rsid w:val="00B73B0C"/>
    <w:rsid w:val="00B73BCE"/>
    <w:rsid w:val="00B73D8C"/>
    <w:rsid w:val="00B741D3"/>
    <w:rsid w:val="00B74E16"/>
    <w:rsid w:val="00B74F82"/>
    <w:rsid w:val="00B752BF"/>
    <w:rsid w:val="00B75391"/>
    <w:rsid w:val="00B75ED8"/>
    <w:rsid w:val="00B7684C"/>
    <w:rsid w:val="00B76B35"/>
    <w:rsid w:val="00B7702E"/>
    <w:rsid w:val="00B77138"/>
    <w:rsid w:val="00B773EE"/>
    <w:rsid w:val="00B774B0"/>
    <w:rsid w:val="00B77971"/>
    <w:rsid w:val="00B809E4"/>
    <w:rsid w:val="00B8115B"/>
    <w:rsid w:val="00B81874"/>
    <w:rsid w:val="00B818CE"/>
    <w:rsid w:val="00B819B1"/>
    <w:rsid w:val="00B82477"/>
    <w:rsid w:val="00B825B8"/>
    <w:rsid w:val="00B82B9E"/>
    <w:rsid w:val="00B837CF"/>
    <w:rsid w:val="00B83F80"/>
    <w:rsid w:val="00B84DB7"/>
    <w:rsid w:val="00B856F3"/>
    <w:rsid w:val="00B8581B"/>
    <w:rsid w:val="00B85DA5"/>
    <w:rsid w:val="00B8686C"/>
    <w:rsid w:val="00B86B91"/>
    <w:rsid w:val="00B87333"/>
    <w:rsid w:val="00B8745A"/>
    <w:rsid w:val="00B87839"/>
    <w:rsid w:val="00B879F5"/>
    <w:rsid w:val="00B9085E"/>
    <w:rsid w:val="00B90C9F"/>
    <w:rsid w:val="00B918E1"/>
    <w:rsid w:val="00B9231B"/>
    <w:rsid w:val="00B92A70"/>
    <w:rsid w:val="00B92BBC"/>
    <w:rsid w:val="00B9311B"/>
    <w:rsid w:val="00B93458"/>
    <w:rsid w:val="00B938F9"/>
    <w:rsid w:val="00B93F92"/>
    <w:rsid w:val="00B94FE1"/>
    <w:rsid w:val="00B9540C"/>
    <w:rsid w:val="00B9626E"/>
    <w:rsid w:val="00B972AB"/>
    <w:rsid w:val="00B97F67"/>
    <w:rsid w:val="00B97F9B"/>
    <w:rsid w:val="00BA0022"/>
    <w:rsid w:val="00BA0ABC"/>
    <w:rsid w:val="00BA0EBE"/>
    <w:rsid w:val="00BA10A0"/>
    <w:rsid w:val="00BA16F4"/>
    <w:rsid w:val="00BA2657"/>
    <w:rsid w:val="00BA299D"/>
    <w:rsid w:val="00BA3B03"/>
    <w:rsid w:val="00BA4449"/>
    <w:rsid w:val="00BA54FE"/>
    <w:rsid w:val="00BA5E76"/>
    <w:rsid w:val="00BA6AD2"/>
    <w:rsid w:val="00BA747E"/>
    <w:rsid w:val="00BA76AB"/>
    <w:rsid w:val="00BA7956"/>
    <w:rsid w:val="00BA7E4C"/>
    <w:rsid w:val="00BA7F9C"/>
    <w:rsid w:val="00BB0732"/>
    <w:rsid w:val="00BB0A04"/>
    <w:rsid w:val="00BB155B"/>
    <w:rsid w:val="00BB16B8"/>
    <w:rsid w:val="00BB1EAF"/>
    <w:rsid w:val="00BB2104"/>
    <w:rsid w:val="00BB22EA"/>
    <w:rsid w:val="00BB2330"/>
    <w:rsid w:val="00BB42D2"/>
    <w:rsid w:val="00BB4B7C"/>
    <w:rsid w:val="00BB4D39"/>
    <w:rsid w:val="00BB4D57"/>
    <w:rsid w:val="00BB5553"/>
    <w:rsid w:val="00BB5D3F"/>
    <w:rsid w:val="00BB5E22"/>
    <w:rsid w:val="00BB7735"/>
    <w:rsid w:val="00BB77B4"/>
    <w:rsid w:val="00BB7A99"/>
    <w:rsid w:val="00BC012C"/>
    <w:rsid w:val="00BC0794"/>
    <w:rsid w:val="00BC09B0"/>
    <w:rsid w:val="00BC110F"/>
    <w:rsid w:val="00BC18DB"/>
    <w:rsid w:val="00BC1F5E"/>
    <w:rsid w:val="00BC26EE"/>
    <w:rsid w:val="00BC3205"/>
    <w:rsid w:val="00BC35B4"/>
    <w:rsid w:val="00BC42BE"/>
    <w:rsid w:val="00BC4451"/>
    <w:rsid w:val="00BC55B8"/>
    <w:rsid w:val="00BC608F"/>
    <w:rsid w:val="00BC65E8"/>
    <w:rsid w:val="00BC694B"/>
    <w:rsid w:val="00BC6B23"/>
    <w:rsid w:val="00BC6EDF"/>
    <w:rsid w:val="00BC70B2"/>
    <w:rsid w:val="00BC739B"/>
    <w:rsid w:val="00BC7CE1"/>
    <w:rsid w:val="00BD0E43"/>
    <w:rsid w:val="00BD0FE9"/>
    <w:rsid w:val="00BD1157"/>
    <w:rsid w:val="00BD1318"/>
    <w:rsid w:val="00BD1A89"/>
    <w:rsid w:val="00BD1D44"/>
    <w:rsid w:val="00BD212C"/>
    <w:rsid w:val="00BD2413"/>
    <w:rsid w:val="00BD271F"/>
    <w:rsid w:val="00BD27C2"/>
    <w:rsid w:val="00BD3647"/>
    <w:rsid w:val="00BD392B"/>
    <w:rsid w:val="00BD420F"/>
    <w:rsid w:val="00BD62C3"/>
    <w:rsid w:val="00BD6922"/>
    <w:rsid w:val="00BD6A5D"/>
    <w:rsid w:val="00BD6C9D"/>
    <w:rsid w:val="00BD6E05"/>
    <w:rsid w:val="00BD6F4D"/>
    <w:rsid w:val="00BD70A0"/>
    <w:rsid w:val="00BD76DD"/>
    <w:rsid w:val="00BD7BF5"/>
    <w:rsid w:val="00BE02AE"/>
    <w:rsid w:val="00BE161A"/>
    <w:rsid w:val="00BE222A"/>
    <w:rsid w:val="00BE2290"/>
    <w:rsid w:val="00BE2538"/>
    <w:rsid w:val="00BE278D"/>
    <w:rsid w:val="00BE3D14"/>
    <w:rsid w:val="00BE4422"/>
    <w:rsid w:val="00BE4BE4"/>
    <w:rsid w:val="00BE51C0"/>
    <w:rsid w:val="00BE5975"/>
    <w:rsid w:val="00BE5E0F"/>
    <w:rsid w:val="00BE69EF"/>
    <w:rsid w:val="00BE6B58"/>
    <w:rsid w:val="00BE6EA9"/>
    <w:rsid w:val="00BE7F3F"/>
    <w:rsid w:val="00BF0211"/>
    <w:rsid w:val="00BF03F0"/>
    <w:rsid w:val="00BF0430"/>
    <w:rsid w:val="00BF0472"/>
    <w:rsid w:val="00BF13DF"/>
    <w:rsid w:val="00BF1BA2"/>
    <w:rsid w:val="00BF1CFA"/>
    <w:rsid w:val="00BF2557"/>
    <w:rsid w:val="00BF3625"/>
    <w:rsid w:val="00BF3E3D"/>
    <w:rsid w:val="00BF461E"/>
    <w:rsid w:val="00BF4902"/>
    <w:rsid w:val="00BF53D0"/>
    <w:rsid w:val="00BF653B"/>
    <w:rsid w:val="00BF6795"/>
    <w:rsid w:val="00BF6B70"/>
    <w:rsid w:val="00BF6CE6"/>
    <w:rsid w:val="00BF73B1"/>
    <w:rsid w:val="00BF7884"/>
    <w:rsid w:val="00BF7B08"/>
    <w:rsid w:val="00C0009C"/>
    <w:rsid w:val="00C00A4A"/>
    <w:rsid w:val="00C015BB"/>
    <w:rsid w:val="00C01C36"/>
    <w:rsid w:val="00C02178"/>
    <w:rsid w:val="00C0225C"/>
    <w:rsid w:val="00C02317"/>
    <w:rsid w:val="00C02B9D"/>
    <w:rsid w:val="00C02BE8"/>
    <w:rsid w:val="00C02C2C"/>
    <w:rsid w:val="00C02E9E"/>
    <w:rsid w:val="00C03169"/>
    <w:rsid w:val="00C03406"/>
    <w:rsid w:val="00C0385F"/>
    <w:rsid w:val="00C041D1"/>
    <w:rsid w:val="00C055C9"/>
    <w:rsid w:val="00C0603F"/>
    <w:rsid w:val="00C07282"/>
    <w:rsid w:val="00C07944"/>
    <w:rsid w:val="00C07FEF"/>
    <w:rsid w:val="00C1035E"/>
    <w:rsid w:val="00C10A83"/>
    <w:rsid w:val="00C11943"/>
    <w:rsid w:val="00C11C22"/>
    <w:rsid w:val="00C11D76"/>
    <w:rsid w:val="00C12234"/>
    <w:rsid w:val="00C126F7"/>
    <w:rsid w:val="00C12860"/>
    <w:rsid w:val="00C12950"/>
    <w:rsid w:val="00C13A20"/>
    <w:rsid w:val="00C14022"/>
    <w:rsid w:val="00C14E2B"/>
    <w:rsid w:val="00C15789"/>
    <w:rsid w:val="00C15DA7"/>
    <w:rsid w:val="00C16631"/>
    <w:rsid w:val="00C166AE"/>
    <w:rsid w:val="00C16992"/>
    <w:rsid w:val="00C177C5"/>
    <w:rsid w:val="00C17CF2"/>
    <w:rsid w:val="00C202A7"/>
    <w:rsid w:val="00C2058C"/>
    <w:rsid w:val="00C209D7"/>
    <w:rsid w:val="00C212D8"/>
    <w:rsid w:val="00C2134A"/>
    <w:rsid w:val="00C214F3"/>
    <w:rsid w:val="00C21A4D"/>
    <w:rsid w:val="00C21AC0"/>
    <w:rsid w:val="00C21B3B"/>
    <w:rsid w:val="00C21F14"/>
    <w:rsid w:val="00C2214A"/>
    <w:rsid w:val="00C22583"/>
    <w:rsid w:val="00C2355B"/>
    <w:rsid w:val="00C23DA5"/>
    <w:rsid w:val="00C23F85"/>
    <w:rsid w:val="00C244FB"/>
    <w:rsid w:val="00C253A9"/>
    <w:rsid w:val="00C258AC"/>
    <w:rsid w:val="00C25B45"/>
    <w:rsid w:val="00C26008"/>
    <w:rsid w:val="00C2618E"/>
    <w:rsid w:val="00C262D6"/>
    <w:rsid w:val="00C26799"/>
    <w:rsid w:val="00C269C8"/>
    <w:rsid w:val="00C26E8E"/>
    <w:rsid w:val="00C27258"/>
    <w:rsid w:val="00C2732D"/>
    <w:rsid w:val="00C27DD7"/>
    <w:rsid w:val="00C3042D"/>
    <w:rsid w:val="00C30ECD"/>
    <w:rsid w:val="00C3153F"/>
    <w:rsid w:val="00C31F0F"/>
    <w:rsid w:val="00C31F4F"/>
    <w:rsid w:val="00C32202"/>
    <w:rsid w:val="00C325F2"/>
    <w:rsid w:val="00C33109"/>
    <w:rsid w:val="00C33609"/>
    <w:rsid w:val="00C33750"/>
    <w:rsid w:val="00C341F9"/>
    <w:rsid w:val="00C34EF3"/>
    <w:rsid w:val="00C35033"/>
    <w:rsid w:val="00C35891"/>
    <w:rsid w:val="00C368D0"/>
    <w:rsid w:val="00C36960"/>
    <w:rsid w:val="00C36B8F"/>
    <w:rsid w:val="00C3703D"/>
    <w:rsid w:val="00C37A0C"/>
    <w:rsid w:val="00C405BE"/>
    <w:rsid w:val="00C409DE"/>
    <w:rsid w:val="00C40D6E"/>
    <w:rsid w:val="00C414B7"/>
    <w:rsid w:val="00C41743"/>
    <w:rsid w:val="00C42592"/>
    <w:rsid w:val="00C427CF"/>
    <w:rsid w:val="00C429DB"/>
    <w:rsid w:val="00C42C8F"/>
    <w:rsid w:val="00C42FF0"/>
    <w:rsid w:val="00C44831"/>
    <w:rsid w:val="00C464AA"/>
    <w:rsid w:val="00C4744F"/>
    <w:rsid w:val="00C47BF3"/>
    <w:rsid w:val="00C47CC9"/>
    <w:rsid w:val="00C503D9"/>
    <w:rsid w:val="00C50D09"/>
    <w:rsid w:val="00C50EDA"/>
    <w:rsid w:val="00C51037"/>
    <w:rsid w:val="00C51B68"/>
    <w:rsid w:val="00C51DAC"/>
    <w:rsid w:val="00C523B6"/>
    <w:rsid w:val="00C524FB"/>
    <w:rsid w:val="00C525DB"/>
    <w:rsid w:val="00C52A95"/>
    <w:rsid w:val="00C52B81"/>
    <w:rsid w:val="00C5323B"/>
    <w:rsid w:val="00C5336D"/>
    <w:rsid w:val="00C53408"/>
    <w:rsid w:val="00C53631"/>
    <w:rsid w:val="00C5398C"/>
    <w:rsid w:val="00C544FB"/>
    <w:rsid w:val="00C54D5E"/>
    <w:rsid w:val="00C54E0B"/>
    <w:rsid w:val="00C54F2B"/>
    <w:rsid w:val="00C56089"/>
    <w:rsid w:val="00C56DE5"/>
    <w:rsid w:val="00C57D31"/>
    <w:rsid w:val="00C57F72"/>
    <w:rsid w:val="00C604D1"/>
    <w:rsid w:val="00C60582"/>
    <w:rsid w:val="00C60733"/>
    <w:rsid w:val="00C6122E"/>
    <w:rsid w:val="00C613C4"/>
    <w:rsid w:val="00C61BC2"/>
    <w:rsid w:val="00C61E35"/>
    <w:rsid w:val="00C6219F"/>
    <w:rsid w:val="00C6353D"/>
    <w:rsid w:val="00C636BF"/>
    <w:rsid w:val="00C63FBF"/>
    <w:rsid w:val="00C640F3"/>
    <w:rsid w:val="00C64642"/>
    <w:rsid w:val="00C64CE0"/>
    <w:rsid w:val="00C658F6"/>
    <w:rsid w:val="00C65A35"/>
    <w:rsid w:val="00C66736"/>
    <w:rsid w:val="00C67AD5"/>
    <w:rsid w:val="00C709E4"/>
    <w:rsid w:val="00C70ABC"/>
    <w:rsid w:val="00C71CB4"/>
    <w:rsid w:val="00C71CF8"/>
    <w:rsid w:val="00C71E8F"/>
    <w:rsid w:val="00C727E9"/>
    <w:rsid w:val="00C72ED0"/>
    <w:rsid w:val="00C73C18"/>
    <w:rsid w:val="00C73C33"/>
    <w:rsid w:val="00C73E6A"/>
    <w:rsid w:val="00C74BCE"/>
    <w:rsid w:val="00C757E7"/>
    <w:rsid w:val="00C75B6E"/>
    <w:rsid w:val="00C75C60"/>
    <w:rsid w:val="00C75CF3"/>
    <w:rsid w:val="00C76124"/>
    <w:rsid w:val="00C766CA"/>
    <w:rsid w:val="00C77838"/>
    <w:rsid w:val="00C8066B"/>
    <w:rsid w:val="00C806D6"/>
    <w:rsid w:val="00C80727"/>
    <w:rsid w:val="00C80AC1"/>
    <w:rsid w:val="00C810DB"/>
    <w:rsid w:val="00C815DD"/>
    <w:rsid w:val="00C8199D"/>
    <w:rsid w:val="00C8200F"/>
    <w:rsid w:val="00C82118"/>
    <w:rsid w:val="00C82BD6"/>
    <w:rsid w:val="00C83236"/>
    <w:rsid w:val="00C83C24"/>
    <w:rsid w:val="00C84ACD"/>
    <w:rsid w:val="00C84F92"/>
    <w:rsid w:val="00C85035"/>
    <w:rsid w:val="00C85233"/>
    <w:rsid w:val="00C8531A"/>
    <w:rsid w:val="00C854B8"/>
    <w:rsid w:val="00C86EC4"/>
    <w:rsid w:val="00C86F24"/>
    <w:rsid w:val="00C86F3A"/>
    <w:rsid w:val="00C872FE"/>
    <w:rsid w:val="00C87DB0"/>
    <w:rsid w:val="00C9046E"/>
    <w:rsid w:val="00C90713"/>
    <w:rsid w:val="00C907C3"/>
    <w:rsid w:val="00C90963"/>
    <w:rsid w:val="00C90EA1"/>
    <w:rsid w:val="00C91869"/>
    <w:rsid w:val="00C92776"/>
    <w:rsid w:val="00C93248"/>
    <w:rsid w:val="00C94274"/>
    <w:rsid w:val="00C95145"/>
    <w:rsid w:val="00C9570C"/>
    <w:rsid w:val="00C9613B"/>
    <w:rsid w:val="00C9681A"/>
    <w:rsid w:val="00C96B1F"/>
    <w:rsid w:val="00C96BC2"/>
    <w:rsid w:val="00C96DEF"/>
    <w:rsid w:val="00C96E68"/>
    <w:rsid w:val="00C971D0"/>
    <w:rsid w:val="00C977B9"/>
    <w:rsid w:val="00C9788C"/>
    <w:rsid w:val="00CA0075"/>
    <w:rsid w:val="00CA05DC"/>
    <w:rsid w:val="00CA070D"/>
    <w:rsid w:val="00CA12D9"/>
    <w:rsid w:val="00CA1468"/>
    <w:rsid w:val="00CA1DB2"/>
    <w:rsid w:val="00CA2250"/>
    <w:rsid w:val="00CA2B06"/>
    <w:rsid w:val="00CA2D3B"/>
    <w:rsid w:val="00CA3917"/>
    <w:rsid w:val="00CA3FB2"/>
    <w:rsid w:val="00CA4053"/>
    <w:rsid w:val="00CA49A6"/>
    <w:rsid w:val="00CA4CDA"/>
    <w:rsid w:val="00CA50A7"/>
    <w:rsid w:val="00CA6186"/>
    <w:rsid w:val="00CB01C6"/>
    <w:rsid w:val="00CB034A"/>
    <w:rsid w:val="00CB083C"/>
    <w:rsid w:val="00CB0941"/>
    <w:rsid w:val="00CB0E60"/>
    <w:rsid w:val="00CB0E89"/>
    <w:rsid w:val="00CB1339"/>
    <w:rsid w:val="00CB1A02"/>
    <w:rsid w:val="00CB1D7F"/>
    <w:rsid w:val="00CB21AE"/>
    <w:rsid w:val="00CB2DA6"/>
    <w:rsid w:val="00CB424A"/>
    <w:rsid w:val="00CB480B"/>
    <w:rsid w:val="00CB4D57"/>
    <w:rsid w:val="00CB56AF"/>
    <w:rsid w:val="00CB5795"/>
    <w:rsid w:val="00CB57B7"/>
    <w:rsid w:val="00CB5E25"/>
    <w:rsid w:val="00CB5F4E"/>
    <w:rsid w:val="00CB6D80"/>
    <w:rsid w:val="00CC01ED"/>
    <w:rsid w:val="00CC0984"/>
    <w:rsid w:val="00CC1029"/>
    <w:rsid w:val="00CC1035"/>
    <w:rsid w:val="00CC1651"/>
    <w:rsid w:val="00CC3291"/>
    <w:rsid w:val="00CC3447"/>
    <w:rsid w:val="00CC3584"/>
    <w:rsid w:val="00CC35B3"/>
    <w:rsid w:val="00CC4B99"/>
    <w:rsid w:val="00CC557F"/>
    <w:rsid w:val="00CC56B6"/>
    <w:rsid w:val="00CC66C4"/>
    <w:rsid w:val="00CC78B7"/>
    <w:rsid w:val="00CC7BD3"/>
    <w:rsid w:val="00CD0749"/>
    <w:rsid w:val="00CD1938"/>
    <w:rsid w:val="00CD19E7"/>
    <w:rsid w:val="00CD1F74"/>
    <w:rsid w:val="00CD21B4"/>
    <w:rsid w:val="00CD27DC"/>
    <w:rsid w:val="00CD29FF"/>
    <w:rsid w:val="00CD3703"/>
    <w:rsid w:val="00CD3710"/>
    <w:rsid w:val="00CD3D99"/>
    <w:rsid w:val="00CD4880"/>
    <w:rsid w:val="00CD7622"/>
    <w:rsid w:val="00CD7C9E"/>
    <w:rsid w:val="00CD7E02"/>
    <w:rsid w:val="00CE070F"/>
    <w:rsid w:val="00CE11CC"/>
    <w:rsid w:val="00CE14B0"/>
    <w:rsid w:val="00CE1DD3"/>
    <w:rsid w:val="00CE29CA"/>
    <w:rsid w:val="00CE3055"/>
    <w:rsid w:val="00CE43DD"/>
    <w:rsid w:val="00CE484B"/>
    <w:rsid w:val="00CE52B1"/>
    <w:rsid w:val="00CE550B"/>
    <w:rsid w:val="00CE5EBD"/>
    <w:rsid w:val="00CE5FB9"/>
    <w:rsid w:val="00CE633A"/>
    <w:rsid w:val="00CE6D50"/>
    <w:rsid w:val="00CE7FDD"/>
    <w:rsid w:val="00CF0370"/>
    <w:rsid w:val="00CF0E0B"/>
    <w:rsid w:val="00CF111E"/>
    <w:rsid w:val="00CF163F"/>
    <w:rsid w:val="00CF234F"/>
    <w:rsid w:val="00CF252D"/>
    <w:rsid w:val="00CF2D8A"/>
    <w:rsid w:val="00CF3379"/>
    <w:rsid w:val="00CF3918"/>
    <w:rsid w:val="00CF3C35"/>
    <w:rsid w:val="00CF3C76"/>
    <w:rsid w:val="00CF460D"/>
    <w:rsid w:val="00CF5460"/>
    <w:rsid w:val="00CF568E"/>
    <w:rsid w:val="00CF65DD"/>
    <w:rsid w:val="00CF6CCC"/>
    <w:rsid w:val="00CF7276"/>
    <w:rsid w:val="00CF7786"/>
    <w:rsid w:val="00CF7C38"/>
    <w:rsid w:val="00CF7F80"/>
    <w:rsid w:val="00D0091E"/>
    <w:rsid w:val="00D00AEE"/>
    <w:rsid w:val="00D00B42"/>
    <w:rsid w:val="00D00DE2"/>
    <w:rsid w:val="00D01460"/>
    <w:rsid w:val="00D022AE"/>
    <w:rsid w:val="00D026AD"/>
    <w:rsid w:val="00D031F5"/>
    <w:rsid w:val="00D03510"/>
    <w:rsid w:val="00D03823"/>
    <w:rsid w:val="00D03A92"/>
    <w:rsid w:val="00D04AF1"/>
    <w:rsid w:val="00D04D71"/>
    <w:rsid w:val="00D04F7E"/>
    <w:rsid w:val="00D055EB"/>
    <w:rsid w:val="00D060DD"/>
    <w:rsid w:val="00D064B8"/>
    <w:rsid w:val="00D06A73"/>
    <w:rsid w:val="00D100E6"/>
    <w:rsid w:val="00D102F2"/>
    <w:rsid w:val="00D1057A"/>
    <w:rsid w:val="00D105AC"/>
    <w:rsid w:val="00D10B9C"/>
    <w:rsid w:val="00D10BA3"/>
    <w:rsid w:val="00D11020"/>
    <w:rsid w:val="00D11C6F"/>
    <w:rsid w:val="00D123E6"/>
    <w:rsid w:val="00D135F5"/>
    <w:rsid w:val="00D1399D"/>
    <w:rsid w:val="00D13EE4"/>
    <w:rsid w:val="00D14145"/>
    <w:rsid w:val="00D1427C"/>
    <w:rsid w:val="00D14A39"/>
    <w:rsid w:val="00D14EAE"/>
    <w:rsid w:val="00D159EC"/>
    <w:rsid w:val="00D165C7"/>
    <w:rsid w:val="00D16E29"/>
    <w:rsid w:val="00D17286"/>
    <w:rsid w:val="00D17758"/>
    <w:rsid w:val="00D17BED"/>
    <w:rsid w:val="00D17E3B"/>
    <w:rsid w:val="00D2050F"/>
    <w:rsid w:val="00D20635"/>
    <w:rsid w:val="00D207FF"/>
    <w:rsid w:val="00D20C82"/>
    <w:rsid w:val="00D21379"/>
    <w:rsid w:val="00D21566"/>
    <w:rsid w:val="00D217A7"/>
    <w:rsid w:val="00D21D3F"/>
    <w:rsid w:val="00D21E2F"/>
    <w:rsid w:val="00D22436"/>
    <w:rsid w:val="00D2264D"/>
    <w:rsid w:val="00D22EB2"/>
    <w:rsid w:val="00D2315E"/>
    <w:rsid w:val="00D231E8"/>
    <w:rsid w:val="00D237A5"/>
    <w:rsid w:val="00D240A7"/>
    <w:rsid w:val="00D24375"/>
    <w:rsid w:val="00D25AAF"/>
    <w:rsid w:val="00D2676A"/>
    <w:rsid w:val="00D26A0E"/>
    <w:rsid w:val="00D26E55"/>
    <w:rsid w:val="00D27B47"/>
    <w:rsid w:val="00D30530"/>
    <w:rsid w:val="00D30870"/>
    <w:rsid w:val="00D308CE"/>
    <w:rsid w:val="00D30936"/>
    <w:rsid w:val="00D30EDD"/>
    <w:rsid w:val="00D30FDF"/>
    <w:rsid w:val="00D314CA"/>
    <w:rsid w:val="00D3178F"/>
    <w:rsid w:val="00D3195B"/>
    <w:rsid w:val="00D32126"/>
    <w:rsid w:val="00D3238E"/>
    <w:rsid w:val="00D33274"/>
    <w:rsid w:val="00D33475"/>
    <w:rsid w:val="00D341AF"/>
    <w:rsid w:val="00D34DF5"/>
    <w:rsid w:val="00D34E22"/>
    <w:rsid w:val="00D377D3"/>
    <w:rsid w:val="00D379BD"/>
    <w:rsid w:val="00D37E8D"/>
    <w:rsid w:val="00D4103B"/>
    <w:rsid w:val="00D41268"/>
    <w:rsid w:val="00D415B7"/>
    <w:rsid w:val="00D418CB"/>
    <w:rsid w:val="00D41C3D"/>
    <w:rsid w:val="00D4268E"/>
    <w:rsid w:val="00D4280B"/>
    <w:rsid w:val="00D42982"/>
    <w:rsid w:val="00D43349"/>
    <w:rsid w:val="00D4363E"/>
    <w:rsid w:val="00D44020"/>
    <w:rsid w:val="00D4424C"/>
    <w:rsid w:val="00D446D0"/>
    <w:rsid w:val="00D44751"/>
    <w:rsid w:val="00D4484C"/>
    <w:rsid w:val="00D44B86"/>
    <w:rsid w:val="00D45FAE"/>
    <w:rsid w:val="00D46329"/>
    <w:rsid w:val="00D46A69"/>
    <w:rsid w:val="00D46A78"/>
    <w:rsid w:val="00D4782A"/>
    <w:rsid w:val="00D51945"/>
    <w:rsid w:val="00D51CDD"/>
    <w:rsid w:val="00D526AE"/>
    <w:rsid w:val="00D52FDD"/>
    <w:rsid w:val="00D53BC0"/>
    <w:rsid w:val="00D5430A"/>
    <w:rsid w:val="00D554C4"/>
    <w:rsid w:val="00D55C00"/>
    <w:rsid w:val="00D5695A"/>
    <w:rsid w:val="00D56B6C"/>
    <w:rsid w:val="00D57ABE"/>
    <w:rsid w:val="00D602DB"/>
    <w:rsid w:val="00D61055"/>
    <w:rsid w:val="00D61061"/>
    <w:rsid w:val="00D61065"/>
    <w:rsid w:val="00D61171"/>
    <w:rsid w:val="00D61539"/>
    <w:rsid w:val="00D61BA3"/>
    <w:rsid w:val="00D61EFB"/>
    <w:rsid w:val="00D623B4"/>
    <w:rsid w:val="00D63B54"/>
    <w:rsid w:val="00D64509"/>
    <w:rsid w:val="00D64A23"/>
    <w:rsid w:val="00D64FC7"/>
    <w:rsid w:val="00D651F2"/>
    <w:rsid w:val="00D65D59"/>
    <w:rsid w:val="00D66433"/>
    <w:rsid w:val="00D665B8"/>
    <w:rsid w:val="00D66AC7"/>
    <w:rsid w:val="00D66C83"/>
    <w:rsid w:val="00D675B6"/>
    <w:rsid w:val="00D67741"/>
    <w:rsid w:val="00D67A2E"/>
    <w:rsid w:val="00D7047A"/>
    <w:rsid w:val="00D70517"/>
    <w:rsid w:val="00D706B2"/>
    <w:rsid w:val="00D70B03"/>
    <w:rsid w:val="00D70B66"/>
    <w:rsid w:val="00D70D02"/>
    <w:rsid w:val="00D71B76"/>
    <w:rsid w:val="00D72853"/>
    <w:rsid w:val="00D72927"/>
    <w:rsid w:val="00D72D49"/>
    <w:rsid w:val="00D737D1"/>
    <w:rsid w:val="00D73891"/>
    <w:rsid w:val="00D740F2"/>
    <w:rsid w:val="00D74381"/>
    <w:rsid w:val="00D75013"/>
    <w:rsid w:val="00D75C16"/>
    <w:rsid w:val="00D75D7D"/>
    <w:rsid w:val="00D75FA2"/>
    <w:rsid w:val="00D76C80"/>
    <w:rsid w:val="00D7734A"/>
    <w:rsid w:val="00D775C3"/>
    <w:rsid w:val="00D803F0"/>
    <w:rsid w:val="00D82314"/>
    <w:rsid w:val="00D826C4"/>
    <w:rsid w:val="00D829E3"/>
    <w:rsid w:val="00D836AB"/>
    <w:rsid w:val="00D83864"/>
    <w:rsid w:val="00D83EAD"/>
    <w:rsid w:val="00D841CF"/>
    <w:rsid w:val="00D8421F"/>
    <w:rsid w:val="00D84405"/>
    <w:rsid w:val="00D84494"/>
    <w:rsid w:val="00D85CAB"/>
    <w:rsid w:val="00D86428"/>
    <w:rsid w:val="00D8648A"/>
    <w:rsid w:val="00D865F6"/>
    <w:rsid w:val="00D8684E"/>
    <w:rsid w:val="00D86987"/>
    <w:rsid w:val="00D86AF4"/>
    <w:rsid w:val="00D86DE5"/>
    <w:rsid w:val="00D86FF2"/>
    <w:rsid w:val="00D87160"/>
    <w:rsid w:val="00D8734F"/>
    <w:rsid w:val="00D87D39"/>
    <w:rsid w:val="00D903D3"/>
    <w:rsid w:val="00D91566"/>
    <w:rsid w:val="00D915CD"/>
    <w:rsid w:val="00D91FFA"/>
    <w:rsid w:val="00D92016"/>
    <w:rsid w:val="00D925EC"/>
    <w:rsid w:val="00D92664"/>
    <w:rsid w:val="00D9283E"/>
    <w:rsid w:val="00D9298D"/>
    <w:rsid w:val="00D929D5"/>
    <w:rsid w:val="00D92B9B"/>
    <w:rsid w:val="00D92BF4"/>
    <w:rsid w:val="00D9323C"/>
    <w:rsid w:val="00D93647"/>
    <w:rsid w:val="00D93F69"/>
    <w:rsid w:val="00D95432"/>
    <w:rsid w:val="00D954AE"/>
    <w:rsid w:val="00D95DCA"/>
    <w:rsid w:val="00D96184"/>
    <w:rsid w:val="00D966FE"/>
    <w:rsid w:val="00D96AAD"/>
    <w:rsid w:val="00D96DF2"/>
    <w:rsid w:val="00D97080"/>
    <w:rsid w:val="00D972EE"/>
    <w:rsid w:val="00D97D2C"/>
    <w:rsid w:val="00DA01EE"/>
    <w:rsid w:val="00DA03C4"/>
    <w:rsid w:val="00DA0409"/>
    <w:rsid w:val="00DA06A6"/>
    <w:rsid w:val="00DA07D9"/>
    <w:rsid w:val="00DA12A6"/>
    <w:rsid w:val="00DA17A6"/>
    <w:rsid w:val="00DA2BEC"/>
    <w:rsid w:val="00DA2F26"/>
    <w:rsid w:val="00DA3B59"/>
    <w:rsid w:val="00DA4978"/>
    <w:rsid w:val="00DA5951"/>
    <w:rsid w:val="00DA5C17"/>
    <w:rsid w:val="00DA64A9"/>
    <w:rsid w:val="00DA6F67"/>
    <w:rsid w:val="00DA7840"/>
    <w:rsid w:val="00DA7C68"/>
    <w:rsid w:val="00DB03EB"/>
    <w:rsid w:val="00DB0938"/>
    <w:rsid w:val="00DB0F5A"/>
    <w:rsid w:val="00DB15EE"/>
    <w:rsid w:val="00DB1ED3"/>
    <w:rsid w:val="00DB2C76"/>
    <w:rsid w:val="00DB3CC6"/>
    <w:rsid w:val="00DB4C31"/>
    <w:rsid w:val="00DB5E4A"/>
    <w:rsid w:val="00DB6D8F"/>
    <w:rsid w:val="00DB6DDD"/>
    <w:rsid w:val="00DB751B"/>
    <w:rsid w:val="00DB7699"/>
    <w:rsid w:val="00DB7873"/>
    <w:rsid w:val="00DB7AAF"/>
    <w:rsid w:val="00DB7B77"/>
    <w:rsid w:val="00DB7DBD"/>
    <w:rsid w:val="00DC0A58"/>
    <w:rsid w:val="00DC148B"/>
    <w:rsid w:val="00DC1920"/>
    <w:rsid w:val="00DC19BD"/>
    <w:rsid w:val="00DC1A42"/>
    <w:rsid w:val="00DC21B8"/>
    <w:rsid w:val="00DC23F0"/>
    <w:rsid w:val="00DC24B8"/>
    <w:rsid w:val="00DC2756"/>
    <w:rsid w:val="00DC286D"/>
    <w:rsid w:val="00DC2880"/>
    <w:rsid w:val="00DC2E41"/>
    <w:rsid w:val="00DC312F"/>
    <w:rsid w:val="00DC38C1"/>
    <w:rsid w:val="00DC3EAC"/>
    <w:rsid w:val="00DC4189"/>
    <w:rsid w:val="00DC42A7"/>
    <w:rsid w:val="00DC44F8"/>
    <w:rsid w:val="00DC468F"/>
    <w:rsid w:val="00DC4B33"/>
    <w:rsid w:val="00DC549B"/>
    <w:rsid w:val="00DC5658"/>
    <w:rsid w:val="00DC6345"/>
    <w:rsid w:val="00DC681A"/>
    <w:rsid w:val="00DC6B94"/>
    <w:rsid w:val="00DC720C"/>
    <w:rsid w:val="00DC765D"/>
    <w:rsid w:val="00DC7F87"/>
    <w:rsid w:val="00DC7FF2"/>
    <w:rsid w:val="00DD083C"/>
    <w:rsid w:val="00DD2067"/>
    <w:rsid w:val="00DD3D94"/>
    <w:rsid w:val="00DD4010"/>
    <w:rsid w:val="00DD4098"/>
    <w:rsid w:val="00DD45C6"/>
    <w:rsid w:val="00DD6620"/>
    <w:rsid w:val="00DD6E10"/>
    <w:rsid w:val="00DD7395"/>
    <w:rsid w:val="00DD761B"/>
    <w:rsid w:val="00DE06E5"/>
    <w:rsid w:val="00DE0D28"/>
    <w:rsid w:val="00DE1C9C"/>
    <w:rsid w:val="00DE24CE"/>
    <w:rsid w:val="00DE3100"/>
    <w:rsid w:val="00DE36D4"/>
    <w:rsid w:val="00DE37D7"/>
    <w:rsid w:val="00DE39B9"/>
    <w:rsid w:val="00DE3A1B"/>
    <w:rsid w:val="00DE3B59"/>
    <w:rsid w:val="00DE4A0F"/>
    <w:rsid w:val="00DE52B7"/>
    <w:rsid w:val="00DE558B"/>
    <w:rsid w:val="00DE5BD5"/>
    <w:rsid w:val="00DE610D"/>
    <w:rsid w:val="00DE63C9"/>
    <w:rsid w:val="00DE6707"/>
    <w:rsid w:val="00DE6DB8"/>
    <w:rsid w:val="00DE6DDF"/>
    <w:rsid w:val="00DF00A8"/>
    <w:rsid w:val="00DF044B"/>
    <w:rsid w:val="00DF0650"/>
    <w:rsid w:val="00DF06F9"/>
    <w:rsid w:val="00DF09F4"/>
    <w:rsid w:val="00DF0DD8"/>
    <w:rsid w:val="00DF193A"/>
    <w:rsid w:val="00DF2B07"/>
    <w:rsid w:val="00DF2EDC"/>
    <w:rsid w:val="00DF3304"/>
    <w:rsid w:val="00DF3855"/>
    <w:rsid w:val="00DF444B"/>
    <w:rsid w:val="00DF4C81"/>
    <w:rsid w:val="00DF5050"/>
    <w:rsid w:val="00DF530C"/>
    <w:rsid w:val="00DF59E4"/>
    <w:rsid w:val="00DF5B93"/>
    <w:rsid w:val="00DF693D"/>
    <w:rsid w:val="00DF72BD"/>
    <w:rsid w:val="00DF75E2"/>
    <w:rsid w:val="00E00DB9"/>
    <w:rsid w:val="00E03120"/>
    <w:rsid w:val="00E03444"/>
    <w:rsid w:val="00E036BE"/>
    <w:rsid w:val="00E0436E"/>
    <w:rsid w:val="00E044FD"/>
    <w:rsid w:val="00E04818"/>
    <w:rsid w:val="00E0527C"/>
    <w:rsid w:val="00E05B77"/>
    <w:rsid w:val="00E062C3"/>
    <w:rsid w:val="00E065F5"/>
    <w:rsid w:val="00E06809"/>
    <w:rsid w:val="00E06D35"/>
    <w:rsid w:val="00E070FA"/>
    <w:rsid w:val="00E07309"/>
    <w:rsid w:val="00E07984"/>
    <w:rsid w:val="00E10610"/>
    <w:rsid w:val="00E10E57"/>
    <w:rsid w:val="00E114EE"/>
    <w:rsid w:val="00E125E4"/>
    <w:rsid w:val="00E12D4D"/>
    <w:rsid w:val="00E139F6"/>
    <w:rsid w:val="00E13EB8"/>
    <w:rsid w:val="00E143C8"/>
    <w:rsid w:val="00E1474A"/>
    <w:rsid w:val="00E150A9"/>
    <w:rsid w:val="00E152E9"/>
    <w:rsid w:val="00E1549B"/>
    <w:rsid w:val="00E15B84"/>
    <w:rsid w:val="00E15F03"/>
    <w:rsid w:val="00E16979"/>
    <w:rsid w:val="00E16A9C"/>
    <w:rsid w:val="00E17593"/>
    <w:rsid w:val="00E211BA"/>
    <w:rsid w:val="00E21483"/>
    <w:rsid w:val="00E21770"/>
    <w:rsid w:val="00E21979"/>
    <w:rsid w:val="00E22488"/>
    <w:rsid w:val="00E22681"/>
    <w:rsid w:val="00E22822"/>
    <w:rsid w:val="00E22925"/>
    <w:rsid w:val="00E22DB9"/>
    <w:rsid w:val="00E23378"/>
    <w:rsid w:val="00E238B0"/>
    <w:rsid w:val="00E23B29"/>
    <w:rsid w:val="00E23C3C"/>
    <w:rsid w:val="00E24A9E"/>
    <w:rsid w:val="00E24D25"/>
    <w:rsid w:val="00E24FB5"/>
    <w:rsid w:val="00E25494"/>
    <w:rsid w:val="00E25D97"/>
    <w:rsid w:val="00E25DE3"/>
    <w:rsid w:val="00E26A13"/>
    <w:rsid w:val="00E30003"/>
    <w:rsid w:val="00E30AD9"/>
    <w:rsid w:val="00E30F69"/>
    <w:rsid w:val="00E32539"/>
    <w:rsid w:val="00E33358"/>
    <w:rsid w:val="00E34639"/>
    <w:rsid w:val="00E34A0B"/>
    <w:rsid w:val="00E34BB3"/>
    <w:rsid w:val="00E34BD0"/>
    <w:rsid w:val="00E35102"/>
    <w:rsid w:val="00E355E9"/>
    <w:rsid w:val="00E364A8"/>
    <w:rsid w:val="00E36705"/>
    <w:rsid w:val="00E3673B"/>
    <w:rsid w:val="00E36813"/>
    <w:rsid w:val="00E36BA4"/>
    <w:rsid w:val="00E36DF4"/>
    <w:rsid w:val="00E37004"/>
    <w:rsid w:val="00E40A2F"/>
    <w:rsid w:val="00E40EC8"/>
    <w:rsid w:val="00E41136"/>
    <w:rsid w:val="00E41B0C"/>
    <w:rsid w:val="00E42008"/>
    <w:rsid w:val="00E42104"/>
    <w:rsid w:val="00E4236E"/>
    <w:rsid w:val="00E428C0"/>
    <w:rsid w:val="00E42EE0"/>
    <w:rsid w:val="00E4420B"/>
    <w:rsid w:val="00E449B4"/>
    <w:rsid w:val="00E46D4A"/>
    <w:rsid w:val="00E503E7"/>
    <w:rsid w:val="00E509C2"/>
    <w:rsid w:val="00E50A3D"/>
    <w:rsid w:val="00E50F94"/>
    <w:rsid w:val="00E51939"/>
    <w:rsid w:val="00E52025"/>
    <w:rsid w:val="00E529CC"/>
    <w:rsid w:val="00E53D93"/>
    <w:rsid w:val="00E5475B"/>
    <w:rsid w:val="00E549E2"/>
    <w:rsid w:val="00E54A29"/>
    <w:rsid w:val="00E54E9A"/>
    <w:rsid w:val="00E54F1D"/>
    <w:rsid w:val="00E5545A"/>
    <w:rsid w:val="00E55BB3"/>
    <w:rsid w:val="00E55F41"/>
    <w:rsid w:val="00E5602E"/>
    <w:rsid w:val="00E56D08"/>
    <w:rsid w:val="00E60333"/>
    <w:rsid w:val="00E6081C"/>
    <w:rsid w:val="00E60AF0"/>
    <w:rsid w:val="00E614BC"/>
    <w:rsid w:val="00E61B3F"/>
    <w:rsid w:val="00E626D4"/>
    <w:rsid w:val="00E62F82"/>
    <w:rsid w:val="00E6303A"/>
    <w:rsid w:val="00E63385"/>
    <w:rsid w:val="00E647F4"/>
    <w:rsid w:val="00E65341"/>
    <w:rsid w:val="00E657C8"/>
    <w:rsid w:val="00E65A92"/>
    <w:rsid w:val="00E662BE"/>
    <w:rsid w:val="00E66AA8"/>
    <w:rsid w:val="00E67F09"/>
    <w:rsid w:val="00E70697"/>
    <w:rsid w:val="00E7093D"/>
    <w:rsid w:val="00E70C87"/>
    <w:rsid w:val="00E70C89"/>
    <w:rsid w:val="00E70C8E"/>
    <w:rsid w:val="00E70CF6"/>
    <w:rsid w:val="00E70D80"/>
    <w:rsid w:val="00E71337"/>
    <w:rsid w:val="00E7178A"/>
    <w:rsid w:val="00E72474"/>
    <w:rsid w:val="00E72E18"/>
    <w:rsid w:val="00E730A4"/>
    <w:rsid w:val="00E738CC"/>
    <w:rsid w:val="00E74085"/>
    <w:rsid w:val="00E74D77"/>
    <w:rsid w:val="00E754B9"/>
    <w:rsid w:val="00E763E2"/>
    <w:rsid w:val="00E769B4"/>
    <w:rsid w:val="00E775A4"/>
    <w:rsid w:val="00E8035B"/>
    <w:rsid w:val="00E80A8A"/>
    <w:rsid w:val="00E80D25"/>
    <w:rsid w:val="00E81EBF"/>
    <w:rsid w:val="00E81F0E"/>
    <w:rsid w:val="00E81F4F"/>
    <w:rsid w:val="00E820E5"/>
    <w:rsid w:val="00E8220D"/>
    <w:rsid w:val="00E8243F"/>
    <w:rsid w:val="00E82E96"/>
    <w:rsid w:val="00E8335C"/>
    <w:rsid w:val="00E83417"/>
    <w:rsid w:val="00E848A3"/>
    <w:rsid w:val="00E85212"/>
    <w:rsid w:val="00E8664A"/>
    <w:rsid w:val="00E86D23"/>
    <w:rsid w:val="00E87339"/>
    <w:rsid w:val="00E901F1"/>
    <w:rsid w:val="00E90B04"/>
    <w:rsid w:val="00E90B9F"/>
    <w:rsid w:val="00E90F50"/>
    <w:rsid w:val="00E919DE"/>
    <w:rsid w:val="00E91C36"/>
    <w:rsid w:val="00E92D79"/>
    <w:rsid w:val="00E92FDD"/>
    <w:rsid w:val="00E9301E"/>
    <w:rsid w:val="00E9301F"/>
    <w:rsid w:val="00E93BF3"/>
    <w:rsid w:val="00E945AF"/>
    <w:rsid w:val="00E9470D"/>
    <w:rsid w:val="00E9489E"/>
    <w:rsid w:val="00E950C0"/>
    <w:rsid w:val="00E956C0"/>
    <w:rsid w:val="00E95B7F"/>
    <w:rsid w:val="00E95BC2"/>
    <w:rsid w:val="00E95C41"/>
    <w:rsid w:val="00E96220"/>
    <w:rsid w:val="00E9634B"/>
    <w:rsid w:val="00E964CC"/>
    <w:rsid w:val="00E96748"/>
    <w:rsid w:val="00E969BF"/>
    <w:rsid w:val="00E97572"/>
    <w:rsid w:val="00E97A8B"/>
    <w:rsid w:val="00EA091D"/>
    <w:rsid w:val="00EA2682"/>
    <w:rsid w:val="00EA2D68"/>
    <w:rsid w:val="00EA370F"/>
    <w:rsid w:val="00EA37B1"/>
    <w:rsid w:val="00EA3ECA"/>
    <w:rsid w:val="00EA425F"/>
    <w:rsid w:val="00EA4BD5"/>
    <w:rsid w:val="00EA4E97"/>
    <w:rsid w:val="00EA5041"/>
    <w:rsid w:val="00EA5282"/>
    <w:rsid w:val="00EA572E"/>
    <w:rsid w:val="00EA6E66"/>
    <w:rsid w:val="00EA7213"/>
    <w:rsid w:val="00EA7442"/>
    <w:rsid w:val="00EA75B4"/>
    <w:rsid w:val="00EA77F9"/>
    <w:rsid w:val="00EB0460"/>
    <w:rsid w:val="00EB0C97"/>
    <w:rsid w:val="00EB114C"/>
    <w:rsid w:val="00EB1C9E"/>
    <w:rsid w:val="00EB1ED4"/>
    <w:rsid w:val="00EB310A"/>
    <w:rsid w:val="00EB3644"/>
    <w:rsid w:val="00EB3A38"/>
    <w:rsid w:val="00EB45B6"/>
    <w:rsid w:val="00EB4C75"/>
    <w:rsid w:val="00EB60F8"/>
    <w:rsid w:val="00EB6282"/>
    <w:rsid w:val="00EB70B5"/>
    <w:rsid w:val="00EB7457"/>
    <w:rsid w:val="00EB7D79"/>
    <w:rsid w:val="00EC0227"/>
    <w:rsid w:val="00EC0FC2"/>
    <w:rsid w:val="00EC1344"/>
    <w:rsid w:val="00EC1AC1"/>
    <w:rsid w:val="00EC1B6B"/>
    <w:rsid w:val="00EC1E38"/>
    <w:rsid w:val="00EC208B"/>
    <w:rsid w:val="00EC21D2"/>
    <w:rsid w:val="00EC2732"/>
    <w:rsid w:val="00EC3112"/>
    <w:rsid w:val="00EC34A5"/>
    <w:rsid w:val="00EC4993"/>
    <w:rsid w:val="00EC5035"/>
    <w:rsid w:val="00EC51B8"/>
    <w:rsid w:val="00EC571B"/>
    <w:rsid w:val="00EC5899"/>
    <w:rsid w:val="00EC778F"/>
    <w:rsid w:val="00EC7875"/>
    <w:rsid w:val="00EC7AA1"/>
    <w:rsid w:val="00ED0062"/>
    <w:rsid w:val="00ED0921"/>
    <w:rsid w:val="00ED09AC"/>
    <w:rsid w:val="00ED0DE8"/>
    <w:rsid w:val="00ED1124"/>
    <w:rsid w:val="00ED115B"/>
    <w:rsid w:val="00ED1F19"/>
    <w:rsid w:val="00ED24B0"/>
    <w:rsid w:val="00ED2802"/>
    <w:rsid w:val="00ED2B42"/>
    <w:rsid w:val="00ED2FF7"/>
    <w:rsid w:val="00ED3925"/>
    <w:rsid w:val="00ED49B8"/>
    <w:rsid w:val="00ED4C3B"/>
    <w:rsid w:val="00ED5585"/>
    <w:rsid w:val="00ED5707"/>
    <w:rsid w:val="00ED65BA"/>
    <w:rsid w:val="00ED66EE"/>
    <w:rsid w:val="00ED6CE7"/>
    <w:rsid w:val="00ED741A"/>
    <w:rsid w:val="00ED7C56"/>
    <w:rsid w:val="00ED7C58"/>
    <w:rsid w:val="00ED7FF1"/>
    <w:rsid w:val="00EE0211"/>
    <w:rsid w:val="00EE0B44"/>
    <w:rsid w:val="00EE1938"/>
    <w:rsid w:val="00EE193E"/>
    <w:rsid w:val="00EE1AE3"/>
    <w:rsid w:val="00EE1EE1"/>
    <w:rsid w:val="00EE2A94"/>
    <w:rsid w:val="00EE3360"/>
    <w:rsid w:val="00EE33B4"/>
    <w:rsid w:val="00EE376F"/>
    <w:rsid w:val="00EE3946"/>
    <w:rsid w:val="00EE3BFD"/>
    <w:rsid w:val="00EE3C12"/>
    <w:rsid w:val="00EE4127"/>
    <w:rsid w:val="00EE45FE"/>
    <w:rsid w:val="00EE5613"/>
    <w:rsid w:val="00EE5C10"/>
    <w:rsid w:val="00EE5EF4"/>
    <w:rsid w:val="00EE6598"/>
    <w:rsid w:val="00EE6A19"/>
    <w:rsid w:val="00EE7024"/>
    <w:rsid w:val="00EE782A"/>
    <w:rsid w:val="00EE7911"/>
    <w:rsid w:val="00EE7B14"/>
    <w:rsid w:val="00EE7C84"/>
    <w:rsid w:val="00EE7DCD"/>
    <w:rsid w:val="00EF0B46"/>
    <w:rsid w:val="00EF0BB0"/>
    <w:rsid w:val="00EF1BA2"/>
    <w:rsid w:val="00EF2434"/>
    <w:rsid w:val="00EF2727"/>
    <w:rsid w:val="00EF27E2"/>
    <w:rsid w:val="00EF2909"/>
    <w:rsid w:val="00EF2D07"/>
    <w:rsid w:val="00EF363A"/>
    <w:rsid w:val="00EF3AA7"/>
    <w:rsid w:val="00EF43A6"/>
    <w:rsid w:val="00EF4421"/>
    <w:rsid w:val="00EF487E"/>
    <w:rsid w:val="00EF4979"/>
    <w:rsid w:val="00EF4C01"/>
    <w:rsid w:val="00EF4E68"/>
    <w:rsid w:val="00EF51D4"/>
    <w:rsid w:val="00EF56D7"/>
    <w:rsid w:val="00EF5B30"/>
    <w:rsid w:val="00EF5C8E"/>
    <w:rsid w:val="00EF66F6"/>
    <w:rsid w:val="00EF694A"/>
    <w:rsid w:val="00EF6FDE"/>
    <w:rsid w:val="00EF78D7"/>
    <w:rsid w:val="00EF7D95"/>
    <w:rsid w:val="00F01819"/>
    <w:rsid w:val="00F01B26"/>
    <w:rsid w:val="00F01DAF"/>
    <w:rsid w:val="00F01E8D"/>
    <w:rsid w:val="00F02135"/>
    <w:rsid w:val="00F0281F"/>
    <w:rsid w:val="00F02BBF"/>
    <w:rsid w:val="00F02CBF"/>
    <w:rsid w:val="00F02F7D"/>
    <w:rsid w:val="00F03684"/>
    <w:rsid w:val="00F038BE"/>
    <w:rsid w:val="00F03FC7"/>
    <w:rsid w:val="00F0578F"/>
    <w:rsid w:val="00F05C37"/>
    <w:rsid w:val="00F060E0"/>
    <w:rsid w:val="00F07FD4"/>
    <w:rsid w:val="00F107EE"/>
    <w:rsid w:val="00F114B2"/>
    <w:rsid w:val="00F119D4"/>
    <w:rsid w:val="00F11D7C"/>
    <w:rsid w:val="00F11E04"/>
    <w:rsid w:val="00F12001"/>
    <w:rsid w:val="00F120CF"/>
    <w:rsid w:val="00F124F2"/>
    <w:rsid w:val="00F1258F"/>
    <w:rsid w:val="00F12795"/>
    <w:rsid w:val="00F1281C"/>
    <w:rsid w:val="00F13B33"/>
    <w:rsid w:val="00F13B8E"/>
    <w:rsid w:val="00F13D52"/>
    <w:rsid w:val="00F140EB"/>
    <w:rsid w:val="00F14A9F"/>
    <w:rsid w:val="00F14E84"/>
    <w:rsid w:val="00F156F6"/>
    <w:rsid w:val="00F15A01"/>
    <w:rsid w:val="00F15C3D"/>
    <w:rsid w:val="00F15E46"/>
    <w:rsid w:val="00F15F09"/>
    <w:rsid w:val="00F161BB"/>
    <w:rsid w:val="00F17FA4"/>
    <w:rsid w:val="00F20C9E"/>
    <w:rsid w:val="00F215F7"/>
    <w:rsid w:val="00F21A8C"/>
    <w:rsid w:val="00F21CA7"/>
    <w:rsid w:val="00F2292C"/>
    <w:rsid w:val="00F22C60"/>
    <w:rsid w:val="00F2300C"/>
    <w:rsid w:val="00F23F2E"/>
    <w:rsid w:val="00F24005"/>
    <w:rsid w:val="00F24A40"/>
    <w:rsid w:val="00F24B64"/>
    <w:rsid w:val="00F24BC2"/>
    <w:rsid w:val="00F24F96"/>
    <w:rsid w:val="00F252D9"/>
    <w:rsid w:val="00F25505"/>
    <w:rsid w:val="00F25ECC"/>
    <w:rsid w:val="00F26169"/>
    <w:rsid w:val="00F2619D"/>
    <w:rsid w:val="00F26A5C"/>
    <w:rsid w:val="00F273B9"/>
    <w:rsid w:val="00F276DB"/>
    <w:rsid w:val="00F2770A"/>
    <w:rsid w:val="00F27A29"/>
    <w:rsid w:val="00F27CAF"/>
    <w:rsid w:val="00F27DC0"/>
    <w:rsid w:val="00F30255"/>
    <w:rsid w:val="00F30391"/>
    <w:rsid w:val="00F30840"/>
    <w:rsid w:val="00F3147B"/>
    <w:rsid w:val="00F316E6"/>
    <w:rsid w:val="00F34957"/>
    <w:rsid w:val="00F35506"/>
    <w:rsid w:val="00F363DE"/>
    <w:rsid w:val="00F36DDD"/>
    <w:rsid w:val="00F37358"/>
    <w:rsid w:val="00F37519"/>
    <w:rsid w:val="00F37CEA"/>
    <w:rsid w:val="00F4074B"/>
    <w:rsid w:val="00F40DA3"/>
    <w:rsid w:val="00F40DB1"/>
    <w:rsid w:val="00F414A4"/>
    <w:rsid w:val="00F416F0"/>
    <w:rsid w:val="00F41AD3"/>
    <w:rsid w:val="00F41D52"/>
    <w:rsid w:val="00F41E14"/>
    <w:rsid w:val="00F42204"/>
    <w:rsid w:val="00F4270D"/>
    <w:rsid w:val="00F438C5"/>
    <w:rsid w:val="00F4443A"/>
    <w:rsid w:val="00F455B5"/>
    <w:rsid w:val="00F46F54"/>
    <w:rsid w:val="00F471EE"/>
    <w:rsid w:val="00F47210"/>
    <w:rsid w:val="00F476D1"/>
    <w:rsid w:val="00F478A6"/>
    <w:rsid w:val="00F50505"/>
    <w:rsid w:val="00F51039"/>
    <w:rsid w:val="00F52492"/>
    <w:rsid w:val="00F528B8"/>
    <w:rsid w:val="00F5317A"/>
    <w:rsid w:val="00F53ECC"/>
    <w:rsid w:val="00F544A1"/>
    <w:rsid w:val="00F54762"/>
    <w:rsid w:val="00F54B56"/>
    <w:rsid w:val="00F54EA8"/>
    <w:rsid w:val="00F603CA"/>
    <w:rsid w:val="00F605DE"/>
    <w:rsid w:val="00F60B9B"/>
    <w:rsid w:val="00F60D78"/>
    <w:rsid w:val="00F60DF9"/>
    <w:rsid w:val="00F60FF2"/>
    <w:rsid w:val="00F610B6"/>
    <w:rsid w:val="00F6113D"/>
    <w:rsid w:val="00F6187C"/>
    <w:rsid w:val="00F61D33"/>
    <w:rsid w:val="00F62169"/>
    <w:rsid w:val="00F6233A"/>
    <w:rsid w:val="00F623A1"/>
    <w:rsid w:val="00F627C2"/>
    <w:rsid w:val="00F628B8"/>
    <w:rsid w:val="00F63420"/>
    <w:rsid w:val="00F63A34"/>
    <w:rsid w:val="00F63C31"/>
    <w:rsid w:val="00F63FE8"/>
    <w:rsid w:val="00F644B4"/>
    <w:rsid w:val="00F64CF5"/>
    <w:rsid w:val="00F6532B"/>
    <w:rsid w:val="00F6621B"/>
    <w:rsid w:val="00F674E3"/>
    <w:rsid w:val="00F67E11"/>
    <w:rsid w:val="00F67E97"/>
    <w:rsid w:val="00F67F88"/>
    <w:rsid w:val="00F700A6"/>
    <w:rsid w:val="00F70275"/>
    <w:rsid w:val="00F70507"/>
    <w:rsid w:val="00F71486"/>
    <w:rsid w:val="00F71490"/>
    <w:rsid w:val="00F715C0"/>
    <w:rsid w:val="00F7200F"/>
    <w:rsid w:val="00F7223D"/>
    <w:rsid w:val="00F72DEF"/>
    <w:rsid w:val="00F72F85"/>
    <w:rsid w:val="00F73169"/>
    <w:rsid w:val="00F741B6"/>
    <w:rsid w:val="00F74444"/>
    <w:rsid w:val="00F74A64"/>
    <w:rsid w:val="00F74E92"/>
    <w:rsid w:val="00F74FE0"/>
    <w:rsid w:val="00F75088"/>
    <w:rsid w:val="00F75130"/>
    <w:rsid w:val="00F7518F"/>
    <w:rsid w:val="00F76953"/>
    <w:rsid w:val="00F7748A"/>
    <w:rsid w:val="00F77C0E"/>
    <w:rsid w:val="00F80662"/>
    <w:rsid w:val="00F80DCB"/>
    <w:rsid w:val="00F81447"/>
    <w:rsid w:val="00F81822"/>
    <w:rsid w:val="00F819BB"/>
    <w:rsid w:val="00F825A0"/>
    <w:rsid w:val="00F828F0"/>
    <w:rsid w:val="00F828FB"/>
    <w:rsid w:val="00F82D04"/>
    <w:rsid w:val="00F82ECF"/>
    <w:rsid w:val="00F8437D"/>
    <w:rsid w:val="00F84FB1"/>
    <w:rsid w:val="00F85648"/>
    <w:rsid w:val="00F86231"/>
    <w:rsid w:val="00F86287"/>
    <w:rsid w:val="00F86886"/>
    <w:rsid w:val="00F86EB3"/>
    <w:rsid w:val="00F870B7"/>
    <w:rsid w:val="00F908A0"/>
    <w:rsid w:val="00F90AF1"/>
    <w:rsid w:val="00F919E8"/>
    <w:rsid w:val="00F91B8D"/>
    <w:rsid w:val="00F91C5A"/>
    <w:rsid w:val="00F92437"/>
    <w:rsid w:val="00F92B28"/>
    <w:rsid w:val="00F930DA"/>
    <w:rsid w:val="00F935B3"/>
    <w:rsid w:val="00F9374B"/>
    <w:rsid w:val="00F9381D"/>
    <w:rsid w:val="00F93E35"/>
    <w:rsid w:val="00F946CC"/>
    <w:rsid w:val="00F94754"/>
    <w:rsid w:val="00F95509"/>
    <w:rsid w:val="00F95FC9"/>
    <w:rsid w:val="00F96564"/>
    <w:rsid w:val="00F96E1A"/>
    <w:rsid w:val="00F97433"/>
    <w:rsid w:val="00F975AD"/>
    <w:rsid w:val="00FA006F"/>
    <w:rsid w:val="00FA1192"/>
    <w:rsid w:val="00FA1D0A"/>
    <w:rsid w:val="00FA35BB"/>
    <w:rsid w:val="00FA36CD"/>
    <w:rsid w:val="00FA38A0"/>
    <w:rsid w:val="00FA4278"/>
    <w:rsid w:val="00FA4958"/>
    <w:rsid w:val="00FA4E35"/>
    <w:rsid w:val="00FA56AF"/>
    <w:rsid w:val="00FA573A"/>
    <w:rsid w:val="00FA6275"/>
    <w:rsid w:val="00FA642C"/>
    <w:rsid w:val="00FA6F6A"/>
    <w:rsid w:val="00FA7294"/>
    <w:rsid w:val="00FA7845"/>
    <w:rsid w:val="00FA7D3E"/>
    <w:rsid w:val="00FB136D"/>
    <w:rsid w:val="00FB1DC3"/>
    <w:rsid w:val="00FB1E75"/>
    <w:rsid w:val="00FB1EDD"/>
    <w:rsid w:val="00FB2141"/>
    <w:rsid w:val="00FB27AE"/>
    <w:rsid w:val="00FB3B04"/>
    <w:rsid w:val="00FB4D2A"/>
    <w:rsid w:val="00FB4F95"/>
    <w:rsid w:val="00FB5D72"/>
    <w:rsid w:val="00FB6336"/>
    <w:rsid w:val="00FB6345"/>
    <w:rsid w:val="00FB782B"/>
    <w:rsid w:val="00FB7C24"/>
    <w:rsid w:val="00FC0A3D"/>
    <w:rsid w:val="00FC0AFE"/>
    <w:rsid w:val="00FC1011"/>
    <w:rsid w:val="00FC1E72"/>
    <w:rsid w:val="00FC2958"/>
    <w:rsid w:val="00FC4558"/>
    <w:rsid w:val="00FC46D8"/>
    <w:rsid w:val="00FC4CF0"/>
    <w:rsid w:val="00FC5577"/>
    <w:rsid w:val="00FC5A65"/>
    <w:rsid w:val="00FC5D6F"/>
    <w:rsid w:val="00FC5F3A"/>
    <w:rsid w:val="00FC613E"/>
    <w:rsid w:val="00FC668D"/>
    <w:rsid w:val="00FC6A89"/>
    <w:rsid w:val="00FC7069"/>
    <w:rsid w:val="00FC729A"/>
    <w:rsid w:val="00FC7F18"/>
    <w:rsid w:val="00FD00EE"/>
    <w:rsid w:val="00FD05E4"/>
    <w:rsid w:val="00FD0E13"/>
    <w:rsid w:val="00FD14DC"/>
    <w:rsid w:val="00FD1524"/>
    <w:rsid w:val="00FD1F15"/>
    <w:rsid w:val="00FD21B2"/>
    <w:rsid w:val="00FD22D7"/>
    <w:rsid w:val="00FD2869"/>
    <w:rsid w:val="00FD2A32"/>
    <w:rsid w:val="00FD2D73"/>
    <w:rsid w:val="00FD34DF"/>
    <w:rsid w:val="00FD3D45"/>
    <w:rsid w:val="00FD405D"/>
    <w:rsid w:val="00FD5257"/>
    <w:rsid w:val="00FD53F3"/>
    <w:rsid w:val="00FD55F4"/>
    <w:rsid w:val="00FD577F"/>
    <w:rsid w:val="00FD5F2C"/>
    <w:rsid w:val="00FD6784"/>
    <w:rsid w:val="00FD6E75"/>
    <w:rsid w:val="00FD71CB"/>
    <w:rsid w:val="00FD7573"/>
    <w:rsid w:val="00FD7E5F"/>
    <w:rsid w:val="00FE10FF"/>
    <w:rsid w:val="00FE11F3"/>
    <w:rsid w:val="00FE24A5"/>
    <w:rsid w:val="00FE2EC0"/>
    <w:rsid w:val="00FE3475"/>
    <w:rsid w:val="00FE4841"/>
    <w:rsid w:val="00FE48D2"/>
    <w:rsid w:val="00FE492D"/>
    <w:rsid w:val="00FE4EB2"/>
    <w:rsid w:val="00FE5AC4"/>
    <w:rsid w:val="00FE66CF"/>
    <w:rsid w:val="00FE6EB4"/>
    <w:rsid w:val="00FF04BA"/>
    <w:rsid w:val="00FF0CCB"/>
    <w:rsid w:val="00FF172C"/>
    <w:rsid w:val="00FF2B13"/>
    <w:rsid w:val="00FF2CEA"/>
    <w:rsid w:val="00FF33A9"/>
    <w:rsid w:val="00FF4810"/>
    <w:rsid w:val="00FF4814"/>
    <w:rsid w:val="00FF4960"/>
    <w:rsid w:val="00FF585B"/>
    <w:rsid w:val="00FF65CA"/>
    <w:rsid w:val="00FF7007"/>
    <w:rsid w:val="00FF7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B"/>
    <w:pPr>
      <w:spacing w:line="240" w:lineRule="auto"/>
      <w:ind w:left="0"/>
    </w:pPr>
    <w:rPr>
      <w:rFonts w:ascii="Calibri" w:eastAsia="Times New Roman" w:hAnsi="Calibri" w:cs="Times New Roman"/>
      <w:sz w:val="20"/>
      <w:szCs w:val="24"/>
    </w:rPr>
  </w:style>
  <w:style w:type="paragraph" w:styleId="Heading1">
    <w:name w:val="heading 1"/>
    <w:basedOn w:val="Normal"/>
    <w:next w:val="Normal"/>
    <w:link w:val="Heading1Char"/>
    <w:uiPriority w:val="9"/>
    <w:qFormat/>
    <w:rsid w:val="008F6367"/>
    <w:pPr>
      <w:keepNext/>
      <w:keepLines/>
      <w:numPr>
        <w:numId w:val="7"/>
      </w:numPr>
      <w:spacing w:before="480" w:after="0"/>
      <w:outlineLvl w:val="0"/>
    </w:pPr>
    <w:rPr>
      <w:rFonts w:ascii="CoM" w:eastAsiaTheme="majorEastAsia" w:hAnsi="CoM" w:cstheme="majorBidi"/>
      <w:bCs/>
      <w:sz w:val="38"/>
      <w:szCs w:val="28"/>
    </w:rPr>
  </w:style>
  <w:style w:type="paragraph" w:styleId="Heading2">
    <w:name w:val="heading 2"/>
    <w:basedOn w:val="Normal"/>
    <w:next w:val="Normal"/>
    <w:link w:val="Heading2Char"/>
    <w:uiPriority w:val="9"/>
    <w:unhideWhenUsed/>
    <w:qFormat/>
    <w:rsid w:val="00FF0CCB"/>
    <w:pPr>
      <w:keepNext/>
      <w:keepLines/>
      <w:numPr>
        <w:ilvl w:val="1"/>
        <w:numId w:val="7"/>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75206"/>
    <w:pPr>
      <w:keepNext/>
      <w:keepLines/>
      <w:numPr>
        <w:ilvl w:val="2"/>
        <w:numId w:val="7"/>
      </w:numPr>
      <w:outlineLvl w:val="2"/>
    </w:pPr>
    <w:rPr>
      <w:rFonts w:eastAsiaTheme="majorEastAsia" w:cstheme="majorBidi"/>
      <w:b/>
      <w:bCs/>
      <w:sz w:val="24"/>
    </w:rPr>
  </w:style>
  <w:style w:type="paragraph" w:styleId="Heading4">
    <w:name w:val="heading 4"/>
    <w:basedOn w:val="Normal"/>
    <w:next w:val="Normal"/>
    <w:link w:val="Heading4Char"/>
    <w:autoRedefine/>
    <w:uiPriority w:val="9"/>
    <w:unhideWhenUsed/>
    <w:qFormat/>
    <w:rsid w:val="00D96AAD"/>
    <w:pPr>
      <w:keepNext/>
      <w:keepLines/>
      <w:outlineLvl w:val="3"/>
    </w:pPr>
    <w:rPr>
      <w:rFonts w:eastAsiaTheme="majorEastAsia" w:cstheme="majorBidi"/>
      <w:b/>
      <w:bCs/>
      <w:iCs/>
      <w:color w:val="404040" w:themeColor="text1" w:themeTint="BF"/>
      <w:sz w:val="22"/>
    </w:rPr>
  </w:style>
  <w:style w:type="paragraph" w:styleId="Heading5">
    <w:name w:val="heading 5"/>
    <w:basedOn w:val="Normal"/>
    <w:next w:val="Normal"/>
    <w:link w:val="Heading5Char"/>
    <w:autoRedefine/>
    <w:uiPriority w:val="9"/>
    <w:unhideWhenUsed/>
    <w:qFormat/>
    <w:rsid w:val="00476D46"/>
    <w:pPr>
      <w:keepNext/>
      <w:keepLines/>
      <w:numPr>
        <w:ilvl w:val="4"/>
        <w:numId w:val="7"/>
      </w:numPr>
      <w:outlineLvl w:val="4"/>
    </w:pPr>
    <w:rPr>
      <w:rFonts w:eastAsiaTheme="majorEastAsia" w:cstheme="majorBidi"/>
      <w:b/>
      <w:color w:val="943634" w:themeColor="accent2" w:themeShade="BF"/>
    </w:rPr>
  </w:style>
  <w:style w:type="paragraph" w:styleId="Heading6">
    <w:name w:val="heading 6"/>
    <w:basedOn w:val="Normal"/>
    <w:next w:val="Normal"/>
    <w:link w:val="Heading6Char"/>
    <w:autoRedefine/>
    <w:uiPriority w:val="9"/>
    <w:unhideWhenUsed/>
    <w:qFormat/>
    <w:rsid w:val="0097567E"/>
    <w:pPr>
      <w:keepNext/>
      <w:keepLines/>
      <w:numPr>
        <w:ilvl w:val="5"/>
        <w:numId w:val="7"/>
      </w:numPr>
      <w:outlineLvl w:val="5"/>
    </w:pPr>
    <w:rPr>
      <w:rFonts w:eastAsiaTheme="majorEastAsia" w:cstheme="majorBidi"/>
      <w:b/>
      <w:i/>
      <w:iCs/>
      <w:color w:val="404040" w:themeColor="text1" w:themeTint="BF"/>
      <w:u w:val="single"/>
    </w:rPr>
  </w:style>
  <w:style w:type="paragraph" w:styleId="Heading7">
    <w:name w:val="heading 7"/>
    <w:basedOn w:val="Normal"/>
    <w:next w:val="Normal"/>
    <w:link w:val="Heading7Char"/>
    <w:uiPriority w:val="9"/>
    <w:unhideWhenUsed/>
    <w:qFormat/>
    <w:rsid w:val="00A275D9"/>
    <w:pPr>
      <w:keepNext/>
      <w:keepLines/>
      <w:numPr>
        <w:ilvl w:val="6"/>
        <w:numId w:val="7"/>
      </w:numPr>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unhideWhenUsed/>
    <w:qFormat/>
    <w:rsid w:val="00503202"/>
    <w:pPr>
      <w:keepNext/>
      <w:keepLines/>
      <w:numPr>
        <w:ilvl w:val="7"/>
        <w:numId w:val="7"/>
      </w:numPr>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5206"/>
    <w:pPr>
      <w:keepNext/>
      <w:keepLines/>
      <w:numPr>
        <w:ilvl w:val="8"/>
        <w:numId w:val="7"/>
      </w:numPr>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67"/>
    <w:rPr>
      <w:rFonts w:ascii="CoM" w:eastAsiaTheme="majorEastAsia" w:hAnsi="CoM" w:cstheme="majorBidi"/>
      <w:bCs/>
      <w:sz w:val="38"/>
      <w:szCs w:val="28"/>
    </w:rPr>
  </w:style>
  <w:style w:type="character" w:customStyle="1" w:styleId="Heading2Char">
    <w:name w:val="Heading 2 Char"/>
    <w:basedOn w:val="DefaultParagraphFont"/>
    <w:link w:val="Heading2"/>
    <w:uiPriority w:val="9"/>
    <w:rsid w:val="00FF0CCB"/>
    <w:rPr>
      <w:rFonts w:ascii="Calibri" w:eastAsiaTheme="majorEastAsia" w:hAnsi="Calibri" w:cstheme="majorBidi"/>
      <w:b/>
      <w:bCs/>
      <w:color w:val="4F81BD" w:themeColor="accent1"/>
      <w:sz w:val="26"/>
      <w:szCs w:val="26"/>
    </w:rPr>
  </w:style>
  <w:style w:type="paragraph" w:styleId="Title">
    <w:name w:val="Title"/>
    <w:basedOn w:val="Normal"/>
    <w:next w:val="Normal"/>
    <w:link w:val="TitleChar"/>
    <w:uiPriority w:val="10"/>
    <w:qFormat/>
    <w:rsid w:val="00FF0CC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CCB"/>
    <w:rPr>
      <w:rFonts w:ascii="Calibri" w:eastAsiaTheme="majorEastAsia" w:hAnsi="Calibr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375206"/>
    <w:rPr>
      <w:rFonts w:ascii="Calibri" w:eastAsiaTheme="majorEastAsia" w:hAnsi="Calibri" w:cstheme="majorBidi"/>
      <w:b/>
      <w:bCs/>
      <w:sz w:val="24"/>
      <w:szCs w:val="24"/>
    </w:rPr>
  </w:style>
  <w:style w:type="character" w:customStyle="1" w:styleId="Heading4Char">
    <w:name w:val="Heading 4 Char"/>
    <w:basedOn w:val="DefaultParagraphFont"/>
    <w:link w:val="Heading4"/>
    <w:uiPriority w:val="9"/>
    <w:rsid w:val="00D96AAD"/>
    <w:rPr>
      <w:rFonts w:ascii="Calibri" w:eastAsiaTheme="majorEastAsia" w:hAnsi="Calibri" w:cstheme="majorBidi"/>
      <w:b/>
      <w:bCs/>
      <w:iCs/>
      <w:color w:val="404040" w:themeColor="text1" w:themeTint="BF"/>
      <w:szCs w:val="24"/>
    </w:rPr>
  </w:style>
  <w:style w:type="character" w:customStyle="1" w:styleId="Heading5Char">
    <w:name w:val="Heading 5 Char"/>
    <w:basedOn w:val="DefaultParagraphFont"/>
    <w:link w:val="Heading5"/>
    <w:uiPriority w:val="9"/>
    <w:rsid w:val="00476D46"/>
    <w:rPr>
      <w:rFonts w:ascii="Calibri" w:eastAsiaTheme="majorEastAsia" w:hAnsi="Calibri" w:cstheme="majorBidi"/>
      <w:b/>
      <w:color w:val="943634" w:themeColor="accent2" w:themeShade="BF"/>
      <w:sz w:val="20"/>
      <w:szCs w:val="24"/>
    </w:rPr>
  </w:style>
  <w:style w:type="character" w:customStyle="1" w:styleId="Heading6Char">
    <w:name w:val="Heading 6 Char"/>
    <w:basedOn w:val="DefaultParagraphFont"/>
    <w:link w:val="Heading6"/>
    <w:uiPriority w:val="9"/>
    <w:rsid w:val="0097567E"/>
    <w:rPr>
      <w:rFonts w:ascii="Calibri" w:eastAsiaTheme="majorEastAsia" w:hAnsi="Calibri" w:cstheme="majorBidi"/>
      <w:b/>
      <w:i/>
      <w:iCs/>
      <w:color w:val="404040" w:themeColor="text1" w:themeTint="BF"/>
      <w:sz w:val="20"/>
      <w:szCs w:val="24"/>
      <w:u w:val="single"/>
    </w:rPr>
  </w:style>
  <w:style w:type="character" w:customStyle="1" w:styleId="Heading7Char">
    <w:name w:val="Heading 7 Char"/>
    <w:basedOn w:val="DefaultParagraphFont"/>
    <w:link w:val="Heading7"/>
    <w:uiPriority w:val="9"/>
    <w:rsid w:val="00375206"/>
    <w:rPr>
      <w:rFonts w:ascii="Calibri" w:eastAsiaTheme="majorEastAsia" w:hAnsi="Calibri" w:cstheme="majorBidi"/>
      <w:b/>
      <w:iCs/>
      <w:color w:val="404040" w:themeColor="text1" w:themeTint="BF"/>
      <w:sz w:val="20"/>
      <w:szCs w:val="24"/>
    </w:rPr>
  </w:style>
  <w:style w:type="character" w:customStyle="1" w:styleId="Heading8Char">
    <w:name w:val="Heading 8 Char"/>
    <w:basedOn w:val="DefaultParagraphFont"/>
    <w:link w:val="Heading8"/>
    <w:uiPriority w:val="9"/>
    <w:rsid w:val="003752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5206"/>
    <w:rPr>
      <w:rFonts w:asciiTheme="majorHAnsi" w:eastAsiaTheme="majorEastAsia" w:hAnsiTheme="majorHAnsi" w:cstheme="majorBidi"/>
      <w:i/>
      <w:iCs/>
      <w:color w:val="404040" w:themeColor="text1" w:themeTint="BF"/>
      <w:sz w:val="20"/>
      <w:szCs w:val="20"/>
    </w:rPr>
  </w:style>
  <w:style w:type="numbering" w:customStyle="1" w:styleId="Style6">
    <w:name w:val="Style6"/>
    <w:uiPriority w:val="99"/>
    <w:rsid w:val="00375206"/>
    <w:pPr>
      <w:numPr>
        <w:numId w:val="1"/>
      </w:numPr>
    </w:pPr>
  </w:style>
  <w:style w:type="numbering" w:customStyle="1" w:styleId="Style7">
    <w:name w:val="Style7"/>
    <w:uiPriority w:val="99"/>
    <w:rsid w:val="00375206"/>
    <w:pPr>
      <w:numPr>
        <w:numId w:val="2"/>
      </w:numPr>
    </w:pPr>
  </w:style>
  <w:style w:type="paragraph" w:styleId="ListParagraph">
    <w:name w:val="List Paragraph"/>
    <w:basedOn w:val="Normal"/>
    <w:link w:val="ListParagraphChar"/>
    <w:uiPriority w:val="34"/>
    <w:qFormat/>
    <w:rsid w:val="00375206"/>
    <w:pPr>
      <w:spacing w:after="200"/>
      <w:ind w:left="720"/>
      <w:contextualSpacing/>
    </w:pPr>
    <w:rPr>
      <w:rFonts w:cs="Arial"/>
    </w:rPr>
  </w:style>
  <w:style w:type="paragraph" w:styleId="Caption">
    <w:name w:val="caption"/>
    <w:basedOn w:val="Normal"/>
    <w:next w:val="Normal"/>
    <w:uiPriority w:val="99"/>
    <w:unhideWhenUsed/>
    <w:qFormat/>
    <w:rsid w:val="000249E0"/>
    <w:pPr>
      <w:keepNext/>
      <w:jc w:val="center"/>
    </w:pPr>
    <w:rPr>
      <w:rFonts w:cs="Arial"/>
      <w:b/>
      <w:bCs/>
      <w:sz w:val="22"/>
      <w:szCs w:val="18"/>
    </w:rPr>
  </w:style>
  <w:style w:type="paragraph" w:styleId="Subtitle">
    <w:name w:val="Subtitle"/>
    <w:basedOn w:val="Normal"/>
    <w:next w:val="Normal"/>
    <w:link w:val="SubtitleChar"/>
    <w:uiPriority w:val="11"/>
    <w:qFormat/>
    <w:rsid w:val="00375206"/>
    <w:pPr>
      <w:numPr>
        <w:ilvl w:val="1"/>
      </w:numPr>
      <w:ind w:left="1434" w:hanging="35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375206"/>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375206"/>
    <w:pPr>
      <w:spacing w:line="240" w:lineRule="auto"/>
      <w:ind w:left="0"/>
    </w:pPr>
    <w:rPr>
      <w:rFonts w:ascii="Arial" w:eastAsiaTheme="minorEastAsia" w:hAnsi="Arial"/>
      <w:sz w:val="20"/>
      <w:szCs w:val="24"/>
    </w:rPr>
  </w:style>
  <w:style w:type="character" w:customStyle="1" w:styleId="NoSpacingChar">
    <w:name w:val="No Spacing Char"/>
    <w:basedOn w:val="DefaultParagraphFont"/>
    <w:link w:val="NoSpacing"/>
    <w:uiPriority w:val="1"/>
    <w:rsid w:val="00375206"/>
    <w:rPr>
      <w:rFonts w:ascii="Arial" w:eastAsiaTheme="minorEastAsia" w:hAnsi="Arial"/>
      <w:sz w:val="20"/>
      <w:szCs w:val="24"/>
    </w:rPr>
  </w:style>
  <w:style w:type="paragraph" w:styleId="TOCHeading">
    <w:name w:val="TOC Heading"/>
    <w:basedOn w:val="Heading1"/>
    <w:next w:val="Normal"/>
    <w:uiPriority w:val="39"/>
    <w:semiHidden/>
    <w:unhideWhenUsed/>
    <w:qFormat/>
    <w:rsid w:val="00375206"/>
    <w:pPr>
      <w:spacing w:after="120"/>
      <w:outlineLvl w:val="9"/>
    </w:pPr>
  </w:style>
  <w:style w:type="paragraph" w:styleId="DocumentMap">
    <w:name w:val="Document Map"/>
    <w:basedOn w:val="Normal"/>
    <w:link w:val="DocumentMapChar"/>
    <w:uiPriority w:val="99"/>
    <w:semiHidden/>
    <w:unhideWhenUsed/>
    <w:rsid w:val="003752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520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752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06"/>
    <w:rPr>
      <w:rFonts w:ascii="Tahoma" w:eastAsia="Times New Roman" w:hAnsi="Tahoma" w:cs="Tahoma"/>
      <w:sz w:val="16"/>
      <w:szCs w:val="16"/>
    </w:rPr>
  </w:style>
  <w:style w:type="paragraph" w:customStyle="1" w:styleId="DraftHeading2">
    <w:name w:val="Draft Heading 2"/>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customStyle="1" w:styleId="DraftHeading3">
    <w:name w:val="Draft Heading 3"/>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styleId="FootnoteText">
    <w:name w:val="footnote text"/>
    <w:basedOn w:val="Normal"/>
    <w:link w:val="FootnoteTextChar"/>
    <w:uiPriority w:val="99"/>
    <w:unhideWhenUsed/>
    <w:rsid w:val="00375206"/>
    <w:pPr>
      <w:spacing w:after="0"/>
    </w:pPr>
    <w:rPr>
      <w:szCs w:val="20"/>
    </w:rPr>
  </w:style>
  <w:style w:type="character" w:customStyle="1" w:styleId="FootnoteTextChar">
    <w:name w:val="Footnote Text Char"/>
    <w:basedOn w:val="DefaultParagraphFont"/>
    <w:link w:val="FootnoteText"/>
    <w:uiPriority w:val="99"/>
    <w:rsid w:val="0037520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75206"/>
    <w:rPr>
      <w:vertAlign w:val="superscript"/>
    </w:rPr>
  </w:style>
  <w:style w:type="paragraph" w:styleId="Header">
    <w:name w:val="header"/>
    <w:basedOn w:val="Normal"/>
    <w:link w:val="HeaderChar"/>
    <w:uiPriority w:val="99"/>
    <w:unhideWhenUsed/>
    <w:rsid w:val="00375206"/>
    <w:pPr>
      <w:tabs>
        <w:tab w:val="center" w:pos="4513"/>
        <w:tab w:val="right" w:pos="9026"/>
      </w:tabs>
      <w:spacing w:after="0"/>
    </w:pPr>
  </w:style>
  <w:style w:type="character" w:customStyle="1" w:styleId="HeaderChar">
    <w:name w:val="Header Char"/>
    <w:basedOn w:val="DefaultParagraphFont"/>
    <w:link w:val="Header"/>
    <w:uiPriority w:val="99"/>
    <w:rsid w:val="00375206"/>
    <w:rPr>
      <w:rFonts w:ascii="Calibri" w:eastAsia="Times New Roman" w:hAnsi="Calibri" w:cs="Times New Roman"/>
      <w:sz w:val="20"/>
      <w:szCs w:val="24"/>
    </w:rPr>
  </w:style>
  <w:style w:type="paragraph" w:styleId="Footer">
    <w:name w:val="footer"/>
    <w:basedOn w:val="Normal"/>
    <w:link w:val="FooterChar"/>
    <w:uiPriority w:val="99"/>
    <w:unhideWhenUsed/>
    <w:rsid w:val="00375206"/>
    <w:pPr>
      <w:tabs>
        <w:tab w:val="center" w:pos="4513"/>
        <w:tab w:val="right" w:pos="9026"/>
      </w:tabs>
      <w:spacing w:after="0"/>
    </w:pPr>
  </w:style>
  <w:style w:type="character" w:customStyle="1" w:styleId="FooterChar">
    <w:name w:val="Footer Char"/>
    <w:basedOn w:val="DefaultParagraphFont"/>
    <w:link w:val="Footer"/>
    <w:uiPriority w:val="99"/>
    <w:rsid w:val="00375206"/>
    <w:rPr>
      <w:rFonts w:ascii="Calibri" w:eastAsia="Times New Roman" w:hAnsi="Calibri" w:cs="Times New Roman"/>
      <w:sz w:val="20"/>
      <w:szCs w:val="24"/>
    </w:rPr>
  </w:style>
  <w:style w:type="paragraph" w:styleId="NormalWeb">
    <w:name w:val="Normal (Web)"/>
    <w:basedOn w:val="Normal"/>
    <w:uiPriority w:val="99"/>
    <w:unhideWhenUsed/>
    <w:rsid w:val="00375206"/>
    <w:pPr>
      <w:spacing w:before="100" w:beforeAutospacing="1" w:after="100" w:afterAutospacing="1"/>
    </w:pPr>
    <w:rPr>
      <w:rFonts w:ascii="Times New Roman" w:hAnsi="Times New Roman"/>
      <w:sz w:val="24"/>
      <w:lang w:eastAsia="en-AU" w:bidi="he-IL"/>
    </w:rPr>
  </w:style>
  <w:style w:type="table" w:styleId="LightList-Accent2">
    <w:name w:val="Light List Accent 2"/>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375206"/>
    <w:rPr>
      <w:color w:val="0000FF" w:themeColor="hyperlink"/>
      <w:u w:val="single"/>
    </w:rPr>
  </w:style>
  <w:style w:type="paragraph" w:styleId="TableofFigures">
    <w:name w:val="table of figures"/>
    <w:basedOn w:val="Normal"/>
    <w:next w:val="Normal"/>
    <w:uiPriority w:val="99"/>
    <w:unhideWhenUsed/>
    <w:rsid w:val="00375206"/>
    <w:pPr>
      <w:spacing w:after="0"/>
    </w:pPr>
  </w:style>
  <w:style w:type="paragraph" w:styleId="TOC1">
    <w:name w:val="toc 1"/>
    <w:basedOn w:val="Normal"/>
    <w:next w:val="Normal"/>
    <w:autoRedefine/>
    <w:uiPriority w:val="39"/>
    <w:unhideWhenUsed/>
    <w:rsid w:val="00375206"/>
    <w:pPr>
      <w:spacing w:after="100"/>
    </w:pPr>
  </w:style>
  <w:style w:type="paragraph" w:styleId="TOC2">
    <w:name w:val="toc 2"/>
    <w:basedOn w:val="Normal"/>
    <w:next w:val="Normal"/>
    <w:autoRedefine/>
    <w:uiPriority w:val="39"/>
    <w:unhideWhenUsed/>
    <w:rsid w:val="00375206"/>
    <w:pPr>
      <w:spacing w:after="100"/>
      <w:ind w:left="200"/>
    </w:pPr>
  </w:style>
  <w:style w:type="paragraph" w:styleId="TOC3">
    <w:name w:val="toc 3"/>
    <w:basedOn w:val="Normal"/>
    <w:next w:val="Normal"/>
    <w:autoRedefine/>
    <w:uiPriority w:val="39"/>
    <w:unhideWhenUsed/>
    <w:rsid w:val="00375206"/>
    <w:pPr>
      <w:spacing w:after="100"/>
      <w:ind w:left="400"/>
    </w:pPr>
  </w:style>
  <w:style w:type="table" w:styleId="LightList-Accent4">
    <w:name w:val="Light List Accent 4"/>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itlePage3">
    <w:name w:val="Title Page 3"/>
    <w:basedOn w:val="Normal"/>
    <w:uiPriority w:val="99"/>
    <w:rsid w:val="00375206"/>
    <w:pPr>
      <w:spacing w:before="20" w:after="0"/>
      <w:jc w:val="right"/>
    </w:pPr>
    <w:rPr>
      <w:caps/>
      <w:sz w:val="16"/>
    </w:rPr>
  </w:style>
  <w:style w:type="paragraph" w:customStyle="1" w:styleId="Para2">
    <w:name w:val="Para 2"/>
    <w:basedOn w:val="Normal"/>
    <w:uiPriority w:val="99"/>
    <w:rsid w:val="00375206"/>
    <w:pPr>
      <w:spacing w:line="300" w:lineRule="atLeast"/>
      <w:ind w:left="567"/>
    </w:pPr>
    <w:rPr>
      <w:rFonts w:ascii="Times New Roman" w:hAnsi="Times New Roman"/>
      <w:sz w:val="26"/>
      <w:szCs w:val="26"/>
    </w:rPr>
  </w:style>
  <w:style w:type="paragraph" w:customStyle="1" w:styleId="Quote1">
    <w:name w:val="Quote 1"/>
    <w:basedOn w:val="Normal"/>
    <w:link w:val="Quote1Char"/>
    <w:uiPriority w:val="99"/>
    <w:rsid w:val="00375206"/>
    <w:pPr>
      <w:ind w:left="1134" w:right="567"/>
    </w:pPr>
    <w:rPr>
      <w:rFonts w:ascii="Times New Roman" w:hAnsi="Times New Roman"/>
      <w:sz w:val="24"/>
    </w:rPr>
  </w:style>
  <w:style w:type="character" w:customStyle="1" w:styleId="Quote1Char">
    <w:name w:val="Quote 1 Char"/>
    <w:link w:val="Quote1"/>
    <w:uiPriority w:val="99"/>
    <w:rsid w:val="00375206"/>
    <w:rPr>
      <w:rFonts w:ascii="Times New Roman" w:eastAsia="Times New Roman" w:hAnsi="Times New Roman" w:cs="Times New Roman"/>
      <w:sz w:val="24"/>
      <w:szCs w:val="24"/>
    </w:rPr>
  </w:style>
  <w:style w:type="paragraph" w:customStyle="1" w:styleId="Para1">
    <w:name w:val="Para 1"/>
    <w:basedOn w:val="Normal"/>
    <w:link w:val="Para1Char1"/>
    <w:uiPriority w:val="99"/>
    <w:rsid w:val="00375206"/>
    <w:pPr>
      <w:numPr>
        <w:numId w:val="3"/>
      </w:numPr>
      <w:spacing w:line="300" w:lineRule="atLeast"/>
    </w:pPr>
    <w:rPr>
      <w:rFonts w:ascii="Times New Roman" w:hAnsi="Times New Roman"/>
      <w:sz w:val="26"/>
      <w:szCs w:val="26"/>
    </w:rPr>
  </w:style>
  <w:style w:type="paragraph" w:customStyle="1" w:styleId="Para5">
    <w:name w:val="Para 5"/>
    <w:basedOn w:val="Para2"/>
    <w:uiPriority w:val="99"/>
    <w:rsid w:val="00375206"/>
    <w:pPr>
      <w:numPr>
        <w:numId w:val="4"/>
      </w:numPr>
    </w:pPr>
  </w:style>
  <w:style w:type="character" w:customStyle="1" w:styleId="Para1Char1">
    <w:name w:val="Para 1 Char1"/>
    <w:link w:val="Para1"/>
    <w:uiPriority w:val="99"/>
    <w:rsid w:val="00375206"/>
    <w:rPr>
      <w:rFonts w:ascii="Times New Roman" w:eastAsia="Times New Roman" w:hAnsi="Times New Roman" w:cs="Times New Roman"/>
      <w:sz w:val="26"/>
      <w:szCs w:val="26"/>
    </w:rPr>
  </w:style>
  <w:style w:type="character" w:styleId="Emphasis">
    <w:name w:val="Emphasis"/>
    <w:basedOn w:val="DefaultParagraphFont"/>
    <w:uiPriority w:val="20"/>
    <w:qFormat/>
    <w:rsid w:val="00375206"/>
    <w:rPr>
      <w:i/>
      <w:iCs/>
    </w:rPr>
  </w:style>
  <w:style w:type="table" w:styleId="TableGrid">
    <w:name w:val="Table Grid"/>
    <w:basedOn w:val="Table3Deffects3"/>
    <w:rsid w:val="003752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SectionSub">
    <w:name w:val="Body Section (Sub)"/>
    <w:next w:val="Normal"/>
    <w:link w:val="BodySectionSubChar"/>
    <w:rsid w:val="00375206"/>
    <w:pPr>
      <w:overflowPunct w:val="0"/>
      <w:autoSpaceDE w:val="0"/>
      <w:autoSpaceDN w:val="0"/>
      <w:adjustRightInd w:val="0"/>
      <w:spacing w:before="120" w:after="0" w:line="240" w:lineRule="auto"/>
      <w:ind w:left="1361" w:hanging="357"/>
      <w:textAlignment w:val="baseline"/>
    </w:pPr>
    <w:rPr>
      <w:rFonts w:ascii="Times New Roman" w:eastAsia="Times New Roman" w:hAnsi="Times New Roman" w:cs="Times New Roman"/>
      <w:sz w:val="24"/>
      <w:szCs w:val="24"/>
    </w:rPr>
  </w:style>
  <w:style w:type="character" w:customStyle="1" w:styleId="BodySectionSubChar">
    <w:name w:val="Body Section (Sub) Char"/>
    <w:basedOn w:val="DefaultParagraphFont"/>
    <w:link w:val="BodySectionSub"/>
    <w:rsid w:val="00375206"/>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5206"/>
    <w:rPr>
      <w:i/>
      <w:iCs/>
      <w:color w:val="000000" w:themeColor="text1"/>
      <w:sz w:val="22"/>
      <w:lang w:eastAsia="en-AU"/>
    </w:rPr>
  </w:style>
  <w:style w:type="character" w:customStyle="1" w:styleId="QuoteChar">
    <w:name w:val="Quote Char"/>
    <w:basedOn w:val="DefaultParagraphFont"/>
    <w:link w:val="Quote"/>
    <w:uiPriority w:val="29"/>
    <w:rsid w:val="00375206"/>
    <w:rPr>
      <w:rFonts w:ascii="Calibri" w:eastAsia="Times New Roman" w:hAnsi="Calibri" w:cs="Times New Roman"/>
      <w:i/>
      <w:iCs/>
      <w:color w:val="000000" w:themeColor="text1"/>
      <w:szCs w:val="24"/>
      <w:lang w:eastAsia="en-AU"/>
    </w:rPr>
  </w:style>
  <w:style w:type="paragraph" w:customStyle="1" w:styleId="DraftHeading4">
    <w:name w:val="Draft Heading 4"/>
    <w:basedOn w:val="Normal"/>
    <w:next w:val="Normal"/>
    <w:uiPriority w:val="99"/>
    <w:rsid w:val="00375206"/>
    <w:pPr>
      <w:overflowPunct w:val="0"/>
      <w:autoSpaceDE w:val="0"/>
      <w:autoSpaceDN w:val="0"/>
      <w:adjustRightInd w:val="0"/>
      <w:spacing w:before="120"/>
      <w:textAlignment w:val="baseline"/>
    </w:pPr>
    <w:rPr>
      <w:rFonts w:ascii="Times New Roman" w:hAnsi="Times New Roman"/>
      <w:sz w:val="24"/>
      <w:lang w:eastAsia="en-AU"/>
    </w:rPr>
  </w:style>
  <w:style w:type="paragraph" w:customStyle="1" w:styleId="FactSheetBullet1">
    <w:name w:val="Fact Sheet Bullet 1"/>
    <w:basedOn w:val="Normal"/>
    <w:uiPriority w:val="99"/>
    <w:rsid w:val="00375206"/>
    <w:pPr>
      <w:numPr>
        <w:numId w:val="5"/>
      </w:numPr>
      <w:spacing w:before="100" w:after="60"/>
      <w:ind w:left="284" w:hanging="284"/>
      <w:contextualSpacing/>
    </w:pPr>
    <w:rPr>
      <w:rFonts w:cs="Calibri"/>
      <w:szCs w:val="22"/>
      <w:lang w:eastAsia="en-AU"/>
    </w:rPr>
  </w:style>
  <w:style w:type="paragraph" w:customStyle="1" w:styleId="FactSheetBullet3">
    <w:name w:val="Fact Sheet Bullet 3"/>
    <w:basedOn w:val="FactSheetBullet2"/>
    <w:uiPriority w:val="99"/>
    <w:rsid w:val="00375206"/>
    <w:pPr>
      <w:numPr>
        <w:ilvl w:val="2"/>
      </w:numPr>
    </w:pPr>
  </w:style>
  <w:style w:type="paragraph" w:customStyle="1" w:styleId="FactSheetBullet2">
    <w:name w:val="Fact Sheet Bullet 2"/>
    <w:basedOn w:val="FactSheetBullet1"/>
    <w:uiPriority w:val="99"/>
    <w:rsid w:val="00375206"/>
    <w:pPr>
      <w:numPr>
        <w:ilvl w:val="1"/>
      </w:numPr>
    </w:pPr>
  </w:style>
  <w:style w:type="paragraph" w:customStyle="1" w:styleId="Default">
    <w:name w:val="Default"/>
    <w:uiPriority w:val="99"/>
    <w:rsid w:val="00375206"/>
    <w:pPr>
      <w:autoSpaceDE w:val="0"/>
      <w:autoSpaceDN w:val="0"/>
      <w:adjustRightInd w:val="0"/>
      <w:spacing w:after="0" w:line="240" w:lineRule="auto"/>
      <w:ind w:left="0"/>
    </w:pPr>
    <w:rPr>
      <w:rFonts w:ascii="Arial" w:eastAsia="Times New Roman" w:hAnsi="Arial" w:cs="Arial"/>
      <w:color w:val="000000"/>
      <w:sz w:val="24"/>
      <w:szCs w:val="24"/>
    </w:rPr>
  </w:style>
  <w:style w:type="paragraph" w:customStyle="1" w:styleId="bodytext4">
    <w:name w:val="body_text_4"/>
    <w:basedOn w:val="Normal"/>
    <w:uiPriority w:val="99"/>
    <w:rsid w:val="00375206"/>
    <w:pPr>
      <w:spacing w:before="100" w:beforeAutospacing="1" w:after="100" w:afterAutospacing="1"/>
    </w:pPr>
    <w:rPr>
      <w:rFonts w:ascii="Times New Roman" w:hAnsi="Times New Roman"/>
      <w:sz w:val="24"/>
      <w:lang w:eastAsia="en-AU"/>
    </w:rPr>
  </w:style>
  <w:style w:type="character" w:customStyle="1" w:styleId="apple-converted-space">
    <w:name w:val="apple-converted-space"/>
    <w:basedOn w:val="DefaultParagraphFont"/>
    <w:rsid w:val="00375206"/>
  </w:style>
  <w:style w:type="character" w:styleId="Strong">
    <w:name w:val="Strong"/>
    <w:basedOn w:val="DefaultParagraphFont"/>
    <w:uiPriority w:val="22"/>
    <w:qFormat/>
    <w:rsid w:val="00375206"/>
    <w:rPr>
      <w:b/>
      <w:bCs/>
    </w:rPr>
  </w:style>
  <w:style w:type="character" w:styleId="PlaceholderText">
    <w:name w:val="Placeholder Text"/>
    <w:basedOn w:val="DefaultParagraphFont"/>
    <w:uiPriority w:val="99"/>
    <w:semiHidden/>
    <w:rsid w:val="00375206"/>
    <w:rPr>
      <w:color w:val="808080"/>
    </w:rPr>
  </w:style>
  <w:style w:type="paragraph" w:customStyle="1" w:styleId="Figure">
    <w:name w:val="Figure"/>
    <w:basedOn w:val="BodyText0"/>
    <w:uiPriority w:val="99"/>
    <w:rsid w:val="00375206"/>
    <w:pPr>
      <w:keepNext/>
      <w:spacing w:before="120" w:line="240" w:lineRule="atLeast"/>
      <w:jc w:val="center"/>
    </w:pPr>
    <w:rPr>
      <w:rFonts w:ascii="Times New Roman" w:hAnsi="Times New Roman"/>
      <w:sz w:val="26"/>
      <w:szCs w:val="20"/>
      <w:lang w:eastAsia="en-AU"/>
    </w:rPr>
  </w:style>
  <w:style w:type="paragraph" w:styleId="BodyText0">
    <w:name w:val="Body Text"/>
    <w:basedOn w:val="Normal"/>
    <w:link w:val="BodyTextChar"/>
    <w:uiPriority w:val="99"/>
    <w:semiHidden/>
    <w:unhideWhenUsed/>
    <w:rsid w:val="00375206"/>
  </w:style>
  <w:style w:type="character" w:customStyle="1" w:styleId="BodyTextChar">
    <w:name w:val="Body Text Char"/>
    <w:basedOn w:val="DefaultParagraphFont"/>
    <w:link w:val="BodyText0"/>
    <w:uiPriority w:val="99"/>
    <w:semiHidden/>
    <w:rsid w:val="00375206"/>
    <w:rPr>
      <w:rFonts w:ascii="Calibri" w:eastAsia="Times New Roman" w:hAnsi="Calibri" w:cs="Times New Roman"/>
      <w:sz w:val="20"/>
      <w:szCs w:val="24"/>
    </w:rPr>
  </w:style>
  <w:style w:type="paragraph" w:customStyle="1" w:styleId="TableText">
    <w:name w:val="Table Text"/>
    <w:basedOn w:val="Normal"/>
    <w:link w:val="TableTextChar"/>
    <w:rsid w:val="00375206"/>
    <w:rPr>
      <w:rFonts w:ascii="Century Gothic" w:hAnsi="Century Gothic"/>
      <w:color w:val="826E5A"/>
      <w:sz w:val="22"/>
      <w:lang w:eastAsia="en-AU"/>
    </w:rPr>
  </w:style>
  <w:style w:type="character" w:customStyle="1" w:styleId="TableTextChar">
    <w:name w:val="Table Text Char"/>
    <w:link w:val="TableText"/>
    <w:rsid w:val="00375206"/>
    <w:rPr>
      <w:rFonts w:ascii="Century Gothic" w:eastAsia="Times New Roman" w:hAnsi="Century Gothic" w:cs="Times New Roman"/>
      <w:color w:val="826E5A"/>
      <w:szCs w:val="24"/>
      <w:lang w:eastAsia="en-AU"/>
    </w:rPr>
  </w:style>
  <w:style w:type="paragraph" w:customStyle="1" w:styleId="Tablecolumnheading">
    <w:name w:val="Table column heading"/>
    <w:basedOn w:val="TableText"/>
    <w:next w:val="TableText"/>
    <w:uiPriority w:val="99"/>
    <w:rsid w:val="00375206"/>
    <w:rPr>
      <w:b/>
      <w:color w:val="FFFFFF"/>
    </w:rPr>
  </w:style>
  <w:style w:type="paragraph" w:customStyle="1" w:styleId="Bullet1">
    <w:name w:val="Bullet 1"/>
    <w:basedOn w:val="Normal"/>
    <w:link w:val="Bullet1Char"/>
    <w:uiPriority w:val="99"/>
    <w:qFormat/>
    <w:rsid w:val="00375206"/>
    <w:pPr>
      <w:numPr>
        <w:numId w:val="6"/>
      </w:numPr>
      <w:spacing w:before="80" w:after="80"/>
    </w:pPr>
    <w:rPr>
      <w:rFonts w:cs="Calibri"/>
      <w:sz w:val="22"/>
      <w:szCs w:val="22"/>
      <w:lang w:eastAsia="en-AU"/>
    </w:rPr>
  </w:style>
  <w:style w:type="paragraph" w:customStyle="1" w:styleId="Bullet2">
    <w:name w:val="Bullet 2"/>
    <w:basedOn w:val="Bullet1"/>
    <w:uiPriority w:val="99"/>
    <w:rsid w:val="00375206"/>
    <w:pPr>
      <w:numPr>
        <w:ilvl w:val="1"/>
      </w:numPr>
    </w:pPr>
  </w:style>
  <w:style w:type="paragraph" w:customStyle="1" w:styleId="Bullet3">
    <w:name w:val="Bullet 3"/>
    <w:basedOn w:val="Bullet2"/>
    <w:uiPriority w:val="99"/>
    <w:rsid w:val="00375206"/>
    <w:pPr>
      <w:numPr>
        <w:ilvl w:val="2"/>
      </w:numPr>
    </w:pPr>
  </w:style>
  <w:style w:type="paragraph" w:customStyle="1" w:styleId="Box">
    <w:name w:val="Box"/>
    <w:basedOn w:val="BodyText0"/>
    <w:uiPriority w:val="99"/>
    <w:rsid w:val="00375206"/>
    <w:pPr>
      <w:keepNext/>
      <w:spacing w:before="120" w:line="280" w:lineRule="atLeast"/>
      <w:jc w:val="both"/>
    </w:pPr>
    <w:rPr>
      <w:sz w:val="22"/>
      <w:szCs w:val="20"/>
      <w:lang w:eastAsia="en-AU"/>
    </w:rPr>
  </w:style>
  <w:style w:type="table" w:styleId="LightList-Accent1">
    <w:name w:val="Light List Accent 1"/>
    <w:basedOn w:val="TableNormal"/>
    <w:uiPriority w:val="61"/>
    <w:rsid w:val="00FD75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rPr>
        <w:color w:val="auto"/>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Vert">
      <w:rPr>
        <w:color w:val="auto"/>
      </w:r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swCell">
      <w:rPr>
        <w:b/>
        <w:bCs/>
      </w:rPr>
    </w:tblStylePr>
  </w:style>
  <w:style w:type="table" w:styleId="LightList">
    <w:name w:val="Light List"/>
    <w:basedOn w:val="TableNormal"/>
    <w:uiPriority w:val="61"/>
    <w:rsid w:val="00FD75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semiHidden/>
    <w:unhideWhenUsed/>
    <w:rsid w:val="00EF66F6"/>
    <w:pPr>
      <w:spacing w:after="0"/>
    </w:pPr>
    <w:rPr>
      <w:rFonts w:eastAsiaTheme="minorEastAsia"/>
      <w:sz w:val="22"/>
      <w:szCs w:val="21"/>
      <w:lang w:eastAsia="en-AU"/>
    </w:rPr>
  </w:style>
  <w:style w:type="character" w:customStyle="1" w:styleId="PlainTextChar">
    <w:name w:val="Plain Text Char"/>
    <w:basedOn w:val="DefaultParagraphFont"/>
    <w:link w:val="PlainText"/>
    <w:uiPriority w:val="99"/>
    <w:semiHidden/>
    <w:rsid w:val="00EF66F6"/>
    <w:rPr>
      <w:rFonts w:ascii="Calibri" w:eastAsiaTheme="minorEastAsia" w:hAnsi="Calibri" w:cs="Times New Roman"/>
      <w:szCs w:val="21"/>
      <w:lang w:eastAsia="en-AU"/>
    </w:rPr>
  </w:style>
  <w:style w:type="paragraph" w:customStyle="1" w:styleId="Body2">
    <w:name w:val="Body 2"/>
    <w:uiPriority w:val="99"/>
    <w:rsid w:val="005C228B"/>
    <w:pPr>
      <w:pBdr>
        <w:top w:val="nil"/>
        <w:left w:val="nil"/>
        <w:bottom w:val="nil"/>
        <w:right w:val="nil"/>
        <w:between w:val="nil"/>
        <w:bar w:val="nil"/>
      </w:pBdr>
      <w:spacing w:after="0" w:line="240" w:lineRule="auto"/>
      <w:ind w:left="0"/>
    </w:pPr>
    <w:rPr>
      <w:rFonts w:ascii="Helvetica" w:eastAsia="Arial Unicode MS" w:hAnsi="Arial Unicode MS" w:cs="Arial Unicode MS"/>
      <w:color w:val="000000"/>
      <w:bdr w:val="nil"/>
      <w:lang w:val="en-US" w:eastAsia="en-AU"/>
    </w:rPr>
  </w:style>
  <w:style w:type="paragraph" w:customStyle="1" w:styleId="Body">
    <w:name w:val="Body"/>
    <w:uiPriority w:val="99"/>
    <w:rsid w:val="005C228B"/>
    <w:pPr>
      <w:pBdr>
        <w:top w:val="nil"/>
        <w:left w:val="nil"/>
        <w:bottom w:val="nil"/>
        <w:right w:val="nil"/>
        <w:between w:val="nil"/>
        <w:bar w:val="nil"/>
      </w:pBdr>
      <w:spacing w:before="160" w:after="0" w:line="288" w:lineRule="auto"/>
      <w:ind w:left="0"/>
    </w:pPr>
    <w:rPr>
      <w:rFonts w:ascii="Helvetica" w:eastAsia="Arial Unicode MS" w:hAnsi="Arial Unicode MS" w:cs="Arial Unicode MS"/>
      <w:color w:val="000000"/>
      <w:sz w:val="24"/>
      <w:szCs w:val="24"/>
      <w:bdr w:val="nil"/>
      <w:lang w:val="en-US" w:eastAsia="en-AU"/>
    </w:rPr>
  </w:style>
  <w:style w:type="character" w:styleId="CommentReference">
    <w:name w:val="annotation reference"/>
    <w:basedOn w:val="DefaultParagraphFont"/>
    <w:uiPriority w:val="99"/>
    <w:semiHidden/>
    <w:unhideWhenUsed/>
    <w:rsid w:val="00B421DE"/>
    <w:rPr>
      <w:sz w:val="16"/>
      <w:szCs w:val="16"/>
    </w:rPr>
  </w:style>
  <w:style w:type="paragraph" w:styleId="CommentText">
    <w:name w:val="annotation text"/>
    <w:basedOn w:val="Normal"/>
    <w:link w:val="CommentTextChar"/>
    <w:uiPriority w:val="99"/>
    <w:unhideWhenUsed/>
    <w:rsid w:val="00B421DE"/>
    <w:rPr>
      <w:rFonts w:eastAsiaTheme="minorHAnsi" w:cstheme="minorBidi"/>
      <w:szCs w:val="20"/>
    </w:rPr>
  </w:style>
  <w:style w:type="character" w:customStyle="1" w:styleId="CommentTextChar">
    <w:name w:val="Comment Text Char"/>
    <w:basedOn w:val="DefaultParagraphFont"/>
    <w:link w:val="CommentText"/>
    <w:uiPriority w:val="99"/>
    <w:rsid w:val="00B421D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421DE"/>
    <w:rPr>
      <w:b/>
      <w:bCs/>
    </w:rPr>
  </w:style>
  <w:style w:type="character" w:customStyle="1" w:styleId="CommentSubjectChar">
    <w:name w:val="Comment Subject Char"/>
    <w:basedOn w:val="CommentTextChar"/>
    <w:link w:val="CommentSubject"/>
    <w:uiPriority w:val="99"/>
    <w:semiHidden/>
    <w:rsid w:val="00B421DE"/>
    <w:rPr>
      <w:rFonts w:ascii="Calibri" w:hAnsi="Calibri"/>
      <w:b/>
      <w:bCs/>
      <w:sz w:val="20"/>
      <w:szCs w:val="20"/>
    </w:rPr>
  </w:style>
  <w:style w:type="paragraph" w:customStyle="1" w:styleId="btbullet">
    <w:name w:val="bt_bullet"/>
    <w:basedOn w:val="Normal"/>
    <w:uiPriority w:val="99"/>
    <w:qFormat/>
    <w:rsid w:val="00B421DE"/>
    <w:pPr>
      <w:numPr>
        <w:numId w:val="8"/>
      </w:numPr>
      <w:tabs>
        <w:tab w:val="num" w:pos="360"/>
      </w:tabs>
      <w:spacing w:line="360" w:lineRule="auto"/>
      <w:ind w:left="284" w:firstLine="0"/>
    </w:pPr>
    <w:rPr>
      <w:lang w:val="en-US" w:eastAsia="en-AU"/>
    </w:rPr>
  </w:style>
  <w:style w:type="paragraph" w:styleId="Revision">
    <w:name w:val="Revision"/>
    <w:hidden/>
    <w:uiPriority w:val="99"/>
    <w:semiHidden/>
    <w:rsid w:val="00B421DE"/>
    <w:pPr>
      <w:spacing w:after="0" w:line="240" w:lineRule="auto"/>
      <w:ind w:left="0"/>
    </w:pPr>
  </w:style>
  <w:style w:type="table" w:styleId="LightList-Accent6">
    <w:name w:val="Light List Accent 6"/>
    <w:basedOn w:val="TableNormal"/>
    <w:uiPriority w:val="61"/>
    <w:rsid w:val="00B421DE"/>
    <w:pPr>
      <w:spacing w:after="0" w:line="240" w:lineRule="auto"/>
      <w:ind w:left="357" w:hanging="357"/>
    </w:pPr>
    <w:rPr>
      <w:rFonts w:eastAsia="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IntenseEmphasis">
    <w:name w:val="Intense Emphasis"/>
    <w:basedOn w:val="DefaultParagraphFont"/>
    <w:uiPriority w:val="21"/>
    <w:qFormat/>
    <w:rsid w:val="00B421DE"/>
    <w:rPr>
      <w:b/>
      <w:bCs/>
      <w:i/>
      <w:iCs/>
      <w:color w:val="4F81BD" w:themeColor="accent1"/>
    </w:rPr>
  </w:style>
  <w:style w:type="table" w:customStyle="1" w:styleId="LightList-Accent11">
    <w:name w:val="Light List - Accent 11"/>
    <w:basedOn w:val="TableNormal"/>
    <w:uiPriority w:val="61"/>
    <w:rsid w:val="00F13D52"/>
    <w:pPr>
      <w:spacing w:after="200"/>
      <w:ind w:left="0"/>
    </w:pPr>
    <w:rPr>
      <w:rFonts w:eastAsiaTheme="minorEastAsia"/>
      <w:sz w:val="20"/>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t">
    <w:name w:val="bt"/>
    <w:link w:val="btChar"/>
    <w:qFormat/>
    <w:rsid w:val="00B421DE"/>
    <w:pPr>
      <w:spacing w:before="180" w:after="240" w:line="270" w:lineRule="exact"/>
      <w:ind w:left="0"/>
    </w:pPr>
    <w:rPr>
      <w:rFonts w:ascii="Calibri" w:eastAsia="Times New Roman" w:hAnsi="Calibri" w:cs="Times New Roman"/>
      <w:sz w:val="20"/>
      <w:szCs w:val="24"/>
      <w:lang w:val="en-US" w:eastAsia="en-AU"/>
    </w:rPr>
  </w:style>
  <w:style w:type="character" w:customStyle="1" w:styleId="btChar">
    <w:name w:val="bt Char"/>
    <w:basedOn w:val="DefaultParagraphFont"/>
    <w:link w:val="bt"/>
    <w:rsid w:val="00B421DE"/>
    <w:rPr>
      <w:rFonts w:ascii="Calibri" w:eastAsia="Times New Roman" w:hAnsi="Calibri" w:cs="Times New Roman"/>
      <w:sz w:val="20"/>
      <w:szCs w:val="24"/>
      <w:lang w:val="en-US" w:eastAsia="en-AU"/>
    </w:rPr>
  </w:style>
  <w:style w:type="character" w:styleId="FollowedHyperlink">
    <w:name w:val="FollowedHyperlink"/>
    <w:basedOn w:val="DefaultParagraphFont"/>
    <w:uiPriority w:val="99"/>
    <w:semiHidden/>
    <w:unhideWhenUsed/>
    <w:rsid w:val="00B421DE"/>
    <w:rPr>
      <w:color w:val="800080" w:themeColor="followedHyperlink"/>
      <w:u w:val="single"/>
    </w:rPr>
  </w:style>
  <w:style w:type="paragraph" w:styleId="EndnoteText">
    <w:name w:val="endnote text"/>
    <w:basedOn w:val="Normal"/>
    <w:link w:val="EndnoteTextChar"/>
    <w:uiPriority w:val="99"/>
    <w:semiHidden/>
    <w:unhideWhenUsed/>
    <w:rsid w:val="00816AB2"/>
    <w:pPr>
      <w:spacing w:after="0"/>
    </w:pPr>
    <w:rPr>
      <w:szCs w:val="20"/>
    </w:rPr>
  </w:style>
  <w:style w:type="character" w:customStyle="1" w:styleId="EndnoteTextChar">
    <w:name w:val="Endnote Text Char"/>
    <w:basedOn w:val="DefaultParagraphFont"/>
    <w:link w:val="EndnoteText"/>
    <w:uiPriority w:val="99"/>
    <w:semiHidden/>
    <w:rsid w:val="00816AB2"/>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16AB2"/>
    <w:rPr>
      <w:vertAlign w:val="superscript"/>
    </w:rPr>
  </w:style>
  <w:style w:type="table" w:customStyle="1" w:styleId="ListTable3">
    <w:name w:val="List Table 3"/>
    <w:basedOn w:val="TableNormal"/>
    <w:uiPriority w:val="48"/>
    <w:rsid w:val="00613D52"/>
    <w:pPr>
      <w:spacing w:after="0" w:line="240" w:lineRule="auto"/>
      <w:ind w:left="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1">
    <w:name w:val="p1"/>
    <w:basedOn w:val="Normal"/>
    <w:uiPriority w:val="99"/>
    <w:rsid w:val="00E0436E"/>
    <w:pPr>
      <w:spacing w:before="100" w:beforeAutospacing="1" w:after="100" w:afterAutospacing="1"/>
    </w:pPr>
    <w:rPr>
      <w:rFonts w:ascii="Times New Roman" w:hAnsi="Times New Roman"/>
      <w:sz w:val="24"/>
      <w:lang w:eastAsia="en-AU"/>
    </w:rPr>
  </w:style>
  <w:style w:type="paragraph" w:customStyle="1" w:styleId="Clause">
    <w:name w:val="Clause"/>
    <w:basedOn w:val="Normal"/>
    <w:next w:val="Normal"/>
    <w:uiPriority w:val="99"/>
    <w:rsid w:val="005B28E6"/>
    <w:pPr>
      <w:suppressLineNumbers/>
      <w:tabs>
        <w:tab w:val="left" w:pos="426"/>
        <w:tab w:val="left" w:pos="992"/>
        <w:tab w:val="left" w:pos="1559"/>
        <w:tab w:val="left" w:pos="2126"/>
        <w:tab w:val="left" w:pos="2693"/>
        <w:tab w:val="left" w:pos="3260"/>
      </w:tabs>
      <w:overflowPunct w:val="0"/>
      <w:autoSpaceDE w:val="0"/>
      <w:autoSpaceDN w:val="0"/>
      <w:adjustRightInd w:val="0"/>
      <w:spacing w:before="180" w:after="0" w:line="264" w:lineRule="auto"/>
      <w:ind w:left="964" w:hanging="964"/>
      <w:textAlignment w:val="baseline"/>
    </w:pPr>
    <w:rPr>
      <w:rFonts w:ascii="Times New Roman" w:hAnsi="Times New Roman"/>
      <w:szCs w:val="20"/>
    </w:rPr>
  </w:style>
  <w:style w:type="table" w:customStyle="1" w:styleId="ListTable3Accent1">
    <w:name w:val="List Table 3 Accent 1"/>
    <w:basedOn w:val="TableNormal"/>
    <w:uiPriority w:val="48"/>
    <w:rsid w:val="00847DD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aintitle">
    <w:name w:val="maintitle"/>
    <w:basedOn w:val="DefaultParagraphFont"/>
    <w:rsid w:val="00F7223D"/>
  </w:style>
  <w:style w:type="table" w:customStyle="1" w:styleId="GridTableLight">
    <w:name w:val="Grid Table Light"/>
    <w:basedOn w:val="TableNormal"/>
    <w:uiPriority w:val="40"/>
    <w:rsid w:val="000616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3Deffects3">
    <w:name w:val="Table 3D effects 3"/>
    <w:basedOn w:val="TableNormal"/>
    <w:uiPriority w:val="99"/>
    <w:semiHidden/>
    <w:unhideWhenUsed/>
    <w:rsid w:val="000616A8"/>
    <w:pPr>
      <w:spacing w:line="240" w:lineRule="auto"/>
      <w:ind w:left="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let1Char">
    <w:name w:val="Bullet 1 Char"/>
    <w:basedOn w:val="DefaultParagraphFont"/>
    <w:link w:val="Bullet1"/>
    <w:uiPriority w:val="99"/>
    <w:rsid w:val="00BD271F"/>
    <w:rPr>
      <w:rFonts w:ascii="Calibri" w:eastAsia="Times New Roman" w:hAnsi="Calibri" w:cs="Calibri"/>
      <w:lang w:eastAsia="en-AU"/>
    </w:rPr>
  </w:style>
  <w:style w:type="paragraph" w:customStyle="1" w:styleId="TitlePagetext">
    <w:name w:val="Title Page text"/>
    <w:basedOn w:val="Normal"/>
    <w:uiPriority w:val="99"/>
    <w:rsid w:val="00A53EBE"/>
    <w:pPr>
      <w:spacing w:before="80" w:after="100"/>
    </w:pPr>
    <w:rPr>
      <w:rFonts w:ascii="Times New Roman" w:hAnsi="Times New Roman"/>
      <w:sz w:val="26"/>
      <w:szCs w:val="26"/>
    </w:rPr>
  </w:style>
  <w:style w:type="character" w:styleId="HTMLCite">
    <w:name w:val="HTML Cite"/>
    <w:basedOn w:val="DefaultParagraphFont"/>
    <w:uiPriority w:val="99"/>
    <w:semiHidden/>
    <w:unhideWhenUsed/>
    <w:rsid w:val="00A53EBE"/>
    <w:rPr>
      <w:i/>
      <w:iCs/>
    </w:rPr>
  </w:style>
  <w:style w:type="table" w:customStyle="1" w:styleId="ListTable2Accent6">
    <w:name w:val="List Table 2 Accent 6"/>
    <w:basedOn w:val="TableNormal"/>
    <w:uiPriority w:val="47"/>
    <w:rsid w:val="00A53EBE"/>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1">
    <w:name w:val="Plain Table 1"/>
    <w:basedOn w:val="TableNormal"/>
    <w:uiPriority w:val="41"/>
    <w:rsid w:val="00A53E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raftHeading1">
    <w:name w:val="Draft Heading 1"/>
    <w:basedOn w:val="Normal"/>
    <w:next w:val="Normal"/>
    <w:uiPriority w:val="99"/>
    <w:rsid w:val="00A53EBE"/>
    <w:pPr>
      <w:overflowPunct w:val="0"/>
      <w:autoSpaceDE w:val="0"/>
      <w:autoSpaceDN w:val="0"/>
      <w:adjustRightInd w:val="0"/>
      <w:spacing w:before="120" w:after="0"/>
      <w:textAlignment w:val="baseline"/>
      <w:outlineLvl w:val="2"/>
    </w:pPr>
    <w:rPr>
      <w:rFonts w:ascii="Times New Roman" w:hAnsi="Times New Roman"/>
      <w:b/>
      <w:bCs/>
      <w:sz w:val="24"/>
    </w:rPr>
  </w:style>
  <w:style w:type="paragraph" w:customStyle="1" w:styleId="ShoulderReference">
    <w:name w:val="Shoulder Reference"/>
    <w:next w:val="Normal"/>
    <w:uiPriority w:val="99"/>
    <w:rsid w:val="00A53EBE"/>
    <w:pPr>
      <w:framePr w:w="964" w:h="340" w:hSpace="180" w:vSpace="180" w:wrap="auto"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left="85"/>
      <w:textAlignment w:val="baseline"/>
    </w:pPr>
    <w:rPr>
      <w:rFonts w:ascii="Times New Roman" w:eastAsia="Times New Roman" w:hAnsi="Times New Roman" w:cs="Times New Roman"/>
      <w:b/>
      <w:bCs/>
      <w:noProof/>
      <w:spacing w:val="-6"/>
      <w:sz w:val="20"/>
      <w:szCs w:val="20"/>
    </w:rPr>
  </w:style>
  <w:style w:type="paragraph" w:styleId="ListBullet3">
    <w:name w:val="List Bullet 3"/>
    <w:basedOn w:val="Normal"/>
    <w:autoRedefine/>
    <w:uiPriority w:val="99"/>
    <w:rsid w:val="00A53EBE"/>
    <w:pPr>
      <w:numPr>
        <w:numId w:val="9"/>
      </w:numPr>
      <w:suppressLineNumbers/>
      <w:overflowPunct w:val="0"/>
      <w:autoSpaceDE w:val="0"/>
      <w:autoSpaceDN w:val="0"/>
      <w:adjustRightInd w:val="0"/>
      <w:spacing w:before="120" w:after="0"/>
      <w:textAlignment w:val="baseline"/>
    </w:pPr>
    <w:rPr>
      <w:rFonts w:ascii="Times New Roman" w:hAnsi="Times New Roman"/>
      <w:sz w:val="24"/>
    </w:rPr>
  </w:style>
  <w:style w:type="paragraph" w:styleId="TOC4">
    <w:name w:val="toc 4"/>
    <w:basedOn w:val="Normal"/>
    <w:next w:val="Normal"/>
    <w:autoRedefine/>
    <w:uiPriority w:val="39"/>
    <w:unhideWhenUsed/>
    <w:rsid w:val="00A53EBE"/>
    <w:pPr>
      <w:spacing w:after="100"/>
      <w:ind w:left="600"/>
    </w:pPr>
  </w:style>
  <w:style w:type="paragraph" w:styleId="TOC5">
    <w:name w:val="toc 5"/>
    <w:basedOn w:val="Normal"/>
    <w:next w:val="Normal"/>
    <w:autoRedefine/>
    <w:uiPriority w:val="39"/>
    <w:unhideWhenUsed/>
    <w:rsid w:val="00A53EBE"/>
    <w:pPr>
      <w:spacing w:after="100"/>
      <w:ind w:left="800"/>
    </w:pPr>
  </w:style>
  <w:style w:type="paragraph" w:styleId="TOC6">
    <w:name w:val="toc 6"/>
    <w:basedOn w:val="Normal"/>
    <w:next w:val="Normal"/>
    <w:autoRedefine/>
    <w:uiPriority w:val="39"/>
    <w:unhideWhenUsed/>
    <w:rsid w:val="00A53EBE"/>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53EBE"/>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53EBE"/>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53EBE"/>
    <w:pPr>
      <w:spacing w:after="100" w:line="259" w:lineRule="auto"/>
      <w:ind w:left="1760"/>
    </w:pPr>
    <w:rPr>
      <w:rFonts w:asciiTheme="minorHAnsi" w:eastAsiaTheme="minorEastAsia" w:hAnsiTheme="minorHAnsi" w:cstheme="minorBidi"/>
      <w:sz w:val="22"/>
      <w:szCs w:val="22"/>
      <w:lang w:eastAsia="en-AU"/>
    </w:rPr>
  </w:style>
  <w:style w:type="character" w:customStyle="1" w:styleId="titleauthoretc">
    <w:name w:val="titleauthoretc"/>
    <w:basedOn w:val="DefaultParagraphFont"/>
    <w:rsid w:val="00A53EBE"/>
  </w:style>
  <w:style w:type="paragraph" w:customStyle="1" w:styleId="Style1">
    <w:name w:val="Style1"/>
    <w:basedOn w:val="Heading1"/>
    <w:link w:val="Style1Char"/>
    <w:uiPriority w:val="99"/>
    <w:qFormat/>
    <w:rsid w:val="008F6367"/>
    <w:pPr>
      <w:spacing w:before="120"/>
    </w:pPr>
    <w:rPr>
      <w:rFonts w:cs="Arial"/>
      <w:b/>
    </w:rPr>
  </w:style>
  <w:style w:type="character" w:customStyle="1" w:styleId="Style1Char">
    <w:name w:val="Style1 Char"/>
    <w:basedOn w:val="Heading1Char"/>
    <w:link w:val="Style1"/>
    <w:uiPriority w:val="99"/>
    <w:rsid w:val="008F6367"/>
    <w:rPr>
      <w:rFonts w:ascii="CoM" w:eastAsiaTheme="majorEastAsia" w:hAnsi="CoM" w:cs="Arial"/>
      <w:b/>
      <w:bCs/>
      <w:sz w:val="38"/>
      <w:szCs w:val="28"/>
    </w:rPr>
  </w:style>
  <w:style w:type="paragraph" w:customStyle="1" w:styleId="Tabletext0">
    <w:name w:val="Table text"/>
    <w:basedOn w:val="Normal"/>
    <w:autoRedefine/>
    <w:uiPriority w:val="99"/>
    <w:rsid w:val="00A53EBE"/>
    <w:pPr>
      <w:spacing w:before="60" w:after="80" w:line="240" w:lineRule="exact"/>
      <w:jc w:val="both"/>
    </w:pPr>
    <w:rPr>
      <w:sz w:val="18"/>
      <w:szCs w:val="20"/>
    </w:rPr>
  </w:style>
  <w:style w:type="paragraph" w:customStyle="1" w:styleId="TableHeadSchedules">
    <w:name w:val="Table Head Schedules"/>
    <w:basedOn w:val="Tabletext0"/>
    <w:autoRedefine/>
    <w:uiPriority w:val="99"/>
    <w:rsid w:val="00A53EBE"/>
    <w:pPr>
      <w:jc w:val="left"/>
    </w:pPr>
    <w:rPr>
      <w:b/>
    </w:rPr>
  </w:style>
  <w:style w:type="character" w:customStyle="1" w:styleId="ListParagraphChar">
    <w:name w:val="List Paragraph Char"/>
    <w:basedOn w:val="DefaultParagraphFont"/>
    <w:link w:val="ListParagraph"/>
    <w:uiPriority w:val="34"/>
    <w:rsid w:val="00A53EBE"/>
    <w:rPr>
      <w:rFonts w:ascii="Calibri" w:eastAsia="Times New Roman" w:hAnsi="Calibri" w:cs="Arial"/>
      <w:sz w:val="20"/>
      <w:szCs w:val="24"/>
    </w:rPr>
  </w:style>
  <w:style w:type="paragraph" w:customStyle="1" w:styleId="BodyText1">
    <w:name w:val="Body Text1"/>
    <w:basedOn w:val="Normal"/>
    <w:link w:val="BodytextChar0"/>
    <w:qFormat/>
    <w:rsid w:val="00A53EBE"/>
    <w:pPr>
      <w:spacing w:before="60" w:after="80"/>
      <w:ind w:left="1134"/>
      <w:jc w:val="both"/>
    </w:pPr>
    <w:rPr>
      <w:rFonts w:ascii="Times New Roman" w:hAnsi="Times New Roman"/>
      <w:szCs w:val="20"/>
      <w:lang w:val="x-none" w:eastAsia="x-none"/>
    </w:rPr>
  </w:style>
  <w:style w:type="character" w:customStyle="1" w:styleId="BodytextChar0">
    <w:name w:val="Body text Char"/>
    <w:link w:val="BodyText1"/>
    <w:rsid w:val="00A53EBE"/>
    <w:rPr>
      <w:rFonts w:ascii="Times New Roman" w:eastAsia="Times New Roman" w:hAnsi="Times New Roman" w:cs="Times New Roman"/>
      <w:sz w:val="20"/>
      <w:szCs w:val="20"/>
      <w:lang w:val="x-none" w:eastAsia="x-none"/>
    </w:rPr>
  </w:style>
  <w:style w:type="paragraph" w:customStyle="1" w:styleId="Strategy">
    <w:name w:val="Strategy"/>
    <w:basedOn w:val="Normal"/>
    <w:uiPriority w:val="99"/>
    <w:rsid w:val="00A53EBE"/>
    <w:pPr>
      <w:tabs>
        <w:tab w:val="num" w:pos="1440"/>
      </w:tabs>
      <w:spacing w:before="120" w:after="0"/>
      <w:ind w:left="1440" w:hanging="720"/>
      <w:outlineLvl w:val="5"/>
    </w:pPr>
    <w:rPr>
      <w:rFonts w:ascii="Times New Roman" w:hAnsi="Times New Roman"/>
      <w:szCs w:val="20"/>
    </w:rPr>
  </w:style>
  <w:style w:type="paragraph" w:customStyle="1" w:styleId="HeadB">
    <w:name w:val="Head B"/>
    <w:basedOn w:val="Normal"/>
    <w:next w:val="BodyText1"/>
    <w:uiPriority w:val="99"/>
    <w:qFormat/>
    <w:rsid w:val="00A53EBE"/>
    <w:pPr>
      <w:keepNext/>
      <w:spacing w:before="240" w:after="240"/>
      <w:ind w:left="1134" w:hanging="1134"/>
    </w:pPr>
    <w:rPr>
      <w:rFonts w:ascii="Arial" w:hAnsi="Arial"/>
      <w:b/>
      <w:szCs w:val="20"/>
      <w:lang w:eastAsia="en-AU"/>
    </w:rPr>
  </w:style>
  <w:style w:type="paragraph" w:customStyle="1" w:styleId="Bodytext">
    <w:name w:val="Body text •"/>
    <w:basedOn w:val="BodyText1"/>
    <w:next w:val="BodyText0"/>
    <w:link w:val="BodytextChar1"/>
    <w:uiPriority w:val="99"/>
    <w:rsid w:val="00A53EBE"/>
    <w:pPr>
      <w:numPr>
        <w:numId w:val="11"/>
      </w:numPr>
    </w:pPr>
    <w:rPr>
      <w:lang w:eastAsia="en-AU"/>
    </w:rPr>
  </w:style>
  <w:style w:type="character" w:customStyle="1" w:styleId="BodytextChar1">
    <w:name w:val="Body text • Char"/>
    <w:basedOn w:val="BodytextChar0"/>
    <w:link w:val="Bodytext"/>
    <w:uiPriority w:val="99"/>
    <w:rsid w:val="00A53EBE"/>
    <w:rPr>
      <w:rFonts w:ascii="Times New Roman" w:eastAsia="Times New Roman" w:hAnsi="Times New Roman" w:cs="Times New Roman"/>
      <w:sz w:val="20"/>
      <w:szCs w:val="20"/>
      <w:lang w:val="x-none" w:eastAsia="en-AU"/>
    </w:rPr>
  </w:style>
  <w:style w:type="paragraph" w:customStyle="1" w:styleId="BodytextBlue">
    <w:name w:val="Body text + Blue"/>
    <w:basedOn w:val="Normal"/>
    <w:uiPriority w:val="99"/>
    <w:rsid w:val="00972B59"/>
    <w:pPr>
      <w:spacing w:before="60" w:after="80"/>
      <w:ind w:left="1134"/>
    </w:pPr>
    <w:rPr>
      <w:rFonts w:ascii="Times New Roman" w:hAnsi="Times New Roman"/>
      <w:color w:val="0000FF"/>
      <w:szCs w:val="20"/>
      <w:lang w:eastAsia="en-AU"/>
    </w:rPr>
  </w:style>
  <w:style w:type="paragraph" w:customStyle="1" w:styleId="HeadC">
    <w:name w:val="Head C"/>
    <w:basedOn w:val="HeadB"/>
    <w:uiPriority w:val="99"/>
    <w:rsid w:val="00972B59"/>
    <w:pPr>
      <w:tabs>
        <w:tab w:val="left" w:pos="1134"/>
      </w:tabs>
    </w:pPr>
    <w:rPr>
      <w:noProof/>
    </w:rPr>
  </w:style>
  <w:style w:type="paragraph" w:customStyle="1" w:styleId="xmsonormal">
    <w:name w:val="x_msonormal"/>
    <w:basedOn w:val="Normal"/>
    <w:uiPriority w:val="99"/>
    <w:rsid w:val="00600025"/>
    <w:pPr>
      <w:spacing w:before="100" w:beforeAutospacing="1" w:after="100" w:afterAutospacing="1"/>
    </w:pPr>
    <w:rPr>
      <w:rFonts w:ascii="Times New Roman" w:hAnsi="Times New Roman"/>
      <w:sz w:val="24"/>
      <w:lang w:eastAsia="en-AU"/>
    </w:rPr>
  </w:style>
  <w:style w:type="table" w:customStyle="1" w:styleId="ListTable31">
    <w:name w:val="List Table 31"/>
    <w:basedOn w:val="TableNormal"/>
    <w:uiPriority w:val="48"/>
    <w:rsid w:val="00A75044"/>
    <w:pPr>
      <w:spacing w:after="0" w:line="240" w:lineRule="auto"/>
      <w:ind w:left="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heading">
    <w:name w:val="Table heading"/>
    <w:basedOn w:val="Normal"/>
    <w:uiPriority w:val="99"/>
    <w:rsid w:val="004C05DA"/>
    <w:pPr>
      <w:suppressAutoHyphens/>
      <w:autoSpaceDE w:val="0"/>
      <w:autoSpaceDN w:val="0"/>
      <w:adjustRightInd w:val="0"/>
      <w:spacing w:after="170" w:line="288" w:lineRule="auto"/>
      <w:textAlignment w:val="center"/>
    </w:pPr>
    <w:rPr>
      <w:rFonts w:ascii="Gotham Medium" w:eastAsia="Calibri" w:hAnsi="Gotham Medium" w:cs="Gotham Medium"/>
      <w:color w:val="FFFFFF"/>
      <w:szCs w:val="20"/>
      <w:lang w:val="en-GB" w:eastAsia="en-AU"/>
    </w:rPr>
  </w:style>
  <w:style w:type="paragraph" w:customStyle="1" w:styleId="BasicParagraph">
    <w:name w:val="[Basic Paragraph]"/>
    <w:basedOn w:val="Normal"/>
    <w:uiPriority w:val="99"/>
    <w:rsid w:val="004C05DA"/>
    <w:pPr>
      <w:suppressAutoHyphens/>
      <w:autoSpaceDE w:val="0"/>
      <w:autoSpaceDN w:val="0"/>
      <w:adjustRightInd w:val="0"/>
      <w:spacing w:after="170" w:line="288" w:lineRule="auto"/>
      <w:textAlignment w:val="center"/>
    </w:pPr>
    <w:rPr>
      <w:rFonts w:ascii="Gotham Book" w:eastAsia="Calibri" w:hAnsi="Gotham Book" w:cs="Gotham Book"/>
      <w:color w:val="000000"/>
      <w:sz w:val="18"/>
      <w:szCs w:val="18"/>
      <w:lang w:val="en-GB" w:eastAsia="en-AU"/>
    </w:rPr>
  </w:style>
  <w:style w:type="table" w:customStyle="1" w:styleId="LightList-Accent61">
    <w:name w:val="Light List - Accent 61"/>
    <w:basedOn w:val="TableNormal"/>
    <w:next w:val="LightList-Accent6"/>
    <w:uiPriority w:val="61"/>
    <w:rsid w:val="004C05DA"/>
    <w:pPr>
      <w:spacing w:after="0" w:line="240" w:lineRule="auto"/>
      <w:ind w:left="0"/>
    </w:pPr>
    <w:rPr>
      <w:rFonts w:ascii="Arial" w:eastAsia="Calibri" w:hAnsi="Arial"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2">
    <w:name w:val="Light List - Accent 62"/>
    <w:basedOn w:val="TableNormal"/>
    <w:next w:val="LightList-Accent6"/>
    <w:uiPriority w:val="61"/>
    <w:rsid w:val="00E139F6"/>
    <w:pPr>
      <w:spacing w:after="0" w:line="240" w:lineRule="auto"/>
      <w:ind w:left="0"/>
    </w:pPr>
    <w:rPr>
      <w:rFonts w:ascii="Arial" w:eastAsia="Calibri" w:hAnsi="Arial"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B"/>
    <w:pPr>
      <w:spacing w:line="240" w:lineRule="auto"/>
      <w:ind w:left="0"/>
    </w:pPr>
    <w:rPr>
      <w:rFonts w:ascii="Calibri" w:eastAsia="Times New Roman" w:hAnsi="Calibri" w:cs="Times New Roman"/>
      <w:sz w:val="20"/>
      <w:szCs w:val="24"/>
    </w:rPr>
  </w:style>
  <w:style w:type="paragraph" w:styleId="Heading1">
    <w:name w:val="heading 1"/>
    <w:basedOn w:val="Normal"/>
    <w:next w:val="Normal"/>
    <w:link w:val="Heading1Char"/>
    <w:uiPriority w:val="9"/>
    <w:qFormat/>
    <w:rsid w:val="008F6367"/>
    <w:pPr>
      <w:keepNext/>
      <w:keepLines/>
      <w:numPr>
        <w:numId w:val="7"/>
      </w:numPr>
      <w:spacing w:before="480" w:after="0"/>
      <w:outlineLvl w:val="0"/>
    </w:pPr>
    <w:rPr>
      <w:rFonts w:ascii="CoM" w:eastAsiaTheme="majorEastAsia" w:hAnsi="CoM" w:cstheme="majorBidi"/>
      <w:bCs/>
      <w:sz w:val="38"/>
      <w:szCs w:val="28"/>
    </w:rPr>
  </w:style>
  <w:style w:type="paragraph" w:styleId="Heading2">
    <w:name w:val="heading 2"/>
    <w:basedOn w:val="Normal"/>
    <w:next w:val="Normal"/>
    <w:link w:val="Heading2Char"/>
    <w:uiPriority w:val="9"/>
    <w:unhideWhenUsed/>
    <w:qFormat/>
    <w:rsid w:val="00FF0CCB"/>
    <w:pPr>
      <w:keepNext/>
      <w:keepLines/>
      <w:numPr>
        <w:ilvl w:val="1"/>
        <w:numId w:val="7"/>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375206"/>
    <w:pPr>
      <w:keepNext/>
      <w:keepLines/>
      <w:numPr>
        <w:ilvl w:val="2"/>
        <w:numId w:val="7"/>
      </w:numPr>
      <w:outlineLvl w:val="2"/>
    </w:pPr>
    <w:rPr>
      <w:rFonts w:eastAsiaTheme="majorEastAsia" w:cstheme="majorBidi"/>
      <w:b/>
      <w:bCs/>
      <w:sz w:val="24"/>
    </w:rPr>
  </w:style>
  <w:style w:type="paragraph" w:styleId="Heading4">
    <w:name w:val="heading 4"/>
    <w:basedOn w:val="Normal"/>
    <w:next w:val="Normal"/>
    <w:link w:val="Heading4Char"/>
    <w:autoRedefine/>
    <w:uiPriority w:val="9"/>
    <w:unhideWhenUsed/>
    <w:qFormat/>
    <w:rsid w:val="00D96AAD"/>
    <w:pPr>
      <w:keepNext/>
      <w:keepLines/>
      <w:outlineLvl w:val="3"/>
    </w:pPr>
    <w:rPr>
      <w:rFonts w:eastAsiaTheme="majorEastAsia" w:cstheme="majorBidi"/>
      <w:b/>
      <w:bCs/>
      <w:iCs/>
      <w:color w:val="404040" w:themeColor="text1" w:themeTint="BF"/>
      <w:sz w:val="22"/>
    </w:rPr>
  </w:style>
  <w:style w:type="paragraph" w:styleId="Heading5">
    <w:name w:val="heading 5"/>
    <w:basedOn w:val="Normal"/>
    <w:next w:val="Normal"/>
    <w:link w:val="Heading5Char"/>
    <w:autoRedefine/>
    <w:uiPriority w:val="9"/>
    <w:unhideWhenUsed/>
    <w:qFormat/>
    <w:rsid w:val="00476D46"/>
    <w:pPr>
      <w:keepNext/>
      <w:keepLines/>
      <w:numPr>
        <w:ilvl w:val="4"/>
        <w:numId w:val="7"/>
      </w:numPr>
      <w:outlineLvl w:val="4"/>
    </w:pPr>
    <w:rPr>
      <w:rFonts w:eastAsiaTheme="majorEastAsia" w:cstheme="majorBidi"/>
      <w:b/>
      <w:color w:val="943634" w:themeColor="accent2" w:themeShade="BF"/>
    </w:rPr>
  </w:style>
  <w:style w:type="paragraph" w:styleId="Heading6">
    <w:name w:val="heading 6"/>
    <w:basedOn w:val="Normal"/>
    <w:next w:val="Normal"/>
    <w:link w:val="Heading6Char"/>
    <w:autoRedefine/>
    <w:uiPriority w:val="9"/>
    <w:unhideWhenUsed/>
    <w:qFormat/>
    <w:rsid w:val="0097567E"/>
    <w:pPr>
      <w:keepNext/>
      <w:keepLines/>
      <w:numPr>
        <w:ilvl w:val="5"/>
        <w:numId w:val="7"/>
      </w:numPr>
      <w:outlineLvl w:val="5"/>
    </w:pPr>
    <w:rPr>
      <w:rFonts w:eastAsiaTheme="majorEastAsia" w:cstheme="majorBidi"/>
      <w:b/>
      <w:i/>
      <w:iCs/>
      <w:color w:val="404040" w:themeColor="text1" w:themeTint="BF"/>
      <w:u w:val="single"/>
    </w:rPr>
  </w:style>
  <w:style w:type="paragraph" w:styleId="Heading7">
    <w:name w:val="heading 7"/>
    <w:basedOn w:val="Normal"/>
    <w:next w:val="Normal"/>
    <w:link w:val="Heading7Char"/>
    <w:uiPriority w:val="9"/>
    <w:unhideWhenUsed/>
    <w:qFormat/>
    <w:rsid w:val="00A275D9"/>
    <w:pPr>
      <w:keepNext/>
      <w:keepLines/>
      <w:numPr>
        <w:ilvl w:val="6"/>
        <w:numId w:val="7"/>
      </w:numPr>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unhideWhenUsed/>
    <w:qFormat/>
    <w:rsid w:val="00503202"/>
    <w:pPr>
      <w:keepNext/>
      <w:keepLines/>
      <w:numPr>
        <w:ilvl w:val="7"/>
        <w:numId w:val="7"/>
      </w:numPr>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5206"/>
    <w:pPr>
      <w:keepNext/>
      <w:keepLines/>
      <w:numPr>
        <w:ilvl w:val="8"/>
        <w:numId w:val="7"/>
      </w:numPr>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367"/>
    <w:rPr>
      <w:rFonts w:ascii="CoM" w:eastAsiaTheme="majorEastAsia" w:hAnsi="CoM" w:cstheme="majorBidi"/>
      <w:bCs/>
      <w:sz w:val="38"/>
      <w:szCs w:val="28"/>
    </w:rPr>
  </w:style>
  <w:style w:type="character" w:customStyle="1" w:styleId="Heading2Char">
    <w:name w:val="Heading 2 Char"/>
    <w:basedOn w:val="DefaultParagraphFont"/>
    <w:link w:val="Heading2"/>
    <w:uiPriority w:val="9"/>
    <w:rsid w:val="00FF0CCB"/>
    <w:rPr>
      <w:rFonts w:ascii="Calibri" w:eastAsiaTheme="majorEastAsia" w:hAnsi="Calibri" w:cstheme="majorBidi"/>
      <w:b/>
      <w:bCs/>
      <w:color w:val="4F81BD" w:themeColor="accent1"/>
      <w:sz w:val="26"/>
      <w:szCs w:val="26"/>
    </w:rPr>
  </w:style>
  <w:style w:type="paragraph" w:styleId="Title">
    <w:name w:val="Title"/>
    <w:basedOn w:val="Normal"/>
    <w:next w:val="Normal"/>
    <w:link w:val="TitleChar"/>
    <w:uiPriority w:val="10"/>
    <w:qFormat/>
    <w:rsid w:val="00FF0CC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CCB"/>
    <w:rPr>
      <w:rFonts w:ascii="Calibri" w:eastAsiaTheme="majorEastAsia" w:hAnsi="Calibr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375206"/>
    <w:rPr>
      <w:rFonts w:ascii="Calibri" w:eastAsiaTheme="majorEastAsia" w:hAnsi="Calibri" w:cstheme="majorBidi"/>
      <w:b/>
      <w:bCs/>
      <w:sz w:val="24"/>
      <w:szCs w:val="24"/>
    </w:rPr>
  </w:style>
  <w:style w:type="character" w:customStyle="1" w:styleId="Heading4Char">
    <w:name w:val="Heading 4 Char"/>
    <w:basedOn w:val="DefaultParagraphFont"/>
    <w:link w:val="Heading4"/>
    <w:uiPriority w:val="9"/>
    <w:rsid w:val="00D96AAD"/>
    <w:rPr>
      <w:rFonts w:ascii="Calibri" w:eastAsiaTheme="majorEastAsia" w:hAnsi="Calibri" w:cstheme="majorBidi"/>
      <w:b/>
      <w:bCs/>
      <w:iCs/>
      <w:color w:val="404040" w:themeColor="text1" w:themeTint="BF"/>
      <w:szCs w:val="24"/>
    </w:rPr>
  </w:style>
  <w:style w:type="character" w:customStyle="1" w:styleId="Heading5Char">
    <w:name w:val="Heading 5 Char"/>
    <w:basedOn w:val="DefaultParagraphFont"/>
    <w:link w:val="Heading5"/>
    <w:uiPriority w:val="9"/>
    <w:rsid w:val="00476D46"/>
    <w:rPr>
      <w:rFonts w:ascii="Calibri" w:eastAsiaTheme="majorEastAsia" w:hAnsi="Calibri" w:cstheme="majorBidi"/>
      <w:b/>
      <w:color w:val="943634" w:themeColor="accent2" w:themeShade="BF"/>
      <w:sz w:val="20"/>
      <w:szCs w:val="24"/>
    </w:rPr>
  </w:style>
  <w:style w:type="character" w:customStyle="1" w:styleId="Heading6Char">
    <w:name w:val="Heading 6 Char"/>
    <w:basedOn w:val="DefaultParagraphFont"/>
    <w:link w:val="Heading6"/>
    <w:uiPriority w:val="9"/>
    <w:rsid w:val="0097567E"/>
    <w:rPr>
      <w:rFonts w:ascii="Calibri" w:eastAsiaTheme="majorEastAsia" w:hAnsi="Calibri" w:cstheme="majorBidi"/>
      <w:b/>
      <w:i/>
      <w:iCs/>
      <w:color w:val="404040" w:themeColor="text1" w:themeTint="BF"/>
      <w:sz w:val="20"/>
      <w:szCs w:val="24"/>
      <w:u w:val="single"/>
    </w:rPr>
  </w:style>
  <w:style w:type="character" w:customStyle="1" w:styleId="Heading7Char">
    <w:name w:val="Heading 7 Char"/>
    <w:basedOn w:val="DefaultParagraphFont"/>
    <w:link w:val="Heading7"/>
    <w:uiPriority w:val="9"/>
    <w:rsid w:val="00375206"/>
    <w:rPr>
      <w:rFonts w:ascii="Calibri" w:eastAsiaTheme="majorEastAsia" w:hAnsi="Calibri" w:cstheme="majorBidi"/>
      <w:b/>
      <w:iCs/>
      <w:color w:val="404040" w:themeColor="text1" w:themeTint="BF"/>
      <w:sz w:val="20"/>
      <w:szCs w:val="24"/>
    </w:rPr>
  </w:style>
  <w:style w:type="character" w:customStyle="1" w:styleId="Heading8Char">
    <w:name w:val="Heading 8 Char"/>
    <w:basedOn w:val="DefaultParagraphFont"/>
    <w:link w:val="Heading8"/>
    <w:uiPriority w:val="9"/>
    <w:rsid w:val="003752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75206"/>
    <w:rPr>
      <w:rFonts w:asciiTheme="majorHAnsi" w:eastAsiaTheme="majorEastAsia" w:hAnsiTheme="majorHAnsi" w:cstheme="majorBidi"/>
      <w:i/>
      <w:iCs/>
      <w:color w:val="404040" w:themeColor="text1" w:themeTint="BF"/>
      <w:sz w:val="20"/>
      <w:szCs w:val="20"/>
    </w:rPr>
  </w:style>
  <w:style w:type="numbering" w:customStyle="1" w:styleId="Style6">
    <w:name w:val="Style6"/>
    <w:uiPriority w:val="99"/>
    <w:rsid w:val="00375206"/>
    <w:pPr>
      <w:numPr>
        <w:numId w:val="1"/>
      </w:numPr>
    </w:pPr>
  </w:style>
  <w:style w:type="numbering" w:customStyle="1" w:styleId="Style7">
    <w:name w:val="Style7"/>
    <w:uiPriority w:val="99"/>
    <w:rsid w:val="00375206"/>
    <w:pPr>
      <w:numPr>
        <w:numId w:val="2"/>
      </w:numPr>
    </w:pPr>
  </w:style>
  <w:style w:type="paragraph" w:styleId="ListParagraph">
    <w:name w:val="List Paragraph"/>
    <w:basedOn w:val="Normal"/>
    <w:link w:val="ListParagraphChar"/>
    <w:uiPriority w:val="34"/>
    <w:qFormat/>
    <w:rsid w:val="00375206"/>
    <w:pPr>
      <w:spacing w:after="200"/>
      <w:ind w:left="720"/>
      <w:contextualSpacing/>
    </w:pPr>
    <w:rPr>
      <w:rFonts w:cs="Arial"/>
    </w:rPr>
  </w:style>
  <w:style w:type="paragraph" w:styleId="Caption">
    <w:name w:val="caption"/>
    <w:basedOn w:val="Normal"/>
    <w:next w:val="Normal"/>
    <w:uiPriority w:val="99"/>
    <w:unhideWhenUsed/>
    <w:qFormat/>
    <w:rsid w:val="000249E0"/>
    <w:pPr>
      <w:keepNext/>
      <w:jc w:val="center"/>
    </w:pPr>
    <w:rPr>
      <w:rFonts w:cs="Arial"/>
      <w:b/>
      <w:bCs/>
      <w:sz w:val="22"/>
      <w:szCs w:val="18"/>
    </w:rPr>
  </w:style>
  <w:style w:type="paragraph" w:styleId="Subtitle">
    <w:name w:val="Subtitle"/>
    <w:basedOn w:val="Normal"/>
    <w:next w:val="Normal"/>
    <w:link w:val="SubtitleChar"/>
    <w:uiPriority w:val="11"/>
    <w:qFormat/>
    <w:rsid w:val="00375206"/>
    <w:pPr>
      <w:numPr>
        <w:ilvl w:val="1"/>
      </w:numPr>
      <w:ind w:left="1434" w:hanging="35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375206"/>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375206"/>
    <w:pPr>
      <w:spacing w:line="240" w:lineRule="auto"/>
      <w:ind w:left="0"/>
    </w:pPr>
    <w:rPr>
      <w:rFonts w:ascii="Arial" w:eastAsiaTheme="minorEastAsia" w:hAnsi="Arial"/>
      <w:sz w:val="20"/>
      <w:szCs w:val="24"/>
    </w:rPr>
  </w:style>
  <w:style w:type="character" w:customStyle="1" w:styleId="NoSpacingChar">
    <w:name w:val="No Spacing Char"/>
    <w:basedOn w:val="DefaultParagraphFont"/>
    <w:link w:val="NoSpacing"/>
    <w:uiPriority w:val="1"/>
    <w:rsid w:val="00375206"/>
    <w:rPr>
      <w:rFonts w:ascii="Arial" w:eastAsiaTheme="minorEastAsia" w:hAnsi="Arial"/>
      <w:sz w:val="20"/>
      <w:szCs w:val="24"/>
    </w:rPr>
  </w:style>
  <w:style w:type="paragraph" w:styleId="TOCHeading">
    <w:name w:val="TOC Heading"/>
    <w:basedOn w:val="Heading1"/>
    <w:next w:val="Normal"/>
    <w:uiPriority w:val="39"/>
    <w:semiHidden/>
    <w:unhideWhenUsed/>
    <w:qFormat/>
    <w:rsid w:val="00375206"/>
    <w:pPr>
      <w:spacing w:after="120"/>
      <w:outlineLvl w:val="9"/>
    </w:pPr>
  </w:style>
  <w:style w:type="paragraph" w:styleId="DocumentMap">
    <w:name w:val="Document Map"/>
    <w:basedOn w:val="Normal"/>
    <w:link w:val="DocumentMapChar"/>
    <w:uiPriority w:val="99"/>
    <w:semiHidden/>
    <w:unhideWhenUsed/>
    <w:rsid w:val="003752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520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752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06"/>
    <w:rPr>
      <w:rFonts w:ascii="Tahoma" w:eastAsia="Times New Roman" w:hAnsi="Tahoma" w:cs="Tahoma"/>
      <w:sz w:val="16"/>
      <w:szCs w:val="16"/>
    </w:rPr>
  </w:style>
  <w:style w:type="paragraph" w:customStyle="1" w:styleId="DraftHeading2">
    <w:name w:val="Draft Heading 2"/>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customStyle="1" w:styleId="DraftHeading3">
    <w:name w:val="Draft Heading 3"/>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styleId="FootnoteText">
    <w:name w:val="footnote text"/>
    <w:basedOn w:val="Normal"/>
    <w:link w:val="FootnoteTextChar"/>
    <w:uiPriority w:val="99"/>
    <w:unhideWhenUsed/>
    <w:rsid w:val="00375206"/>
    <w:pPr>
      <w:spacing w:after="0"/>
    </w:pPr>
    <w:rPr>
      <w:szCs w:val="20"/>
    </w:rPr>
  </w:style>
  <w:style w:type="character" w:customStyle="1" w:styleId="FootnoteTextChar">
    <w:name w:val="Footnote Text Char"/>
    <w:basedOn w:val="DefaultParagraphFont"/>
    <w:link w:val="FootnoteText"/>
    <w:uiPriority w:val="99"/>
    <w:rsid w:val="0037520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75206"/>
    <w:rPr>
      <w:vertAlign w:val="superscript"/>
    </w:rPr>
  </w:style>
  <w:style w:type="paragraph" w:styleId="Header">
    <w:name w:val="header"/>
    <w:basedOn w:val="Normal"/>
    <w:link w:val="HeaderChar"/>
    <w:uiPriority w:val="99"/>
    <w:unhideWhenUsed/>
    <w:rsid w:val="00375206"/>
    <w:pPr>
      <w:tabs>
        <w:tab w:val="center" w:pos="4513"/>
        <w:tab w:val="right" w:pos="9026"/>
      </w:tabs>
      <w:spacing w:after="0"/>
    </w:pPr>
  </w:style>
  <w:style w:type="character" w:customStyle="1" w:styleId="HeaderChar">
    <w:name w:val="Header Char"/>
    <w:basedOn w:val="DefaultParagraphFont"/>
    <w:link w:val="Header"/>
    <w:uiPriority w:val="99"/>
    <w:rsid w:val="00375206"/>
    <w:rPr>
      <w:rFonts w:ascii="Calibri" w:eastAsia="Times New Roman" w:hAnsi="Calibri" w:cs="Times New Roman"/>
      <w:sz w:val="20"/>
      <w:szCs w:val="24"/>
    </w:rPr>
  </w:style>
  <w:style w:type="paragraph" w:styleId="Footer">
    <w:name w:val="footer"/>
    <w:basedOn w:val="Normal"/>
    <w:link w:val="FooterChar"/>
    <w:uiPriority w:val="99"/>
    <w:unhideWhenUsed/>
    <w:rsid w:val="00375206"/>
    <w:pPr>
      <w:tabs>
        <w:tab w:val="center" w:pos="4513"/>
        <w:tab w:val="right" w:pos="9026"/>
      </w:tabs>
      <w:spacing w:after="0"/>
    </w:pPr>
  </w:style>
  <w:style w:type="character" w:customStyle="1" w:styleId="FooterChar">
    <w:name w:val="Footer Char"/>
    <w:basedOn w:val="DefaultParagraphFont"/>
    <w:link w:val="Footer"/>
    <w:uiPriority w:val="99"/>
    <w:rsid w:val="00375206"/>
    <w:rPr>
      <w:rFonts w:ascii="Calibri" w:eastAsia="Times New Roman" w:hAnsi="Calibri" w:cs="Times New Roman"/>
      <w:sz w:val="20"/>
      <w:szCs w:val="24"/>
    </w:rPr>
  </w:style>
  <w:style w:type="paragraph" w:styleId="NormalWeb">
    <w:name w:val="Normal (Web)"/>
    <w:basedOn w:val="Normal"/>
    <w:uiPriority w:val="99"/>
    <w:unhideWhenUsed/>
    <w:rsid w:val="00375206"/>
    <w:pPr>
      <w:spacing w:before="100" w:beforeAutospacing="1" w:after="100" w:afterAutospacing="1"/>
    </w:pPr>
    <w:rPr>
      <w:rFonts w:ascii="Times New Roman" w:hAnsi="Times New Roman"/>
      <w:sz w:val="24"/>
      <w:lang w:eastAsia="en-AU" w:bidi="he-IL"/>
    </w:rPr>
  </w:style>
  <w:style w:type="table" w:styleId="LightList-Accent2">
    <w:name w:val="Light List Accent 2"/>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375206"/>
    <w:rPr>
      <w:color w:val="0000FF" w:themeColor="hyperlink"/>
      <w:u w:val="single"/>
    </w:rPr>
  </w:style>
  <w:style w:type="paragraph" w:styleId="TableofFigures">
    <w:name w:val="table of figures"/>
    <w:basedOn w:val="Normal"/>
    <w:next w:val="Normal"/>
    <w:uiPriority w:val="99"/>
    <w:unhideWhenUsed/>
    <w:rsid w:val="00375206"/>
    <w:pPr>
      <w:spacing w:after="0"/>
    </w:pPr>
  </w:style>
  <w:style w:type="paragraph" w:styleId="TOC1">
    <w:name w:val="toc 1"/>
    <w:basedOn w:val="Normal"/>
    <w:next w:val="Normal"/>
    <w:autoRedefine/>
    <w:uiPriority w:val="39"/>
    <w:unhideWhenUsed/>
    <w:rsid w:val="00375206"/>
    <w:pPr>
      <w:spacing w:after="100"/>
    </w:pPr>
  </w:style>
  <w:style w:type="paragraph" w:styleId="TOC2">
    <w:name w:val="toc 2"/>
    <w:basedOn w:val="Normal"/>
    <w:next w:val="Normal"/>
    <w:autoRedefine/>
    <w:uiPriority w:val="39"/>
    <w:unhideWhenUsed/>
    <w:rsid w:val="00375206"/>
    <w:pPr>
      <w:spacing w:after="100"/>
      <w:ind w:left="200"/>
    </w:pPr>
  </w:style>
  <w:style w:type="paragraph" w:styleId="TOC3">
    <w:name w:val="toc 3"/>
    <w:basedOn w:val="Normal"/>
    <w:next w:val="Normal"/>
    <w:autoRedefine/>
    <w:uiPriority w:val="39"/>
    <w:unhideWhenUsed/>
    <w:rsid w:val="00375206"/>
    <w:pPr>
      <w:spacing w:after="100"/>
      <w:ind w:left="400"/>
    </w:pPr>
  </w:style>
  <w:style w:type="table" w:styleId="LightList-Accent4">
    <w:name w:val="Light List Accent 4"/>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itlePage3">
    <w:name w:val="Title Page 3"/>
    <w:basedOn w:val="Normal"/>
    <w:uiPriority w:val="99"/>
    <w:rsid w:val="00375206"/>
    <w:pPr>
      <w:spacing w:before="20" w:after="0"/>
      <w:jc w:val="right"/>
    </w:pPr>
    <w:rPr>
      <w:caps/>
      <w:sz w:val="16"/>
    </w:rPr>
  </w:style>
  <w:style w:type="paragraph" w:customStyle="1" w:styleId="Para2">
    <w:name w:val="Para 2"/>
    <w:basedOn w:val="Normal"/>
    <w:uiPriority w:val="99"/>
    <w:rsid w:val="00375206"/>
    <w:pPr>
      <w:spacing w:line="300" w:lineRule="atLeast"/>
      <w:ind w:left="567"/>
    </w:pPr>
    <w:rPr>
      <w:rFonts w:ascii="Times New Roman" w:hAnsi="Times New Roman"/>
      <w:sz w:val="26"/>
      <w:szCs w:val="26"/>
    </w:rPr>
  </w:style>
  <w:style w:type="paragraph" w:customStyle="1" w:styleId="Quote1">
    <w:name w:val="Quote 1"/>
    <w:basedOn w:val="Normal"/>
    <w:link w:val="Quote1Char"/>
    <w:uiPriority w:val="99"/>
    <w:rsid w:val="00375206"/>
    <w:pPr>
      <w:ind w:left="1134" w:right="567"/>
    </w:pPr>
    <w:rPr>
      <w:rFonts w:ascii="Times New Roman" w:hAnsi="Times New Roman"/>
      <w:sz w:val="24"/>
    </w:rPr>
  </w:style>
  <w:style w:type="character" w:customStyle="1" w:styleId="Quote1Char">
    <w:name w:val="Quote 1 Char"/>
    <w:link w:val="Quote1"/>
    <w:uiPriority w:val="99"/>
    <w:rsid w:val="00375206"/>
    <w:rPr>
      <w:rFonts w:ascii="Times New Roman" w:eastAsia="Times New Roman" w:hAnsi="Times New Roman" w:cs="Times New Roman"/>
      <w:sz w:val="24"/>
      <w:szCs w:val="24"/>
    </w:rPr>
  </w:style>
  <w:style w:type="paragraph" w:customStyle="1" w:styleId="Para1">
    <w:name w:val="Para 1"/>
    <w:basedOn w:val="Normal"/>
    <w:link w:val="Para1Char1"/>
    <w:uiPriority w:val="99"/>
    <w:rsid w:val="00375206"/>
    <w:pPr>
      <w:numPr>
        <w:numId w:val="3"/>
      </w:numPr>
      <w:spacing w:line="300" w:lineRule="atLeast"/>
    </w:pPr>
    <w:rPr>
      <w:rFonts w:ascii="Times New Roman" w:hAnsi="Times New Roman"/>
      <w:sz w:val="26"/>
      <w:szCs w:val="26"/>
    </w:rPr>
  </w:style>
  <w:style w:type="paragraph" w:customStyle="1" w:styleId="Para5">
    <w:name w:val="Para 5"/>
    <w:basedOn w:val="Para2"/>
    <w:uiPriority w:val="99"/>
    <w:rsid w:val="00375206"/>
    <w:pPr>
      <w:numPr>
        <w:numId w:val="4"/>
      </w:numPr>
    </w:pPr>
  </w:style>
  <w:style w:type="character" w:customStyle="1" w:styleId="Para1Char1">
    <w:name w:val="Para 1 Char1"/>
    <w:link w:val="Para1"/>
    <w:uiPriority w:val="99"/>
    <w:rsid w:val="00375206"/>
    <w:rPr>
      <w:rFonts w:ascii="Times New Roman" w:eastAsia="Times New Roman" w:hAnsi="Times New Roman" w:cs="Times New Roman"/>
      <w:sz w:val="26"/>
      <w:szCs w:val="26"/>
    </w:rPr>
  </w:style>
  <w:style w:type="character" w:styleId="Emphasis">
    <w:name w:val="Emphasis"/>
    <w:basedOn w:val="DefaultParagraphFont"/>
    <w:uiPriority w:val="20"/>
    <w:qFormat/>
    <w:rsid w:val="00375206"/>
    <w:rPr>
      <w:i/>
      <w:iCs/>
    </w:rPr>
  </w:style>
  <w:style w:type="table" w:styleId="TableGrid">
    <w:name w:val="Table Grid"/>
    <w:basedOn w:val="Table3Deffects3"/>
    <w:rsid w:val="003752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SectionSub">
    <w:name w:val="Body Section (Sub)"/>
    <w:next w:val="Normal"/>
    <w:link w:val="BodySectionSubChar"/>
    <w:rsid w:val="00375206"/>
    <w:pPr>
      <w:overflowPunct w:val="0"/>
      <w:autoSpaceDE w:val="0"/>
      <w:autoSpaceDN w:val="0"/>
      <w:adjustRightInd w:val="0"/>
      <w:spacing w:before="120" w:after="0" w:line="240" w:lineRule="auto"/>
      <w:ind w:left="1361" w:hanging="357"/>
      <w:textAlignment w:val="baseline"/>
    </w:pPr>
    <w:rPr>
      <w:rFonts w:ascii="Times New Roman" w:eastAsia="Times New Roman" w:hAnsi="Times New Roman" w:cs="Times New Roman"/>
      <w:sz w:val="24"/>
      <w:szCs w:val="24"/>
    </w:rPr>
  </w:style>
  <w:style w:type="character" w:customStyle="1" w:styleId="BodySectionSubChar">
    <w:name w:val="Body Section (Sub) Char"/>
    <w:basedOn w:val="DefaultParagraphFont"/>
    <w:link w:val="BodySectionSub"/>
    <w:rsid w:val="00375206"/>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5206"/>
    <w:rPr>
      <w:i/>
      <w:iCs/>
      <w:color w:val="000000" w:themeColor="text1"/>
      <w:sz w:val="22"/>
      <w:lang w:eastAsia="en-AU"/>
    </w:rPr>
  </w:style>
  <w:style w:type="character" w:customStyle="1" w:styleId="QuoteChar">
    <w:name w:val="Quote Char"/>
    <w:basedOn w:val="DefaultParagraphFont"/>
    <w:link w:val="Quote"/>
    <w:uiPriority w:val="29"/>
    <w:rsid w:val="00375206"/>
    <w:rPr>
      <w:rFonts w:ascii="Calibri" w:eastAsia="Times New Roman" w:hAnsi="Calibri" w:cs="Times New Roman"/>
      <w:i/>
      <w:iCs/>
      <w:color w:val="000000" w:themeColor="text1"/>
      <w:szCs w:val="24"/>
      <w:lang w:eastAsia="en-AU"/>
    </w:rPr>
  </w:style>
  <w:style w:type="paragraph" w:customStyle="1" w:styleId="DraftHeading4">
    <w:name w:val="Draft Heading 4"/>
    <w:basedOn w:val="Normal"/>
    <w:next w:val="Normal"/>
    <w:uiPriority w:val="99"/>
    <w:rsid w:val="00375206"/>
    <w:pPr>
      <w:overflowPunct w:val="0"/>
      <w:autoSpaceDE w:val="0"/>
      <w:autoSpaceDN w:val="0"/>
      <w:adjustRightInd w:val="0"/>
      <w:spacing w:before="120"/>
      <w:textAlignment w:val="baseline"/>
    </w:pPr>
    <w:rPr>
      <w:rFonts w:ascii="Times New Roman" w:hAnsi="Times New Roman"/>
      <w:sz w:val="24"/>
      <w:lang w:eastAsia="en-AU"/>
    </w:rPr>
  </w:style>
  <w:style w:type="paragraph" w:customStyle="1" w:styleId="FactSheetBullet1">
    <w:name w:val="Fact Sheet Bullet 1"/>
    <w:basedOn w:val="Normal"/>
    <w:uiPriority w:val="99"/>
    <w:rsid w:val="00375206"/>
    <w:pPr>
      <w:numPr>
        <w:numId w:val="5"/>
      </w:numPr>
      <w:spacing w:before="100" w:after="60"/>
      <w:ind w:left="284" w:hanging="284"/>
      <w:contextualSpacing/>
    </w:pPr>
    <w:rPr>
      <w:rFonts w:cs="Calibri"/>
      <w:szCs w:val="22"/>
      <w:lang w:eastAsia="en-AU"/>
    </w:rPr>
  </w:style>
  <w:style w:type="paragraph" w:customStyle="1" w:styleId="FactSheetBullet3">
    <w:name w:val="Fact Sheet Bullet 3"/>
    <w:basedOn w:val="FactSheetBullet2"/>
    <w:uiPriority w:val="99"/>
    <w:rsid w:val="00375206"/>
    <w:pPr>
      <w:numPr>
        <w:ilvl w:val="2"/>
      </w:numPr>
    </w:pPr>
  </w:style>
  <w:style w:type="paragraph" w:customStyle="1" w:styleId="FactSheetBullet2">
    <w:name w:val="Fact Sheet Bullet 2"/>
    <w:basedOn w:val="FactSheetBullet1"/>
    <w:uiPriority w:val="99"/>
    <w:rsid w:val="00375206"/>
    <w:pPr>
      <w:numPr>
        <w:ilvl w:val="1"/>
      </w:numPr>
    </w:pPr>
  </w:style>
  <w:style w:type="paragraph" w:customStyle="1" w:styleId="Default">
    <w:name w:val="Default"/>
    <w:uiPriority w:val="99"/>
    <w:rsid w:val="00375206"/>
    <w:pPr>
      <w:autoSpaceDE w:val="0"/>
      <w:autoSpaceDN w:val="0"/>
      <w:adjustRightInd w:val="0"/>
      <w:spacing w:after="0" w:line="240" w:lineRule="auto"/>
      <w:ind w:left="0"/>
    </w:pPr>
    <w:rPr>
      <w:rFonts w:ascii="Arial" w:eastAsia="Times New Roman" w:hAnsi="Arial" w:cs="Arial"/>
      <w:color w:val="000000"/>
      <w:sz w:val="24"/>
      <w:szCs w:val="24"/>
    </w:rPr>
  </w:style>
  <w:style w:type="paragraph" w:customStyle="1" w:styleId="bodytext4">
    <w:name w:val="body_text_4"/>
    <w:basedOn w:val="Normal"/>
    <w:uiPriority w:val="99"/>
    <w:rsid w:val="00375206"/>
    <w:pPr>
      <w:spacing w:before="100" w:beforeAutospacing="1" w:after="100" w:afterAutospacing="1"/>
    </w:pPr>
    <w:rPr>
      <w:rFonts w:ascii="Times New Roman" w:hAnsi="Times New Roman"/>
      <w:sz w:val="24"/>
      <w:lang w:eastAsia="en-AU"/>
    </w:rPr>
  </w:style>
  <w:style w:type="character" w:customStyle="1" w:styleId="apple-converted-space">
    <w:name w:val="apple-converted-space"/>
    <w:basedOn w:val="DefaultParagraphFont"/>
    <w:rsid w:val="00375206"/>
  </w:style>
  <w:style w:type="character" w:styleId="Strong">
    <w:name w:val="Strong"/>
    <w:basedOn w:val="DefaultParagraphFont"/>
    <w:uiPriority w:val="22"/>
    <w:qFormat/>
    <w:rsid w:val="00375206"/>
    <w:rPr>
      <w:b/>
      <w:bCs/>
    </w:rPr>
  </w:style>
  <w:style w:type="character" w:styleId="PlaceholderText">
    <w:name w:val="Placeholder Text"/>
    <w:basedOn w:val="DefaultParagraphFont"/>
    <w:uiPriority w:val="99"/>
    <w:semiHidden/>
    <w:rsid w:val="00375206"/>
    <w:rPr>
      <w:color w:val="808080"/>
    </w:rPr>
  </w:style>
  <w:style w:type="paragraph" w:customStyle="1" w:styleId="Figure">
    <w:name w:val="Figure"/>
    <w:basedOn w:val="BodyText0"/>
    <w:uiPriority w:val="99"/>
    <w:rsid w:val="00375206"/>
    <w:pPr>
      <w:keepNext/>
      <w:spacing w:before="120" w:line="240" w:lineRule="atLeast"/>
      <w:jc w:val="center"/>
    </w:pPr>
    <w:rPr>
      <w:rFonts w:ascii="Times New Roman" w:hAnsi="Times New Roman"/>
      <w:sz w:val="26"/>
      <w:szCs w:val="20"/>
      <w:lang w:eastAsia="en-AU"/>
    </w:rPr>
  </w:style>
  <w:style w:type="paragraph" w:styleId="BodyText0">
    <w:name w:val="Body Text"/>
    <w:basedOn w:val="Normal"/>
    <w:link w:val="BodyTextChar"/>
    <w:uiPriority w:val="99"/>
    <w:semiHidden/>
    <w:unhideWhenUsed/>
    <w:rsid w:val="00375206"/>
  </w:style>
  <w:style w:type="character" w:customStyle="1" w:styleId="BodyTextChar">
    <w:name w:val="Body Text Char"/>
    <w:basedOn w:val="DefaultParagraphFont"/>
    <w:link w:val="BodyText0"/>
    <w:uiPriority w:val="99"/>
    <w:semiHidden/>
    <w:rsid w:val="00375206"/>
    <w:rPr>
      <w:rFonts w:ascii="Calibri" w:eastAsia="Times New Roman" w:hAnsi="Calibri" w:cs="Times New Roman"/>
      <w:sz w:val="20"/>
      <w:szCs w:val="24"/>
    </w:rPr>
  </w:style>
  <w:style w:type="paragraph" w:customStyle="1" w:styleId="TableText">
    <w:name w:val="Table Text"/>
    <w:basedOn w:val="Normal"/>
    <w:link w:val="TableTextChar"/>
    <w:rsid w:val="00375206"/>
    <w:rPr>
      <w:rFonts w:ascii="Century Gothic" w:hAnsi="Century Gothic"/>
      <w:color w:val="826E5A"/>
      <w:sz w:val="22"/>
      <w:lang w:eastAsia="en-AU"/>
    </w:rPr>
  </w:style>
  <w:style w:type="character" w:customStyle="1" w:styleId="TableTextChar">
    <w:name w:val="Table Text Char"/>
    <w:link w:val="TableText"/>
    <w:rsid w:val="00375206"/>
    <w:rPr>
      <w:rFonts w:ascii="Century Gothic" w:eastAsia="Times New Roman" w:hAnsi="Century Gothic" w:cs="Times New Roman"/>
      <w:color w:val="826E5A"/>
      <w:szCs w:val="24"/>
      <w:lang w:eastAsia="en-AU"/>
    </w:rPr>
  </w:style>
  <w:style w:type="paragraph" w:customStyle="1" w:styleId="Tablecolumnheading">
    <w:name w:val="Table column heading"/>
    <w:basedOn w:val="TableText"/>
    <w:next w:val="TableText"/>
    <w:uiPriority w:val="99"/>
    <w:rsid w:val="00375206"/>
    <w:rPr>
      <w:b/>
      <w:color w:val="FFFFFF"/>
    </w:rPr>
  </w:style>
  <w:style w:type="paragraph" w:customStyle="1" w:styleId="Bullet1">
    <w:name w:val="Bullet 1"/>
    <w:basedOn w:val="Normal"/>
    <w:link w:val="Bullet1Char"/>
    <w:uiPriority w:val="99"/>
    <w:qFormat/>
    <w:rsid w:val="00375206"/>
    <w:pPr>
      <w:numPr>
        <w:numId w:val="6"/>
      </w:numPr>
      <w:spacing w:before="80" w:after="80"/>
    </w:pPr>
    <w:rPr>
      <w:rFonts w:cs="Calibri"/>
      <w:sz w:val="22"/>
      <w:szCs w:val="22"/>
      <w:lang w:eastAsia="en-AU"/>
    </w:rPr>
  </w:style>
  <w:style w:type="paragraph" w:customStyle="1" w:styleId="Bullet2">
    <w:name w:val="Bullet 2"/>
    <w:basedOn w:val="Bullet1"/>
    <w:uiPriority w:val="99"/>
    <w:rsid w:val="00375206"/>
    <w:pPr>
      <w:numPr>
        <w:ilvl w:val="1"/>
      </w:numPr>
    </w:pPr>
  </w:style>
  <w:style w:type="paragraph" w:customStyle="1" w:styleId="Bullet3">
    <w:name w:val="Bullet 3"/>
    <w:basedOn w:val="Bullet2"/>
    <w:uiPriority w:val="99"/>
    <w:rsid w:val="00375206"/>
    <w:pPr>
      <w:numPr>
        <w:ilvl w:val="2"/>
      </w:numPr>
    </w:pPr>
  </w:style>
  <w:style w:type="paragraph" w:customStyle="1" w:styleId="Box">
    <w:name w:val="Box"/>
    <w:basedOn w:val="BodyText0"/>
    <w:uiPriority w:val="99"/>
    <w:rsid w:val="00375206"/>
    <w:pPr>
      <w:keepNext/>
      <w:spacing w:before="120" w:line="280" w:lineRule="atLeast"/>
      <w:jc w:val="both"/>
    </w:pPr>
    <w:rPr>
      <w:sz w:val="22"/>
      <w:szCs w:val="20"/>
      <w:lang w:eastAsia="en-AU"/>
    </w:rPr>
  </w:style>
  <w:style w:type="table" w:styleId="LightList-Accent1">
    <w:name w:val="Light List Accent 1"/>
    <w:basedOn w:val="TableNormal"/>
    <w:uiPriority w:val="61"/>
    <w:rsid w:val="00FD75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rPr>
        <w:color w:val="auto"/>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Vert">
      <w:rPr>
        <w:color w:val="auto"/>
      </w:r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swCell">
      <w:rPr>
        <w:b/>
        <w:bCs/>
      </w:rPr>
    </w:tblStylePr>
  </w:style>
  <w:style w:type="table" w:styleId="LightList">
    <w:name w:val="Light List"/>
    <w:basedOn w:val="TableNormal"/>
    <w:uiPriority w:val="61"/>
    <w:rsid w:val="00FD75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semiHidden/>
    <w:unhideWhenUsed/>
    <w:rsid w:val="00EF66F6"/>
    <w:pPr>
      <w:spacing w:after="0"/>
    </w:pPr>
    <w:rPr>
      <w:rFonts w:eastAsiaTheme="minorEastAsia"/>
      <w:sz w:val="22"/>
      <w:szCs w:val="21"/>
      <w:lang w:eastAsia="en-AU"/>
    </w:rPr>
  </w:style>
  <w:style w:type="character" w:customStyle="1" w:styleId="PlainTextChar">
    <w:name w:val="Plain Text Char"/>
    <w:basedOn w:val="DefaultParagraphFont"/>
    <w:link w:val="PlainText"/>
    <w:uiPriority w:val="99"/>
    <w:semiHidden/>
    <w:rsid w:val="00EF66F6"/>
    <w:rPr>
      <w:rFonts w:ascii="Calibri" w:eastAsiaTheme="minorEastAsia" w:hAnsi="Calibri" w:cs="Times New Roman"/>
      <w:szCs w:val="21"/>
      <w:lang w:eastAsia="en-AU"/>
    </w:rPr>
  </w:style>
  <w:style w:type="paragraph" w:customStyle="1" w:styleId="Body2">
    <w:name w:val="Body 2"/>
    <w:uiPriority w:val="99"/>
    <w:rsid w:val="005C228B"/>
    <w:pPr>
      <w:pBdr>
        <w:top w:val="nil"/>
        <w:left w:val="nil"/>
        <w:bottom w:val="nil"/>
        <w:right w:val="nil"/>
        <w:between w:val="nil"/>
        <w:bar w:val="nil"/>
      </w:pBdr>
      <w:spacing w:after="0" w:line="240" w:lineRule="auto"/>
      <w:ind w:left="0"/>
    </w:pPr>
    <w:rPr>
      <w:rFonts w:ascii="Helvetica" w:eastAsia="Arial Unicode MS" w:hAnsi="Arial Unicode MS" w:cs="Arial Unicode MS"/>
      <w:color w:val="000000"/>
      <w:bdr w:val="nil"/>
      <w:lang w:val="en-US" w:eastAsia="en-AU"/>
    </w:rPr>
  </w:style>
  <w:style w:type="paragraph" w:customStyle="1" w:styleId="Body">
    <w:name w:val="Body"/>
    <w:uiPriority w:val="99"/>
    <w:rsid w:val="005C228B"/>
    <w:pPr>
      <w:pBdr>
        <w:top w:val="nil"/>
        <w:left w:val="nil"/>
        <w:bottom w:val="nil"/>
        <w:right w:val="nil"/>
        <w:between w:val="nil"/>
        <w:bar w:val="nil"/>
      </w:pBdr>
      <w:spacing w:before="160" w:after="0" w:line="288" w:lineRule="auto"/>
      <w:ind w:left="0"/>
    </w:pPr>
    <w:rPr>
      <w:rFonts w:ascii="Helvetica" w:eastAsia="Arial Unicode MS" w:hAnsi="Arial Unicode MS" w:cs="Arial Unicode MS"/>
      <w:color w:val="000000"/>
      <w:sz w:val="24"/>
      <w:szCs w:val="24"/>
      <w:bdr w:val="nil"/>
      <w:lang w:val="en-US" w:eastAsia="en-AU"/>
    </w:rPr>
  </w:style>
  <w:style w:type="character" w:styleId="CommentReference">
    <w:name w:val="annotation reference"/>
    <w:basedOn w:val="DefaultParagraphFont"/>
    <w:uiPriority w:val="99"/>
    <w:semiHidden/>
    <w:unhideWhenUsed/>
    <w:rsid w:val="00B421DE"/>
    <w:rPr>
      <w:sz w:val="16"/>
      <w:szCs w:val="16"/>
    </w:rPr>
  </w:style>
  <w:style w:type="paragraph" w:styleId="CommentText">
    <w:name w:val="annotation text"/>
    <w:basedOn w:val="Normal"/>
    <w:link w:val="CommentTextChar"/>
    <w:uiPriority w:val="99"/>
    <w:unhideWhenUsed/>
    <w:rsid w:val="00B421DE"/>
    <w:rPr>
      <w:rFonts w:eastAsiaTheme="minorHAnsi" w:cstheme="minorBidi"/>
      <w:szCs w:val="20"/>
    </w:rPr>
  </w:style>
  <w:style w:type="character" w:customStyle="1" w:styleId="CommentTextChar">
    <w:name w:val="Comment Text Char"/>
    <w:basedOn w:val="DefaultParagraphFont"/>
    <w:link w:val="CommentText"/>
    <w:uiPriority w:val="99"/>
    <w:rsid w:val="00B421D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421DE"/>
    <w:rPr>
      <w:b/>
      <w:bCs/>
    </w:rPr>
  </w:style>
  <w:style w:type="character" w:customStyle="1" w:styleId="CommentSubjectChar">
    <w:name w:val="Comment Subject Char"/>
    <w:basedOn w:val="CommentTextChar"/>
    <w:link w:val="CommentSubject"/>
    <w:uiPriority w:val="99"/>
    <w:semiHidden/>
    <w:rsid w:val="00B421DE"/>
    <w:rPr>
      <w:rFonts w:ascii="Calibri" w:hAnsi="Calibri"/>
      <w:b/>
      <w:bCs/>
      <w:sz w:val="20"/>
      <w:szCs w:val="20"/>
    </w:rPr>
  </w:style>
  <w:style w:type="paragraph" w:customStyle="1" w:styleId="btbullet">
    <w:name w:val="bt_bullet"/>
    <w:basedOn w:val="Normal"/>
    <w:uiPriority w:val="99"/>
    <w:qFormat/>
    <w:rsid w:val="00B421DE"/>
    <w:pPr>
      <w:numPr>
        <w:numId w:val="8"/>
      </w:numPr>
      <w:tabs>
        <w:tab w:val="num" w:pos="360"/>
      </w:tabs>
      <w:spacing w:line="360" w:lineRule="auto"/>
      <w:ind w:left="284" w:firstLine="0"/>
    </w:pPr>
    <w:rPr>
      <w:lang w:val="en-US" w:eastAsia="en-AU"/>
    </w:rPr>
  </w:style>
  <w:style w:type="paragraph" w:styleId="Revision">
    <w:name w:val="Revision"/>
    <w:hidden/>
    <w:uiPriority w:val="99"/>
    <w:semiHidden/>
    <w:rsid w:val="00B421DE"/>
    <w:pPr>
      <w:spacing w:after="0" w:line="240" w:lineRule="auto"/>
      <w:ind w:left="0"/>
    </w:pPr>
  </w:style>
  <w:style w:type="table" w:styleId="LightList-Accent6">
    <w:name w:val="Light List Accent 6"/>
    <w:basedOn w:val="TableNormal"/>
    <w:uiPriority w:val="61"/>
    <w:rsid w:val="00B421DE"/>
    <w:pPr>
      <w:spacing w:after="0" w:line="240" w:lineRule="auto"/>
      <w:ind w:left="357" w:hanging="357"/>
    </w:pPr>
    <w:rPr>
      <w:rFonts w:eastAsia="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IntenseEmphasis">
    <w:name w:val="Intense Emphasis"/>
    <w:basedOn w:val="DefaultParagraphFont"/>
    <w:uiPriority w:val="21"/>
    <w:qFormat/>
    <w:rsid w:val="00B421DE"/>
    <w:rPr>
      <w:b/>
      <w:bCs/>
      <w:i/>
      <w:iCs/>
      <w:color w:val="4F81BD" w:themeColor="accent1"/>
    </w:rPr>
  </w:style>
  <w:style w:type="table" w:customStyle="1" w:styleId="LightList-Accent11">
    <w:name w:val="Light List - Accent 11"/>
    <w:basedOn w:val="TableNormal"/>
    <w:uiPriority w:val="61"/>
    <w:rsid w:val="00F13D52"/>
    <w:pPr>
      <w:spacing w:after="200"/>
      <w:ind w:left="0"/>
    </w:pPr>
    <w:rPr>
      <w:rFonts w:eastAsiaTheme="minorEastAsia"/>
      <w:sz w:val="20"/>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t">
    <w:name w:val="bt"/>
    <w:link w:val="btChar"/>
    <w:qFormat/>
    <w:rsid w:val="00B421DE"/>
    <w:pPr>
      <w:spacing w:before="180" w:after="240" w:line="270" w:lineRule="exact"/>
      <w:ind w:left="0"/>
    </w:pPr>
    <w:rPr>
      <w:rFonts w:ascii="Calibri" w:eastAsia="Times New Roman" w:hAnsi="Calibri" w:cs="Times New Roman"/>
      <w:sz w:val="20"/>
      <w:szCs w:val="24"/>
      <w:lang w:val="en-US" w:eastAsia="en-AU"/>
    </w:rPr>
  </w:style>
  <w:style w:type="character" w:customStyle="1" w:styleId="btChar">
    <w:name w:val="bt Char"/>
    <w:basedOn w:val="DefaultParagraphFont"/>
    <w:link w:val="bt"/>
    <w:rsid w:val="00B421DE"/>
    <w:rPr>
      <w:rFonts w:ascii="Calibri" w:eastAsia="Times New Roman" w:hAnsi="Calibri" w:cs="Times New Roman"/>
      <w:sz w:val="20"/>
      <w:szCs w:val="24"/>
      <w:lang w:val="en-US" w:eastAsia="en-AU"/>
    </w:rPr>
  </w:style>
  <w:style w:type="character" w:styleId="FollowedHyperlink">
    <w:name w:val="FollowedHyperlink"/>
    <w:basedOn w:val="DefaultParagraphFont"/>
    <w:uiPriority w:val="99"/>
    <w:semiHidden/>
    <w:unhideWhenUsed/>
    <w:rsid w:val="00B421DE"/>
    <w:rPr>
      <w:color w:val="800080" w:themeColor="followedHyperlink"/>
      <w:u w:val="single"/>
    </w:rPr>
  </w:style>
  <w:style w:type="paragraph" w:styleId="EndnoteText">
    <w:name w:val="endnote text"/>
    <w:basedOn w:val="Normal"/>
    <w:link w:val="EndnoteTextChar"/>
    <w:uiPriority w:val="99"/>
    <w:semiHidden/>
    <w:unhideWhenUsed/>
    <w:rsid w:val="00816AB2"/>
    <w:pPr>
      <w:spacing w:after="0"/>
    </w:pPr>
    <w:rPr>
      <w:szCs w:val="20"/>
    </w:rPr>
  </w:style>
  <w:style w:type="character" w:customStyle="1" w:styleId="EndnoteTextChar">
    <w:name w:val="Endnote Text Char"/>
    <w:basedOn w:val="DefaultParagraphFont"/>
    <w:link w:val="EndnoteText"/>
    <w:uiPriority w:val="99"/>
    <w:semiHidden/>
    <w:rsid w:val="00816AB2"/>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16AB2"/>
    <w:rPr>
      <w:vertAlign w:val="superscript"/>
    </w:rPr>
  </w:style>
  <w:style w:type="table" w:customStyle="1" w:styleId="ListTable3">
    <w:name w:val="List Table 3"/>
    <w:basedOn w:val="TableNormal"/>
    <w:uiPriority w:val="48"/>
    <w:rsid w:val="00613D52"/>
    <w:pPr>
      <w:spacing w:after="0" w:line="240" w:lineRule="auto"/>
      <w:ind w:left="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1">
    <w:name w:val="p1"/>
    <w:basedOn w:val="Normal"/>
    <w:uiPriority w:val="99"/>
    <w:rsid w:val="00E0436E"/>
    <w:pPr>
      <w:spacing w:before="100" w:beforeAutospacing="1" w:after="100" w:afterAutospacing="1"/>
    </w:pPr>
    <w:rPr>
      <w:rFonts w:ascii="Times New Roman" w:hAnsi="Times New Roman"/>
      <w:sz w:val="24"/>
      <w:lang w:eastAsia="en-AU"/>
    </w:rPr>
  </w:style>
  <w:style w:type="paragraph" w:customStyle="1" w:styleId="Clause">
    <w:name w:val="Clause"/>
    <w:basedOn w:val="Normal"/>
    <w:next w:val="Normal"/>
    <w:uiPriority w:val="99"/>
    <w:rsid w:val="005B28E6"/>
    <w:pPr>
      <w:suppressLineNumbers/>
      <w:tabs>
        <w:tab w:val="left" w:pos="426"/>
        <w:tab w:val="left" w:pos="992"/>
        <w:tab w:val="left" w:pos="1559"/>
        <w:tab w:val="left" w:pos="2126"/>
        <w:tab w:val="left" w:pos="2693"/>
        <w:tab w:val="left" w:pos="3260"/>
      </w:tabs>
      <w:overflowPunct w:val="0"/>
      <w:autoSpaceDE w:val="0"/>
      <w:autoSpaceDN w:val="0"/>
      <w:adjustRightInd w:val="0"/>
      <w:spacing w:before="180" w:after="0" w:line="264" w:lineRule="auto"/>
      <w:ind w:left="964" w:hanging="964"/>
      <w:textAlignment w:val="baseline"/>
    </w:pPr>
    <w:rPr>
      <w:rFonts w:ascii="Times New Roman" w:hAnsi="Times New Roman"/>
      <w:szCs w:val="20"/>
    </w:rPr>
  </w:style>
  <w:style w:type="table" w:customStyle="1" w:styleId="ListTable3Accent1">
    <w:name w:val="List Table 3 Accent 1"/>
    <w:basedOn w:val="TableNormal"/>
    <w:uiPriority w:val="48"/>
    <w:rsid w:val="00847DD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aintitle">
    <w:name w:val="maintitle"/>
    <w:basedOn w:val="DefaultParagraphFont"/>
    <w:rsid w:val="00F7223D"/>
  </w:style>
  <w:style w:type="table" w:customStyle="1" w:styleId="GridTableLight">
    <w:name w:val="Grid Table Light"/>
    <w:basedOn w:val="TableNormal"/>
    <w:uiPriority w:val="40"/>
    <w:rsid w:val="000616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3Deffects3">
    <w:name w:val="Table 3D effects 3"/>
    <w:basedOn w:val="TableNormal"/>
    <w:uiPriority w:val="99"/>
    <w:semiHidden/>
    <w:unhideWhenUsed/>
    <w:rsid w:val="000616A8"/>
    <w:pPr>
      <w:spacing w:line="240" w:lineRule="auto"/>
      <w:ind w:left="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ullet1Char">
    <w:name w:val="Bullet 1 Char"/>
    <w:basedOn w:val="DefaultParagraphFont"/>
    <w:link w:val="Bullet1"/>
    <w:uiPriority w:val="99"/>
    <w:rsid w:val="00BD271F"/>
    <w:rPr>
      <w:rFonts w:ascii="Calibri" w:eastAsia="Times New Roman" w:hAnsi="Calibri" w:cs="Calibri"/>
      <w:lang w:eastAsia="en-AU"/>
    </w:rPr>
  </w:style>
  <w:style w:type="paragraph" w:customStyle="1" w:styleId="TitlePagetext">
    <w:name w:val="Title Page text"/>
    <w:basedOn w:val="Normal"/>
    <w:uiPriority w:val="99"/>
    <w:rsid w:val="00A53EBE"/>
    <w:pPr>
      <w:spacing w:before="80" w:after="100"/>
    </w:pPr>
    <w:rPr>
      <w:rFonts w:ascii="Times New Roman" w:hAnsi="Times New Roman"/>
      <w:sz w:val="26"/>
      <w:szCs w:val="26"/>
    </w:rPr>
  </w:style>
  <w:style w:type="character" w:styleId="HTMLCite">
    <w:name w:val="HTML Cite"/>
    <w:basedOn w:val="DefaultParagraphFont"/>
    <w:uiPriority w:val="99"/>
    <w:semiHidden/>
    <w:unhideWhenUsed/>
    <w:rsid w:val="00A53EBE"/>
    <w:rPr>
      <w:i/>
      <w:iCs/>
    </w:rPr>
  </w:style>
  <w:style w:type="table" w:customStyle="1" w:styleId="ListTable2Accent6">
    <w:name w:val="List Table 2 Accent 6"/>
    <w:basedOn w:val="TableNormal"/>
    <w:uiPriority w:val="47"/>
    <w:rsid w:val="00A53EBE"/>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1">
    <w:name w:val="Plain Table 1"/>
    <w:basedOn w:val="TableNormal"/>
    <w:uiPriority w:val="41"/>
    <w:rsid w:val="00A53E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raftHeading1">
    <w:name w:val="Draft Heading 1"/>
    <w:basedOn w:val="Normal"/>
    <w:next w:val="Normal"/>
    <w:uiPriority w:val="99"/>
    <w:rsid w:val="00A53EBE"/>
    <w:pPr>
      <w:overflowPunct w:val="0"/>
      <w:autoSpaceDE w:val="0"/>
      <w:autoSpaceDN w:val="0"/>
      <w:adjustRightInd w:val="0"/>
      <w:spacing w:before="120" w:after="0"/>
      <w:textAlignment w:val="baseline"/>
      <w:outlineLvl w:val="2"/>
    </w:pPr>
    <w:rPr>
      <w:rFonts w:ascii="Times New Roman" w:hAnsi="Times New Roman"/>
      <w:b/>
      <w:bCs/>
      <w:sz w:val="24"/>
    </w:rPr>
  </w:style>
  <w:style w:type="paragraph" w:customStyle="1" w:styleId="ShoulderReference">
    <w:name w:val="Shoulder Reference"/>
    <w:next w:val="Normal"/>
    <w:uiPriority w:val="99"/>
    <w:rsid w:val="00A53EBE"/>
    <w:pPr>
      <w:framePr w:w="964" w:h="340" w:hSpace="180" w:vSpace="180" w:wrap="auto"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uto"/>
      <w:ind w:left="85"/>
      <w:textAlignment w:val="baseline"/>
    </w:pPr>
    <w:rPr>
      <w:rFonts w:ascii="Times New Roman" w:eastAsia="Times New Roman" w:hAnsi="Times New Roman" w:cs="Times New Roman"/>
      <w:b/>
      <w:bCs/>
      <w:noProof/>
      <w:spacing w:val="-6"/>
      <w:sz w:val="20"/>
      <w:szCs w:val="20"/>
    </w:rPr>
  </w:style>
  <w:style w:type="paragraph" w:styleId="ListBullet3">
    <w:name w:val="List Bullet 3"/>
    <w:basedOn w:val="Normal"/>
    <w:autoRedefine/>
    <w:uiPriority w:val="99"/>
    <w:rsid w:val="00A53EBE"/>
    <w:pPr>
      <w:numPr>
        <w:numId w:val="9"/>
      </w:numPr>
      <w:suppressLineNumbers/>
      <w:overflowPunct w:val="0"/>
      <w:autoSpaceDE w:val="0"/>
      <w:autoSpaceDN w:val="0"/>
      <w:adjustRightInd w:val="0"/>
      <w:spacing w:before="120" w:after="0"/>
      <w:textAlignment w:val="baseline"/>
    </w:pPr>
    <w:rPr>
      <w:rFonts w:ascii="Times New Roman" w:hAnsi="Times New Roman"/>
      <w:sz w:val="24"/>
    </w:rPr>
  </w:style>
  <w:style w:type="paragraph" w:styleId="TOC4">
    <w:name w:val="toc 4"/>
    <w:basedOn w:val="Normal"/>
    <w:next w:val="Normal"/>
    <w:autoRedefine/>
    <w:uiPriority w:val="39"/>
    <w:unhideWhenUsed/>
    <w:rsid w:val="00A53EBE"/>
    <w:pPr>
      <w:spacing w:after="100"/>
      <w:ind w:left="600"/>
    </w:pPr>
  </w:style>
  <w:style w:type="paragraph" w:styleId="TOC5">
    <w:name w:val="toc 5"/>
    <w:basedOn w:val="Normal"/>
    <w:next w:val="Normal"/>
    <w:autoRedefine/>
    <w:uiPriority w:val="39"/>
    <w:unhideWhenUsed/>
    <w:rsid w:val="00A53EBE"/>
    <w:pPr>
      <w:spacing w:after="100"/>
      <w:ind w:left="800"/>
    </w:pPr>
  </w:style>
  <w:style w:type="paragraph" w:styleId="TOC6">
    <w:name w:val="toc 6"/>
    <w:basedOn w:val="Normal"/>
    <w:next w:val="Normal"/>
    <w:autoRedefine/>
    <w:uiPriority w:val="39"/>
    <w:unhideWhenUsed/>
    <w:rsid w:val="00A53EBE"/>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53EBE"/>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53EBE"/>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53EBE"/>
    <w:pPr>
      <w:spacing w:after="100" w:line="259" w:lineRule="auto"/>
      <w:ind w:left="1760"/>
    </w:pPr>
    <w:rPr>
      <w:rFonts w:asciiTheme="minorHAnsi" w:eastAsiaTheme="minorEastAsia" w:hAnsiTheme="minorHAnsi" w:cstheme="minorBidi"/>
      <w:sz w:val="22"/>
      <w:szCs w:val="22"/>
      <w:lang w:eastAsia="en-AU"/>
    </w:rPr>
  </w:style>
  <w:style w:type="character" w:customStyle="1" w:styleId="titleauthoretc">
    <w:name w:val="titleauthoretc"/>
    <w:basedOn w:val="DefaultParagraphFont"/>
    <w:rsid w:val="00A53EBE"/>
  </w:style>
  <w:style w:type="paragraph" w:customStyle="1" w:styleId="Style1">
    <w:name w:val="Style1"/>
    <w:basedOn w:val="Heading1"/>
    <w:link w:val="Style1Char"/>
    <w:uiPriority w:val="99"/>
    <w:qFormat/>
    <w:rsid w:val="008F6367"/>
    <w:pPr>
      <w:spacing w:before="120"/>
    </w:pPr>
    <w:rPr>
      <w:rFonts w:cs="Arial"/>
      <w:b/>
    </w:rPr>
  </w:style>
  <w:style w:type="character" w:customStyle="1" w:styleId="Style1Char">
    <w:name w:val="Style1 Char"/>
    <w:basedOn w:val="Heading1Char"/>
    <w:link w:val="Style1"/>
    <w:uiPriority w:val="99"/>
    <w:rsid w:val="008F6367"/>
    <w:rPr>
      <w:rFonts w:ascii="CoM" w:eastAsiaTheme="majorEastAsia" w:hAnsi="CoM" w:cs="Arial"/>
      <w:b/>
      <w:bCs/>
      <w:sz w:val="38"/>
      <w:szCs w:val="28"/>
    </w:rPr>
  </w:style>
  <w:style w:type="paragraph" w:customStyle="1" w:styleId="Tabletext0">
    <w:name w:val="Table text"/>
    <w:basedOn w:val="Normal"/>
    <w:autoRedefine/>
    <w:uiPriority w:val="99"/>
    <w:rsid w:val="00A53EBE"/>
    <w:pPr>
      <w:spacing w:before="60" w:after="80" w:line="240" w:lineRule="exact"/>
      <w:jc w:val="both"/>
    </w:pPr>
    <w:rPr>
      <w:sz w:val="18"/>
      <w:szCs w:val="20"/>
    </w:rPr>
  </w:style>
  <w:style w:type="paragraph" w:customStyle="1" w:styleId="TableHeadSchedules">
    <w:name w:val="Table Head Schedules"/>
    <w:basedOn w:val="Tabletext0"/>
    <w:autoRedefine/>
    <w:uiPriority w:val="99"/>
    <w:rsid w:val="00A53EBE"/>
    <w:pPr>
      <w:jc w:val="left"/>
    </w:pPr>
    <w:rPr>
      <w:b/>
    </w:rPr>
  </w:style>
  <w:style w:type="character" w:customStyle="1" w:styleId="ListParagraphChar">
    <w:name w:val="List Paragraph Char"/>
    <w:basedOn w:val="DefaultParagraphFont"/>
    <w:link w:val="ListParagraph"/>
    <w:uiPriority w:val="34"/>
    <w:rsid w:val="00A53EBE"/>
    <w:rPr>
      <w:rFonts w:ascii="Calibri" w:eastAsia="Times New Roman" w:hAnsi="Calibri" w:cs="Arial"/>
      <w:sz w:val="20"/>
      <w:szCs w:val="24"/>
    </w:rPr>
  </w:style>
  <w:style w:type="paragraph" w:customStyle="1" w:styleId="BodyText1">
    <w:name w:val="Body Text1"/>
    <w:basedOn w:val="Normal"/>
    <w:link w:val="BodytextChar0"/>
    <w:qFormat/>
    <w:rsid w:val="00A53EBE"/>
    <w:pPr>
      <w:spacing w:before="60" w:after="80"/>
      <w:ind w:left="1134"/>
      <w:jc w:val="both"/>
    </w:pPr>
    <w:rPr>
      <w:rFonts w:ascii="Times New Roman" w:hAnsi="Times New Roman"/>
      <w:szCs w:val="20"/>
      <w:lang w:val="x-none" w:eastAsia="x-none"/>
    </w:rPr>
  </w:style>
  <w:style w:type="character" w:customStyle="1" w:styleId="BodytextChar0">
    <w:name w:val="Body text Char"/>
    <w:link w:val="BodyText1"/>
    <w:rsid w:val="00A53EBE"/>
    <w:rPr>
      <w:rFonts w:ascii="Times New Roman" w:eastAsia="Times New Roman" w:hAnsi="Times New Roman" w:cs="Times New Roman"/>
      <w:sz w:val="20"/>
      <w:szCs w:val="20"/>
      <w:lang w:val="x-none" w:eastAsia="x-none"/>
    </w:rPr>
  </w:style>
  <w:style w:type="paragraph" w:customStyle="1" w:styleId="Strategy">
    <w:name w:val="Strategy"/>
    <w:basedOn w:val="Normal"/>
    <w:uiPriority w:val="99"/>
    <w:rsid w:val="00A53EBE"/>
    <w:pPr>
      <w:tabs>
        <w:tab w:val="num" w:pos="1440"/>
      </w:tabs>
      <w:spacing w:before="120" w:after="0"/>
      <w:ind w:left="1440" w:hanging="720"/>
      <w:outlineLvl w:val="5"/>
    </w:pPr>
    <w:rPr>
      <w:rFonts w:ascii="Times New Roman" w:hAnsi="Times New Roman"/>
      <w:szCs w:val="20"/>
    </w:rPr>
  </w:style>
  <w:style w:type="paragraph" w:customStyle="1" w:styleId="HeadB">
    <w:name w:val="Head B"/>
    <w:basedOn w:val="Normal"/>
    <w:next w:val="BodyText1"/>
    <w:uiPriority w:val="99"/>
    <w:qFormat/>
    <w:rsid w:val="00A53EBE"/>
    <w:pPr>
      <w:keepNext/>
      <w:spacing w:before="240" w:after="240"/>
      <w:ind w:left="1134" w:hanging="1134"/>
    </w:pPr>
    <w:rPr>
      <w:rFonts w:ascii="Arial" w:hAnsi="Arial"/>
      <w:b/>
      <w:szCs w:val="20"/>
      <w:lang w:eastAsia="en-AU"/>
    </w:rPr>
  </w:style>
  <w:style w:type="paragraph" w:customStyle="1" w:styleId="Bodytext">
    <w:name w:val="Body text •"/>
    <w:basedOn w:val="BodyText1"/>
    <w:next w:val="BodyText0"/>
    <w:link w:val="BodytextChar1"/>
    <w:uiPriority w:val="99"/>
    <w:rsid w:val="00A53EBE"/>
    <w:pPr>
      <w:numPr>
        <w:numId w:val="11"/>
      </w:numPr>
    </w:pPr>
    <w:rPr>
      <w:lang w:eastAsia="en-AU"/>
    </w:rPr>
  </w:style>
  <w:style w:type="character" w:customStyle="1" w:styleId="BodytextChar1">
    <w:name w:val="Body text • Char"/>
    <w:basedOn w:val="BodytextChar0"/>
    <w:link w:val="Bodytext"/>
    <w:uiPriority w:val="99"/>
    <w:rsid w:val="00A53EBE"/>
    <w:rPr>
      <w:rFonts w:ascii="Times New Roman" w:eastAsia="Times New Roman" w:hAnsi="Times New Roman" w:cs="Times New Roman"/>
      <w:sz w:val="20"/>
      <w:szCs w:val="20"/>
      <w:lang w:val="x-none" w:eastAsia="en-AU"/>
    </w:rPr>
  </w:style>
  <w:style w:type="paragraph" w:customStyle="1" w:styleId="BodytextBlue">
    <w:name w:val="Body text + Blue"/>
    <w:basedOn w:val="Normal"/>
    <w:uiPriority w:val="99"/>
    <w:rsid w:val="00972B59"/>
    <w:pPr>
      <w:spacing w:before="60" w:after="80"/>
      <w:ind w:left="1134"/>
    </w:pPr>
    <w:rPr>
      <w:rFonts w:ascii="Times New Roman" w:hAnsi="Times New Roman"/>
      <w:color w:val="0000FF"/>
      <w:szCs w:val="20"/>
      <w:lang w:eastAsia="en-AU"/>
    </w:rPr>
  </w:style>
  <w:style w:type="paragraph" w:customStyle="1" w:styleId="HeadC">
    <w:name w:val="Head C"/>
    <w:basedOn w:val="HeadB"/>
    <w:uiPriority w:val="99"/>
    <w:rsid w:val="00972B59"/>
    <w:pPr>
      <w:tabs>
        <w:tab w:val="left" w:pos="1134"/>
      </w:tabs>
    </w:pPr>
    <w:rPr>
      <w:noProof/>
    </w:rPr>
  </w:style>
  <w:style w:type="paragraph" w:customStyle="1" w:styleId="xmsonormal">
    <w:name w:val="x_msonormal"/>
    <w:basedOn w:val="Normal"/>
    <w:uiPriority w:val="99"/>
    <w:rsid w:val="00600025"/>
    <w:pPr>
      <w:spacing w:before="100" w:beforeAutospacing="1" w:after="100" w:afterAutospacing="1"/>
    </w:pPr>
    <w:rPr>
      <w:rFonts w:ascii="Times New Roman" w:hAnsi="Times New Roman"/>
      <w:sz w:val="24"/>
      <w:lang w:eastAsia="en-AU"/>
    </w:rPr>
  </w:style>
  <w:style w:type="table" w:customStyle="1" w:styleId="ListTable31">
    <w:name w:val="List Table 31"/>
    <w:basedOn w:val="TableNormal"/>
    <w:uiPriority w:val="48"/>
    <w:rsid w:val="00A75044"/>
    <w:pPr>
      <w:spacing w:after="0" w:line="240" w:lineRule="auto"/>
      <w:ind w:left="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heading">
    <w:name w:val="Table heading"/>
    <w:basedOn w:val="Normal"/>
    <w:uiPriority w:val="99"/>
    <w:rsid w:val="004C05DA"/>
    <w:pPr>
      <w:suppressAutoHyphens/>
      <w:autoSpaceDE w:val="0"/>
      <w:autoSpaceDN w:val="0"/>
      <w:adjustRightInd w:val="0"/>
      <w:spacing w:after="170" w:line="288" w:lineRule="auto"/>
      <w:textAlignment w:val="center"/>
    </w:pPr>
    <w:rPr>
      <w:rFonts w:ascii="Gotham Medium" w:eastAsia="Calibri" w:hAnsi="Gotham Medium" w:cs="Gotham Medium"/>
      <w:color w:val="FFFFFF"/>
      <w:szCs w:val="20"/>
      <w:lang w:val="en-GB" w:eastAsia="en-AU"/>
    </w:rPr>
  </w:style>
  <w:style w:type="paragraph" w:customStyle="1" w:styleId="BasicParagraph">
    <w:name w:val="[Basic Paragraph]"/>
    <w:basedOn w:val="Normal"/>
    <w:uiPriority w:val="99"/>
    <w:rsid w:val="004C05DA"/>
    <w:pPr>
      <w:suppressAutoHyphens/>
      <w:autoSpaceDE w:val="0"/>
      <w:autoSpaceDN w:val="0"/>
      <w:adjustRightInd w:val="0"/>
      <w:spacing w:after="170" w:line="288" w:lineRule="auto"/>
      <w:textAlignment w:val="center"/>
    </w:pPr>
    <w:rPr>
      <w:rFonts w:ascii="Gotham Book" w:eastAsia="Calibri" w:hAnsi="Gotham Book" w:cs="Gotham Book"/>
      <w:color w:val="000000"/>
      <w:sz w:val="18"/>
      <w:szCs w:val="18"/>
      <w:lang w:val="en-GB" w:eastAsia="en-AU"/>
    </w:rPr>
  </w:style>
  <w:style w:type="table" w:customStyle="1" w:styleId="LightList-Accent61">
    <w:name w:val="Light List - Accent 61"/>
    <w:basedOn w:val="TableNormal"/>
    <w:next w:val="LightList-Accent6"/>
    <w:uiPriority w:val="61"/>
    <w:rsid w:val="004C05DA"/>
    <w:pPr>
      <w:spacing w:after="0" w:line="240" w:lineRule="auto"/>
      <w:ind w:left="0"/>
    </w:pPr>
    <w:rPr>
      <w:rFonts w:ascii="Arial" w:eastAsia="Calibri" w:hAnsi="Arial"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62">
    <w:name w:val="Light List - Accent 62"/>
    <w:basedOn w:val="TableNormal"/>
    <w:next w:val="LightList-Accent6"/>
    <w:uiPriority w:val="61"/>
    <w:rsid w:val="00E139F6"/>
    <w:pPr>
      <w:spacing w:after="0" w:line="240" w:lineRule="auto"/>
      <w:ind w:left="0"/>
    </w:pPr>
    <w:rPr>
      <w:rFonts w:ascii="Arial" w:eastAsia="Calibri" w:hAnsi="Arial"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366">
      <w:bodyDiv w:val="1"/>
      <w:marLeft w:val="0"/>
      <w:marRight w:val="0"/>
      <w:marTop w:val="0"/>
      <w:marBottom w:val="0"/>
      <w:divBdr>
        <w:top w:val="none" w:sz="0" w:space="0" w:color="auto"/>
        <w:left w:val="none" w:sz="0" w:space="0" w:color="auto"/>
        <w:bottom w:val="none" w:sz="0" w:space="0" w:color="auto"/>
        <w:right w:val="none" w:sz="0" w:space="0" w:color="auto"/>
      </w:divBdr>
    </w:div>
    <w:div w:id="58019025">
      <w:bodyDiv w:val="1"/>
      <w:marLeft w:val="0"/>
      <w:marRight w:val="0"/>
      <w:marTop w:val="0"/>
      <w:marBottom w:val="0"/>
      <w:divBdr>
        <w:top w:val="none" w:sz="0" w:space="0" w:color="auto"/>
        <w:left w:val="none" w:sz="0" w:space="0" w:color="auto"/>
        <w:bottom w:val="none" w:sz="0" w:space="0" w:color="auto"/>
        <w:right w:val="none" w:sz="0" w:space="0" w:color="auto"/>
      </w:divBdr>
    </w:div>
    <w:div w:id="81074062">
      <w:bodyDiv w:val="1"/>
      <w:marLeft w:val="0"/>
      <w:marRight w:val="0"/>
      <w:marTop w:val="0"/>
      <w:marBottom w:val="0"/>
      <w:divBdr>
        <w:top w:val="none" w:sz="0" w:space="0" w:color="auto"/>
        <w:left w:val="none" w:sz="0" w:space="0" w:color="auto"/>
        <w:bottom w:val="none" w:sz="0" w:space="0" w:color="auto"/>
        <w:right w:val="none" w:sz="0" w:space="0" w:color="auto"/>
      </w:divBdr>
    </w:div>
    <w:div w:id="144518159">
      <w:bodyDiv w:val="1"/>
      <w:marLeft w:val="0"/>
      <w:marRight w:val="0"/>
      <w:marTop w:val="0"/>
      <w:marBottom w:val="0"/>
      <w:divBdr>
        <w:top w:val="none" w:sz="0" w:space="0" w:color="auto"/>
        <w:left w:val="none" w:sz="0" w:space="0" w:color="auto"/>
        <w:bottom w:val="none" w:sz="0" w:space="0" w:color="auto"/>
        <w:right w:val="none" w:sz="0" w:space="0" w:color="auto"/>
      </w:divBdr>
    </w:div>
    <w:div w:id="155852281">
      <w:bodyDiv w:val="1"/>
      <w:marLeft w:val="0"/>
      <w:marRight w:val="0"/>
      <w:marTop w:val="0"/>
      <w:marBottom w:val="0"/>
      <w:divBdr>
        <w:top w:val="none" w:sz="0" w:space="0" w:color="auto"/>
        <w:left w:val="none" w:sz="0" w:space="0" w:color="auto"/>
        <w:bottom w:val="none" w:sz="0" w:space="0" w:color="auto"/>
        <w:right w:val="none" w:sz="0" w:space="0" w:color="auto"/>
      </w:divBdr>
    </w:div>
    <w:div w:id="171802255">
      <w:bodyDiv w:val="1"/>
      <w:marLeft w:val="0"/>
      <w:marRight w:val="0"/>
      <w:marTop w:val="0"/>
      <w:marBottom w:val="0"/>
      <w:divBdr>
        <w:top w:val="none" w:sz="0" w:space="0" w:color="auto"/>
        <w:left w:val="none" w:sz="0" w:space="0" w:color="auto"/>
        <w:bottom w:val="none" w:sz="0" w:space="0" w:color="auto"/>
        <w:right w:val="none" w:sz="0" w:space="0" w:color="auto"/>
      </w:divBdr>
    </w:div>
    <w:div w:id="190345764">
      <w:bodyDiv w:val="1"/>
      <w:marLeft w:val="0"/>
      <w:marRight w:val="0"/>
      <w:marTop w:val="0"/>
      <w:marBottom w:val="0"/>
      <w:divBdr>
        <w:top w:val="none" w:sz="0" w:space="0" w:color="auto"/>
        <w:left w:val="none" w:sz="0" w:space="0" w:color="auto"/>
        <w:bottom w:val="none" w:sz="0" w:space="0" w:color="auto"/>
        <w:right w:val="none" w:sz="0" w:space="0" w:color="auto"/>
      </w:divBdr>
    </w:div>
    <w:div w:id="194007820">
      <w:bodyDiv w:val="1"/>
      <w:marLeft w:val="0"/>
      <w:marRight w:val="0"/>
      <w:marTop w:val="0"/>
      <w:marBottom w:val="0"/>
      <w:divBdr>
        <w:top w:val="none" w:sz="0" w:space="0" w:color="auto"/>
        <w:left w:val="none" w:sz="0" w:space="0" w:color="auto"/>
        <w:bottom w:val="none" w:sz="0" w:space="0" w:color="auto"/>
        <w:right w:val="none" w:sz="0" w:space="0" w:color="auto"/>
      </w:divBdr>
    </w:div>
    <w:div w:id="244801166">
      <w:bodyDiv w:val="1"/>
      <w:marLeft w:val="0"/>
      <w:marRight w:val="0"/>
      <w:marTop w:val="0"/>
      <w:marBottom w:val="0"/>
      <w:divBdr>
        <w:top w:val="none" w:sz="0" w:space="0" w:color="auto"/>
        <w:left w:val="none" w:sz="0" w:space="0" w:color="auto"/>
        <w:bottom w:val="none" w:sz="0" w:space="0" w:color="auto"/>
        <w:right w:val="none" w:sz="0" w:space="0" w:color="auto"/>
      </w:divBdr>
    </w:div>
    <w:div w:id="302739846">
      <w:bodyDiv w:val="1"/>
      <w:marLeft w:val="0"/>
      <w:marRight w:val="0"/>
      <w:marTop w:val="0"/>
      <w:marBottom w:val="0"/>
      <w:divBdr>
        <w:top w:val="none" w:sz="0" w:space="0" w:color="auto"/>
        <w:left w:val="none" w:sz="0" w:space="0" w:color="auto"/>
        <w:bottom w:val="none" w:sz="0" w:space="0" w:color="auto"/>
        <w:right w:val="none" w:sz="0" w:space="0" w:color="auto"/>
      </w:divBdr>
    </w:div>
    <w:div w:id="311103498">
      <w:bodyDiv w:val="1"/>
      <w:marLeft w:val="0"/>
      <w:marRight w:val="0"/>
      <w:marTop w:val="0"/>
      <w:marBottom w:val="0"/>
      <w:divBdr>
        <w:top w:val="none" w:sz="0" w:space="0" w:color="auto"/>
        <w:left w:val="none" w:sz="0" w:space="0" w:color="auto"/>
        <w:bottom w:val="none" w:sz="0" w:space="0" w:color="auto"/>
        <w:right w:val="none" w:sz="0" w:space="0" w:color="auto"/>
      </w:divBdr>
    </w:div>
    <w:div w:id="333799943">
      <w:bodyDiv w:val="1"/>
      <w:marLeft w:val="0"/>
      <w:marRight w:val="0"/>
      <w:marTop w:val="0"/>
      <w:marBottom w:val="0"/>
      <w:divBdr>
        <w:top w:val="none" w:sz="0" w:space="0" w:color="auto"/>
        <w:left w:val="none" w:sz="0" w:space="0" w:color="auto"/>
        <w:bottom w:val="none" w:sz="0" w:space="0" w:color="auto"/>
        <w:right w:val="none" w:sz="0" w:space="0" w:color="auto"/>
      </w:divBdr>
    </w:div>
    <w:div w:id="338167875">
      <w:bodyDiv w:val="1"/>
      <w:marLeft w:val="0"/>
      <w:marRight w:val="0"/>
      <w:marTop w:val="0"/>
      <w:marBottom w:val="0"/>
      <w:divBdr>
        <w:top w:val="none" w:sz="0" w:space="0" w:color="auto"/>
        <w:left w:val="none" w:sz="0" w:space="0" w:color="auto"/>
        <w:bottom w:val="none" w:sz="0" w:space="0" w:color="auto"/>
        <w:right w:val="none" w:sz="0" w:space="0" w:color="auto"/>
      </w:divBdr>
    </w:div>
    <w:div w:id="349837392">
      <w:bodyDiv w:val="1"/>
      <w:marLeft w:val="0"/>
      <w:marRight w:val="0"/>
      <w:marTop w:val="0"/>
      <w:marBottom w:val="0"/>
      <w:divBdr>
        <w:top w:val="none" w:sz="0" w:space="0" w:color="auto"/>
        <w:left w:val="none" w:sz="0" w:space="0" w:color="auto"/>
        <w:bottom w:val="none" w:sz="0" w:space="0" w:color="auto"/>
        <w:right w:val="none" w:sz="0" w:space="0" w:color="auto"/>
      </w:divBdr>
    </w:div>
    <w:div w:id="350496569">
      <w:bodyDiv w:val="1"/>
      <w:marLeft w:val="0"/>
      <w:marRight w:val="0"/>
      <w:marTop w:val="0"/>
      <w:marBottom w:val="0"/>
      <w:divBdr>
        <w:top w:val="none" w:sz="0" w:space="0" w:color="auto"/>
        <w:left w:val="none" w:sz="0" w:space="0" w:color="auto"/>
        <w:bottom w:val="none" w:sz="0" w:space="0" w:color="auto"/>
        <w:right w:val="none" w:sz="0" w:space="0" w:color="auto"/>
      </w:divBdr>
    </w:div>
    <w:div w:id="375546026">
      <w:bodyDiv w:val="1"/>
      <w:marLeft w:val="0"/>
      <w:marRight w:val="0"/>
      <w:marTop w:val="0"/>
      <w:marBottom w:val="0"/>
      <w:divBdr>
        <w:top w:val="none" w:sz="0" w:space="0" w:color="auto"/>
        <w:left w:val="none" w:sz="0" w:space="0" w:color="auto"/>
        <w:bottom w:val="none" w:sz="0" w:space="0" w:color="auto"/>
        <w:right w:val="none" w:sz="0" w:space="0" w:color="auto"/>
      </w:divBdr>
    </w:div>
    <w:div w:id="505753621">
      <w:bodyDiv w:val="1"/>
      <w:marLeft w:val="0"/>
      <w:marRight w:val="0"/>
      <w:marTop w:val="0"/>
      <w:marBottom w:val="0"/>
      <w:divBdr>
        <w:top w:val="none" w:sz="0" w:space="0" w:color="auto"/>
        <w:left w:val="none" w:sz="0" w:space="0" w:color="auto"/>
        <w:bottom w:val="none" w:sz="0" w:space="0" w:color="auto"/>
        <w:right w:val="none" w:sz="0" w:space="0" w:color="auto"/>
      </w:divBdr>
    </w:div>
    <w:div w:id="518350474">
      <w:bodyDiv w:val="1"/>
      <w:marLeft w:val="0"/>
      <w:marRight w:val="0"/>
      <w:marTop w:val="0"/>
      <w:marBottom w:val="0"/>
      <w:divBdr>
        <w:top w:val="none" w:sz="0" w:space="0" w:color="auto"/>
        <w:left w:val="none" w:sz="0" w:space="0" w:color="auto"/>
        <w:bottom w:val="none" w:sz="0" w:space="0" w:color="auto"/>
        <w:right w:val="none" w:sz="0" w:space="0" w:color="auto"/>
      </w:divBdr>
    </w:div>
    <w:div w:id="575937593">
      <w:bodyDiv w:val="1"/>
      <w:marLeft w:val="0"/>
      <w:marRight w:val="0"/>
      <w:marTop w:val="0"/>
      <w:marBottom w:val="0"/>
      <w:divBdr>
        <w:top w:val="none" w:sz="0" w:space="0" w:color="auto"/>
        <w:left w:val="none" w:sz="0" w:space="0" w:color="auto"/>
        <w:bottom w:val="none" w:sz="0" w:space="0" w:color="auto"/>
        <w:right w:val="none" w:sz="0" w:space="0" w:color="auto"/>
      </w:divBdr>
    </w:div>
    <w:div w:id="599989013">
      <w:bodyDiv w:val="1"/>
      <w:marLeft w:val="0"/>
      <w:marRight w:val="0"/>
      <w:marTop w:val="0"/>
      <w:marBottom w:val="0"/>
      <w:divBdr>
        <w:top w:val="none" w:sz="0" w:space="0" w:color="auto"/>
        <w:left w:val="none" w:sz="0" w:space="0" w:color="auto"/>
        <w:bottom w:val="none" w:sz="0" w:space="0" w:color="auto"/>
        <w:right w:val="none" w:sz="0" w:space="0" w:color="auto"/>
      </w:divBdr>
    </w:div>
    <w:div w:id="608006710">
      <w:bodyDiv w:val="1"/>
      <w:marLeft w:val="0"/>
      <w:marRight w:val="0"/>
      <w:marTop w:val="0"/>
      <w:marBottom w:val="0"/>
      <w:divBdr>
        <w:top w:val="none" w:sz="0" w:space="0" w:color="auto"/>
        <w:left w:val="none" w:sz="0" w:space="0" w:color="auto"/>
        <w:bottom w:val="none" w:sz="0" w:space="0" w:color="auto"/>
        <w:right w:val="none" w:sz="0" w:space="0" w:color="auto"/>
      </w:divBdr>
    </w:div>
    <w:div w:id="615867416">
      <w:bodyDiv w:val="1"/>
      <w:marLeft w:val="0"/>
      <w:marRight w:val="0"/>
      <w:marTop w:val="0"/>
      <w:marBottom w:val="0"/>
      <w:divBdr>
        <w:top w:val="none" w:sz="0" w:space="0" w:color="auto"/>
        <w:left w:val="none" w:sz="0" w:space="0" w:color="auto"/>
        <w:bottom w:val="none" w:sz="0" w:space="0" w:color="auto"/>
        <w:right w:val="none" w:sz="0" w:space="0" w:color="auto"/>
      </w:divBdr>
    </w:div>
    <w:div w:id="665401870">
      <w:bodyDiv w:val="1"/>
      <w:marLeft w:val="0"/>
      <w:marRight w:val="0"/>
      <w:marTop w:val="0"/>
      <w:marBottom w:val="0"/>
      <w:divBdr>
        <w:top w:val="none" w:sz="0" w:space="0" w:color="auto"/>
        <w:left w:val="none" w:sz="0" w:space="0" w:color="auto"/>
        <w:bottom w:val="none" w:sz="0" w:space="0" w:color="auto"/>
        <w:right w:val="none" w:sz="0" w:space="0" w:color="auto"/>
      </w:divBdr>
    </w:div>
    <w:div w:id="669870334">
      <w:bodyDiv w:val="1"/>
      <w:marLeft w:val="0"/>
      <w:marRight w:val="0"/>
      <w:marTop w:val="0"/>
      <w:marBottom w:val="0"/>
      <w:divBdr>
        <w:top w:val="none" w:sz="0" w:space="0" w:color="auto"/>
        <w:left w:val="none" w:sz="0" w:space="0" w:color="auto"/>
        <w:bottom w:val="none" w:sz="0" w:space="0" w:color="auto"/>
        <w:right w:val="none" w:sz="0" w:space="0" w:color="auto"/>
      </w:divBdr>
    </w:div>
    <w:div w:id="727219778">
      <w:bodyDiv w:val="1"/>
      <w:marLeft w:val="0"/>
      <w:marRight w:val="0"/>
      <w:marTop w:val="0"/>
      <w:marBottom w:val="0"/>
      <w:divBdr>
        <w:top w:val="none" w:sz="0" w:space="0" w:color="auto"/>
        <w:left w:val="none" w:sz="0" w:space="0" w:color="auto"/>
        <w:bottom w:val="none" w:sz="0" w:space="0" w:color="auto"/>
        <w:right w:val="none" w:sz="0" w:space="0" w:color="auto"/>
      </w:divBdr>
    </w:div>
    <w:div w:id="745998159">
      <w:bodyDiv w:val="1"/>
      <w:marLeft w:val="0"/>
      <w:marRight w:val="0"/>
      <w:marTop w:val="0"/>
      <w:marBottom w:val="0"/>
      <w:divBdr>
        <w:top w:val="none" w:sz="0" w:space="0" w:color="auto"/>
        <w:left w:val="none" w:sz="0" w:space="0" w:color="auto"/>
        <w:bottom w:val="none" w:sz="0" w:space="0" w:color="auto"/>
        <w:right w:val="none" w:sz="0" w:space="0" w:color="auto"/>
      </w:divBdr>
    </w:div>
    <w:div w:id="776481818">
      <w:bodyDiv w:val="1"/>
      <w:marLeft w:val="0"/>
      <w:marRight w:val="0"/>
      <w:marTop w:val="0"/>
      <w:marBottom w:val="0"/>
      <w:divBdr>
        <w:top w:val="none" w:sz="0" w:space="0" w:color="auto"/>
        <w:left w:val="none" w:sz="0" w:space="0" w:color="auto"/>
        <w:bottom w:val="none" w:sz="0" w:space="0" w:color="auto"/>
        <w:right w:val="none" w:sz="0" w:space="0" w:color="auto"/>
      </w:divBdr>
    </w:div>
    <w:div w:id="834955981">
      <w:bodyDiv w:val="1"/>
      <w:marLeft w:val="0"/>
      <w:marRight w:val="0"/>
      <w:marTop w:val="0"/>
      <w:marBottom w:val="0"/>
      <w:divBdr>
        <w:top w:val="none" w:sz="0" w:space="0" w:color="auto"/>
        <w:left w:val="none" w:sz="0" w:space="0" w:color="auto"/>
        <w:bottom w:val="none" w:sz="0" w:space="0" w:color="auto"/>
        <w:right w:val="none" w:sz="0" w:space="0" w:color="auto"/>
      </w:divBdr>
    </w:div>
    <w:div w:id="882209928">
      <w:bodyDiv w:val="1"/>
      <w:marLeft w:val="0"/>
      <w:marRight w:val="0"/>
      <w:marTop w:val="0"/>
      <w:marBottom w:val="0"/>
      <w:divBdr>
        <w:top w:val="none" w:sz="0" w:space="0" w:color="auto"/>
        <w:left w:val="none" w:sz="0" w:space="0" w:color="auto"/>
        <w:bottom w:val="none" w:sz="0" w:space="0" w:color="auto"/>
        <w:right w:val="none" w:sz="0" w:space="0" w:color="auto"/>
      </w:divBdr>
    </w:div>
    <w:div w:id="888035984">
      <w:bodyDiv w:val="1"/>
      <w:marLeft w:val="0"/>
      <w:marRight w:val="0"/>
      <w:marTop w:val="0"/>
      <w:marBottom w:val="0"/>
      <w:divBdr>
        <w:top w:val="none" w:sz="0" w:space="0" w:color="auto"/>
        <w:left w:val="none" w:sz="0" w:space="0" w:color="auto"/>
        <w:bottom w:val="none" w:sz="0" w:space="0" w:color="auto"/>
        <w:right w:val="none" w:sz="0" w:space="0" w:color="auto"/>
      </w:divBdr>
    </w:div>
    <w:div w:id="923146552">
      <w:bodyDiv w:val="1"/>
      <w:marLeft w:val="0"/>
      <w:marRight w:val="0"/>
      <w:marTop w:val="0"/>
      <w:marBottom w:val="0"/>
      <w:divBdr>
        <w:top w:val="none" w:sz="0" w:space="0" w:color="auto"/>
        <w:left w:val="none" w:sz="0" w:space="0" w:color="auto"/>
        <w:bottom w:val="none" w:sz="0" w:space="0" w:color="auto"/>
        <w:right w:val="none" w:sz="0" w:space="0" w:color="auto"/>
      </w:divBdr>
    </w:div>
    <w:div w:id="997268817">
      <w:bodyDiv w:val="1"/>
      <w:marLeft w:val="0"/>
      <w:marRight w:val="0"/>
      <w:marTop w:val="0"/>
      <w:marBottom w:val="0"/>
      <w:divBdr>
        <w:top w:val="none" w:sz="0" w:space="0" w:color="auto"/>
        <w:left w:val="none" w:sz="0" w:space="0" w:color="auto"/>
        <w:bottom w:val="none" w:sz="0" w:space="0" w:color="auto"/>
        <w:right w:val="none" w:sz="0" w:space="0" w:color="auto"/>
      </w:divBdr>
    </w:div>
    <w:div w:id="1029379353">
      <w:bodyDiv w:val="1"/>
      <w:marLeft w:val="0"/>
      <w:marRight w:val="0"/>
      <w:marTop w:val="0"/>
      <w:marBottom w:val="0"/>
      <w:divBdr>
        <w:top w:val="none" w:sz="0" w:space="0" w:color="auto"/>
        <w:left w:val="none" w:sz="0" w:space="0" w:color="auto"/>
        <w:bottom w:val="none" w:sz="0" w:space="0" w:color="auto"/>
        <w:right w:val="none" w:sz="0" w:space="0" w:color="auto"/>
      </w:divBdr>
    </w:div>
    <w:div w:id="1048191276">
      <w:bodyDiv w:val="1"/>
      <w:marLeft w:val="0"/>
      <w:marRight w:val="0"/>
      <w:marTop w:val="0"/>
      <w:marBottom w:val="0"/>
      <w:divBdr>
        <w:top w:val="none" w:sz="0" w:space="0" w:color="auto"/>
        <w:left w:val="none" w:sz="0" w:space="0" w:color="auto"/>
        <w:bottom w:val="none" w:sz="0" w:space="0" w:color="auto"/>
        <w:right w:val="none" w:sz="0" w:space="0" w:color="auto"/>
      </w:divBdr>
    </w:div>
    <w:div w:id="1101879053">
      <w:bodyDiv w:val="1"/>
      <w:marLeft w:val="0"/>
      <w:marRight w:val="0"/>
      <w:marTop w:val="0"/>
      <w:marBottom w:val="0"/>
      <w:divBdr>
        <w:top w:val="none" w:sz="0" w:space="0" w:color="auto"/>
        <w:left w:val="none" w:sz="0" w:space="0" w:color="auto"/>
        <w:bottom w:val="none" w:sz="0" w:space="0" w:color="auto"/>
        <w:right w:val="none" w:sz="0" w:space="0" w:color="auto"/>
      </w:divBdr>
    </w:div>
    <w:div w:id="1104034237">
      <w:bodyDiv w:val="1"/>
      <w:marLeft w:val="0"/>
      <w:marRight w:val="0"/>
      <w:marTop w:val="0"/>
      <w:marBottom w:val="0"/>
      <w:divBdr>
        <w:top w:val="none" w:sz="0" w:space="0" w:color="auto"/>
        <w:left w:val="none" w:sz="0" w:space="0" w:color="auto"/>
        <w:bottom w:val="none" w:sz="0" w:space="0" w:color="auto"/>
        <w:right w:val="none" w:sz="0" w:space="0" w:color="auto"/>
      </w:divBdr>
    </w:div>
    <w:div w:id="1166092299">
      <w:bodyDiv w:val="1"/>
      <w:marLeft w:val="0"/>
      <w:marRight w:val="0"/>
      <w:marTop w:val="0"/>
      <w:marBottom w:val="0"/>
      <w:divBdr>
        <w:top w:val="none" w:sz="0" w:space="0" w:color="auto"/>
        <w:left w:val="none" w:sz="0" w:space="0" w:color="auto"/>
        <w:bottom w:val="none" w:sz="0" w:space="0" w:color="auto"/>
        <w:right w:val="none" w:sz="0" w:space="0" w:color="auto"/>
      </w:divBdr>
    </w:div>
    <w:div w:id="1180119718">
      <w:bodyDiv w:val="1"/>
      <w:marLeft w:val="0"/>
      <w:marRight w:val="0"/>
      <w:marTop w:val="0"/>
      <w:marBottom w:val="0"/>
      <w:divBdr>
        <w:top w:val="none" w:sz="0" w:space="0" w:color="auto"/>
        <w:left w:val="none" w:sz="0" w:space="0" w:color="auto"/>
        <w:bottom w:val="none" w:sz="0" w:space="0" w:color="auto"/>
        <w:right w:val="none" w:sz="0" w:space="0" w:color="auto"/>
      </w:divBdr>
    </w:div>
    <w:div w:id="1190483594">
      <w:bodyDiv w:val="1"/>
      <w:marLeft w:val="0"/>
      <w:marRight w:val="0"/>
      <w:marTop w:val="0"/>
      <w:marBottom w:val="0"/>
      <w:divBdr>
        <w:top w:val="none" w:sz="0" w:space="0" w:color="auto"/>
        <w:left w:val="none" w:sz="0" w:space="0" w:color="auto"/>
        <w:bottom w:val="none" w:sz="0" w:space="0" w:color="auto"/>
        <w:right w:val="none" w:sz="0" w:space="0" w:color="auto"/>
      </w:divBdr>
    </w:div>
    <w:div w:id="1193686218">
      <w:bodyDiv w:val="1"/>
      <w:marLeft w:val="0"/>
      <w:marRight w:val="0"/>
      <w:marTop w:val="0"/>
      <w:marBottom w:val="0"/>
      <w:divBdr>
        <w:top w:val="none" w:sz="0" w:space="0" w:color="auto"/>
        <w:left w:val="none" w:sz="0" w:space="0" w:color="auto"/>
        <w:bottom w:val="none" w:sz="0" w:space="0" w:color="auto"/>
        <w:right w:val="none" w:sz="0" w:space="0" w:color="auto"/>
      </w:divBdr>
    </w:div>
    <w:div w:id="1263562733">
      <w:bodyDiv w:val="1"/>
      <w:marLeft w:val="0"/>
      <w:marRight w:val="0"/>
      <w:marTop w:val="0"/>
      <w:marBottom w:val="0"/>
      <w:divBdr>
        <w:top w:val="none" w:sz="0" w:space="0" w:color="auto"/>
        <w:left w:val="none" w:sz="0" w:space="0" w:color="auto"/>
        <w:bottom w:val="none" w:sz="0" w:space="0" w:color="auto"/>
        <w:right w:val="none" w:sz="0" w:space="0" w:color="auto"/>
      </w:divBdr>
    </w:div>
    <w:div w:id="1299726685">
      <w:bodyDiv w:val="1"/>
      <w:marLeft w:val="0"/>
      <w:marRight w:val="0"/>
      <w:marTop w:val="0"/>
      <w:marBottom w:val="0"/>
      <w:divBdr>
        <w:top w:val="none" w:sz="0" w:space="0" w:color="auto"/>
        <w:left w:val="none" w:sz="0" w:space="0" w:color="auto"/>
        <w:bottom w:val="none" w:sz="0" w:space="0" w:color="auto"/>
        <w:right w:val="none" w:sz="0" w:space="0" w:color="auto"/>
      </w:divBdr>
    </w:div>
    <w:div w:id="1328286298">
      <w:bodyDiv w:val="1"/>
      <w:marLeft w:val="0"/>
      <w:marRight w:val="0"/>
      <w:marTop w:val="0"/>
      <w:marBottom w:val="0"/>
      <w:divBdr>
        <w:top w:val="none" w:sz="0" w:space="0" w:color="auto"/>
        <w:left w:val="none" w:sz="0" w:space="0" w:color="auto"/>
        <w:bottom w:val="none" w:sz="0" w:space="0" w:color="auto"/>
        <w:right w:val="none" w:sz="0" w:space="0" w:color="auto"/>
      </w:divBdr>
    </w:div>
    <w:div w:id="1333677763">
      <w:bodyDiv w:val="1"/>
      <w:marLeft w:val="0"/>
      <w:marRight w:val="0"/>
      <w:marTop w:val="0"/>
      <w:marBottom w:val="0"/>
      <w:divBdr>
        <w:top w:val="none" w:sz="0" w:space="0" w:color="auto"/>
        <w:left w:val="none" w:sz="0" w:space="0" w:color="auto"/>
        <w:bottom w:val="none" w:sz="0" w:space="0" w:color="auto"/>
        <w:right w:val="none" w:sz="0" w:space="0" w:color="auto"/>
      </w:divBdr>
    </w:div>
    <w:div w:id="1358845063">
      <w:bodyDiv w:val="1"/>
      <w:marLeft w:val="0"/>
      <w:marRight w:val="0"/>
      <w:marTop w:val="0"/>
      <w:marBottom w:val="0"/>
      <w:divBdr>
        <w:top w:val="none" w:sz="0" w:space="0" w:color="auto"/>
        <w:left w:val="none" w:sz="0" w:space="0" w:color="auto"/>
        <w:bottom w:val="none" w:sz="0" w:space="0" w:color="auto"/>
        <w:right w:val="none" w:sz="0" w:space="0" w:color="auto"/>
      </w:divBdr>
    </w:div>
    <w:div w:id="1404909808">
      <w:bodyDiv w:val="1"/>
      <w:marLeft w:val="0"/>
      <w:marRight w:val="0"/>
      <w:marTop w:val="0"/>
      <w:marBottom w:val="0"/>
      <w:divBdr>
        <w:top w:val="none" w:sz="0" w:space="0" w:color="auto"/>
        <w:left w:val="none" w:sz="0" w:space="0" w:color="auto"/>
        <w:bottom w:val="none" w:sz="0" w:space="0" w:color="auto"/>
        <w:right w:val="none" w:sz="0" w:space="0" w:color="auto"/>
      </w:divBdr>
    </w:div>
    <w:div w:id="1412316768">
      <w:bodyDiv w:val="1"/>
      <w:marLeft w:val="0"/>
      <w:marRight w:val="0"/>
      <w:marTop w:val="0"/>
      <w:marBottom w:val="0"/>
      <w:divBdr>
        <w:top w:val="none" w:sz="0" w:space="0" w:color="auto"/>
        <w:left w:val="none" w:sz="0" w:space="0" w:color="auto"/>
        <w:bottom w:val="none" w:sz="0" w:space="0" w:color="auto"/>
        <w:right w:val="none" w:sz="0" w:space="0" w:color="auto"/>
      </w:divBdr>
    </w:div>
    <w:div w:id="1422680216">
      <w:bodyDiv w:val="1"/>
      <w:marLeft w:val="0"/>
      <w:marRight w:val="0"/>
      <w:marTop w:val="0"/>
      <w:marBottom w:val="0"/>
      <w:divBdr>
        <w:top w:val="none" w:sz="0" w:space="0" w:color="auto"/>
        <w:left w:val="none" w:sz="0" w:space="0" w:color="auto"/>
        <w:bottom w:val="none" w:sz="0" w:space="0" w:color="auto"/>
        <w:right w:val="none" w:sz="0" w:space="0" w:color="auto"/>
      </w:divBdr>
    </w:div>
    <w:div w:id="1480027018">
      <w:bodyDiv w:val="1"/>
      <w:marLeft w:val="0"/>
      <w:marRight w:val="0"/>
      <w:marTop w:val="0"/>
      <w:marBottom w:val="0"/>
      <w:divBdr>
        <w:top w:val="none" w:sz="0" w:space="0" w:color="auto"/>
        <w:left w:val="none" w:sz="0" w:space="0" w:color="auto"/>
        <w:bottom w:val="none" w:sz="0" w:space="0" w:color="auto"/>
        <w:right w:val="none" w:sz="0" w:space="0" w:color="auto"/>
      </w:divBdr>
    </w:div>
    <w:div w:id="1499806298">
      <w:bodyDiv w:val="1"/>
      <w:marLeft w:val="0"/>
      <w:marRight w:val="0"/>
      <w:marTop w:val="0"/>
      <w:marBottom w:val="0"/>
      <w:divBdr>
        <w:top w:val="none" w:sz="0" w:space="0" w:color="auto"/>
        <w:left w:val="none" w:sz="0" w:space="0" w:color="auto"/>
        <w:bottom w:val="none" w:sz="0" w:space="0" w:color="auto"/>
        <w:right w:val="none" w:sz="0" w:space="0" w:color="auto"/>
      </w:divBdr>
    </w:div>
    <w:div w:id="1515147308">
      <w:bodyDiv w:val="1"/>
      <w:marLeft w:val="0"/>
      <w:marRight w:val="0"/>
      <w:marTop w:val="0"/>
      <w:marBottom w:val="0"/>
      <w:divBdr>
        <w:top w:val="none" w:sz="0" w:space="0" w:color="auto"/>
        <w:left w:val="none" w:sz="0" w:space="0" w:color="auto"/>
        <w:bottom w:val="none" w:sz="0" w:space="0" w:color="auto"/>
        <w:right w:val="none" w:sz="0" w:space="0" w:color="auto"/>
      </w:divBdr>
    </w:div>
    <w:div w:id="1558469313">
      <w:bodyDiv w:val="1"/>
      <w:marLeft w:val="0"/>
      <w:marRight w:val="0"/>
      <w:marTop w:val="0"/>
      <w:marBottom w:val="0"/>
      <w:divBdr>
        <w:top w:val="none" w:sz="0" w:space="0" w:color="auto"/>
        <w:left w:val="none" w:sz="0" w:space="0" w:color="auto"/>
        <w:bottom w:val="none" w:sz="0" w:space="0" w:color="auto"/>
        <w:right w:val="none" w:sz="0" w:space="0" w:color="auto"/>
      </w:divBdr>
      <w:divsChild>
        <w:div w:id="528181746">
          <w:marLeft w:val="0"/>
          <w:marRight w:val="0"/>
          <w:marTop w:val="0"/>
          <w:marBottom w:val="0"/>
          <w:divBdr>
            <w:top w:val="none" w:sz="0" w:space="0" w:color="auto"/>
            <w:left w:val="none" w:sz="0" w:space="0" w:color="auto"/>
            <w:bottom w:val="none" w:sz="0" w:space="0" w:color="auto"/>
            <w:right w:val="none" w:sz="0" w:space="0" w:color="auto"/>
          </w:divBdr>
        </w:div>
        <w:div w:id="1085371696">
          <w:marLeft w:val="0"/>
          <w:marRight w:val="0"/>
          <w:marTop w:val="0"/>
          <w:marBottom w:val="0"/>
          <w:divBdr>
            <w:top w:val="none" w:sz="0" w:space="0" w:color="auto"/>
            <w:left w:val="none" w:sz="0" w:space="0" w:color="auto"/>
            <w:bottom w:val="none" w:sz="0" w:space="0" w:color="auto"/>
            <w:right w:val="none" w:sz="0" w:space="0" w:color="auto"/>
          </w:divBdr>
          <w:divsChild>
            <w:div w:id="17220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53070">
      <w:bodyDiv w:val="1"/>
      <w:marLeft w:val="0"/>
      <w:marRight w:val="0"/>
      <w:marTop w:val="0"/>
      <w:marBottom w:val="0"/>
      <w:divBdr>
        <w:top w:val="none" w:sz="0" w:space="0" w:color="auto"/>
        <w:left w:val="none" w:sz="0" w:space="0" w:color="auto"/>
        <w:bottom w:val="none" w:sz="0" w:space="0" w:color="auto"/>
        <w:right w:val="none" w:sz="0" w:space="0" w:color="auto"/>
      </w:divBdr>
    </w:div>
    <w:div w:id="1587883124">
      <w:bodyDiv w:val="1"/>
      <w:marLeft w:val="0"/>
      <w:marRight w:val="0"/>
      <w:marTop w:val="0"/>
      <w:marBottom w:val="0"/>
      <w:divBdr>
        <w:top w:val="none" w:sz="0" w:space="0" w:color="auto"/>
        <w:left w:val="none" w:sz="0" w:space="0" w:color="auto"/>
        <w:bottom w:val="none" w:sz="0" w:space="0" w:color="auto"/>
        <w:right w:val="none" w:sz="0" w:space="0" w:color="auto"/>
      </w:divBdr>
    </w:div>
    <w:div w:id="1596091634">
      <w:bodyDiv w:val="1"/>
      <w:marLeft w:val="0"/>
      <w:marRight w:val="0"/>
      <w:marTop w:val="0"/>
      <w:marBottom w:val="0"/>
      <w:divBdr>
        <w:top w:val="none" w:sz="0" w:space="0" w:color="auto"/>
        <w:left w:val="none" w:sz="0" w:space="0" w:color="auto"/>
        <w:bottom w:val="none" w:sz="0" w:space="0" w:color="auto"/>
        <w:right w:val="none" w:sz="0" w:space="0" w:color="auto"/>
      </w:divBdr>
    </w:div>
    <w:div w:id="1608351368">
      <w:bodyDiv w:val="1"/>
      <w:marLeft w:val="0"/>
      <w:marRight w:val="0"/>
      <w:marTop w:val="0"/>
      <w:marBottom w:val="0"/>
      <w:divBdr>
        <w:top w:val="none" w:sz="0" w:space="0" w:color="auto"/>
        <w:left w:val="none" w:sz="0" w:space="0" w:color="auto"/>
        <w:bottom w:val="none" w:sz="0" w:space="0" w:color="auto"/>
        <w:right w:val="none" w:sz="0" w:space="0" w:color="auto"/>
      </w:divBdr>
    </w:div>
    <w:div w:id="1625505762">
      <w:bodyDiv w:val="1"/>
      <w:marLeft w:val="0"/>
      <w:marRight w:val="0"/>
      <w:marTop w:val="0"/>
      <w:marBottom w:val="0"/>
      <w:divBdr>
        <w:top w:val="none" w:sz="0" w:space="0" w:color="auto"/>
        <w:left w:val="none" w:sz="0" w:space="0" w:color="auto"/>
        <w:bottom w:val="none" w:sz="0" w:space="0" w:color="auto"/>
        <w:right w:val="none" w:sz="0" w:space="0" w:color="auto"/>
      </w:divBdr>
    </w:div>
    <w:div w:id="1721400595">
      <w:bodyDiv w:val="1"/>
      <w:marLeft w:val="0"/>
      <w:marRight w:val="0"/>
      <w:marTop w:val="0"/>
      <w:marBottom w:val="0"/>
      <w:divBdr>
        <w:top w:val="none" w:sz="0" w:space="0" w:color="auto"/>
        <w:left w:val="none" w:sz="0" w:space="0" w:color="auto"/>
        <w:bottom w:val="none" w:sz="0" w:space="0" w:color="auto"/>
        <w:right w:val="none" w:sz="0" w:space="0" w:color="auto"/>
      </w:divBdr>
    </w:div>
    <w:div w:id="1736973206">
      <w:bodyDiv w:val="1"/>
      <w:marLeft w:val="0"/>
      <w:marRight w:val="0"/>
      <w:marTop w:val="0"/>
      <w:marBottom w:val="0"/>
      <w:divBdr>
        <w:top w:val="none" w:sz="0" w:space="0" w:color="auto"/>
        <w:left w:val="none" w:sz="0" w:space="0" w:color="auto"/>
        <w:bottom w:val="none" w:sz="0" w:space="0" w:color="auto"/>
        <w:right w:val="none" w:sz="0" w:space="0" w:color="auto"/>
      </w:divBdr>
    </w:div>
    <w:div w:id="1780680601">
      <w:bodyDiv w:val="1"/>
      <w:marLeft w:val="0"/>
      <w:marRight w:val="0"/>
      <w:marTop w:val="0"/>
      <w:marBottom w:val="0"/>
      <w:divBdr>
        <w:top w:val="none" w:sz="0" w:space="0" w:color="auto"/>
        <w:left w:val="none" w:sz="0" w:space="0" w:color="auto"/>
        <w:bottom w:val="none" w:sz="0" w:space="0" w:color="auto"/>
        <w:right w:val="none" w:sz="0" w:space="0" w:color="auto"/>
      </w:divBdr>
    </w:div>
    <w:div w:id="1806434471">
      <w:bodyDiv w:val="1"/>
      <w:marLeft w:val="0"/>
      <w:marRight w:val="0"/>
      <w:marTop w:val="0"/>
      <w:marBottom w:val="0"/>
      <w:divBdr>
        <w:top w:val="none" w:sz="0" w:space="0" w:color="auto"/>
        <w:left w:val="none" w:sz="0" w:space="0" w:color="auto"/>
        <w:bottom w:val="none" w:sz="0" w:space="0" w:color="auto"/>
        <w:right w:val="none" w:sz="0" w:space="0" w:color="auto"/>
      </w:divBdr>
    </w:div>
    <w:div w:id="1839687835">
      <w:bodyDiv w:val="1"/>
      <w:marLeft w:val="0"/>
      <w:marRight w:val="0"/>
      <w:marTop w:val="0"/>
      <w:marBottom w:val="0"/>
      <w:divBdr>
        <w:top w:val="none" w:sz="0" w:space="0" w:color="auto"/>
        <w:left w:val="none" w:sz="0" w:space="0" w:color="auto"/>
        <w:bottom w:val="none" w:sz="0" w:space="0" w:color="auto"/>
        <w:right w:val="none" w:sz="0" w:space="0" w:color="auto"/>
      </w:divBdr>
      <w:divsChild>
        <w:div w:id="1375960766">
          <w:marLeft w:val="0"/>
          <w:marRight w:val="0"/>
          <w:marTop w:val="120"/>
          <w:marBottom w:val="0"/>
          <w:divBdr>
            <w:top w:val="none" w:sz="0" w:space="0" w:color="auto"/>
            <w:left w:val="none" w:sz="0" w:space="0" w:color="auto"/>
            <w:bottom w:val="none" w:sz="0" w:space="0" w:color="auto"/>
            <w:right w:val="none" w:sz="0" w:space="0" w:color="auto"/>
          </w:divBdr>
        </w:div>
        <w:div w:id="2090349491">
          <w:marLeft w:val="0"/>
          <w:marRight w:val="0"/>
          <w:marTop w:val="0"/>
          <w:marBottom w:val="0"/>
          <w:divBdr>
            <w:top w:val="single" w:sz="18" w:space="6" w:color="E1E9EB"/>
            <w:left w:val="none" w:sz="0" w:space="0" w:color="auto"/>
            <w:bottom w:val="none" w:sz="0" w:space="0" w:color="auto"/>
            <w:right w:val="none" w:sz="0" w:space="0" w:color="auto"/>
          </w:divBdr>
        </w:div>
      </w:divsChild>
    </w:div>
    <w:div w:id="1847280772">
      <w:bodyDiv w:val="1"/>
      <w:marLeft w:val="0"/>
      <w:marRight w:val="0"/>
      <w:marTop w:val="0"/>
      <w:marBottom w:val="0"/>
      <w:divBdr>
        <w:top w:val="none" w:sz="0" w:space="0" w:color="auto"/>
        <w:left w:val="none" w:sz="0" w:space="0" w:color="auto"/>
        <w:bottom w:val="none" w:sz="0" w:space="0" w:color="auto"/>
        <w:right w:val="none" w:sz="0" w:space="0" w:color="auto"/>
      </w:divBdr>
    </w:div>
    <w:div w:id="1862160167">
      <w:bodyDiv w:val="1"/>
      <w:marLeft w:val="0"/>
      <w:marRight w:val="0"/>
      <w:marTop w:val="0"/>
      <w:marBottom w:val="0"/>
      <w:divBdr>
        <w:top w:val="none" w:sz="0" w:space="0" w:color="auto"/>
        <w:left w:val="none" w:sz="0" w:space="0" w:color="auto"/>
        <w:bottom w:val="none" w:sz="0" w:space="0" w:color="auto"/>
        <w:right w:val="none" w:sz="0" w:space="0" w:color="auto"/>
      </w:divBdr>
    </w:div>
    <w:div w:id="1900094708">
      <w:bodyDiv w:val="1"/>
      <w:marLeft w:val="0"/>
      <w:marRight w:val="0"/>
      <w:marTop w:val="0"/>
      <w:marBottom w:val="0"/>
      <w:divBdr>
        <w:top w:val="none" w:sz="0" w:space="0" w:color="auto"/>
        <w:left w:val="none" w:sz="0" w:space="0" w:color="auto"/>
        <w:bottom w:val="none" w:sz="0" w:space="0" w:color="auto"/>
        <w:right w:val="none" w:sz="0" w:space="0" w:color="auto"/>
      </w:divBdr>
    </w:div>
    <w:div w:id="1920556886">
      <w:bodyDiv w:val="1"/>
      <w:marLeft w:val="0"/>
      <w:marRight w:val="0"/>
      <w:marTop w:val="0"/>
      <w:marBottom w:val="0"/>
      <w:divBdr>
        <w:top w:val="none" w:sz="0" w:space="0" w:color="auto"/>
        <w:left w:val="none" w:sz="0" w:space="0" w:color="auto"/>
        <w:bottom w:val="none" w:sz="0" w:space="0" w:color="auto"/>
        <w:right w:val="none" w:sz="0" w:space="0" w:color="auto"/>
      </w:divBdr>
    </w:div>
    <w:div w:id="1959337103">
      <w:bodyDiv w:val="1"/>
      <w:marLeft w:val="0"/>
      <w:marRight w:val="0"/>
      <w:marTop w:val="0"/>
      <w:marBottom w:val="0"/>
      <w:divBdr>
        <w:top w:val="none" w:sz="0" w:space="0" w:color="auto"/>
        <w:left w:val="none" w:sz="0" w:space="0" w:color="auto"/>
        <w:bottom w:val="none" w:sz="0" w:space="0" w:color="auto"/>
        <w:right w:val="none" w:sz="0" w:space="0" w:color="auto"/>
      </w:divBdr>
    </w:div>
    <w:div w:id="1997221488">
      <w:bodyDiv w:val="1"/>
      <w:marLeft w:val="0"/>
      <w:marRight w:val="0"/>
      <w:marTop w:val="0"/>
      <w:marBottom w:val="0"/>
      <w:divBdr>
        <w:top w:val="none" w:sz="0" w:space="0" w:color="auto"/>
        <w:left w:val="none" w:sz="0" w:space="0" w:color="auto"/>
        <w:bottom w:val="none" w:sz="0" w:space="0" w:color="auto"/>
        <w:right w:val="none" w:sz="0" w:space="0" w:color="auto"/>
      </w:divBdr>
    </w:div>
    <w:div w:id="1998342734">
      <w:bodyDiv w:val="1"/>
      <w:marLeft w:val="0"/>
      <w:marRight w:val="0"/>
      <w:marTop w:val="0"/>
      <w:marBottom w:val="0"/>
      <w:divBdr>
        <w:top w:val="none" w:sz="0" w:space="0" w:color="auto"/>
        <w:left w:val="none" w:sz="0" w:space="0" w:color="auto"/>
        <w:bottom w:val="none" w:sz="0" w:space="0" w:color="auto"/>
        <w:right w:val="none" w:sz="0" w:space="0" w:color="auto"/>
      </w:divBdr>
    </w:div>
    <w:div w:id="211282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Sheet1!$C$46</c:f>
              <c:strCache>
                <c:ptCount val="1"/>
                <c:pt idx="0">
                  <c:v>weekend</c:v>
                </c:pt>
              </c:strCache>
            </c:strRef>
          </c:tx>
          <c:invertIfNegative val="0"/>
          <c:cat>
            <c:strRef>
              <c:f>Sheet1!$B$47:$B$54</c:f>
              <c:strCache>
                <c:ptCount val="8"/>
                <c:pt idx="0">
                  <c:v>regional visitors</c:v>
                </c:pt>
                <c:pt idx="1">
                  <c:v>under 15</c:v>
                </c:pt>
                <c:pt idx="2">
                  <c:v>interstate visitors</c:v>
                </c:pt>
                <c:pt idx="3">
                  <c:v>international visitors</c:v>
                </c:pt>
                <c:pt idx="4">
                  <c:v>students</c:v>
                </c:pt>
                <c:pt idx="5">
                  <c:v>residents</c:v>
                </c:pt>
                <c:pt idx="6">
                  <c:v>metropolitan visitors</c:v>
                </c:pt>
                <c:pt idx="7">
                  <c:v>workers</c:v>
                </c:pt>
              </c:strCache>
            </c:strRef>
          </c:cat>
          <c:val>
            <c:numRef>
              <c:f>Sheet1!$C$47:$C$54</c:f>
              <c:numCache>
                <c:formatCode>#,##0</c:formatCode>
                <c:ptCount val="8"/>
                <c:pt idx="0">
                  <c:v>8661</c:v>
                </c:pt>
                <c:pt idx="1">
                  <c:v>53863</c:v>
                </c:pt>
                <c:pt idx="2">
                  <c:v>35209</c:v>
                </c:pt>
                <c:pt idx="3">
                  <c:v>51933</c:v>
                </c:pt>
                <c:pt idx="4">
                  <c:v>11245</c:v>
                </c:pt>
                <c:pt idx="5">
                  <c:v>136319</c:v>
                </c:pt>
                <c:pt idx="6">
                  <c:v>275000</c:v>
                </c:pt>
                <c:pt idx="7">
                  <c:v>80144</c:v>
                </c:pt>
              </c:numCache>
            </c:numRef>
          </c:val>
        </c:ser>
        <c:ser>
          <c:idx val="1"/>
          <c:order val="1"/>
          <c:tx>
            <c:strRef>
              <c:f>Sheet1!$D$46</c:f>
              <c:strCache>
                <c:ptCount val="1"/>
                <c:pt idx="0">
                  <c:v>weekday</c:v>
                </c:pt>
              </c:strCache>
            </c:strRef>
          </c:tx>
          <c:invertIfNegative val="0"/>
          <c:cat>
            <c:strRef>
              <c:f>Sheet1!$B$47:$B$54</c:f>
              <c:strCache>
                <c:ptCount val="8"/>
                <c:pt idx="0">
                  <c:v>regional visitors</c:v>
                </c:pt>
                <c:pt idx="1">
                  <c:v>under 15</c:v>
                </c:pt>
                <c:pt idx="2">
                  <c:v>interstate visitors</c:v>
                </c:pt>
                <c:pt idx="3">
                  <c:v>international visitors</c:v>
                </c:pt>
                <c:pt idx="4">
                  <c:v>students</c:v>
                </c:pt>
                <c:pt idx="5">
                  <c:v>residents</c:v>
                </c:pt>
                <c:pt idx="6">
                  <c:v>metropolitan visitors</c:v>
                </c:pt>
                <c:pt idx="7">
                  <c:v>workers</c:v>
                </c:pt>
              </c:strCache>
            </c:strRef>
          </c:cat>
          <c:val>
            <c:numRef>
              <c:f>Sheet1!$D$47:$D$54</c:f>
              <c:numCache>
                <c:formatCode>#,##0</c:formatCode>
                <c:ptCount val="8"/>
                <c:pt idx="0">
                  <c:v>14000</c:v>
                </c:pt>
                <c:pt idx="1">
                  <c:v>32000</c:v>
                </c:pt>
                <c:pt idx="2">
                  <c:v>35000</c:v>
                </c:pt>
                <c:pt idx="3">
                  <c:v>53000</c:v>
                </c:pt>
                <c:pt idx="4">
                  <c:v>78000</c:v>
                </c:pt>
                <c:pt idx="5">
                  <c:v>136000</c:v>
                </c:pt>
                <c:pt idx="6">
                  <c:v>171000</c:v>
                </c:pt>
                <c:pt idx="7">
                  <c:v>384000</c:v>
                </c:pt>
              </c:numCache>
            </c:numRef>
          </c:val>
        </c:ser>
        <c:dLbls>
          <c:showLegendKey val="0"/>
          <c:showVal val="0"/>
          <c:showCatName val="0"/>
          <c:showSerName val="0"/>
          <c:showPercent val="0"/>
          <c:showBubbleSize val="0"/>
        </c:dLbls>
        <c:gapWidth val="150"/>
        <c:axId val="388239360"/>
        <c:axId val="388240896"/>
      </c:barChart>
      <c:catAx>
        <c:axId val="388239360"/>
        <c:scaling>
          <c:orientation val="minMax"/>
        </c:scaling>
        <c:delete val="0"/>
        <c:axPos val="l"/>
        <c:majorTickMark val="out"/>
        <c:minorTickMark val="none"/>
        <c:tickLblPos val="nextTo"/>
        <c:crossAx val="388240896"/>
        <c:crosses val="autoZero"/>
        <c:auto val="1"/>
        <c:lblAlgn val="ctr"/>
        <c:lblOffset val="100"/>
        <c:noMultiLvlLbl val="0"/>
      </c:catAx>
      <c:valAx>
        <c:axId val="388240896"/>
        <c:scaling>
          <c:orientation val="minMax"/>
        </c:scaling>
        <c:delete val="0"/>
        <c:axPos val="b"/>
        <c:numFmt formatCode="#,##0" sourceLinked="1"/>
        <c:majorTickMark val="out"/>
        <c:minorTickMark val="none"/>
        <c:tickLblPos val="nextTo"/>
        <c:crossAx val="388239360"/>
        <c:crosses val="autoZero"/>
        <c:crossBetween val="between"/>
      </c:valAx>
    </c:plotArea>
    <c:legend>
      <c:legendPos val="r"/>
      <c:legendEntry>
        <c:idx val="0"/>
        <c:txPr>
          <a:bodyPr/>
          <a:lstStyle/>
          <a:p>
            <a:pPr>
              <a:defRPr>
                <a:latin typeface="Arial" panose="020B0604020202020204" pitchFamily="34" charset="0"/>
                <a:cs typeface="Arial" panose="020B0604020202020204" pitchFamily="34" charset="0"/>
              </a:defRPr>
            </a:pPr>
            <a:endParaRPr lang="en-US"/>
          </a:p>
        </c:txPr>
      </c:legendEntry>
      <c:legendEntry>
        <c:idx val="1"/>
        <c:txPr>
          <a:bodyPr/>
          <a:lstStyle/>
          <a:p>
            <a:pPr>
              <a:defRPr>
                <a:latin typeface="Arial" panose="020B0604020202020204" pitchFamily="34" charset="0"/>
                <a:cs typeface="Arial" panose="020B0604020202020204" pitchFamily="34" charset="0"/>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3BE20-480C-4D4E-AA0D-21EB505B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34</Pages>
  <Words>9758</Words>
  <Characters>55625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City of MelbournE </vt:lpstr>
    </vt:vector>
  </TitlesOfParts>
  <Company>Microsoft</Company>
  <LinksUpToDate>false</LinksUpToDate>
  <CharactersWithSpaces>65253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MelbournE </dc:title>
  <dc:subject>Reference Document</dc:subject>
  <dc:creator>date</dc:creator>
  <cp:lastModifiedBy>Colin Charman</cp:lastModifiedBy>
  <cp:revision>6</cp:revision>
  <cp:lastPrinted>2017-09-27T01:02:00Z</cp:lastPrinted>
  <dcterms:created xsi:type="dcterms:W3CDTF">2017-10-10T04:17:00Z</dcterms:created>
  <dcterms:modified xsi:type="dcterms:W3CDTF">2018-04-30T00:35:00Z</dcterms:modified>
</cp:coreProperties>
</file>