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14:anchorId="1221D297" wp14:editId="3698ADB1">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4C2A1A" w:rsidRDefault="004C2A1A" w:rsidP="001B51BF">
      <w:pPr>
        <w:pStyle w:val="Subtitle"/>
        <w:rPr>
          <w:color w:val="548DD4" w:themeColor="text2" w:themeTint="99"/>
          <w:sz w:val="40"/>
          <w:szCs w:val="40"/>
        </w:rPr>
      </w:pPr>
    </w:p>
    <w:p w:rsidR="004C2A1A" w:rsidRDefault="004C2A1A" w:rsidP="001B51BF">
      <w:pPr>
        <w:pStyle w:val="Subtitle"/>
        <w:rPr>
          <w:color w:val="548DD4" w:themeColor="text2" w:themeTint="99"/>
          <w:sz w:val="40"/>
          <w:szCs w:val="40"/>
        </w:rPr>
      </w:pPr>
    </w:p>
    <w:p w:rsidR="004C2A1A" w:rsidRDefault="004C2A1A" w:rsidP="001B51BF">
      <w:pPr>
        <w:pStyle w:val="Subtitle"/>
        <w:rPr>
          <w:color w:val="548DD4" w:themeColor="text2" w:themeTint="99"/>
          <w:sz w:val="40"/>
          <w:szCs w:val="40"/>
        </w:rPr>
      </w:pPr>
    </w:p>
    <w:p w:rsidR="004C2A1A" w:rsidRDefault="004C2A1A" w:rsidP="001B51BF">
      <w:pPr>
        <w:pStyle w:val="Subtitle"/>
        <w:rPr>
          <w:color w:val="548DD4" w:themeColor="text2" w:themeTint="99"/>
          <w:sz w:val="40"/>
          <w:szCs w:val="40"/>
        </w:rPr>
      </w:pPr>
      <w:r>
        <w:rPr>
          <w:color w:val="548DD4" w:themeColor="text2" w:themeTint="99"/>
          <w:sz w:val="40"/>
          <w:szCs w:val="40"/>
        </w:rPr>
        <w:t>Community Grants and Partnerships Framework</w:t>
      </w:r>
    </w:p>
    <w:p w:rsidR="00B152AF" w:rsidRPr="00E5089C" w:rsidRDefault="00020B35" w:rsidP="00020B35">
      <w:pPr>
        <w:pStyle w:val="TOCHeading"/>
        <w:rPr>
          <w:rFonts w:hint="eastAsia"/>
        </w:rPr>
      </w:pPr>
      <w:r>
        <w:br w:type="page"/>
      </w:r>
      <w:bookmarkStart w:id="0" w:name="_Toc403992663"/>
      <w:bookmarkStart w:id="1" w:name="_Toc403992345"/>
      <w:bookmarkStart w:id="2" w:name="_Toc403992580"/>
      <w:r w:rsidR="00B152AF" w:rsidRPr="00E5089C">
        <w:t>Contents</w:t>
      </w:r>
      <w:bookmarkEnd w:id="0"/>
    </w:p>
    <w:p w:rsidR="00DF03C6"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516220051" w:history="1">
        <w:r w:rsidR="00DF03C6" w:rsidRPr="00D67062">
          <w:rPr>
            <w:rStyle w:val="Hyperlink"/>
            <w:noProof/>
          </w:rPr>
          <w:t>Context</w:t>
        </w:r>
        <w:r w:rsidR="00DF03C6">
          <w:rPr>
            <w:noProof/>
            <w:webHidden/>
          </w:rPr>
          <w:tab/>
        </w:r>
        <w:r w:rsidR="00DF03C6">
          <w:rPr>
            <w:noProof/>
            <w:webHidden/>
          </w:rPr>
          <w:fldChar w:fldCharType="begin"/>
        </w:r>
        <w:r w:rsidR="00DF03C6">
          <w:rPr>
            <w:noProof/>
            <w:webHidden/>
          </w:rPr>
          <w:instrText xml:space="preserve"> PAGEREF _Toc516220051 \h </w:instrText>
        </w:r>
        <w:r w:rsidR="00DF03C6">
          <w:rPr>
            <w:noProof/>
            <w:webHidden/>
          </w:rPr>
        </w:r>
        <w:r w:rsidR="00DF03C6">
          <w:rPr>
            <w:noProof/>
            <w:webHidden/>
          </w:rPr>
          <w:fldChar w:fldCharType="separate"/>
        </w:r>
        <w:r w:rsidR="00DF03C6">
          <w:rPr>
            <w:noProof/>
            <w:webHidden/>
          </w:rPr>
          <w:t>3</w:t>
        </w:r>
        <w:r w:rsidR="00DF03C6">
          <w:rPr>
            <w:noProof/>
            <w:webHidden/>
          </w:rPr>
          <w:fldChar w:fldCharType="end"/>
        </w:r>
      </w:hyperlink>
    </w:p>
    <w:p w:rsidR="00DF03C6" w:rsidRDefault="000B5BFC">
      <w:pPr>
        <w:pStyle w:val="TOC1"/>
        <w:tabs>
          <w:tab w:val="right" w:leader="dot" w:pos="9769"/>
        </w:tabs>
        <w:rPr>
          <w:rFonts w:asciiTheme="minorHAnsi" w:eastAsiaTheme="minorEastAsia" w:hAnsiTheme="minorHAnsi" w:cstheme="minorBidi"/>
          <w:noProof/>
          <w:sz w:val="22"/>
          <w:szCs w:val="22"/>
          <w:lang w:eastAsia="en-AU"/>
        </w:rPr>
      </w:pPr>
      <w:hyperlink w:anchor="_Toc516220052" w:history="1">
        <w:r w:rsidR="00DF03C6" w:rsidRPr="00D67062">
          <w:rPr>
            <w:rStyle w:val="Hyperlink"/>
            <w:noProof/>
          </w:rPr>
          <w:t>Purpose</w:t>
        </w:r>
        <w:r w:rsidR="00DF03C6">
          <w:rPr>
            <w:noProof/>
            <w:webHidden/>
          </w:rPr>
          <w:tab/>
        </w:r>
        <w:r w:rsidR="00DF03C6">
          <w:rPr>
            <w:noProof/>
            <w:webHidden/>
          </w:rPr>
          <w:fldChar w:fldCharType="begin"/>
        </w:r>
        <w:r w:rsidR="00DF03C6">
          <w:rPr>
            <w:noProof/>
            <w:webHidden/>
          </w:rPr>
          <w:instrText xml:space="preserve"> PAGEREF _Toc516220052 \h </w:instrText>
        </w:r>
        <w:r w:rsidR="00DF03C6">
          <w:rPr>
            <w:noProof/>
            <w:webHidden/>
          </w:rPr>
        </w:r>
        <w:r w:rsidR="00DF03C6">
          <w:rPr>
            <w:noProof/>
            <w:webHidden/>
          </w:rPr>
          <w:fldChar w:fldCharType="separate"/>
        </w:r>
        <w:r w:rsidR="00DF03C6">
          <w:rPr>
            <w:noProof/>
            <w:webHidden/>
          </w:rPr>
          <w:t>3</w:t>
        </w:r>
        <w:r w:rsidR="00DF03C6">
          <w:rPr>
            <w:noProof/>
            <w:webHidden/>
          </w:rPr>
          <w:fldChar w:fldCharType="end"/>
        </w:r>
      </w:hyperlink>
    </w:p>
    <w:p w:rsidR="00DF03C6" w:rsidRDefault="000B5BFC">
      <w:pPr>
        <w:pStyle w:val="TOC1"/>
        <w:tabs>
          <w:tab w:val="right" w:leader="dot" w:pos="9769"/>
        </w:tabs>
        <w:rPr>
          <w:rFonts w:asciiTheme="minorHAnsi" w:eastAsiaTheme="minorEastAsia" w:hAnsiTheme="minorHAnsi" w:cstheme="minorBidi"/>
          <w:noProof/>
          <w:sz w:val="22"/>
          <w:szCs w:val="22"/>
          <w:lang w:eastAsia="en-AU"/>
        </w:rPr>
      </w:pPr>
      <w:hyperlink w:anchor="_Toc516220053" w:history="1">
        <w:r w:rsidR="00DF03C6" w:rsidRPr="00D67062">
          <w:rPr>
            <w:rStyle w:val="Hyperlink"/>
            <w:noProof/>
          </w:rPr>
          <w:t>Principles and Practices</w:t>
        </w:r>
        <w:r w:rsidR="00DF03C6">
          <w:rPr>
            <w:noProof/>
            <w:webHidden/>
          </w:rPr>
          <w:tab/>
        </w:r>
        <w:r w:rsidR="00DF03C6">
          <w:rPr>
            <w:noProof/>
            <w:webHidden/>
          </w:rPr>
          <w:fldChar w:fldCharType="begin"/>
        </w:r>
        <w:r w:rsidR="00DF03C6">
          <w:rPr>
            <w:noProof/>
            <w:webHidden/>
          </w:rPr>
          <w:instrText xml:space="preserve"> PAGEREF _Toc516220053 \h </w:instrText>
        </w:r>
        <w:r w:rsidR="00DF03C6">
          <w:rPr>
            <w:noProof/>
            <w:webHidden/>
          </w:rPr>
        </w:r>
        <w:r w:rsidR="00DF03C6">
          <w:rPr>
            <w:noProof/>
            <w:webHidden/>
          </w:rPr>
          <w:fldChar w:fldCharType="separate"/>
        </w:r>
        <w:r w:rsidR="00DF03C6">
          <w:rPr>
            <w:noProof/>
            <w:webHidden/>
          </w:rPr>
          <w:t>3</w:t>
        </w:r>
        <w:r w:rsidR="00DF03C6">
          <w:rPr>
            <w:noProof/>
            <w:webHidden/>
          </w:rPr>
          <w:fldChar w:fldCharType="end"/>
        </w:r>
      </w:hyperlink>
    </w:p>
    <w:p w:rsidR="00DF03C6" w:rsidRDefault="000B5BFC">
      <w:pPr>
        <w:pStyle w:val="TOC1"/>
        <w:tabs>
          <w:tab w:val="right" w:leader="dot" w:pos="9769"/>
        </w:tabs>
        <w:rPr>
          <w:rFonts w:asciiTheme="minorHAnsi" w:eastAsiaTheme="minorEastAsia" w:hAnsiTheme="minorHAnsi" w:cstheme="minorBidi"/>
          <w:noProof/>
          <w:sz w:val="22"/>
          <w:szCs w:val="22"/>
          <w:lang w:eastAsia="en-AU"/>
        </w:rPr>
      </w:pPr>
      <w:hyperlink w:anchor="_Toc516220054" w:history="1">
        <w:r w:rsidR="00DF03C6" w:rsidRPr="00D67062">
          <w:rPr>
            <w:rStyle w:val="Hyperlink"/>
            <w:noProof/>
          </w:rPr>
          <w:t>Program streams</w:t>
        </w:r>
        <w:r w:rsidR="00DF03C6">
          <w:rPr>
            <w:noProof/>
            <w:webHidden/>
          </w:rPr>
          <w:tab/>
        </w:r>
        <w:r w:rsidR="00DF03C6">
          <w:rPr>
            <w:noProof/>
            <w:webHidden/>
          </w:rPr>
          <w:fldChar w:fldCharType="begin"/>
        </w:r>
        <w:r w:rsidR="00DF03C6">
          <w:rPr>
            <w:noProof/>
            <w:webHidden/>
          </w:rPr>
          <w:instrText xml:space="preserve"> PAGEREF _Toc516220054 \h </w:instrText>
        </w:r>
        <w:r w:rsidR="00DF03C6">
          <w:rPr>
            <w:noProof/>
            <w:webHidden/>
          </w:rPr>
        </w:r>
        <w:r w:rsidR="00DF03C6">
          <w:rPr>
            <w:noProof/>
            <w:webHidden/>
          </w:rPr>
          <w:fldChar w:fldCharType="separate"/>
        </w:r>
        <w:r w:rsidR="00DF03C6">
          <w:rPr>
            <w:noProof/>
            <w:webHidden/>
          </w:rPr>
          <w:t>4</w:t>
        </w:r>
        <w:r w:rsidR="00DF03C6">
          <w:rPr>
            <w:noProof/>
            <w:webHidden/>
          </w:rPr>
          <w:fldChar w:fldCharType="end"/>
        </w:r>
      </w:hyperlink>
    </w:p>
    <w:p w:rsidR="00DF03C6" w:rsidRDefault="000B5BFC">
      <w:pPr>
        <w:pStyle w:val="TOC1"/>
        <w:tabs>
          <w:tab w:val="right" w:leader="dot" w:pos="9769"/>
        </w:tabs>
        <w:rPr>
          <w:rFonts w:asciiTheme="minorHAnsi" w:eastAsiaTheme="minorEastAsia" w:hAnsiTheme="minorHAnsi" w:cstheme="minorBidi"/>
          <w:noProof/>
          <w:sz w:val="22"/>
          <w:szCs w:val="22"/>
          <w:lang w:eastAsia="en-AU"/>
        </w:rPr>
      </w:pPr>
      <w:hyperlink w:anchor="_Toc516220055" w:history="1">
        <w:r w:rsidR="00DF03C6" w:rsidRPr="00D67062">
          <w:rPr>
            <w:rStyle w:val="Hyperlink"/>
            <w:noProof/>
          </w:rPr>
          <w:t>Community Grants and Partnerships Programs</w:t>
        </w:r>
        <w:r w:rsidR="00DF03C6">
          <w:rPr>
            <w:noProof/>
            <w:webHidden/>
          </w:rPr>
          <w:tab/>
        </w:r>
        <w:r w:rsidR="00DF03C6">
          <w:rPr>
            <w:noProof/>
            <w:webHidden/>
          </w:rPr>
          <w:fldChar w:fldCharType="begin"/>
        </w:r>
        <w:r w:rsidR="00DF03C6">
          <w:rPr>
            <w:noProof/>
            <w:webHidden/>
          </w:rPr>
          <w:instrText xml:space="preserve"> PAGEREF _Toc516220055 \h </w:instrText>
        </w:r>
        <w:r w:rsidR="00DF03C6">
          <w:rPr>
            <w:noProof/>
            <w:webHidden/>
          </w:rPr>
        </w:r>
        <w:r w:rsidR="00DF03C6">
          <w:rPr>
            <w:noProof/>
            <w:webHidden/>
          </w:rPr>
          <w:fldChar w:fldCharType="separate"/>
        </w:r>
        <w:r w:rsidR="00DF03C6">
          <w:rPr>
            <w:noProof/>
            <w:webHidden/>
          </w:rPr>
          <w:t>4</w:t>
        </w:r>
        <w:r w:rsidR="00DF03C6">
          <w:rPr>
            <w:noProof/>
            <w:webHidden/>
          </w:rPr>
          <w:fldChar w:fldCharType="end"/>
        </w:r>
      </w:hyperlink>
    </w:p>
    <w:p w:rsidR="00DF03C6" w:rsidRDefault="000B5BFC">
      <w:pPr>
        <w:pStyle w:val="TOC2"/>
        <w:rPr>
          <w:rFonts w:asciiTheme="minorHAnsi" w:eastAsiaTheme="minorEastAsia" w:hAnsiTheme="minorHAnsi" w:cstheme="minorBidi"/>
          <w:noProof/>
          <w:sz w:val="22"/>
          <w:szCs w:val="22"/>
          <w:lang w:eastAsia="en-AU"/>
        </w:rPr>
      </w:pPr>
      <w:hyperlink w:anchor="_Toc516220056" w:history="1">
        <w:r w:rsidR="00DF03C6" w:rsidRPr="00D67062">
          <w:rPr>
            <w:rStyle w:val="Hyperlink"/>
            <w:noProof/>
          </w:rPr>
          <w:t>Connected Communities Grants</w:t>
        </w:r>
        <w:r w:rsidR="00DF03C6">
          <w:rPr>
            <w:noProof/>
            <w:webHidden/>
          </w:rPr>
          <w:tab/>
        </w:r>
        <w:r w:rsidR="00DF03C6">
          <w:rPr>
            <w:noProof/>
            <w:webHidden/>
          </w:rPr>
          <w:fldChar w:fldCharType="begin"/>
        </w:r>
        <w:r w:rsidR="00DF03C6">
          <w:rPr>
            <w:noProof/>
            <w:webHidden/>
          </w:rPr>
          <w:instrText xml:space="preserve"> PAGEREF _Toc516220056 \h </w:instrText>
        </w:r>
        <w:r w:rsidR="00DF03C6">
          <w:rPr>
            <w:noProof/>
            <w:webHidden/>
          </w:rPr>
        </w:r>
        <w:r w:rsidR="00DF03C6">
          <w:rPr>
            <w:noProof/>
            <w:webHidden/>
          </w:rPr>
          <w:fldChar w:fldCharType="separate"/>
        </w:r>
        <w:r w:rsidR="00DF03C6">
          <w:rPr>
            <w:noProof/>
            <w:webHidden/>
          </w:rPr>
          <w:t>5</w:t>
        </w:r>
        <w:r w:rsidR="00DF03C6">
          <w:rPr>
            <w:noProof/>
            <w:webHidden/>
          </w:rPr>
          <w:fldChar w:fldCharType="end"/>
        </w:r>
      </w:hyperlink>
    </w:p>
    <w:p w:rsidR="00DF03C6" w:rsidRDefault="000B5BFC">
      <w:pPr>
        <w:pStyle w:val="TOC2"/>
        <w:rPr>
          <w:rFonts w:asciiTheme="minorHAnsi" w:eastAsiaTheme="minorEastAsia" w:hAnsiTheme="minorHAnsi" w:cstheme="minorBidi"/>
          <w:noProof/>
          <w:sz w:val="22"/>
          <w:szCs w:val="22"/>
          <w:lang w:eastAsia="en-AU"/>
        </w:rPr>
      </w:pPr>
      <w:hyperlink w:anchor="_Toc516220057" w:history="1">
        <w:r w:rsidR="00DF03C6" w:rsidRPr="00D67062">
          <w:rPr>
            <w:rStyle w:val="Hyperlink"/>
            <w:noProof/>
          </w:rPr>
          <w:t>Social Innovation Partnerships</w:t>
        </w:r>
        <w:r w:rsidR="00DF03C6">
          <w:rPr>
            <w:noProof/>
            <w:webHidden/>
          </w:rPr>
          <w:tab/>
        </w:r>
        <w:r w:rsidR="00DF03C6">
          <w:rPr>
            <w:noProof/>
            <w:webHidden/>
          </w:rPr>
          <w:fldChar w:fldCharType="begin"/>
        </w:r>
        <w:r w:rsidR="00DF03C6">
          <w:rPr>
            <w:noProof/>
            <w:webHidden/>
          </w:rPr>
          <w:instrText xml:space="preserve"> PAGEREF _Toc516220057 \h </w:instrText>
        </w:r>
        <w:r w:rsidR="00DF03C6">
          <w:rPr>
            <w:noProof/>
            <w:webHidden/>
          </w:rPr>
        </w:r>
        <w:r w:rsidR="00DF03C6">
          <w:rPr>
            <w:noProof/>
            <w:webHidden/>
          </w:rPr>
          <w:fldChar w:fldCharType="separate"/>
        </w:r>
        <w:r w:rsidR="00DF03C6">
          <w:rPr>
            <w:noProof/>
            <w:webHidden/>
          </w:rPr>
          <w:t>6</w:t>
        </w:r>
        <w:r w:rsidR="00DF03C6">
          <w:rPr>
            <w:noProof/>
            <w:webHidden/>
          </w:rPr>
          <w:fldChar w:fldCharType="end"/>
        </w:r>
      </w:hyperlink>
    </w:p>
    <w:p w:rsidR="00DF03C6" w:rsidRDefault="000B5BFC">
      <w:pPr>
        <w:pStyle w:val="TOC2"/>
        <w:rPr>
          <w:rFonts w:asciiTheme="minorHAnsi" w:eastAsiaTheme="minorEastAsia" w:hAnsiTheme="minorHAnsi" w:cstheme="minorBidi"/>
          <w:noProof/>
          <w:sz w:val="22"/>
          <w:szCs w:val="22"/>
          <w:lang w:eastAsia="en-AU"/>
        </w:rPr>
      </w:pPr>
      <w:hyperlink w:anchor="_Toc516220058" w:history="1">
        <w:r w:rsidR="00DF03C6" w:rsidRPr="00D67062">
          <w:rPr>
            <w:rStyle w:val="Hyperlink"/>
            <w:noProof/>
            <w:lang w:eastAsia="en-AU"/>
          </w:rPr>
          <w:t>Community Funding Agreements</w:t>
        </w:r>
        <w:r w:rsidR="00DF03C6">
          <w:rPr>
            <w:noProof/>
            <w:webHidden/>
          </w:rPr>
          <w:tab/>
        </w:r>
        <w:r w:rsidR="00DF03C6">
          <w:rPr>
            <w:noProof/>
            <w:webHidden/>
          </w:rPr>
          <w:fldChar w:fldCharType="begin"/>
        </w:r>
        <w:r w:rsidR="00DF03C6">
          <w:rPr>
            <w:noProof/>
            <w:webHidden/>
          </w:rPr>
          <w:instrText xml:space="preserve"> PAGEREF _Toc516220058 \h </w:instrText>
        </w:r>
        <w:r w:rsidR="00DF03C6">
          <w:rPr>
            <w:noProof/>
            <w:webHidden/>
          </w:rPr>
        </w:r>
        <w:r w:rsidR="00DF03C6">
          <w:rPr>
            <w:noProof/>
            <w:webHidden/>
          </w:rPr>
          <w:fldChar w:fldCharType="separate"/>
        </w:r>
        <w:r w:rsidR="00DF03C6">
          <w:rPr>
            <w:noProof/>
            <w:webHidden/>
          </w:rPr>
          <w:t>6</w:t>
        </w:r>
        <w:r w:rsidR="00DF03C6">
          <w:rPr>
            <w:noProof/>
            <w:webHidden/>
          </w:rPr>
          <w:fldChar w:fldCharType="end"/>
        </w:r>
      </w:hyperlink>
    </w:p>
    <w:p w:rsidR="00DF03C6" w:rsidRDefault="000B5BFC">
      <w:pPr>
        <w:pStyle w:val="TOC2"/>
        <w:rPr>
          <w:rFonts w:asciiTheme="minorHAnsi" w:eastAsiaTheme="minorEastAsia" w:hAnsiTheme="minorHAnsi" w:cstheme="minorBidi"/>
          <w:noProof/>
          <w:sz w:val="22"/>
          <w:szCs w:val="22"/>
          <w:lang w:eastAsia="en-AU"/>
        </w:rPr>
      </w:pPr>
      <w:hyperlink w:anchor="_Toc516220059" w:history="1">
        <w:r w:rsidR="00DF03C6" w:rsidRPr="00D67062">
          <w:rPr>
            <w:rStyle w:val="Hyperlink"/>
            <w:noProof/>
          </w:rPr>
          <w:t>Partnership &amp; Professional Development</w:t>
        </w:r>
        <w:r w:rsidR="00DF03C6">
          <w:rPr>
            <w:noProof/>
            <w:webHidden/>
          </w:rPr>
          <w:tab/>
        </w:r>
        <w:r w:rsidR="00DF03C6">
          <w:rPr>
            <w:noProof/>
            <w:webHidden/>
          </w:rPr>
          <w:fldChar w:fldCharType="begin"/>
        </w:r>
        <w:r w:rsidR="00DF03C6">
          <w:rPr>
            <w:noProof/>
            <w:webHidden/>
          </w:rPr>
          <w:instrText xml:space="preserve"> PAGEREF _Toc516220059 \h </w:instrText>
        </w:r>
        <w:r w:rsidR="00DF03C6">
          <w:rPr>
            <w:noProof/>
            <w:webHidden/>
          </w:rPr>
        </w:r>
        <w:r w:rsidR="00DF03C6">
          <w:rPr>
            <w:noProof/>
            <w:webHidden/>
          </w:rPr>
          <w:fldChar w:fldCharType="separate"/>
        </w:r>
        <w:r w:rsidR="00DF03C6">
          <w:rPr>
            <w:noProof/>
            <w:webHidden/>
          </w:rPr>
          <w:t>6</w:t>
        </w:r>
        <w:r w:rsidR="00DF03C6">
          <w:rPr>
            <w:noProof/>
            <w:webHidden/>
          </w:rPr>
          <w:fldChar w:fldCharType="end"/>
        </w:r>
      </w:hyperlink>
    </w:p>
    <w:p w:rsidR="00DF03C6" w:rsidRDefault="000B5BFC">
      <w:pPr>
        <w:pStyle w:val="TOC1"/>
        <w:tabs>
          <w:tab w:val="right" w:leader="dot" w:pos="9769"/>
        </w:tabs>
        <w:rPr>
          <w:rFonts w:asciiTheme="minorHAnsi" w:eastAsiaTheme="minorEastAsia" w:hAnsiTheme="minorHAnsi" w:cstheme="minorBidi"/>
          <w:noProof/>
          <w:sz w:val="22"/>
          <w:szCs w:val="22"/>
          <w:lang w:eastAsia="en-AU"/>
        </w:rPr>
      </w:pPr>
      <w:hyperlink w:anchor="_Toc516220060" w:history="1">
        <w:r w:rsidR="00DF03C6" w:rsidRPr="00D67062">
          <w:rPr>
            <w:rStyle w:val="Hyperlink"/>
            <w:noProof/>
          </w:rPr>
          <w:t>What has changed?</w:t>
        </w:r>
        <w:r w:rsidR="00DF03C6">
          <w:rPr>
            <w:noProof/>
            <w:webHidden/>
          </w:rPr>
          <w:tab/>
        </w:r>
        <w:r w:rsidR="00DF03C6">
          <w:rPr>
            <w:noProof/>
            <w:webHidden/>
          </w:rPr>
          <w:fldChar w:fldCharType="begin"/>
        </w:r>
        <w:r w:rsidR="00DF03C6">
          <w:rPr>
            <w:noProof/>
            <w:webHidden/>
          </w:rPr>
          <w:instrText xml:space="preserve"> PAGEREF _Toc516220060 \h </w:instrText>
        </w:r>
        <w:r w:rsidR="00DF03C6">
          <w:rPr>
            <w:noProof/>
            <w:webHidden/>
          </w:rPr>
        </w:r>
        <w:r w:rsidR="00DF03C6">
          <w:rPr>
            <w:noProof/>
            <w:webHidden/>
          </w:rPr>
          <w:fldChar w:fldCharType="separate"/>
        </w:r>
        <w:r w:rsidR="00DF03C6">
          <w:rPr>
            <w:noProof/>
            <w:webHidden/>
          </w:rPr>
          <w:t>7</w:t>
        </w:r>
        <w:r w:rsidR="00DF03C6">
          <w:rPr>
            <w:noProof/>
            <w:webHidden/>
          </w:rPr>
          <w:fldChar w:fldCharType="end"/>
        </w:r>
      </w:hyperlink>
    </w:p>
    <w:p w:rsidR="00DF03C6" w:rsidRDefault="000B5BFC">
      <w:pPr>
        <w:pStyle w:val="TOC1"/>
        <w:tabs>
          <w:tab w:val="right" w:leader="dot" w:pos="9769"/>
        </w:tabs>
        <w:rPr>
          <w:rFonts w:asciiTheme="minorHAnsi" w:eastAsiaTheme="minorEastAsia" w:hAnsiTheme="minorHAnsi" w:cstheme="minorBidi"/>
          <w:noProof/>
          <w:sz w:val="22"/>
          <w:szCs w:val="22"/>
          <w:lang w:eastAsia="en-AU"/>
        </w:rPr>
      </w:pPr>
      <w:hyperlink w:anchor="_Toc516220061" w:history="1">
        <w:r w:rsidR="00DF03C6" w:rsidRPr="00D67062">
          <w:rPr>
            <w:rStyle w:val="Hyperlink"/>
            <w:noProof/>
          </w:rPr>
          <w:t>Community Consultation</w:t>
        </w:r>
        <w:r w:rsidR="00DF03C6">
          <w:rPr>
            <w:noProof/>
            <w:webHidden/>
          </w:rPr>
          <w:tab/>
        </w:r>
        <w:r w:rsidR="00DF03C6">
          <w:rPr>
            <w:noProof/>
            <w:webHidden/>
          </w:rPr>
          <w:fldChar w:fldCharType="begin"/>
        </w:r>
        <w:r w:rsidR="00DF03C6">
          <w:rPr>
            <w:noProof/>
            <w:webHidden/>
          </w:rPr>
          <w:instrText xml:space="preserve"> PAGEREF _Toc516220061 \h </w:instrText>
        </w:r>
        <w:r w:rsidR="00DF03C6">
          <w:rPr>
            <w:noProof/>
            <w:webHidden/>
          </w:rPr>
        </w:r>
        <w:r w:rsidR="00DF03C6">
          <w:rPr>
            <w:noProof/>
            <w:webHidden/>
          </w:rPr>
          <w:fldChar w:fldCharType="separate"/>
        </w:r>
        <w:r w:rsidR="00DF03C6">
          <w:rPr>
            <w:noProof/>
            <w:webHidden/>
          </w:rPr>
          <w:t>10</w:t>
        </w:r>
        <w:r w:rsidR="00DF03C6">
          <w:rPr>
            <w:noProof/>
            <w:webHidden/>
          </w:rPr>
          <w:fldChar w:fldCharType="end"/>
        </w:r>
      </w:hyperlink>
    </w:p>
    <w:p w:rsidR="00BE6801" w:rsidRPr="004C2A1A" w:rsidRDefault="00B152AF" w:rsidP="004C2A1A">
      <w:pPr>
        <w:pStyle w:val="Heading1"/>
        <w:rPr>
          <w:rFonts w:hint="eastAsia"/>
        </w:rPr>
      </w:pPr>
      <w:r>
        <w:rPr>
          <w:noProof/>
        </w:rPr>
        <w:fldChar w:fldCharType="end"/>
      </w:r>
      <w:r>
        <w:rPr>
          <w:rFonts w:hint="eastAsia"/>
        </w:rPr>
        <w:br w:type="page"/>
      </w:r>
      <w:bookmarkStart w:id="3" w:name="_Toc516220051"/>
      <w:bookmarkEnd w:id="1"/>
      <w:bookmarkEnd w:id="2"/>
      <w:r w:rsidR="004C2A1A" w:rsidRPr="004C2A1A">
        <w:t>C</w:t>
      </w:r>
      <w:r w:rsidR="004C2A1A">
        <w:t>ontext</w:t>
      </w:r>
      <w:bookmarkEnd w:id="3"/>
    </w:p>
    <w:p w:rsidR="004C2A1A" w:rsidRDefault="004C2A1A" w:rsidP="004C2A1A">
      <w:pPr>
        <w:pStyle w:val="CoMTOCtext"/>
        <w:spacing w:after="0"/>
        <w:rPr>
          <w:szCs w:val="16"/>
        </w:rPr>
      </w:pPr>
      <w:bookmarkStart w:id="4" w:name="_Toc403992346"/>
      <w:bookmarkStart w:id="5" w:name="_Toc403992581"/>
      <w:bookmarkStart w:id="6" w:name="_Toc419982306"/>
      <w:r>
        <w:rPr>
          <w:szCs w:val="16"/>
        </w:rPr>
        <w:t>Grant making is changing rapidly, particularly in Victoria where the majority of Australian philanthropic and other charities are historically headquartered. Grant makers are increasingly looking to adopt best practice: becoming more deliberate in their intent; recognising the need to be nimble and harness innovation; streamlining processes to improve responsiveness; and placing ever more value on partnerships and leveraged funds.</w:t>
      </w:r>
    </w:p>
    <w:p w:rsidR="004C2A1A" w:rsidRDefault="004C2A1A" w:rsidP="004C2A1A">
      <w:pPr>
        <w:pStyle w:val="CoMTOCtext"/>
        <w:spacing w:after="0"/>
        <w:rPr>
          <w:szCs w:val="16"/>
        </w:rPr>
      </w:pPr>
    </w:p>
    <w:p w:rsidR="004C2A1A" w:rsidRDefault="004C2A1A" w:rsidP="004C2A1A">
      <w:pPr>
        <w:pStyle w:val="CoMTOCtext"/>
        <w:spacing w:after="0"/>
        <w:rPr>
          <w:szCs w:val="16"/>
        </w:rPr>
      </w:pPr>
      <w:r>
        <w:rPr>
          <w:szCs w:val="16"/>
        </w:rPr>
        <w:t>Whilst the community grant programs consistently achieve high quality outcomes, Council recognises the need to continuously improve and is well positioned to adopt these emerging best practice principles.</w:t>
      </w:r>
    </w:p>
    <w:p w:rsidR="004C2A1A" w:rsidRDefault="004C2A1A" w:rsidP="004C2A1A">
      <w:pPr>
        <w:pStyle w:val="Heading1"/>
        <w:rPr>
          <w:rFonts w:hint="eastAsia"/>
        </w:rPr>
      </w:pPr>
      <w:bookmarkStart w:id="7" w:name="_Toc516220052"/>
      <w:r>
        <w:t>Purpose</w:t>
      </w:r>
      <w:bookmarkEnd w:id="7"/>
      <w:r>
        <w:t xml:space="preserve"> </w:t>
      </w:r>
    </w:p>
    <w:p w:rsidR="004C2A1A" w:rsidRDefault="004C2A1A" w:rsidP="004C2A1A">
      <w:pPr>
        <w:pStyle w:val="CoMTOCtext"/>
        <w:spacing w:after="0"/>
        <w:rPr>
          <w:szCs w:val="16"/>
        </w:rPr>
      </w:pPr>
      <w:r>
        <w:rPr>
          <w:szCs w:val="16"/>
        </w:rPr>
        <w:t>Council is committed to ensuring our communities thrive. Through the Community Grants and Partnerships Framework we provide funding, expertise and support to not-for-profit organisations that deliver outcomes aligned to Council Plans. The Community Grants and Partnerships Framework enables Council to:</w:t>
      </w:r>
    </w:p>
    <w:p w:rsidR="004C2A1A" w:rsidRDefault="004C2A1A" w:rsidP="004C2A1A">
      <w:pPr>
        <w:pStyle w:val="CoMTOCtext"/>
        <w:spacing w:after="0"/>
        <w:rPr>
          <w:szCs w:val="16"/>
        </w:rPr>
      </w:pPr>
    </w:p>
    <w:p w:rsidR="004C2A1A" w:rsidRPr="004C2A1A" w:rsidRDefault="004C2A1A" w:rsidP="004C2A1A">
      <w:pPr>
        <w:pStyle w:val="ListBullet"/>
      </w:pPr>
      <w:r w:rsidRPr="004C2A1A">
        <w:t xml:space="preserve">empower our communities to identify and respond to local areas of need  </w:t>
      </w:r>
    </w:p>
    <w:p w:rsidR="004C2A1A" w:rsidRPr="004C2A1A" w:rsidRDefault="004C2A1A" w:rsidP="004C2A1A">
      <w:pPr>
        <w:pStyle w:val="ListBullet"/>
      </w:pPr>
      <w:r w:rsidRPr="004C2A1A">
        <w:t xml:space="preserve">partner with community organisations to deliver shared outcomes </w:t>
      </w:r>
    </w:p>
    <w:p w:rsidR="004C2A1A" w:rsidRPr="004C2A1A" w:rsidRDefault="004C2A1A" w:rsidP="004C2A1A">
      <w:pPr>
        <w:pStyle w:val="ListBullet"/>
      </w:pPr>
      <w:r w:rsidRPr="004C2A1A">
        <w:t>activate community participation amongst residents</w:t>
      </w:r>
    </w:p>
    <w:p w:rsidR="004C2A1A" w:rsidRPr="004C2A1A" w:rsidRDefault="004C2A1A" w:rsidP="004C2A1A">
      <w:pPr>
        <w:pStyle w:val="ListBullet"/>
      </w:pPr>
      <w:r w:rsidRPr="004C2A1A">
        <w:t>build capacity within the community sector</w:t>
      </w:r>
    </w:p>
    <w:p w:rsidR="004C2A1A" w:rsidRDefault="004C2A1A" w:rsidP="004C2A1A">
      <w:pPr>
        <w:pStyle w:val="CoMTOCtext"/>
        <w:spacing w:after="0"/>
        <w:rPr>
          <w:szCs w:val="16"/>
        </w:rPr>
      </w:pPr>
    </w:p>
    <w:p w:rsidR="004C2A1A" w:rsidRDefault="004C2A1A" w:rsidP="004C2A1A">
      <w:pPr>
        <w:pStyle w:val="CoMTOCtext"/>
        <w:spacing w:after="0"/>
        <w:rPr>
          <w:szCs w:val="16"/>
        </w:rPr>
      </w:pPr>
      <w:r>
        <w:rPr>
          <w:szCs w:val="16"/>
        </w:rPr>
        <w:t>Council encourages our communities to take an active role in identifying and responding to social issues. The Community Grants and Partnerships Framework outlines how Council supports community activities and guides our decision making regarding which initiatives and priorities will receive this support.</w:t>
      </w:r>
    </w:p>
    <w:p w:rsidR="004C2A1A" w:rsidRDefault="004C2A1A" w:rsidP="004C2A1A">
      <w:pPr>
        <w:pStyle w:val="CoMTOCtext"/>
        <w:spacing w:after="0"/>
        <w:rPr>
          <w:szCs w:val="16"/>
        </w:rPr>
      </w:pPr>
    </w:p>
    <w:p w:rsidR="004C2A1A" w:rsidRDefault="004C2A1A" w:rsidP="004C2A1A">
      <w:pPr>
        <w:pStyle w:val="CoMTOCtext"/>
        <w:spacing w:after="0"/>
        <w:rPr>
          <w:szCs w:val="16"/>
        </w:rPr>
      </w:pPr>
      <w:r>
        <w:rPr>
          <w:szCs w:val="16"/>
        </w:rPr>
        <w:t>To be eligible for funding under the Community Grants and Partnerships Framework, an organisation must be either a:</w:t>
      </w:r>
    </w:p>
    <w:p w:rsidR="004C2A1A" w:rsidRDefault="004C2A1A" w:rsidP="004C2A1A">
      <w:pPr>
        <w:pStyle w:val="CoMTOCtext"/>
        <w:spacing w:after="0"/>
        <w:rPr>
          <w:szCs w:val="16"/>
        </w:rPr>
      </w:pPr>
    </w:p>
    <w:p w:rsidR="004C2A1A" w:rsidRPr="004C2A1A" w:rsidRDefault="004C2A1A" w:rsidP="004C2A1A">
      <w:pPr>
        <w:pStyle w:val="ListBullet"/>
      </w:pPr>
      <w:r w:rsidRPr="004C2A1A">
        <w:t>not-for-profit organisation (including sporting organisations)</w:t>
      </w:r>
    </w:p>
    <w:p w:rsidR="004C2A1A" w:rsidRPr="004C2A1A" w:rsidRDefault="004C2A1A" w:rsidP="004C2A1A">
      <w:pPr>
        <w:pStyle w:val="ListBullet"/>
      </w:pPr>
      <w:r w:rsidRPr="004C2A1A">
        <w:t>school</w:t>
      </w:r>
    </w:p>
    <w:p w:rsidR="004C2A1A" w:rsidRPr="004C2A1A" w:rsidRDefault="004C2A1A" w:rsidP="004C2A1A">
      <w:pPr>
        <w:pStyle w:val="ListBullet"/>
      </w:pPr>
      <w:r w:rsidRPr="004C2A1A">
        <w:t>social enterprise (for Social Innovation Partnerships only)</w:t>
      </w:r>
    </w:p>
    <w:p w:rsidR="004C2A1A" w:rsidRPr="004C2A1A" w:rsidRDefault="004C2A1A" w:rsidP="004C2A1A">
      <w:pPr>
        <w:pStyle w:val="ListBullet"/>
      </w:pPr>
      <w:r w:rsidRPr="004C2A1A">
        <w:t>body corporate (for community gardens only)</w:t>
      </w:r>
    </w:p>
    <w:p w:rsidR="004C2A1A" w:rsidRDefault="004C2A1A" w:rsidP="004C2A1A">
      <w:pPr>
        <w:rPr>
          <w:rFonts w:asciiTheme="minorHAnsi" w:hAnsiTheme="minorHAnsi"/>
        </w:rPr>
      </w:pPr>
      <w:r>
        <w:rPr>
          <w:rFonts w:cs="Arial"/>
        </w:rPr>
        <w:t>Annual program guidelines for all programs will detail: eligibility criteria, application processes, key dates, assessment criteria, and the assessment process.</w:t>
      </w:r>
    </w:p>
    <w:p w:rsidR="004C2A1A" w:rsidRDefault="003905D5" w:rsidP="004C2A1A">
      <w:pPr>
        <w:pStyle w:val="Heading1"/>
        <w:rPr>
          <w:rFonts w:hint="eastAsia"/>
        </w:rPr>
      </w:pPr>
      <w:bookmarkStart w:id="8" w:name="_Toc516220053"/>
      <w:r>
        <w:rPr>
          <w:rFonts w:hint="eastAsia"/>
        </w:rPr>
        <w:t>Principles and Practices</w:t>
      </w:r>
      <w:bookmarkEnd w:id="8"/>
    </w:p>
    <w:p w:rsidR="003905D5" w:rsidRDefault="003905D5" w:rsidP="003905D5">
      <w:pPr>
        <w:pStyle w:val="CoMTOCtext"/>
      </w:pPr>
      <w:r>
        <w:t xml:space="preserve">The following best practice principles and practices underpin the new Community Grants and Partnerships Framework and inform the priorities for funding: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3119"/>
        <w:gridCol w:w="6237"/>
      </w:tblGrid>
      <w:tr w:rsidR="003905D5" w:rsidRPr="000474AE" w:rsidTr="003905D5">
        <w:trPr>
          <w:tblHeader/>
        </w:trPr>
        <w:tc>
          <w:tcPr>
            <w:tcW w:w="3119" w:type="dxa"/>
            <w:shd w:val="clear" w:color="auto" w:fill="auto"/>
          </w:tcPr>
          <w:p w:rsidR="003905D5" w:rsidRPr="00802A52" w:rsidRDefault="003905D5" w:rsidP="007D2538">
            <w:pPr>
              <w:pStyle w:val="TableofFigures"/>
              <w:rPr>
                <w:rFonts w:eastAsia="Cambria"/>
                <w:b/>
              </w:rPr>
            </w:pPr>
            <w:r>
              <w:rPr>
                <w:rFonts w:eastAsia="Cambria"/>
                <w:b/>
              </w:rPr>
              <w:t>Principle</w:t>
            </w:r>
          </w:p>
        </w:tc>
        <w:tc>
          <w:tcPr>
            <w:tcW w:w="6237" w:type="dxa"/>
            <w:shd w:val="clear" w:color="auto" w:fill="auto"/>
          </w:tcPr>
          <w:p w:rsidR="003905D5" w:rsidRPr="00802A52" w:rsidRDefault="003905D5" w:rsidP="007D2538">
            <w:pPr>
              <w:pStyle w:val="TableofFigures"/>
              <w:rPr>
                <w:rFonts w:eastAsia="Cambria"/>
                <w:b/>
              </w:rPr>
            </w:pPr>
            <w:r>
              <w:rPr>
                <w:rFonts w:eastAsia="Cambria"/>
                <w:b/>
              </w:rPr>
              <w:t>Practice</w:t>
            </w:r>
          </w:p>
        </w:tc>
      </w:tr>
      <w:tr w:rsidR="003905D5" w:rsidRPr="00493E0A" w:rsidTr="003905D5">
        <w:tc>
          <w:tcPr>
            <w:tcW w:w="3119" w:type="dxa"/>
            <w:shd w:val="clear" w:color="auto" w:fill="auto"/>
          </w:tcPr>
          <w:p w:rsidR="003905D5" w:rsidRPr="00802A52" w:rsidRDefault="003905D5" w:rsidP="007D2538">
            <w:pPr>
              <w:pStyle w:val="TableofFigures"/>
              <w:rPr>
                <w:rFonts w:eastAsia="Cambria"/>
              </w:rPr>
            </w:pPr>
            <w:r>
              <w:rPr>
                <w:rFonts w:eastAsia="Cambria"/>
              </w:rPr>
              <w:t>Impact</w:t>
            </w:r>
          </w:p>
        </w:tc>
        <w:tc>
          <w:tcPr>
            <w:tcW w:w="6237" w:type="dxa"/>
            <w:shd w:val="clear" w:color="auto" w:fill="auto"/>
          </w:tcPr>
          <w:p w:rsidR="003905D5" w:rsidRPr="00802A52" w:rsidRDefault="003905D5" w:rsidP="007D2538">
            <w:pPr>
              <w:pStyle w:val="TableofFigures"/>
              <w:rPr>
                <w:rFonts w:eastAsia="Cambria"/>
              </w:rPr>
            </w:pPr>
            <w:r>
              <w:t>We take a purposeful and strategic approach to funding projects that deliver meaningful social impact.</w:t>
            </w:r>
          </w:p>
        </w:tc>
      </w:tr>
      <w:tr w:rsidR="003905D5" w:rsidRPr="00493E0A" w:rsidTr="003905D5">
        <w:tc>
          <w:tcPr>
            <w:tcW w:w="3119" w:type="dxa"/>
            <w:shd w:val="clear" w:color="auto" w:fill="auto"/>
          </w:tcPr>
          <w:p w:rsidR="003905D5" w:rsidRPr="00802A52" w:rsidRDefault="003905D5" w:rsidP="007D2538">
            <w:pPr>
              <w:pStyle w:val="TableofFigures"/>
              <w:rPr>
                <w:rFonts w:eastAsia="Cambria"/>
              </w:rPr>
            </w:pPr>
            <w:r>
              <w:rPr>
                <w:rFonts w:eastAsia="Cambria"/>
              </w:rPr>
              <w:t>Inclusion</w:t>
            </w:r>
          </w:p>
        </w:tc>
        <w:tc>
          <w:tcPr>
            <w:tcW w:w="6237" w:type="dxa"/>
            <w:shd w:val="clear" w:color="auto" w:fill="auto"/>
          </w:tcPr>
          <w:p w:rsidR="003905D5" w:rsidRPr="00802A52" w:rsidRDefault="003905D5" w:rsidP="007D2538">
            <w:pPr>
              <w:pStyle w:val="TableofFigures"/>
              <w:rPr>
                <w:rFonts w:eastAsia="Cambria"/>
              </w:rPr>
            </w:pPr>
            <w:r>
              <w:t>Inclusion, access and participation are the hallmarks of healthy, thriving, prosperous, self-reliant, inclusive and resilient communities.</w:t>
            </w:r>
          </w:p>
        </w:tc>
      </w:tr>
      <w:tr w:rsidR="003905D5" w:rsidRPr="00493E0A" w:rsidTr="003905D5">
        <w:tc>
          <w:tcPr>
            <w:tcW w:w="3119" w:type="dxa"/>
            <w:shd w:val="clear" w:color="auto" w:fill="auto"/>
          </w:tcPr>
          <w:p w:rsidR="003905D5" w:rsidRPr="00802A52" w:rsidRDefault="003905D5" w:rsidP="007D2538">
            <w:pPr>
              <w:pStyle w:val="TableofFigures"/>
              <w:rPr>
                <w:rFonts w:eastAsia="Cambria"/>
              </w:rPr>
            </w:pPr>
            <w:r>
              <w:rPr>
                <w:rFonts w:eastAsia="Cambria"/>
              </w:rPr>
              <w:t>Connection</w:t>
            </w:r>
          </w:p>
        </w:tc>
        <w:tc>
          <w:tcPr>
            <w:tcW w:w="6237" w:type="dxa"/>
            <w:shd w:val="clear" w:color="auto" w:fill="auto"/>
          </w:tcPr>
          <w:p w:rsidR="003905D5" w:rsidRPr="00802A52" w:rsidRDefault="003905D5" w:rsidP="007D2538">
            <w:pPr>
              <w:pStyle w:val="TableofFigures"/>
              <w:rPr>
                <w:rFonts w:eastAsia="Cambria"/>
              </w:rPr>
            </w:pPr>
            <w:r>
              <w:rPr>
                <w:rFonts w:eastAsiaTheme="minorHAnsi" w:cs="Arial"/>
              </w:rPr>
              <w:t>We connect meaningfully with our communities and stakeholders and we foster more connected communities for our residents.</w:t>
            </w:r>
          </w:p>
        </w:tc>
      </w:tr>
      <w:tr w:rsidR="003905D5" w:rsidRPr="00493E0A" w:rsidTr="003905D5">
        <w:tc>
          <w:tcPr>
            <w:tcW w:w="3119" w:type="dxa"/>
            <w:shd w:val="clear" w:color="auto" w:fill="auto"/>
          </w:tcPr>
          <w:p w:rsidR="003905D5" w:rsidRDefault="003905D5" w:rsidP="007D2538">
            <w:pPr>
              <w:pStyle w:val="TableofFigures"/>
              <w:rPr>
                <w:rFonts w:eastAsia="Cambria"/>
              </w:rPr>
            </w:pPr>
            <w:r>
              <w:rPr>
                <w:rFonts w:eastAsia="Cambria"/>
              </w:rPr>
              <w:t>Partnership</w:t>
            </w:r>
          </w:p>
        </w:tc>
        <w:tc>
          <w:tcPr>
            <w:tcW w:w="6237" w:type="dxa"/>
            <w:shd w:val="clear" w:color="auto" w:fill="auto"/>
          </w:tcPr>
          <w:p w:rsidR="003905D5" w:rsidRDefault="003905D5" w:rsidP="007D2538">
            <w:pPr>
              <w:pStyle w:val="TableofFigures"/>
              <w:rPr>
                <w:rFonts w:eastAsiaTheme="minorHAnsi" w:cs="Arial"/>
              </w:rPr>
            </w:pPr>
            <w:r>
              <w:rPr>
                <w:rFonts w:eastAsiaTheme="minorHAnsi" w:cs="Arial"/>
              </w:rPr>
              <w:t>We know we can’t solve tough problems alone. Through collaborative partnerships we work with others to deliver exceptional outcomes.</w:t>
            </w:r>
          </w:p>
        </w:tc>
      </w:tr>
      <w:tr w:rsidR="003905D5" w:rsidRPr="00493E0A" w:rsidTr="003905D5">
        <w:tc>
          <w:tcPr>
            <w:tcW w:w="3119" w:type="dxa"/>
            <w:shd w:val="clear" w:color="auto" w:fill="auto"/>
          </w:tcPr>
          <w:p w:rsidR="003905D5" w:rsidRDefault="003905D5" w:rsidP="007D2538">
            <w:pPr>
              <w:pStyle w:val="TableofFigures"/>
              <w:rPr>
                <w:rFonts w:eastAsia="Cambria"/>
              </w:rPr>
            </w:pPr>
            <w:r>
              <w:rPr>
                <w:rFonts w:eastAsia="Cambria"/>
              </w:rPr>
              <w:t>Innovation</w:t>
            </w:r>
          </w:p>
        </w:tc>
        <w:tc>
          <w:tcPr>
            <w:tcW w:w="6237" w:type="dxa"/>
            <w:shd w:val="clear" w:color="auto" w:fill="auto"/>
          </w:tcPr>
          <w:p w:rsidR="003905D5" w:rsidRDefault="003905D5" w:rsidP="007D2538">
            <w:pPr>
              <w:pStyle w:val="TableofFigures"/>
              <w:rPr>
                <w:rFonts w:eastAsiaTheme="minorHAnsi" w:cs="Arial"/>
              </w:rPr>
            </w:pPr>
            <w:r>
              <w:rPr>
                <w:rFonts w:eastAsiaTheme="minorHAnsi" w:cs="Arial"/>
                <w:szCs w:val="16"/>
              </w:rPr>
              <w:t>Our communities experience constant change. We discover new solutions to changing needs and foster innovation in addressing our social challenges.</w:t>
            </w:r>
          </w:p>
        </w:tc>
      </w:tr>
      <w:tr w:rsidR="003905D5" w:rsidRPr="00493E0A" w:rsidTr="003905D5">
        <w:tc>
          <w:tcPr>
            <w:tcW w:w="3119" w:type="dxa"/>
            <w:shd w:val="clear" w:color="auto" w:fill="auto"/>
          </w:tcPr>
          <w:p w:rsidR="003905D5" w:rsidRDefault="003905D5" w:rsidP="007D2538">
            <w:pPr>
              <w:pStyle w:val="TableofFigures"/>
              <w:rPr>
                <w:rFonts w:eastAsia="Cambria"/>
              </w:rPr>
            </w:pPr>
            <w:r>
              <w:rPr>
                <w:rFonts w:eastAsia="Cambria"/>
              </w:rPr>
              <w:t>Transparency</w:t>
            </w:r>
          </w:p>
        </w:tc>
        <w:tc>
          <w:tcPr>
            <w:tcW w:w="6237" w:type="dxa"/>
            <w:shd w:val="clear" w:color="auto" w:fill="auto"/>
          </w:tcPr>
          <w:p w:rsidR="003905D5" w:rsidRDefault="003905D5" w:rsidP="007D2538">
            <w:pPr>
              <w:pStyle w:val="TableofFigures"/>
              <w:rPr>
                <w:rFonts w:eastAsiaTheme="minorHAnsi" w:cs="Arial"/>
              </w:rPr>
            </w:pPr>
            <w:r>
              <w:rPr>
                <w:rFonts w:eastAsiaTheme="minorHAnsi" w:cs="Arial"/>
                <w:szCs w:val="16"/>
              </w:rPr>
              <w:t>We are transparent in our funding priorities, processes and decisions. All of which are published on our website.</w:t>
            </w:r>
          </w:p>
        </w:tc>
      </w:tr>
    </w:tbl>
    <w:p w:rsidR="003905D5" w:rsidRDefault="003905D5" w:rsidP="003905D5">
      <w:pPr>
        <w:pStyle w:val="Heading1"/>
        <w:rPr>
          <w:rFonts w:hint="eastAsia"/>
        </w:rPr>
      </w:pPr>
      <w:bookmarkStart w:id="9" w:name="_Toc516220054"/>
      <w:r>
        <w:t>Program streams</w:t>
      </w:r>
      <w:bookmarkEnd w:id="9"/>
    </w:p>
    <w:p w:rsidR="003905D5" w:rsidRDefault="003905D5" w:rsidP="003905D5">
      <w:pPr>
        <w:pStyle w:val="CoMTOCtext"/>
      </w:pPr>
      <w:r>
        <w:t xml:space="preserve">The Community Grants and Partnerships Framework supports community connection, social inclusion, and access and participation through the </w:t>
      </w:r>
      <w:r w:rsidRPr="003905D5">
        <w:t>annual Connected Communities grant stream. This stream includes small grants, impact grants, the Community Use of Town Hall Scheme (CUTHS</w:t>
      </w:r>
      <w:r>
        <w:t>), Aboriginal grants and Inclusive Sport and Recreation grants. In order to improve community responsiveness and facilitate timely impact, this grant program balances access to low-scale community funding and stream-lined administrative processes, with clearer grant objectives and a focus on local residents.</w:t>
      </w:r>
    </w:p>
    <w:p w:rsidR="003905D5" w:rsidRDefault="003905D5" w:rsidP="003905D5">
      <w:pPr>
        <w:pStyle w:val="CoMTOCtext"/>
      </w:pPr>
    </w:p>
    <w:p w:rsidR="003905D5" w:rsidRDefault="003905D5" w:rsidP="003905D5">
      <w:pPr>
        <w:pStyle w:val="CoMTOCtext"/>
      </w:pPr>
      <w:r w:rsidRPr="003905D5">
        <w:t>The Social Innovation Partnerships program will direct funding to tackle Council’s big social issues. Funding is provided for two years to support innovative projects and</w:t>
      </w:r>
      <w:r>
        <w:t xml:space="preserve"> social enterprises that address Council’s priority focus areas. Eligibility to apply for a second round of two funding will be limited to projects that demonstrate outcomes and incorporate a growth or replication strategy. These measures will facilitate the piloting of well-developed program ideas and improve access to substantive Council support for more groups.</w:t>
      </w:r>
    </w:p>
    <w:p w:rsidR="003905D5" w:rsidRDefault="003905D5" w:rsidP="003905D5">
      <w:pPr>
        <w:pStyle w:val="CoMTOCtext"/>
      </w:pPr>
    </w:p>
    <w:p w:rsidR="003905D5" w:rsidRDefault="003905D5" w:rsidP="003905D5">
      <w:pPr>
        <w:pStyle w:val="CoMTOCtext"/>
      </w:pPr>
      <w:r>
        <w:t>Neighbourhood Houses partner with Council to deliver critical lifelong learning, community development and social capital outcomes across the municipality. Neighbourhood Houses are a focal point for communities and are sophisticated operations, however funding streams available often do not consider the fixed costs of program delivery</w:t>
      </w:r>
      <w:r w:rsidRPr="003905D5">
        <w:t>. Community Funding Agreements recognise the importance of Council’s long term collaboration with our local Neighbourhood Houses and our ongoing</w:t>
      </w:r>
      <w:r>
        <w:t xml:space="preserve"> commitment to their success.</w:t>
      </w:r>
    </w:p>
    <w:p w:rsidR="003905D5" w:rsidRDefault="003905D5" w:rsidP="003905D5">
      <w:pPr>
        <w:pStyle w:val="CoMTOCtext"/>
      </w:pPr>
    </w:p>
    <w:p w:rsidR="003905D5" w:rsidRDefault="003905D5" w:rsidP="003905D5">
      <w:pPr>
        <w:pStyle w:val="CoMTOCtext"/>
      </w:pPr>
      <w:r>
        <w:t xml:space="preserve">The Community </w:t>
      </w:r>
      <w:r w:rsidRPr="003905D5">
        <w:t>Grants and Partnerships Framework consolidates Council’s commitment to Partnerships with and the Professional Development of stakeholders investing in our communities, including corporate and philanthropic Melbourne.</w:t>
      </w:r>
      <w:r>
        <w:t xml:space="preserve"> Council’s capacity building initiatives go beyond program funding and aim to build capability across the sector by being responsive and flexible to need. By showcasing what works and acting as an interlocker, Council is uniquely positioned to leverage funds and broker connection between social issues, community need, groups capable of responding, and those with means to provide support.</w:t>
      </w:r>
    </w:p>
    <w:p w:rsidR="00E64A10" w:rsidRDefault="00E64A10" w:rsidP="003905D5">
      <w:pPr>
        <w:pStyle w:val="Heading1"/>
        <w:rPr>
          <w:rFonts w:hint="eastAsia"/>
        </w:rPr>
      </w:pPr>
    </w:p>
    <w:p w:rsidR="00E64A10" w:rsidRDefault="00E64A10" w:rsidP="003905D5">
      <w:pPr>
        <w:pStyle w:val="Heading1"/>
        <w:rPr>
          <w:rFonts w:hint="eastAsia"/>
        </w:rPr>
      </w:pPr>
    </w:p>
    <w:p w:rsidR="00E64A10" w:rsidRDefault="00E64A10" w:rsidP="003905D5">
      <w:pPr>
        <w:pStyle w:val="Heading1"/>
        <w:rPr>
          <w:rFonts w:hint="eastAsia"/>
        </w:rPr>
      </w:pPr>
    </w:p>
    <w:p w:rsidR="00DF03C6" w:rsidRDefault="00DF03C6" w:rsidP="003905D5">
      <w:pPr>
        <w:pStyle w:val="Heading1"/>
        <w:rPr>
          <w:rFonts w:hint="eastAsia"/>
        </w:rPr>
      </w:pPr>
      <w:bookmarkStart w:id="10" w:name="_Toc516220055"/>
    </w:p>
    <w:p w:rsidR="003905D5" w:rsidRDefault="003905D5" w:rsidP="003905D5">
      <w:pPr>
        <w:pStyle w:val="Heading1"/>
        <w:rPr>
          <w:rFonts w:hint="eastAsia"/>
        </w:rPr>
      </w:pPr>
      <w:r>
        <w:t>Community Grants and Partnerships Programs</w:t>
      </w:r>
      <w:bookmarkEnd w:id="10"/>
    </w:p>
    <w:tbl>
      <w:tblPr>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20" w:firstRow="1" w:lastRow="0" w:firstColumn="0" w:lastColumn="0" w:noHBand="1" w:noVBand="1"/>
      </w:tblPr>
      <w:tblGrid>
        <w:gridCol w:w="2058"/>
        <w:gridCol w:w="1770"/>
        <w:gridCol w:w="992"/>
        <w:gridCol w:w="1061"/>
        <w:gridCol w:w="4751"/>
      </w:tblGrid>
      <w:tr w:rsidR="001E7A66" w:rsidRPr="00493E0A" w:rsidTr="00DF03C6">
        <w:tc>
          <w:tcPr>
            <w:tcW w:w="10632" w:type="dxa"/>
            <w:gridSpan w:val="5"/>
            <w:shd w:val="clear" w:color="auto" w:fill="auto"/>
          </w:tcPr>
          <w:p w:rsidR="001E7A66" w:rsidRPr="00692A5C" w:rsidRDefault="001E7A66" w:rsidP="001C60A4">
            <w:pPr>
              <w:pStyle w:val="Heading2"/>
              <w:jc w:val="center"/>
              <w:rPr>
                <w:rFonts w:hint="eastAsia"/>
              </w:rPr>
            </w:pPr>
            <w:bookmarkStart w:id="11" w:name="_Toc516220056"/>
            <w:r>
              <w:t>Connected Communities Grants</w:t>
            </w:r>
            <w:bookmarkEnd w:id="11"/>
          </w:p>
          <w:p w:rsidR="001E7A66" w:rsidRPr="00692A5C" w:rsidRDefault="001E7A66" w:rsidP="001E7A66">
            <w:pPr>
              <w:jc w:val="center"/>
              <w:rPr>
                <w:sz w:val="24"/>
              </w:rPr>
            </w:pPr>
            <w:r>
              <w:t>Grants to support community connection, social inclusion, access and participation.</w:t>
            </w:r>
          </w:p>
        </w:tc>
      </w:tr>
      <w:tr w:rsidR="00E64A10" w:rsidRPr="000474AE" w:rsidTr="00DF03C6">
        <w:trPr>
          <w:tblHeader/>
        </w:trPr>
        <w:tc>
          <w:tcPr>
            <w:tcW w:w="2058" w:type="dxa"/>
            <w:shd w:val="clear" w:color="auto" w:fill="auto"/>
          </w:tcPr>
          <w:p w:rsidR="00E64A10" w:rsidRPr="00802A52" w:rsidRDefault="00E64A10" w:rsidP="007D2538">
            <w:pPr>
              <w:pStyle w:val="TableofFigures"/>
              <w:rPr>
                <w:rFonts w:eastAsia="Cambria"/>
                <w:b/>
              </w:rPr>
            </w:pPr>
            <w:r>
              <w:rPr>
                <w:rFonts w:eastAsia="Cambria"/>
                <w:b/>
              </w:rPr>
              <w:t>Community grants and Partnerships Program</w:t>
            </w:r>
          </w:p>
        </w:tc>
        <w:tc>
          <w:tcPr>
            <w:tcW w:w="1770" w:type="dxa"/>
            <w:shd w:val="clear" w:color="auto" w:fill="auto"/>
          </w:tcPr>
          <w:p w:rsidR="00E64A10" w:rsidRPr="00802A52" w:rsidRDefault="00E64A10" w:rsidP="007D2538">
            <w:pPr>
              <w:pStyle w:val="TableofFigures"/>
              <w:rPr>
                <w:rFonts w:eastAsia="Cambria"/>
                <w:b/>
              </w:rPr>
            </w:pPr>
            <w:r>
              <w:rPr>
                <w:rFonts w:eastAsia="Cambria"/>
                <w:b/>
              </w:rPr>
              <w:t>Value</w:t>
            </w:r>
          </w:p>
        </w:tc>
        <w:tc>
          <w:tcPr>
            <w:tcW w:w="992" w:type="dxa"/>
            <w:shd w:val="clear" w:color="auto" w:fill="auto"/>
          </w:tcPr>
          <w:p w:rsidR="00E64A10" w:rsidRPr="00802A52" w:rsidRDefault="00E64A10" w:rsidP="007D2538">
            <w:pPr>
              <w:pStyle w:val="TableofFigures"/>
              <w:rPr>
                <w:rFonts w:eastAsia="Cambria"/>
                <w:b/>
              </w:rPr>
            </w:pPr>
            <w:r>
              <w:rPr>
                <w:rFonts w:eastAsia="Cambria"/>
                <w:b/>
              </w:rPr>
              <w:t>Annual Budget (2018/19)</w:t>
            </w:r>
          </w:p>
        </w:tc>
        <w:tc>
          <w:tcPr>
            <w:tcW w:w="1061" w:type="dxa"/>
            <w:shd w:val="clear" w:color="auto" w:fill="auto"/>
          </w:tcPr>
          <w:p w:rsidR="00E64A10" w:rsidRPr="00802A52" w:rsidRDefault="00E64A10" w:rsidP="007D2538">
            <w:pPr>
              <w:pStyle w:val="TableofFigures"/>
              <w:rPr>
                <w:rFonts w:eastAsia="Cambria"/>
                <w:b/>
              </w:rPr>
            </w:pPr>
            <w:r>
              <w:rPr>
                <w:rFonts w:eastAsia="Cambria"/>
                <w:b/>
              </w:rPr>
              <w:t>Application Round</w:t>
            </w:r>
          </w:p>
        </w:tc>
        <w:tc>
          <w:tcPr>
            <w:tcW w:w="4751" w:type="dxa"/>
          </w:tcPr>
          <w:p w:rsidR="00E64A10" w:rsidRDefault="00E64A10" w:rsidP="007D2538">
            <w:pPr>
              <w:pStyle w:val="TableofFigures"/>
              <w:rPr>
                <w:rFonts w:eastAsia="Cambria"/>
                <w:b/>
              </w:rPr>
            </w:pPr>
            <w:r>
              <w:rPr>
                <w:rFonts w:eastAsia="Cambria"/>
                <w:b/>
              </w:rPr>
              <w:t>Focus area</w:t>
            </w:r>
          </w:p>
        </w:tc>
      </w:tr>
      <w:tr w:rsidR="00E64A10" w:rsidRPr="00493E0A" w:rsidTr="00DF03C6">
        <w:tc>
          <w:tcPr>
            <w:tcW w:w="2058" w:type="dxa"/>
            <w:shd w:val="clear" w:color="auto" w:fill="auto"/>
          </w:tcPr>
          <w:p w:rsidR="00E64A10" w:rsidRPr="001C60A4" w:rsidRDefault="00E64A10" w:rsidP="00E64A10">
            <w:pPr>
              <w:spacing w:after="0" w:line="288" w:lineRule="auto"/>
              <w:rPr>
                <w:rFonts w:eastAsia="Times New Roman" w:cs="Arial"/>
                <w:color w:val="000000"/>
                <w:szCs w:val="20"/>
                <w:lang w:eastAsia="en-AU"/>
              </w:rPr>
            </w:pPr>
            <w:r w:rsidRPr="001C60A4">
              <w:rPr>
                <w:rFonts w:eastAsia="Times New Roman" w:cs="Arial"/>
                <w:color w:val="000000"/>
                <w:szCs w:val="20"/>
                <w:lang w:eastAsia="en-AU"/>
              </w:rPr>
              <w:t>Connected Communities Small Grants</w:t>
            </w:r>
          </w:p>
          <w:p w:rsidR="00E64A10" w:rsidRPr="001C60A4" w:rsidRDefault="00E64A10" w:rsidP="00E64A10">
            <w:pPr>
              <w:pStyle w:val="TableofFigures"/>
              <w:rPr>
                <w:rFonts w:eastAsia="Times New Roman" w:cs="Arial"/>
                <w:szCs w:val="20"/>
                <w:lang w:val="en-AU"/>
              </w:rPr>
            </w:pPr>
            <w:r w:rsidRPr="001C60A4">
              <w:rPr>
                <w:rFonts w:eastAsia="Times New Roman" w:cs="Arial"/>
                <w:szCs w:val="20"/>
                <w:lang w:val="en-AU"/>
              </w:rPr>
              <w:t>(Includes Residents Groups Operational Funding)</w:t>
            </w:r>
          </w:p>
          <w:p w:rsidR="00E64A10" w:rsidRPr="001C60A4" w:rsidRDefault="00E64A10" w:rsidP="00E64A10">
            <w:pPr>
              <w:pStyle w:val="TableofFigures"/>
              <w:rPr>
                <w:rFonts w:eastAsia="Times New Roman" w:cs="Arial"/>
                <w:szCs w:val="20"/>
                <w:lang w:val="en-AU"/>
              </w:rPr>
            </w:pPr>
          </w:p>
          <w:p w:rsidR="00E64A10" w:rsidRPr="001C60A4" w:rsidRDefault="00E64A10" w:rsidP="00E64A10">
            <w:pPr>
              <w:pStyle w:val="TableofFigures"/>
              <w:rPr>
                <w:rFonts w:eastAsia="Cambria"/>
              </w:rPr>
            </w:pPr>
            <w:r w:rsidRPr="001C60A4">
              <w:rPr>
                <w:rFonts w:eastAsia="Times New Roman" w:cs="Arial"/>
                <w:szCs w:val="20"/>
                <w:lang w:val="en-AU"/>
              </w:rPr>
              <w:t>Connected Communities Impact Grants</w:t>
            </w:r>
          </w:p>
        </w:tc>
        <w:tc>
          <w:tcPr>
            <w:tcW w:w="1770" w:type="dxa"/>
            <w:shd w:val="clear" w:color="auto" w:fill="auto"/>
          </w:tcPr>
          <w:p w:rsidR="00E64A10" w:rsidRDefault="00E64A10" w:rsidP="007D2538">
            <w:pPr>
              <w:pStyle w:val="TableofFigures"/>
              <w:rPr>
                <w:rFonts w:eastAsia="Cambria"/>
              </w:rPr>
            </w:pPr>
            <w:r>
              <w:rPr>
                <w:rFonts w:eastAsia="Cambria"/>
              </w:rPr>
              <w:t>Up to $1550</w:t>
            </w:r>
          </w:p>
          <w:p w:rsidR="00E64A10" w:rsidRDefault="00E64A10" w:rsidP="007D2538">
            <w:pPr>
              <w:pStyle w:val="TableofFigures"/>
              <w:rPr>
                <w:rFonts w:eastAsia="Cambria"/>
              </w:rPr>
            </w:pPr>
          </w:p>
          <w:p w:rsidR="00E64A10" w:rsidRDefault="00E64A10" w:rsidP="007D2538">
            <w:pPr>
              <w:pStyle w:val="TableofFigures"/>
              <w:rPr>
                <w:rFonts w:eastAsia="Cambria"/>
              </w:rPr>
            </w:pPr>
          </w:p>
          <w:p w:rsidR="00E64A10" w:rsidRDefault="00E64A10" w:rsidP="007D2538">
            <w:pPr>
              <w:pStyle w:val="TableofFigures"/>
              <w:rPr>
                <w:rFonts w:eastAsia="Cambria"/>
              </w:rPr>
            </w:pPr>
          </w:p>
          <w:p w:rsidR="00E64A10" w:rsidRDefault="00E64A10" w:rsidP="007D2538">
            <w:pPr>
              <w:pStyle w:val="TableofFigures"/>
              <w:rPr>
                <w:rFonts w:eastAsia="Cambria"/>
              </w:rPr>
            </w:pPr>
          </w:p>
          <w:p w:rsidR="00E64A10" w:rsidRDefault="00E64A10" w:rsidP="007D2538">
            <w:pPr>
              <w:pStyle w:val="TableofFigures"/>
              <w:rPr>
                <w:rFonts w:eastAsia="Cambria"/>
              </w:rPr>
            </w:pPr>
          </w:p>
          <w:p w:rsidR="00E64A10" w:rsidRDefault="00E64A10" w:rsidP="007D2538">
            <w:pPr>
              <w:pStyle w:val="TableofFigures"/>
              <w:rPr>
                <w:rFonts w:eastAsia="Cambria"/>
              </w:rPr>
            </w:pPr>
          </w:p>
          <w:p w:rsidR="00E64A10" w:rsidRPr="00802A52" w:rsidRDefault="00E64A10" w:rsidP="007D2538">
            <w:pPr>
              <w:pStyle w:val="TableofFigures"/>
              <w:rPr>
                <w:rFonts w:eastAsia="Cambria"/>
              </w:rPr>
            </w:pPr>
            <w:r>
              <w:rPr>
                <w:rFonts w:eastAsia="Cambria"/>
              </w:rPr>
              <w:t>$1551 to $20,000</w:t>
            </w:r>
          </w:p>
        </w:tc>
        <w:tc>
          <w:tcPr>
            <w:tcW w:w="992" w:type="dxa"/>
            <w:shd w:val="clear" w:color="auto" w:fill="auto"/>
          </w:tcPr>
          <w:p w:rsidR="00E64A10" w:rsidRPr="00802A52" w:rsidRDefault="00E64A10" w:rsidP="007D2538">
            <w:pPr>
              <w:pStyle w:val="TableofFigures"/>
              <w:rPr>
                <w:rFonts w:eastAsia="Cambria"/>
              </w:rPr>
            </w:pPr>
            <w:r>
              <w:rPr>
                <w:rFonts w:eastAsia="Cambria"/>
              </w:rPr>
              <w:t>$500,000</w:t>
            </w:r>
          </w:p>
        </w:tc>
        <w:tc>
          <w:tcPr>
            <w:tcW w:w="1061" w:type="dxa"/>
            <w:shd w:val="clear" w:color="auto" w:fill="auto"/>
          </w:tcPr>
          <w:p w:rsidR="00E64A10" w:rsidRPr="00802A52" w:rsidRDefault="00E64A10" w:rsidP="007D2538">
            <w:pPr>
              <w:pStyle w:val="TableofFigures"/>
              <w:rPr>
                <w:rFonts w:eastAsia="Cambria"/>
              </w:rPr>
            </w:pPr>
            <w:r>
              <w:rPr>
                <w:rFonts w:eastAsia="Cambria"/>
              </w:rPr>
              <w:t>Annual</w:t>
            </w:r>
          </w:p>
        </w:tc>
        <w:tc>
          <w:tcPr>
            <w:tcW w:w="4751" w:type="dxa"/>
          </w:tcPr>
          <w:p w:rsidR="00E64A10" w:rsidRDefault="00E64A10" w:rsidP="00E64A10">
            <w:pPr>
              <w:rPr>
                <w:rFonts w:cs="Arial"/>
              </w:rPr>
            </w:pPr>
            <w:r>
              <w:rPr>
                <w:rFonts w:cs="Arial"/>
              </w:rPr>
              <w:t>Funding may prioritise, but is not limited to supporting vulnerable or high need communities.</w:t>
            </w:r>
          </w:p>
          <w:p w:rsidR="00E64A10" w:rsidRDefault="00E64A10" w:rsidP="00E64A10">
            <w:pPr>
              <w:rPr>
                <w:rFonts w:cs="Arial"/>
              </w:rPr>
            </w:pPr>
            <w:r>
              <w:rPr>
                <w:rFonts w:cs="Arial"/>
              </w:rPr>
              <w:t>Streamlined processes promote responsiveness and reduce the administrative burden on small groups focussed on participation.</w:t>
            </w:r>
          </w:p>
          <w:p w:rsidR="00E64A10" w:rsidRPr="00802A52" w:rsidRDefault="00E64A10" w:rsidP="00E64A10">
            <w:pPr>
              <w:pStyle w:val="TableofFigures"/>
              <w:rPr>
                <w:rFonts w:eastAsia="Cambria"/>
              </w:rPr>
            </w:pPr>
            <w:r>
              <w:rPr>
                <w:rFonts w:cs="Arial"/>
              </w:rPr>
              <w:t>Improved accountability measures ensure substantive funding delivers outcomes and informs the work of Council and our partners.</w:t>
            </w:r>
          </w:p>
        </w:tc>
      </w:tr>
      <w:tr w:rsidR="00E64A10" w:rsidRPr="00493E0A" w:rsidTr="00DF03C6">
        <w:tc>
          <w:tcPr>
            <w:tcW w:w="2058" w:type="dxa"/>
            <w:shd w:val="clear" w:color="auto" w:fill="auto"/>
          </w:tcPr>
          <w:p w:rsidR="00E64A10" w:rsidRPr="001C60A4" w:rsidRDefault="00E64A10" w:rsidP="00E64A10">
            <w:pPr>
              <w:spacing w:after="0" w:line="288" w:lineRule="auto"/>
              <w:rPr>
                <w:rFonts w:eastAsia="Times New Roman" w:cs="Arial"/>
                <w:color w:val="000000"/>
                <w:szCs w:val="20"/>
                <w:lang w:eastAsia="en-AU"/>
              </w:rPr>
            </w:pPr>
            <w:r w:rsidRPr="001C60A4">
              <w:rPr>
                <w:rFonts w:eastAsia="Times New Roman" w:cs="Arial"/>
                <w:color w:val="000000"/>
                <w:szCs w:val="20"/>
                <w:lang w:eastAsia="en-AU"/>
              </w:rPr>
              <w:t>Community Use of Town Hall Scheme (CUTHS)</w:t>
            </w:r>
          </w:p>
          <w:p w:rsidR="00E64A10" w:rsidRPr="001C60A4" w:rsidRDefault="00E64A10" w:rsidP="007D2538">
            <w:pPr>
              <w:pStyle w:val="TableofFigures"/>
              <w:rPr>
                <w:rFonts w:eastAsia="Cambria"/>
              </w:rPr>
            </w:pPr>
          </w:p>
        </w:tc>
        <w:tc>
          <w:tcPr>
            <w:tcW w:w="1770" w:type="dxa"/>
            <w:shd w:val="clear" w:color="auto" w:fill="auto"/>
          </w:tcPr>
          <w:p w:rsidR="00E64A10" w:rsidRPr="00802A52" w:rsidRDefault="00E64A10" w:rsidP="007D2538">
            <w:pPr>
              <w:pStyle w:val="TableofFigures"/>
              <w:rPr>
                <w:rFonts w:eastAsia="Cambria"/>
              </w:rPr>
            </w:pPr>
            <w:r>
              <w:rPr>
                <w:rFonts w:eastAsia="Cambria"/>
              </w:rPr>
              <w:t>Up to $7000</w:t>
            </w:r>
          </w:p>
        </w:tc>
        <w:tc>
          <w:tcPr>
            <w:tcW w:w="992" w:type="dxa"/>
            <w:shd w:val="clear" w:color="auto" w:fill="auto"/>
          </w:tcPr>
          <w:p w:rsidR="00E64A10" w:rsidRPr="00802A52" w:rsidRDefault="00E64A10" w:rsidP="007D2538">
            <w:pPr>
              <w:pStyle w:val="TableofFigures"/>
              <w:rPr>
                <w:rFonts w:eastAsia="Cambria"/>
              </w:rPr>
            </w:pPr>
            <w:r>
              <w:rPr>
                <w:rFonts w:eastAsia="Cambria"/>
              </w:rPr>
              <w:t>$300,000</w:t>
            </w:r>
          </w:p>
        </w:tc>
        <w:tc>
          <w:tcPr>
            <w:tcW w:w="1061" w:type="dxa"/>
            <w:shd w:val="clear" w:color="auto" w:fill="auto"/>
          </w:tcPr>
          <w:p w:rsidR="00E64A10" w:rsidRPr="00802A52" w:rsidRDefault="00E64A10" w:rsidP="007D2538">
            <w:pPr>
              <w:pStyle w:val="TableofFigures"/>
              <w:rPr>
                <w:rFonts w:eastAsia="Cambria"/>
              </w:rPr>
            </w:pPr>
            <w:r>
              <w:rPr>
                <w:rFonts w:eastAsia="Cambria"/>
              </w:rPr>
              <w:t>Monthly</w:t>
            </w:r>
          </w:p>
        </w:tc>
        <w:tc>
          <w:tcPr>
            <w:tcW w:w="4751" w:type="dxa"/>
          </w:tcPr>
          <w:p w:rsidR="00E64A10" w:rsidRPr="00802A52" w:rsidRDefault="00E64A10" w:rsidP="007D2538">
            <w:pPr>
              <w:pStyle w:val="TableofFigures"/>
              <w:rPr>
                <w:rFonts w:eastAsia="Cambria"/>
              </w:rPr>
            </w:pPr>
            <w:r>
              <w:rPr>
                <w:rFonts w:cs="Arial"/>
              </w:rPr>
              <w:t>Grants to enable community groups affordable access to civic spaces.</w:t>
            </w:r>
          </w:p>
        </w:tc>
      </w:tr>
      <w:tr w:rsidR="00E64A10" w:rsidRPr="00493E0A" w:rsidTr="00DF03C6">
        <w:tc>
          <w:tcPr>
            <w:tcW w:w="2058" w:type="dxa"/>
            <w:shd w:val="clear" w:color="auto" w:fill="auto"/>
          </w:tcPr>
          <w:p w:rsidR="00E64A10" w:rsidRPr="001C60A4" w:rsidRDefault="00AB29D9" w:rsidP="007D2538">
            <w:pPr>
              <w:pStyle w:val="TableofFigures"/>
              <w:rPr>
                <w:rFonts w:eastAsia="Cambria"/>
              </w:rPr>
            </w:pPr>
            <w:r w:rsidRPr="001C60A4">
              <w:rPr>
                <w:rFonts w:cs="Arial"/>
              </w:rPr>
              <w:t>Aboriginal Melbourne Grants</w:t>
            </w:r>
          </w:p>
        </w:tc>
        <w:tc>
          <w:tcPr>
            <w:tcW w:w="1770" w:type="dxa"/>
            <w:shd w:val="clear" w:color="auto" w:fill="auto"/>
          </w:tcPr>
          <w:p w:rsidR="00E64A10" w:rsidRPr="00802A52" w:rsidRDefault="00AB29D9" w:rsidP="007D2538">
            <w:pPr>
              <w:pStyle w:val="TableofFigures"/>
              <w:rPr>
                <w:rFonts w:eastAsia="Cambria"/>
              </w:rPr>
            </w:pPr>
            <w:r>
              <w:rPr>
                <w:rFonts w:eastAsia="Cambria"/>
              </w:rPr>
              <w:t>Up to $10,000</w:t>
            </w:r>
          </w:p>
        </w:tc>
        <w:tc>
          <w:tcPr>
            <w:tcW w:w="992" w:type="dxa"/>
            <w:shd w:val="clear" w:color="auto" w:fill="auto"/>
          </w:tcPr>
          <w:p w:rsidR="00E64A10" w:rsidRPr="00802A52" w:rsidRDefault="00AB29D9" w:rsidP="007D2538">
            <w:pPr>
              <w:pStyle w:val="TableofFigures"/>
              <w:rPr>
                <w:rFonts w:eastAsia="Cambria"/>
              </w:rPr>
            </w:pPr>
            <w:r>
              <w:rPr>
                <w:rFonts w:eastAsia="Cambria"/>
              </w:rPr>
              <w:t>$40,000</w:t>
            </w:r>
          </w:p>
        </w:tc>
        <w:tc>
          <w:tcPr>
            <w:tcW w:w="1061" w:type="dxa"/>
            <w:shd w:val="clear" w:color="auto" w:fill="auto"/>
          </w:tcPr>
          <w:p w:rsidR="00E64A10" w:rsidRPr="00802A52" w:rsidRDefault="00AB29D9" w:rsidP="007D2538">
            <w:pPr>
              <w:pStyle w:val="TableofFigures"/>
              <w:rPr>
                <w:rFonts w:eastAsia="Cambria"/>
              </w:rPr>
            </w:pPr>
            <w:r>
              <w:rPr>
                <w:rFonts w:eastAsia="Cambria"/>
              </w:rPr>
              <w:t>Monthly</w:t>
            </w:r>
          </w:p>
        </w:tc>
        <w:tc>
          <w:tcPr>
            <w:tcW w:w="4751" w:type="dxa"/>
          </w:tcPr>
          <w:p w:rsidR="00E64A10" w:rsidRPr="00802A52" w:rsidRDefault="00AB29D9" w:rsidP="007D2538">
            <w:pPr>
              <w:pStyle w:val="TableofFigures"/>
              <w:rPr>
                <w:rFonts w:eastAsia="Cambria"/>
              </w:rPr>
            </w:pPr>
            <w:r>
              <w:rPr>
                <w:rFonts w:cs="Arial"/>
              </w:rPr>
              <w:t>Grants to support and empower Aboriginal and Torres Strait Islander people to engage, connect and take local action within City of Melbourne.</w:t>
            </w:r>
          </w:p>
        </w:tc>
      </w:tr>
      <w:tr w:rsidR="00AB29D9" w:rsidRPr="00493E0A" w:rsidTr="00DF03C6">
        <w:tc>
          <w:tcPr>
            <w:tcW w:w="2058" w:type="dxa"/>
            <w:shd w:val="clear" w:color="auto" w:fill="auto"/>
          </w:tcPr>
          <w:p w:rsidR="00AB29D9" w:rsidRPr="001C60A4" w:rsidRDefault="00AB29D9" w:rsidP="00AB29D9">
            <w:pPr>
              <w:spacing w:after="0" w:line="288" w:lineRule="auto"/>
              <w:rPr>
                <w:rFonts w:eastAsia="Times New Roman" w:cs="Arial"/>
                <w:color w:val="000000"/>
                <w:szCs w:val="20"/>
                <w:lang w:eastAsia="en-AU"/>
              </w:rPr>
            </w:pPr>
            <w:r w:rsidRPr="001C60A4">
              <w:rPr>
                <w:rFonts w:eastAsia="Times New Roman" w:cs="Arial"/>
                <w:color w:val="000000"/>
                <w:szCs w:val="20"/>
                <w:lang w:eastAsia="en-AU"/>
              </w:rPr>
              <w:t>Inclusive Sport and Recreation Grants</w:t>
            </w:r>
          </w:p>
          <w:p w:rsidR="00AB29D9" w:rsidRPr="001C60A4" w:rsidRDefault="00AB29D9" w:rsidP="007D2538">
            <w:pPr>
              <w:pStyle w:val="TableofFigures"/>
              <w:rPr>
                <w:rFonts w:cs="Arial"/>
              </w:rPr>
            </w:pPr>
          </w:p>
          <w:p w:rsidR="00AB29D9" w:rsidRPr="001C60A4" w:rsidRDefault="00AB29D9" w:rsidP="00AB29D9">
            <w:pPr>
              <w:rPr>
                <w:rFonts w:cs="Arial"/>
              </w:rPr>
            </w:pPr>
            <w:r w:rsidRPr="001C60A4">
              <w:rPr>
                <w:rFonts w:cs="Arial"/>
              </w:rPr>
              <w:t>Category 1: Inclusion Support Grants (ISG)</w:t>
            </w:r>
          </w:p>
          <w:p w:rsidR="00AB29D9" w:rsidRPr="001C60A4" w:rsidRDefault="00AB29D9" w:rsidP="00AB29D9">
            <w:pPr>
              <w:rPr>
                <w:rFonts w:cs="Arial"/>
              </w:rPr>
            </w:pPr>
            <w:r w:rsidRPr="001C60A4">
              <w:rPr>
                <w:rFonts w:cs="Arial"/>
              </w:rPr>
              <w:t>Category 2: Individual Participation Grants (IPG)</w:t>
            </w:r>
          </w:p>
        </w:tc>
        <w:tc>
          <w:tcPr>
            <w:tcW w:w="1770" w:type="dxa"/>
            <w:shd w:val="clear" w:color="auto" w:fill="auto"/>
          </w:tcPr>
          <w:p w:rsidR="00AB29D9" w:rsidRPr="00AB29D9" w:rsidRDefault="00AB29D9" w:rsidP="003374DE">
            <w:pPr>
              <w:tabs>
                <w:tab w:val="num" w:pos="12"/>
              </w:tabs>
              <w:spacing w:before="40" w:after="0" w:line="288" w:lineRule="auto"/>
              <w:ind w:left="12" w:right="113"/>
              <w:rPr>
                <w:rFonts w:eastAsia="Times New Roman"/>
                <w:color w:val="000000"/>
                <w:szCs w:val="20"/>
                <w:lang w:eastAsia="en-AU"/>
              </w:rPr>
            </w:pPr>
            <w:r>
              <w:rPr>
                <w:rFonts w:eastAsia="Times New Roman"/>
                <w:color w:val="000000"/>
                <w:szCs w:val="20"/>
                <w:lang w:eastAsia="en-AU"/>
              </w:rPr>
              <w:t xml:space="preserve">ISG up to </w:t>
            </w:r>
            <w:r w:rsidRPr="00AB29D9">
              <w:rPr>
                <w:rFonts w:eastAsia="Times New Roman"/>
                <w:color w:val="000000"/>
                <w:szCs w:val="20"/>
                <w:lang w:eastAsia="en-AU"/>
              </w:rPr>
              <w:t xml:space="preserve">$500 </w:t>
            </w:r>
          </w:p>
          <w:p w:rsidR="00AB29D9" w:rsidRPr="00AB29D9" w:rsidRDefault="00AB29D9" w:rsidP="00AB29D9">
            <w:pPr>
              <w:tabs>
                <w:tab w:val="num" w:pos="198"/>
              </w:tabs>
              <w:spacing w:before="40" w:after="0" w:line="288" w:lineRule="auto"/>
              <w:ind w:left="198" w:right="113" w:hanging="170"/>
              <w:rPr>
                <w:rFonts w:eastAsia="Times New Roman"/>
                <w:color w:val="000000"/>
                <w:szCs w:val="20"/>
                <w:lang w:eastAsia="en-AU"/>
              </w:rPr>
            </w:pPr>
            <w:r w:rsidRPr="00AB29D9">
              <w:rPr>
                <w:rFonts w:eastAsia="Times New Roman"/>
                <w:color w:val="000000"/>
                <w:szCs w:val="20"/>
                <w:lang w:eastAsia="en-AU"/>
              </w:rPr>
              <w:t>IPG:</w:t>
            </w:r>
          </w:p>
          <w:p w:rsidR="00AB29D9" w:rsidRPr="00AB29D9" w:rsidRDefault="00AB29D9" w:rsidP="00AB29D9">
            <w:pPr>
              <w:spacing w:after="0" w:line="288" w:lineRule="auto"/>
              <w:ind w:left="12" w:hanging="12"/>
              <w:rPr>
                <w:rFonts w:eastAsia="Times New Roman" w:cs="Arial"/>
                <w:color w:val="000000"/>
                <w:szCs w:val="20"/>
                <w:lang w:eastAsia="en-AU"/>
              </w:rPr>
            </w:pPr>
            <w:r w:rsidRPr="00AB29D9">
              <w:rPr>
                <w:rFonts w:eastAsia="Times New Roman" w:cs="Arial"/>
                <w:color w:val="000000"/>
                <w:szCs w:val="20"/>
                <w:lang w:eastAsia="en-AU"/>
              </w:rPr>
              <w:t xml:space="preserve">up to $300 individual for national competition; </w:t>
            </w:r>
          </w:p>
          <w:p w:rsidR="00AB29D9" w:rsidRDefault="00AB29D9" w:rsidP="00AB29D9">
            <w:pPr>
              <w:spacing w:after="0" w:line="288" w:lineRule="auto"/>
              <w:rPr>
                <w:rFonts w:eastAsia="Times New Roman" w:cs="Arial"/>
                <w:color w:val="000000"/>
                <w:szCs w:val="20"/>
                <w:lang w:eastAsia="en-AU"/>
              </w:rPr>
            </w:pPr>
          </w:p>
          <w:p w:rsidR="00AB29D9" w:rsidRDefault="00AB29D9" w:rsidP="00AB29D9">
            <w:pPr>
              <w:spacing w:after="0" w:line="288" w:lineRule="auto"/>
              <w:rPr>
                <w:rFonts w:eastAsia="Times New Roman" w:cs="Arial"/>
                <w:color w:val="000000"/>
                <w:szCs w:val="20"/>
                <w:lang w:eastAsia="en-AU"/>
              </w:rPr>
            </w:pPr>
            <w:r>
              <w:rPr>
                <w:rFonts w:eastAsia="Times New Roman" w:cs="Arial"/>
                <w:color w:val="000000"/>
                <w:szCs w:val="20"/>
                <w:lang w:eastAsia="en-AU"/>
              </w:rPr>
              <w:t xml:space="preserve">up to $500 per </w:t>
            </w:r>
            <w:r w:rsidRPr="00AB29D9">
              <w:rPr>
                <w:rFonts w:eastAsia="Times New Roman" w:cs="Arial"/>
                <w:color w:val="000000"/>
                <w:szCs w:val="20"/>
                <w:lang w:eastAsia="en-AU"/>
              </w:rPr>
              <w:t xml:space="preserve">team for national competition </w:t>
            </w:r>
          </w:p>
          <w:p w:rsidR="00AB29D9" w:rsidRDefault="00AB29D9" w:rsidP="00AB29D9">
            <w:pPr>
              <w:spacing w:after="0" w:line="288" w:lineRule="auto"/>
              <w:rPr>
                <w:rFonts w:eastAsia="Times New Roman" w:cs="Arial"/>
                <w:color w:val="000000"/>
                <w:szCs w:val="20"/>
                <w:lang w:eastAsia="en-AU"/>
              </w:rPr>
            </w:pPr>
          </w:p>
          <w:p w:rsidR="00AB29D9" w:rsidRDefault="00AB29D9" w:rsidP="00AB29D9">
            <w:pPr>
              <w:spacing w:after="0" w:line="288" w:lineRule="auto"/>
              <w:rPr>
                <w:rFonts w:eastAsia="Times New Roman" w:cs="Arial"/>
                <w:color w:val="000000"/>
                <w:szCs w:val="20"/>
                <w:lang w:eastAsia="en-AU"/>
              </w:rPr>
            </w:pPr>
            <w:r>
              <w:rPr>
                <w:rFonts w:eastAsia="Times New Roman" w:cs="Arial"/>
                <w:color w:val="000000"/>
                <w:szCs w:val="20"/>
                <w:lang w:eastAsia="en-AU"/>
              </w:rPr>
              <w:t xml:space="preserve">up to </w:t>
            </w:r>
            <w:r w:rsidRPr="00AB29D9">
              <w:rPr>
                <w:rFonts w:eastAsia="Times New Roman" w:cs="Arial"/>
                <w:color w:val="000000"/>
                <w:szCs w:val="20"/>
                <w:lang w:eastAsia="en-AU"/>
              </w:rPr>
              <w:t xml:space="preserve">$500 individual for international competition; </w:t>
            </w:r>
          </w:p>
          <w:p w:rsidR="00AB29D9" w:rsidRPr="00AB29D9" w:rsidRDefault="00AB29D9" w:rsidP="00AB29D9">
            <w:pPr>
              <w:spacing w:after="0" w:line="288" w:lineRule="auto"/>
              <w:rPr>
                <w:rFonts w:eastAsia="Times New Roman" w:cs="Arial"/>
                <w:color w:val="000000"/>
                <w:szCs w:val="20"/>
                <w:lang w:eastAsia="en-AU"/>
              </w:rPr>
            </w:pPr>
          </w:p>
          <w:p w:rsidR="00AB29D9" w:rsidRDefault="00AB29D9" w:rsidP="00AB29D9">
            <w:pPr>
              <w:pStyle w:val="TableofFigures"/>
              <w:rPr>
                <w:rFonts w:eastAsia="Cambria"/>
              </w:rPr>
            </w:pPr>
            <w:r>
              <w:rPr>
                <w:rFonts w:eastAsia="Times New Roman" w:cs="Arial"/>
                <w:szCs w:val="20"/>
                <w:lang w:val="en-AU" w:eastAsia="en-AU"/>
              </w:rPr>
              <w:t xml:space="preserve">up to $700 per </w:t>
            </w:r>
            <w:r w:rsidRPr="00AB29D9">
              <w:rPr>
                <w:rFonts w:eastAsia="Times New Roman" w:cs="Arial"/>
                <w:szCs w:val="20"/>
                <w:lang w:val="en-AU" w:eastAsia="en-AU"/>
              </w:rPr>
              <w:t>team for international competition.</w:t>
            </w:r>
          </w:p>
        </w:tc>
        <w:tc>
          <w:tcPr>
            <w:tcW w:w="992" w:type="dxa"/>
            <w:shd w:val="clear" w:color="auto" w:fill="auto"/>
          </w:tcPr>
          <w:p w:rsidR="00AB29D9" w:rsidRDefault="00AB29D9" w:rsidP="007D2538">
            <w:pPr>
              <w:pStyle w:val="TableofFigures"/>
              <w:rPr>
                <w:rFonts w:eastAsia="Cambria"/>
              </w:rPr>
            </w:pPr>
            <w:r>
              <w:rPr>
                <w:rFonts w:eastAsia="Cambria"/>
              </w:rPr>
              <w:t>$20,000</w:t>
            </w:r>
          </w:p>
        </w:tc>
        <w:tc>
          <w:tcPr>
            <w:tcW w:w="1061" w:type="dxa"/>
            <w:shd w:val="clear" w:color="auto" w:fill="auto"/>
          </w:tcPr>
          <w:p w:rsidR="00AB29D9" w:rsidRDefault="00AB29D9" w:rsidP="007D2538">
            <w:pPr>
              <w:pStyle w:val="TableofFigures"/>
              <w:rPr>
                <w:rFonts w:eastAsia="Cambria"/>
              </w:rPr>
            </w:pPr>
            <w:r>
              <w:rPr>
                <w:rFonts w:eastAsia="Cambria"/>
              </w:rPr>
              <w:t>Quarterly</w:t>
            </w:r>
          </w:p>
        </w:tc>
        <w:tc>
          <w:tcPr>
            <w:tcW w:w="4751" w:type="dxa"/>
          </w:tcPr>
          <w:p w:rsidR="00AB29D9" w:rsidRDefault="00AB29D9" w:rsidP="007D2538">
            <w:pPr>
              <w:pStyle w:val="TableofFigures"/>
              <w:rPr>
                <w:rFonts w:cs="Arial"/>
              </w:rPr>
            </w:pPr>
            <w:r w:rsidRPr="00AB29D9">
              <w:rPr>
                <w:rFonts w:cs="Arial"/>
              </w:rPr>
              <w:t>Support for children and young people who reside in the City of Melbourne to participate in community sport (ISG) and for promising individuals to achieve their sporting goals (IPG).</w:t>
            </w:r>
          </w:p>
        </w:tc>
      </w:tr>
    </w:tbl>
    <w:p w:rsidR="001E7A66" w:rsidRDefault="001E7A66" w:rsidP="00F41DE8">
      <w:pPr>
        <w:spacing w:after="0" w:line="240" w:lineRule="auto"/>
        <w:rPr>
          <w:lang w:val="en-US"/>
        </w:rPr>
      </w:pPr>
    </w:p>
    <w:p w:rsidR="00DF03C6" w:rsidRDefault="00DF03C6" w:rsidP="00F41DE8">
      <w:pPr>
        <w:spacing w:after="0" w:line="240" w:lineRule="auto"/>
        <w:rPr>
          <w:lang w:val="en-US"/>
        </w:rPr>
      </w:pPr>
    </w:p>
    <w:p w:rsidR="00DF03C6" w:rsidRDefault="00DF03C6" w:rsidP="00F41DE8">
      <w:pPr>
        <w:spacing w:after="0" w:line="240" w:lineRule="auto"/>
        <w:rPr>
          <w:lang w:val="en-US"/>
        </w:rPr>
      </w:pPr>
    </w:p>
    <w:tbl>
      <w:tblPr>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20" w:firstRow="1" w:lastRow="0" w:firstColumn="0" w:lastColumn="0" w:noHBand="1" w:noVBand="1"/>
      </w:tblPr>
      <w:tblGrid>
        <w:gridCol w:w="2058"/>
        <w:gridCol w:w="1204"/>
        <w:gridCol w:w="991"/>
        <w:gridCol w:w="1203"/>
        <w:gridCol w:w="5176"/>
      </w:tblGrid>
      <w:tr w:rsidR="00DF03C6" w:rsidTr="00EB00F7">
        <w:tc>
          <w:tcPr>
            <w:tcW w:w="10632" w:type="dxa"/>
            <w:gridSpan w:val="5"/>
            <w:shd w:val="clear" w:color="auto" w:fill="auto"/>
          </w:tcPr>
          <w:p w:rsidR="00DF03C6" w:rsidRDefault="00DF03C6" w:rsidP="00EB00F7">
            <w:pPr>
              <w:pStyle w:val="Heading2"/>
              <w:jc w:val="center"/>
              <w:rPr>
                <w:rFonts w:hint="eastAsia"/>
              </w:rPr>
            </w:pPr>
            <w:bookmarkStart w:id="12" w:name="_Toc516220057"/>
            <w:r>
              <w:t>Social Innovation Partnerships</w:t>
            </w:r>
            <w:bookmarkEnd w:id="12"/>
          </w:p>
          <w:p w:rsidR="00DF03C6" w:rsidRDefault="00DF03C6" w:rsidP="00EB00F7">
            <w:pPr>
              <w:pStyle w:val="TableofFigures"/>
              <w:jc w:val="center"/>
              <w:rPr>
                <w:rFonts w:cs="Arial"/>
              </w:rPr>
            </w:pPr>
            <w:r w:rsidRPr="00692A5C">
              <w:rPr>
                <w:rFonts w:cs="Arial"/>
              </w:rPr>
              <w:t>Project partnerships to tackle Melbourne’s social priorities through innovation grants and social enterprise.</w:t>
            </w:r>
          </w:p>
        </w:tc>
      </w:tr>
      <w:tr w:rsidR="00DF03C6" w:rsidTr="00EB00F7">
        <w:trPr>
          <w:tblHeader/>
        </w:trPr>
        <w:tc>
          <w:tcPr>
            <w:tcW w:w="2058" w:type="dxa"/>
            <w:shd w:val="clear" w:color="auto" w:fill="auto"/>
          </w:tcPr>
          <w:p w:rsidR="00DF03C6" w:rsidRPr="00802A52" w:rsidRDefault="00DF03C6" w:rsidP="00EB00F7">
            <w:pPr>
              <w:pStyle w:val="TableofFigures"/>
              <w:rPr>
                <w:rFonts w:eastAsia="Cambria"/>
                <w:b/>
              </w:rPr>
            </w:pPr>
            <w:r>
              <w:rPr>
                <w:rFonts w:eastAsia="Cambria"/>
                <w:b/>
              </w:rPr>
              <w:t>Community grants and Partnerships Program</w:t>
            </w:r>
          </w:p>
        </w:tc>
        <w:tc>
          <w:tcPr>
            <w:tcW w:w="1204" w:type="dxa"/>
            <w:shd w:val="clear" w:color="auto" w:fill="auto"/>
          </w:tcPr>
          <w:p w:rsidR="00DF03C6" w:rsidRPr="00802A52" w:rsidRDefault="00DF03C6" w:rsidP="00EB00F7">
            <w:pPr>
              <w:pStyle w:val="TableofFigures"/>
              <w:rPr>
                <w:rFonts w:eastAsia="Cambria"/>
                <w:b/>
              </w:rPr>
            </w:pPr>
            <w:r>
              <w:rPr>
                <w:rFonts w:eastAsia="Cambria"/>
                <w:b/>
              </w:rPr>
              <w:t>Value</w:t>
            </w:r>
          </w:p>
        </w:tc>
        <w:tc>
          <w:tcPr>
            <w:tcW w:w="991" w:type="dxa"/>
            <w:shd w:val="clear" w:color="auto" w:fill="auto"/>
          </w:tcPr>
          <w:p w:rsidR="00DF03C6" w:rsidRPr="00802A52" w:rsidRDefault="00DF03C6" w:rsidP="00EB00F7">
            <w:pPr>
              <w:pStyle w:val="TableofFigures"/>
              <w:rPr>
                <w:rFonts w:eastAsia="Cambria"/>
                <w:b/>
              </w:rPr>
            </w:pPr>
            <w:r>
              <w:rPr>
                <w:rFonts w:eastAsia="Cambria"/>
                <w:b/>
              </w:rPr>
              <w:t>Annual Budget (2018/19)</w:t>
            </w:r>
          </w:p>
        </w:tc>
        <w:tc>
          <w:tcPr>
            <w:tcW w:w="1203" w:type="dxa"/>
            <w:shd w:val="clear" w:color="auto" w:fill="auto"/>
          </w:tcPr>
          <w:p w:rsidR="00DF03C6" w:rsidRPr="00802A52" w:rsidRDefault="00DF03C6" w:rsidP="00EB00F7">
            <w:pPr>
              <w:pStyle w:val="TableofFigures"/>
              <w:rPr>
                <w:rFonts w:eastAsia="Cambria"/>
                <w:b/>
              </w:rPr>
            </w:pPr>
            <w:r>
              <w:rPr>
                <w:rFonts w:eastAsia="Cambria"/>
                <w:b/>
              </w:rPr>
              <w:t>Application Round</w:t>
            </w:r>
          </w:p>
        </w:tc>
        <w:tc>
          <w:tcPr>
            <w:tcW w:w="5176" w:type="dxa"/>
          </w:tcPr>
          <w:p w:rsidR="00DF03C6" w:rsidRDefault="00DF03C6" w:rsidP="00EB00F7">
            <w:pPr>
              <w:pStyle w:val="TableofFigures"/>
              <w:rPr>
                <w:rFonts w:eastAsia="Cambria"/>
                <w:b/>
              </w:rPr>
            </w:pPr>
            <w:r>
              <w:rPr>
                <w:rFonts w:eastAsia="Cambria"/>
                <w:b/>
              </w:rPr>
              <w:t>Focus area</w:t>
            </w:r>
          </w:p>
        </w:tc>
      </w:tr>
      <w:tr w:rsidR="00DF03C6" w:rsidTr="00EB00F7">
        <w:tc>
          <w:tcPr>
            <w:tcW w:w="2058" w:type="dxa"/>
            <w:shd w:val="clear" w:color="auto" w:fill="auto"/>
          </w:tcPr>
          <w:p w:rsidR="00DF03C6" w:rsidRDefault="00DF03C6" w:rsidP="00EB00F7">
            <w:pPr>
              <w:rPr>
                <w:rFonts w:cs="Arial"/>
                <w:b/>
              </w:rPr>
            </w:pPr>
            <w:r>
              <w:rPr>
                <w:rFonts w:cs="Arial"/>
                <w:b/>
              </w:rPr>
              <w:t xml:space="preserve">Round 1: </w:t>
            </w:r>
          </w:p>
          <w:p w:rsidR="00DF03C6" w:rsidRDefault="00DF03C6" w:rsidP="00EB00F7">
            <w:pPr>
              <w:rPr>
                <w:rFonts w:cs="Arial"/>
              </w:rPr>
            </w:pPr>
            <w:r>
              <w:rPr>
                <w:rFonts w:cs="Arial"/>
              </w:rPr>
              <w:t>2018/19 and 2019/20</w:t>
            </w:r>
          </w:p>
          <w:p w:rsidR="00DF03C6" w:rsidRDefault="00DF03C6" w:rsidP="00EB00F7">
            <w:pPr>
              <w:rPr>
                <w:rFonts w:cs="Arial"/>
                <w:b/>
              </w:rPr>
            </w:pPr>
            <w:r>
              <w:rPr>
                <w:rFonts w:cs="Arial"/>
                <w:b/>
              </w:rPr>
              <w:t xml:space="preserve">Round 2: </w:t>
            </w:r>
          </w:p>
          <w:p w:rsidR="00DF03C6" w:rsidRDefault="00DF03C6" w:rsidP="00EB00F7">
            <w:pPr>
              <w:pStyle w:val="TableofFigures"/>
              <w:rPr>
                <w:rFonts w:cs="Arial"/>
                <w:b/>
              </w:rPr>
            </w:pPr>
            <w:r>
              <w:rPr>
                <w:rFonts w:cs="Arial"/>
              </w:rPr>
              <w:t>2020/21 and 2021/22</w:t>
            </w:r>
          </w:p>
        </w:tc>
        <w:tc>
          <w:tcPr>
            <w:tcW w:w="1204" w:type="dxa"/>
            <w:shd w:val="clear" w:color="auto" w:fill="auto"/>
          </w:tcPr>
          <w:p w:rsidR="00DF03C6" w:rsidRDefault="00DF03C6" w:rsidP="00EB00F7">
            <w:pPr>
              <w:pStyle w:val="TableofFigures"/>
              <w:rPr>
                <w:rFonts w:eastAsia="Cambria"/>
              </w:rPr>
            </w:pPr>
            <w:r>
              <w:rPr>
                <w:rFonts w:eastAsia="Cambria"/>
              </w:rPr>
              <w:t>$15,000 to $80,000</w:t>
            </w:r>
          </w:p>
        </w:tc>
        <w:tc>
          <w:tcPr>
            <w:tcW w:w="991" w:type="dxa"/>
            <w:shd w:val="clear" w:color="auto" w:fill="auto"/>
          </w:tcPr>
          <w:p w:rsidR="00DF03C6" w:rsidRDefault="00DF03C6" w:rsidP="00EB00F7">
            <w:pPr>
              <w:pStyle w:val="TableofFigures"/>
              <w:rPr>
                <w:rFonts w:eastAsia="Cambria"/>
              </w:rPr>
            </w:pPr>
            <w:r>
              <w:rPr>
                <w:rFonts w:eastAsia="Cambria"/>
              </w:rPr>
              <w:t>$600,000</w:t>
            </w:r>
          </w:p>
        </w:tc>
        <w:tc>
          <w:tcPr>
            <w:tcW w:w="1203" w:type="dxa"/>
            <w:shd w:val="clear" w:color="auto" w:fill="auto"/>
          </w:tcPr>
          <w:p w:rsidR="00DF03C6" w:rsidRDefault="00DF03C6" w:rsidP="00EB00F7">
            <w:pPr>
              <w:pStyle w:val="TableofFigures"/>
              <w:rPr>
                <w:rFonts w:eastAsia="Cambria"/>
              </w:rPr>
            </w:pPr>
            <w:r>
              <w:rPr>
                <w:rFonts w:eastAsia="Cambria"/>
              </w:rPr>
              <w:t>2 years</w:t>
            </w:r>
          </w:p>
        </w:tc>
        <w:tc>
          <w:tcPr>
            <w:tcW w:w="5176" w:type="dxa"/>
          </w:tcPr>
          <w:p w:rsidR="00DF03C6" w:rsidRPr="00692A5C" w:rsidRDefault="00DF03C6" w:rsidP="00EB00F7">
            <w:pPr>
              <w:spacing w:after="0" w:line="288" w:lineRule="auto"/>
              <w:rPr>
                <w:rFonts w:eastAsia="Times New Roman" w:cs="Arial"/>
                <w:color w:val="000000"/>
                <w:szCs w:val="20"/>
                <w:lang w:eastAsia="en-AU"/>
              </w:rPr>
            </w:pPr>
            <w:r w:rsidRPr="00692A5C">
              <w:rPr>
                <w:rFonts w:eastAsia="Times New Roman" w:cs="Arial"/>
                <w:color w:val="000000"/>
                <w:szCs w:val="20"/>
                <w:lang w:eastAsia="en-AU"/>
              </w:rPr>
              <w:t>Project funding to tackle City of Melbourne’s social priorities and create sustained social change.</w:t>
            </w:r>
          </w:p>
          <w:p w:rsidR="00DF03C6" w:rsidRPr="00692A5C" w:rsidRDefault="00DF03C6" w:rsidP="00EB00F7">
            <w:pPr>
              <w:spacing w:after="0" w:line="288" w:lineRule="auto"/>
              <w:rPr>
                <w:rFonts w:eastAsia="Times New Roman" w:cs="Arial"/>
                <w:color w:val="000000"/>
                <w:szCs w:val="20"/>
                <w:lang w:eastAsia="en-AU"/>
              </w:rPr>
            </w:pPr>
            <w:r w:rsidRPr="00692A5C">
              <w:rPr>
                <w:rFonts w:eastAsia="Times New Roman" w:cs="Arial"/>
                <w:color w:val="000000"/>
                <w:szCs w:val="20"/>
                <w:lang w:eastAsia="en-AU"/>
              </w:rPr>
              <w:t>Includes grants to support social enterprises build their capability and improve their business models.</w:t>
            </w:r>
          </w:p>
          <w:p w:rsidR="00DF03C6" w:rsidRDefault="00DF03C6" w:rsidP="00EB00F7">
            <w:pPr>
              <w:pStyle w:val="TableofFigures"/>
              <w:rPr>
                <w:rFonts w:cs="Arial"/>
              </w:rPr>
            </w:pPr>
            <w:r w:rsidRPr="00692A5C">
              <w:rPr>
                <w:rFonts w:eastAsia="Times New Roman" w:cs="Arial"/>
                <w:szCs w:val="20"/>
                <w:lang w:val="en-AU" w:eastAsia="en-AU"/>
              </w:rPr>
              <w:t>Annual guidelines will specify social priority areas.</w:t>
            </w:r>
          </w:p>
        </w:tc>
      </w:tr>
    </w:tbl>
    <w:p w:rsidR="00DF03C6" w:rsidRDefault="00DF03C6" w:rsidP="00F41DE8">
      <w:pPr>
        <w:spacing w:after="0" w:line="240" w:lineRule="auto"/>
        <w:rPr>
          <w:lang w:val="en-US"/>
        </w:rPr>
      </w:pPr>
    </w:p>
    <w:p w:rsidR="00DF03C6" w:rsidRDefault="00DF03C6" w:rsidP="00F41DE8">
      <w:pPr>
        <w:spacing w:after="0" w:line="240" w:lineRule="auto"/>
        <w:rPr>
          <w:lang w:val="en-US"/>
        </w:rPr>
      </w:pPr>
    </w:p>
    <w:tbl>
      <w:tblPr>
        <w:tblW w:w="1070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269"/>
        <w:gridCol w:w="1203"/>
        <w:gridCol w:w="992"/>
        <w:gridCol w:w="1203"/>
        <w:gridCol w:w="5034"/>
      </w:tblGrid>
      <w:tr w:rsidR="001E7A66" w:rsidRPr="00493E0A" w:rsidTr="00DF03C6">
        <w:tc>
          <w:tcPr>
            <w:tcW w:w="10701" w:type="dxa"/>
            <w:gridSpan w:val="5"/>
            <w:shd w:val="clear" w:color="auto" w:fill="auto"/>
          </w:tcPr>
          <w:p w:rsidR="001E7A66" w:rsidRPr="003374DE" w:rsidRDefault="001E7A66" w:rsidP="003374DE">
            <w:pPr>
              <w:pStyle w:val="Heading2"/>
              <w:jc w:val="center"/>
              <w:rPr>
                <w:rFonts w:hint="eastAsia"/>
                <w:lang w:eastAsia="en-AU"/>
              </w:rPr>
            </w:pPr>
            <w:bookmarkStart w:id="13" w:name="_Toc516220058"/>
            <w:r w:rsidRPr="00692A5C">
              <w:rPr>
                <w:lang w:eastAsia="en-AU"/>
              </w:rPr>
              <w:t>Community Funding Agreements</w:t>
            </w:r>
            <w:bookmarkEnd w:id="13"/>
          </w:p>
          <w:p w:rsidR="001E7A66" w:rsidRPr="001E7A66" w:rsidRDefault="001E7A66" w:rsidP="00EB00F7">
            <w:pPr>
              <w:spacing w:after="0" w:line="288" w:lineRule="auto"/>
              <w:jc w:val="center"/>
              <w:rPr>
                <w:rFonts w:eastAsia="Times New Roman" w:cs="Arial"/>
                <w:color w:val="000000"/>
                <w:szCs w:val="20"/>
                <w:lang w:eastAsia="en-AU"/>
              </w:rPr>
            </w:pPr>
            <w:r w:rsidRPr="001E7A66">
              <w:rPr>
                <w:rFonts w:eastAsia="Times New Roman"/>
                <w:color w:val="000000"/>
                <w:szCs w:val="20"/>
                <w:lang w:eastAsia="en-AU"/>
              </w:rPr>
              <w:t>Collaborative partnerships with neighbourhood houses to deliver community development outcomes for our communities.</w:t>
            </w:r>
          </w:p>
          <w:p w:rsidR="001E7A66" w:rsidRDefault="001E7A66" w:rsidP="00EB00F7">
            <w:pPr>
              <w:pStyle w:val="TableofFigures"/>
              <w:rPr>
                <w:rFonts w:cs="Arial"/>
              </w:rPr>
            </w:pPr>
          </w:p>
        </w:tc>
      </w:tr>
      <w:tr w:rsidR="001E7A66" w:rsidRPr="000474AE" w:rsidTr="00DF03C6">
        <w:trPr>
          <w:tblHeader/>
        </w:trPr>
        <w:tc>
          <w:tcPr>
            <w:tcW w:w="2269" w:type="dxa"/>
            <w:shd w:val="clear" w:color="auto" w:fill="auto"/>
          </w:tcPr>
          <w:p w:rsidR="001E7A66" w:rsidRPr="00802A52" w:rsidRDefault="001E7A66" w:rsidP="00EB00F7">
            <w:pPr>
              <w:pStyle w:val="TableofFigures"/>
              <w:rPr>
                <w:rFonts w:eastAsia="Cambria"/>
                <w:b/>
              </w:rPr>
            </w:pPr>
            <w:r>
              <w:rPr>
                <w:rFonts w:eastAsia="Cambria"/>
                <w:b/>
              </w:rPr>
              <w:t>Community grants and Partnerships Program</w:t>
            </w:r>
          </w:p>
        </w:tc>
        <w:tc>
          <w:tcPr>
            <w:tcW w:w="1203" w:type="dxa"/>
            <w:shd w:val="clear" w:color="auto" w:fill="auto"/>
          </w:tcPr>
          <w:p w:rsidR="001E7A66" w:rsidRPr="00802A52" w:rsidRDefault="001E7A66" w:rsidP="00EB00F7">
            <w:pPr>
              <w:pStyle w:val="TableofFigures"/>
              <w:rPr>
                <w:rFonts w:eastAsia="Cambria"/>
                <w:b/>
              </w:rPr>
            </w:pPr>
            <w:r>
              <w:rPr>
                <w:rFonts w:eastAsia="Cambria"/>
                <w:b/>
              </w:rPr>
              <w:t>Value</w:t>
            </w:r>
          </w:p>
        </w:tc>
        <w:tc>
          <w:tcPr>
            <w:tcW w:w="992" w:type="dxa"/>
            <w:shd w:val="clear" w:color="auto" w:fill="auto"/>
          </w:tcPr>
          <w:p w:rsidR="001E7A66" w:rsidRPr="00802A52" w:rsidRDefault="001E7A66" w:rsidP="00EB00F7">
            <w:pPr>
              <w:pStyle w:val="TableofFigures"/>
              <w:rPr>
                <w:rFonts w:eastAsia="Cambria"/>
                <w:b/>
              </w:rPr>
            </w:pPr>
            <w:r>
              <w:rPr>
                <w:rFonts w:eastAsia="Cambria"/>
                <w:b/>
              </w:rPr>
              <w:t>Annual Budget (2018/19)</w:t>
            </w:r>
          </w:p>
        </w:tc>
        <w:tc>
          <w:tcPr>
            <w:tcW w:w="1203" w:type="dxa"/>
            <w:shd w:val="clear" w:color="auto" w:fill="auto"/>
          </w:tcPr>
          <w:p w:rsidR="001E7A66" w:rsidRPr="00802A52" w:rsidRDefault="001E7A66" w:rsidP="00EB00F7">
            <w:pPr>
              <w:pStyle w:val="TableofFigures"/>
              <w:rPr>
                <w:rFonts w:eastAsia="Cambria"/>
                <w:b/>
              </w:rPr>
            </w:pPr>
            <w:r>
              <w:rPr>
                <w:rFonts w:eastAsia="Cambria"/>
                <w:b/>
              </w:rPr>
              <w:t>Application Round</w:t>
            </w:r>
          </w:p>
        </w:tc>
        <w:tc>
          <w:tcPr>
            <w:tcW w:w="5034" w:type="dxa"/>
          </w:tcPr>
          <w:p w:rsidR="001E7A66" w:rsidRDefault="001E7A66" w:rsidP="00EB00F7">
            <w:pPr>
              <w:pStyle w:val="TableofFigures"/>
              <w:rPr>
                <w:rFonts w:eastAsia="Cambria"/>
                <w:b/>
              </w:rPr>
            </w:pPr>
            <w:r>
              <w:rPr>
                <w:rFonts w:eastAsia="Cambria"/>
                <w:b/>
              </w:rPr>
              <w:t>Focus area</w:t>
            </w:r>
          </w:p>
        </w:tc>
      </w:tr>
      <w:tr w:rsidR="001E7A66" w:rsidRPr="00493E0A" w:rsidTr="00DF03C6">
        <w:tc>
          <w:tcPr>
            <w:tcW w:w="2269" w:type="dxa"/>
            <w:shd w:val="clear" w:color="auto" w:fill="auto"/>
          </w:tcPr>
          <w:p w:rsidR="001E7A66" w:rsidRPr="001C60A4" w:rsidRDefault="001E7A66" w:rsidP="00EB00F7">
            <w:pPr>
              <w:pStyle w:val="TableofFigures"/>
              <w:rPr>
                <w:rFonts w:cs="Arial"/>
              </w:rPr>
            </w:pPr>
            <w:r w:rsidRPr="001C60A4">
              <w:rPr>
                <w:rFonts w:cs="Arial"/>
              </w:rPr>
              <w:t>Neighbourhood Houses</w:t>
            </w:r>
          </w:p>
        </w:tc>
        <w:tc>
          <w:tcPr>
            <w:tcW w:w="1203" w:type="dxa"/>
            <w:shd w:val="clear" w:color="auto" w:fill="auto"/>
          </w:tcPr>
          <w:p w:rsidR="001E7A66" w:rsidRDefault="001E7A66" w:rsidP="00EB00F7">
            <w:pPr>
              <w:pStyle w:val="TableofFigures"/>
              <w:rPr>
                <w:rFonts w:eastAsia="Cambria"/>
              </w:rPr>
            </w:pPr>
            <w:r>
              <w:rPr>
                <w:rFonts w:eastAsia="Cambria"/>
              </w:rPr>
              <w:t>$100,000</w:t>
            </w:r>
          </w:p>
        </w:tc>
        <w:tc>
          <w:tcPr>
            <w:tcW w:w="992" w:type="dxa"/>
            <w:shd w:val="clear" w:color="auto" w:fill="auto"/>
          </w:tcPr>
          <w:p w:rsidR="001E7A66" w:rsidRDefault="001E7A66" w:rsidP="00EB00F7">
            <w:pPr>
              <w:pStyle w:val="TableofFigures"/>
              <w:rPr>
                <w:rFonts w:eastAsia="Cambria"/>
              </w:rPr>
            </w:pPr>
            <w:r>
              <w:rPr>
                <w:rFonts w:eastAsia="Cambria"/>
              </w:rPr>
              <w:t>$400,000</w:t>
            </w:r>
          </w:p>
        </w:tc>
        <w:tc>
          <w:tcPr>
            <w:tcW w:w="1203" w:type="dxa"/>
            <w:shd w:val="clear" w:color="auto" w:fill="auto"/>
          </w:tcPr>
          <w:p w:rsidR="001E7A66" w:rsidRDefault="001E7A66" w:rsidP="00EB00F7">
            <w:pPr>
              <w:pStyle w:val="TableofFigures"/>
              <w:rPr>
                <w:rFonts w:eastAsia="Cambria"/>
              </w:rPr>
            </w:pPr>
            <w:r>
              <w:rPr>
                <w:rFonts w:eastAsia="Cambria"/>
              </w:rPr>
              <w:t>4 years</w:t>
            </w:r>
          </w:p>
        </w:tc>
        <w:tc>
          <w:tcPr>
            <w:tcW w:w="5034" w:type="dxa"/>
          </w:tcPr>
          <w:p w:rsidR="001E7A66" w:rsidRDefault="001E7A66" w:rsidP="00EB00F7">
            <w:pPr>
              <w:pStyle w:val="TableofFigures"/>
              <w:rPr>
                <w:rFonts w:cs="Arial"/>
              </w:rPr>
            </w:pPr>
            <w:r>
              <w:rPr>
                <w:rFonts w:cs="Arial"/>
              </w:rPr>
              <w:t>Long term collaborative partnerships with Neighbourhood Houses to support the delivery of community development outcomes for our communities.</w:t>
            </w:r>
          </w:p>
        </w:tc>
      </w:tr>
    </w:tbl>
    <w:p w:rsidR="001E7A66" w:rsidRDefault="001E7A66" w:rsidP="00F41DE8">
      <w:pPr>
        <w:spacing w:after="0" w:line="240" w:lineRule="auto"/>
        <w:rPr>
          <w:lang w:val="en-US"/>
        </w:rPr>
      </w:pPr>
    </w:p>
    <w:p w:rsidR="001E7A66" w:rsidRDefault="001E7A66" w:rsidP="00F41DE8">
      <w:pPr>
        <w:spacing w:after="0" w:line="240" w:lineRule="auto"/>
        <w:rPr>
          <w:lang w:val="en-US"/>
        </w:rPr>
      </w:pPr>
    </w:p>
    <w:tbl>
      <w:tblPr>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20" w:firstRow="1" w:lastRow="0" w:firstColumn="0" w:lastColumn="0" w:noHBand="1" w:noVBand="1"/>
      </w:tblPr>
      <w:tblGrid>
        <w:gridCol w:w="2269"/>
        <w:gridCol w:w="1134"/>
        <w:gridCol w:w="992"/>
        <w:gridCol w:w="1061"/>
        <w:gridCol w:w="5176"/>
      </w:tblGrid>
      <w:tr w:rsidR="001E7A66" w:rsidRPr="00493E0A" w:rsidTr="00DF03C6">
        <w:tc>
          <w:tcPr>
            <w:tcW w:w="10632" w:type="dxa"/>
            <w:gridSpan w:val="5"/>
            <w:shd w:val="clear" w:color="auto" w:fill="auto"/>
          </w:tcPr>
          <w:p w:rsidR="001E7A66" w:rsidRPr="004630B3" w:rsidRDefault="001E7A66" w:rsidP="001C60A4">
            <w:pPr>
              <w:pStyle w:val="Heading2"/>
              <w:jc w:val="center"/>
              <w:rPr>
                <w:rFonts w:hint="eastAsia"/>
              </w:rPr>
            </w:pPr>
            <w:bookmarkStart w:id="14" w:name="_Toc516220059"/>
            <w:r>
              <w:t>Partnership &amp; Professional Development</w:t>
            </w:r>
            <w:bookmarkEnd w:id="14"/>
          </w:p>
          <w:p w:rsidR="001E7A66" w:rsidRPr="003374DE" w:rsidRDefault="001E7A66" w:rsidP="00EB00F7">
            <w:pPr>
              <w:jc w:val="center"/>
              <w:rPr>
                <w:rFonts w:cs="Arial"/>
              </w:rPr>
            </w:pPr>
            <w:r w:rsidRPr="003374DE">
              <w:rPr>
                <w:rFonts w:cs="Arial"/>
              </w:rPr>
              <w:t>Providing community organisations with opportunities to develop skills and knowledge to enhance community outcomes</w:t>
            </w:r>
            <w:r w:rsidRPr="003374DE">
              <w:rPr>
                <w:rFonts w:asciiTheme="majorHAnsi" w:hAnsiTheme="majorHAnsi"/>
              </w:rPr>
              <w:t xml:space="preserve"> </w:t>
            </w:r>
          </w:p>
        </w:tc>
      </w:tr>
      <w:tr w:rsidR="001E7A66" w:rsidRPr="000474AE" w:rsidTr="00DF03C6">
        <w:trPr>
          <w:tblHeader/>
        </w:trPr>
        <w:tc>
          <w:tcPr>
            <w:tcW w:w="2269" w:type="dxa"/>
            <w:shd w:val="clear" w:color="auto" w:fill="auto"/>
          </w:tcPr>
          <w:p w:rsidR="001E7A66" w:rsidRPr="00802A52" w:rsidRDefault="001C60A4" w:rsidP="00EB00F7">
            <w:pPr>
              <w:pStyle w:val="TableofFigures"/>
              <w:rPr>
                <w:rFonts w:eastAsia="Cambria"/>
                <w:b/>
              </w:rPr>
            </w:pPr>
            <w:r>
              <w:rPr>
                <w:rFonts w:eastAsia="Cambria"/>
                <w:b/>
              </w:rPr>
              <w:t>Program</w:t>
            </w:r>
          </w:p>
        </w:tc>
        <w:tc>
          <w:tcPr>
            <w:tcW w:w="1134" w:type="dxa"/>
            <w:shd w:val="clear" w:color="auto" w:fill="auto"/>
          </w:tcPr>
          <w:p w:rsidR="001E7A66" w:rsidRPr="00802A52" w:rsidRDefault="001E7A66" w:rsidP="00EB00F7">
            <w:pPr>
              <w:pStyle w:val="TableofFigures"/>
              <w:rPr>
                <w:rFonts w:eastAsia="Cambria"/>
                <w:b/>
              </w:rPr>
            </w:pPr>
            <w:r>
              <w:rPr>
                <w:rFonts w:eastAsia="Cambria"/>
                <w:b/>
              </w:rPr>
              <w:t>Value</w:t>
            </w:r>
          </w:p>
        </w:tc>
        <w:tc>
          <w:tcPr>
            <w:tcW w:w="992" w:type="dxa"/>
            <w:shd w:val="clear" w:color="auto" w:fill="auto"/>
          </w:tcPr>
          <w:p w:rsidR="001E7A66" w:rsidRPr="00802A52" w:rsidRDefault="001E7A66" w:rsidP="00EB00F7">
            <w:pPr>
              <w:pStyle w:val="TableofFigures"/>
              <w:rPr>
                <w:rFonts w:eastAsia="Cambria"/>
                <w:b/>
              </w:rPr>
            </w:pPr>
            <w:r>
              <w:rPr>
                <w:rFonts w:eastAsia="Cambria"/>
                <w:b/>
              </w:rPr>
              <w:t>Annual Budget (2018/19)</w:t>
            </w:r>
          </w:p>
        </w:tc>
        <w:tc>
          <w:tcPr>
            <w:tcW w:w="1061" w:type="dxa"/>
            <w:shd w:val="clear" w:color="auto" w:fill="auto"/>
          </w:tcPr>
          <w:p w:rsidR="001E7A66" w:rsidRPr="00802A52" w:rsidRDefault="001E7A66" w:rsidP="00EB00F7">
            <w:pPr>
              <w:pStyle w:val="TableofFigures"/>
              <w:rPr>
                <w:rFonts w:eastAsia="Cambria"/>
                <w:b/>
              </w:rPr>
            </w:pPr>
            <w:r>
              <w:rPr>
                <w:rFonts w:eastAsia="Cambria"/>
                <w:b/>
              </w:rPr>
              <w:t>Application Round</w:t>
            </w:r>
          </w:p>
        </w:tc>
        <w:tc>
          <w:tcPr>
            <w:tcW w:w="5176" w:type="dxa"/>
          </w:tcPr>
          <w:p w:rsidR="001E7A66" w:rsidRDefault="001E7A66" w:rsidP="00EB00F7">
            <w:pPr>
              <w:pStyle w:val="TableofFigures"/>
              <w:rPr>
                <w:rFonts w:eastAsia="Cambria"/>
                <w:b/>
              </w:rPr>
            </w:pPr>
            <w:r>
              <w:rPr>
                <w:rFonts w:eastAsia="Cambria"/>
                <w:b/>
              </w:rPr>
              <w:t>Focus area</w:t>
            </w:r>
          </w:p>
        </w:tc>
      </w:tr>
      <w:tr w:rsidR="001E7A66" w:rsidRPr="00493E0A" w:rsidTr="00DF03C6">
        <w:tc>
          <w:tcPr>
            <w:tcW w:w="2269" w:type="dxa"/>
            <w:shd w:val="clear" w:color="auto" w:fill="auto"/>
          </w:tcPr>
          <w:p w:rsidR="001E7A66" w:rsidRPr="001C60A4" w:rsidRDefault="001E7A66" w:rsidP="00EB00F7">
            <w:pPr>
              <w:pStyle w:val="TableofFigures"/>
              <w:rPr>
                <w:rFonts w:cs="Arial"/>
              </w:rPr>
            </w:pPr>
            <w:r w:rsidRPr="001C60A4">
              <w:rPr>
                <w:rFonts w:cs="Arial"/>
              </w:rPr>
              <w:t>Corporate and Philanthropic Melbourne Partnerships</w:t>
            </w:r>
          </w:p>
        </w:tc>
        <w:tc>
          <w:tcPr>
            <w:tcW w:w="1134" w:type="dxa"/>
            <w:shd w:val="clear" w:color="auto" w:fill="auto"/>
          </w:tcPr>
          <w:p w:rsidR="001E7A66" w:rsidRDefault="001E7A66" w:rsidP="00EB00F7">
            <w:pPr>
              <w:pStyle w:val="TableofFigures"/>
              <w:rPr>
                <w:rFonts w:eastAsia="Cambria"/>
              </w:rPr>
            </w:pPr>
          </w:p>
        </w:tc>
        <w:tc>
          <w:tcPr>
            <w:tcW w:w="992" w:type="dxa"/>
            <w:shd w:val="clear" w:color="auto" w:fill="auto"/>
          </w:tcPr>
          <w:p w:rsidR="001E7A66" w:rsidRDefault="001E7A66" w:rsidP="00EB00F7">
            <w:pPr>
              <w:pStyle w:val="TableofFigures"/>
              <w:rPr>
                <w:rFonts w:eastAsia="Cambria"/>
              </w:rPr>
            </w:pPr>
          </w:p>
        </w:tc>
        <w:tc>
          <w:tcPr>
            <w:tcW w:w="1061" w:type="dxa"/>
            <w:shd w:val="clear" w:color="auto" w:fill="auto"/>
          </w:tcPr>
          <w:p w:rsidR="001E7A66" w:rsidRDefault="001E7A66" w:rsidP="00EB00F7">
            <w:pPr>
              <w:pStyle w:val="TableofFigures"/>
              <w:rPr>
                <w:rFonts w:eastAsia="Cambria"/>
              </w:rPr>
            </w:pPr>
          </w:p>
        </w:tc>
        <w:tc>
          <w:tcPr>
            <w:tcW w:w="5176" w:type="dxa"/>
          </w:tcPr>
          <w:p w:rsidR="001E7A66" w:rsidRDefault="001E7A66" w:rsidP="00EB00F7">
            <w:pPr>
              <w:pStyle w:val="TableofFigures"/>
              <w:rPr>
                <w:rFonts w:cs="Arial"/>
              </w:rPr>
            </w:pPr>
            <w:r>
              <w:rPr>
                <w:rFonts w:cs="Arial"/>
              </w:rPr>
              <w:t>Brokering funding, expertise and relationships across sectors to enhance social outcomes for the City of Melbourne.</w:t>
            </w:r>
          </w:p>
        </w:tc>
      </w:tr>
      <w:tr w:rsidR="001E7A66" w:rsidRPr="00493E0A" w:rsidTr="00DF03C6">
        <w:tc>
          <w:tcPr>
            <w:tcW w:w="2269" w:type="dxa"/>
            <w:shd w:val="clear" w:color="auto" w:fill="auto"/>
          </w:tcPr>
          <w:p w:rsidR="001E7A66" w:rsidRPr="001C60A4" w:rsidRDefault="001E7A66" w:rsidP="00EB00F7">
            <w:pPr>
              <w:pStyle w:val="TableofFigures"/>
              <w:rPr>
                <w:rFonts w:cs="Arial"/>
              </w:rPr>
            </w:pPr>
            <w:r w:rsidRPr="001C60A4">
              <w:rPr>
                <w:rFonts w:cs="Arial"/>
              </w:rPr>
              <w:t>Community Education &amp; Professional Development</w:t>
            </w:r>
          </w:p>
        </w:tc>
        <w:tc>
          <w:tcPr>
            <w:tcW w:w="1134" w:type="dxa"/>
            <w:shd w:val="clear" w:color="auto" w:fill="auto"/>
          </w:tcPr>
          <w:p w:rsidR="001E7A66" w:rsidRDefault="001E7A66" w:rsidP="00EB00F7">
            <w:pPr>
              <w:pStyle w:val="TableofFigures"/>
              <w:rPr>
                <w:rFonts w:eastAsia="Cambria"/>
              </w:rPr>
            </w:pPr>
            <w:r>
              <w:rPr>
                <w:rFonts w:eastAsia="Cambria"/>
              </w:rPr>
              <w:t>Upon application</w:t>
            </w:r>
          </w:p>
        </w:tc>
        <w:tc>
          <w:tcPr>
            <w:tcW w:w="992" w:type="dxa"/>
            <w:shd w:val="clear" w:color="auto" w:fill="auto"/>
          </w:tcPr>
          <w:p w:rsidR="001E7A66" w:rsidRDefault="001E7A66" w:rsidP="00EB00F7">
            <w:pPr>
              <w:pStyle w:val="TableofFigures"/>
              <w:rPr>
                <w:rFonts w:eastAsia="Cambria"/>
              </w:rPr>
            </w:pPr>
            <w:r>
              <w:rPr>
                <w:rFonts w:eastAsia="Cambria"/>
              </w:rPr>
              <w:t>$35,000</w:t>
            </w:r>
          </w:p>
        </w:tc>
        <w:tc>
          <w:tcPr>
            <w:tcW w:w="1061" w:type="dxa"/>
            <w:shd w:val="clear" w:color="auto" w:fill="auto"/>
          </w:tcPr>
          <w:p w:rsidR="001E7A66" w:rsidRDefault="001E7A66" w:rsidP="00EB00F7">
            <w:pPr>
              <w:pStyle w:val="TableofFigures"/>
              <w:rPr>
                <w:rFonts w:eastAsia="Cambria"/>
              </w:rPr>
            </w:pPr>
            <w:r>
              <w:rPr>
                <w:rFonts w:eastAsia="Cambria"/>
              </w:rPr>
              <w:t>Monthly</w:t>
            </w:r>
          </w:p>
        </w:tc>
        <w:tc>
          <w:tcPr>
            <w:tcW w:w="5176" w:type="dxa"/>
          </w:tcPr>
          <w:p w:rsidR="001E7A66" w:rsidRDefault="001E7A66" w:rsidP="00EB00F7">
            <w:pPr>
              <w:pStyle w:val="TableofFigures"/>
              <w:rPr>
                <w:rFonts w:cs="Arial"/>
              </w:rPr>
            </w:pPr>
            <w:r>
              <w:rPr>
                <w:rFonts w:cs="Arial"/>
              </w:rPr>
              <w:t>Support for community groups to build organisational capacity through workshops or sector conferences.</w:t>
            </w:r>
          </w:p>
        </w:tc>
      </w:tr>
      <w:tr w:rsidR="001E7A66" w:rsidRPr="00493E0A" w:rsidTr="00DF03C6">
        <w:tc>
          <w:tcPr>
            <w:tcW w:w="2269" w:type="dxa"/>
            <w:shd w:val="clear" w:color="auto" w:fill="auto"/>
          </w:tcPr>
          <w:p w:rsidR="001E7A66" w:rsidRPr="001C60A4" w:rsidRDefault="001E7A66" w:rsidP="00EB00F7">
            <w:pPr>
              <w:pStyle w:val="TableofFigures"/>
              <w:rPr>
                <w:rFonts w:cs="Arial"/>
              </w:rPr>
            </w:pPr>
            <w:r w:rsidRPr="001C60A4">
              <w:rPr>
                <w:rFonts w:cs="Arial"/>
              </w:rPr>
              <w:t>City of Melbourne Networking and Learning events</w:t>
            </w:r>
          </w:p>
        </w:tc>
        <w:tc>
          <w:tcPr>
            <w:tcW w:w="1134" w:type="dxa"/>
            <w:shd w:val="clear" w:color="auto" w:fill="auto"/>
          </w:tcPr>
          <w:p w:rsidR="001E7A66" w:rsidRDefault="001E7A66" w:rsidP="00EB00F7">
            <w:pPr>
              <w:pStyle w:val="TableofFigures"/>
              <w:rPr>
                <w:rFonts w:eastAsia="Cambria"/>
              </w:rPr>
            </w:pPr>
          </w:p>
        </w:tc>
        <w:tc>
          <w:tcPr>
            <w:tcW w:w="992" w:type="dxa"/>
            <w:shd w:val="clear" w:color="auto" w:fill="auto"/>
          </w:tcPr>
          <w:p w:rsidR="001E7A66" w:rsidRDefault="001E7A66" w:rsidP="00EB00F7">
            <w:pPr>
              <w:pStyle w:val="TableofFigures"/>
              <w:rPr>
                <w:rFonts w:eastAsia="Cambria"/>
              </w:rPr>
            </w:pPr>
            <w:r>
              <w:rPr>
                <w:rFonts w:eastAsia="Cambria"/>
              </w:rPr>
              <w:t>$5000</w:t>
            </w:r>
          </w:p>
        </w:tc>
        <w:tc>
          <w:tcPr>
            <w:tcW w:w="1061" w:type="dxa"/>
            <w:shd w:val="clear" w:color="auto" w:fill="auto"/>
          </w:tcPr>
          <w:p w:rsidR="001E7A66" w:rsidRDefault="001E7A66" w:rsidP="00EB00F7">
            <w:pPr>
              <w:pStyle w:val="TableofFigures"/>
              <w:rPr>
                <w:rFonts w:eastAsia="Cambria"/>
              </w:rPr>
            </w:pPr>
            <w:r>
              <w:rPr>
                <w:rFonts w:eastAsia="Cambria"/>
              </w:rPr>
              <w:t>Annual</w:t>
            </w:r>
          </w:p>
        </w:tc>
        <w:tc>
          <w:tcPr>
            <w:tcW w:w="5176" w:type="dxa"/>
          </w:tcPr>
          <w:p w:rsidR="001E7A66" w:rsidRDefault="001E7A66" w:rsidP="00EB00F7">
            <w:pPr>
              <w:pStyle w:val="TableofFigures"/>
              <w:rPr>
                <w:rFonts w:cs="Arial"/>
              </w:rPr>
            </w:pPr>
            <w:r>
              <w:rPr>
                <w:rFonts w:cs="Arial"/>
              </w:rPr>
              <w:t>City of Melbourne will host an annual cross-sector networking and learning event, showcasing inspiring case studies and guest speakers, possibly with an award.</w:t>
            </w:r>
          </w:p>
        </w:tc>
      </w:tr>
    </w:tbl>
    <w:p w:rsidR="001E7A66" w:rsidRDefault="001E7A66" w:rsidP="00F41DE8">
      <w:pPr>
        <w:spacing w:after="0" w:line="240" w:lineRule="auto"/>
        <w:rPr>
          <w:lang w:val="en-US"/>
        </w:rPr>
        <w:sectPr w:rsidR="001E7A66" w:rsidSect="00DF03C6">
          <w:endnotePr>
            <w:numFmt w:val="decimal"/>
          </w:endnotePr>
          <w:pgSz w:w="11900" w:h="16840"/>
          <w:pgMar w:top="1418" w:right="987" w:bottom="993" w:left="1134" w:header="709" w:footer="709" w:gutter="0"/>
          <w:cols w:space="708"/>
          <w:docGrid w:linePitch="360"/>
        </w:sectPr>
      </w:pPr>
    </w:p>
    <w:p w:rsidR="003905D5" w:rsidRPr="003905D5" w:rsidRDefault="003905D5" w:rsidP="00F41DE8">
      <w:pPr>
        <w:spacing w:after="0" w:line="240" w:lineRule="auto"/>
        <w:rPr>
          <w:lang w:val="en-US"/>
        </w:rPr>
      </w:pPr>
    </w:p>
    <w:p w:rsidR="003905D5" w:rsidRDefault="007639DF" w:rsidP="007639DF">
      <w:pPr>
        <w:pStyle w:val="Heading1"/>
        <w:rPr>
          <w:rFonts w:hint="eastAsia"/>
        </w:rPr>
      </w:pPr>
      <w:bookmarkStart w:id="15" w:name="_Toc516220060"/>
      <w:r>
        <w:t>What has changed?</w:t>
      </w:r>
      <w:bookmarkEnd w:id="15"/>
    </w:p>
    <w:p w:rsidR="007639DF" w:rsidRDefault="007639DF" w:rsidP="007639DF">
      <w:pPr>
        <w:tabs>
          <w:tab w:val="left" w:pos="2268"/>
          <w:tab w:val="left" w:pos="4536"/>
          <w:tab w:val="left" w:pos="6804"/>
          <w:tab w:val="right" w:pos="9638"/>
        </w:tabs>
        <w:spacing w:before="200" w:line="288" w:lineRule="auto"/>
        <w:rPr>
          <w:rFonts w:eastAsia="Times New Roman"/>
          <w:color w:val="000000"/>
          <w:szCs w:val="20"/>
          <w:lang w:eastAsia="en-AU"/>
        </w:rPr>
      </w:pPr>
      <w:r w:rsidRPr="007639DF">
        <w:rPr>
          <w:rFonts w:eastAsia="Times New Roman"/>
          <w:color w:val="000000"/>
          <w:szCs w:val="20"/>
          <w:lang w:eastAsia="en-AU"/>
        </w:rPr>
        <w:t xml:space="preserve">The table below outlines the key changes between the Community Funding Policy 2013-2017 and the Community Grants and Partnerships Framework 2018. </w:t>
      </w:r>
    </w:p>
    <w:tbl>
      <w:tblPr>
        <w:tblW w:w="144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1985"/>
        <w:gridCol w:w="2664"/>
        <w:gridCol w:w="3006"/>
        <w:gridCol w:w="6804"/>
      </w:tblGrid>
      <w:tr w:rsidR="007639DF" w:rsidRPr="000474AE" w:rsidTr="0046489A">
        <w:trPr>
          <w:tblHeader/>
        </w:trPr>
        <w:tc>
          <w:tcPr>
            <w:tcW w:w="1985" w:type="dxa"/>
            <w:shd w:val="clear" w:color="auto" w:fill="auto"/>
          </w:tcPr>
          <w:p w:rsidR="007639DF" w:rsidRPr="00802A52" w:rsidRDefault="007639DF" w:rsidP="007D2538">
            <w:pPr>
              <w:pStyle w:val="TableofFigures"/>
              <w:rPr>
                <w:rFonts w:eastAsia="Cambria"/>
                <w:b/>
              </w:rPr>
            </w:pPr>
            <w:r>
              <w:rPr>
                <w:rFonts w:eastAsia="Cambria"/>
                <w:b/>
              </w:rPr>
              <w:t>Program</w:t>
            </w:r>
          </w:p>
        </w:tc>
        <w:tc>
          <w:tcPr>
            <w:tcW w:w="2664" w:type="dxa"/>
            <w:shd w:val="clear" w:color="auto" w:fill="auto"/>
          </w:tcPr>
          <w:p w:rsidR="007639DF" w:rsidRDefault="007639DF" w:rsidP="007D2538">
            <w:pPr>
              <w:pStyle w:val="TableofFigures"/>
              <w:rPr>
                <w:rFonts w:eastAsia="Cambria"/>
                <w:b/>
              </w:rPr>
            </w:pPr>
            <w:r>
              <w:rPr>
                <w:rFonts w:eastAsia="Cambria"/>
                <w:b/>
              </w:rPr>
              <w:t>Previous</w:t>
            </w:r>
          </w:p>
          <w:p w:rsidR="007639DF" w:rsidRDefault="007639DF" w:rsidP="007D2538">
            <w:pPr>
              <w:pStyle w:val="TableofFigures"/>
              <w:rPr>
                <w:rFonts w:eastAsia="Cambria"/>
                <w:b/>
              </w:rPr>
            </w:pPr>
          </w:p>
          <w:p w:rsidR="007639DF" w:rsidRPr="00CD675E" w:rsidRDefault="007639DF" w:rsidP="007D2538">
            <w:pPr>
              <w:pStyle w:val="TableofFigures"/>
              <w:rPr>
                <w:rFonts w:eastAsia="Cambria"/>
              </w:rPr>
            </w:pPr>
            <w:r w:rsidRPr="00CD675E">
              <w:rPr>
                <w:rFonts w:eastAsia="Cambria"/>
              </w:rPr>
              <w:t>Community Funding Policy 2013-17</w:t>
            </w:r>
          </w:p>
        </w:tc>
        <w:tc>
          <w:tcPr>
            <w:tcW w:w="3006" w:type="dxa"/>
            <w:shd w:val="clear" w:color="auto" w:fill="auto"/>
          </w:tcPr>
          <w:p w:rsidR="007639DF" w:rsidRDefault="007639DF" w:rsidP="007D2538">
            <w:pPr>
              <w:pStyle w:val="TableofFigures"/>
              <w:rPr>
                <w:rFonts w:eastAsia="Cambria"/>
                <w:b/>
              </w:rPr>
            </w:pPr>
            <w:r>
              <w:rPr>
                <w:rFonts w:eastAsia="Cambria"/>
                <w:b/>
              </w:rPr>
              <w:t>Replacement</w:t>
            </w:r>
          </w:p>
          <w:p w:rsidR="007639DF" w:rsidRDefault="007639DF" w:rsidP="007D2538">
            <w:pPr>
              <w:pStyle w:val="TableofFigures"/>
              <w:rPr>
                <w:rFonts w:eastAsia="Cambria"/>
                <w:b/>
              </w:rPr>
            </w:pPr>
          </w:p>
          <w:p w:rsidR="007639DF" w:rsidRPr="00CD675E" w:rsidRDefault="007639DF" w:rsidP="007D2538">
            <w:pPr>
              <w:pStyle w:val="TableofFigures"/>
              <w:rPr>
                <w:rFonts w:eastAsia="Cambria"/>
              </w:rPr>
            </w:pPr>
            <w:r w:rsidRPr="00CD675E">
              <w:rPr>
                <w:rFonts w:eastAsia="Cambria"/>
              </w:rPr>
              <w:t>Community Grants and Partnerships Framework</w:t>
            </w:r>
          </w:p>
        </w:tc>
        <w:tc>
          <w:tcPr>
            <w:tcW w:w="6804" w:type="dxa"/>
            <w:shd w:val="clear" w:color="auto" w:fill="auto"/>
          </w:tcPr>
          <w:p w:rsidR="007639DF" w:rsidRPr="00802A52" w:rsidRDefault="007639DF" w:rsidP="007D2538">
            <w:pPr>
              <w:pStyle w:val="TableofFigures"/>
              <w:rPr>
                <w:rFonts w:eastAsia="Cambria"/>
                <w:b/>
              </w:rPr>
            </w:pPr>
            <w:r>
              <w:rPr>
                <w:rFonts w:eastAsia="Cambria"/>
                <w:b/>
              </w:rPr>
              <w:t>Detail of proposed changes</w:t>
            </w:r>
          </w:p>
        </w:tc>
      </w:tr>
      <w:tr w:rsidR="007639DF" w:rsidRPr="00493E0A" w:rsidTr="0046489A">
        <w:tc>
          <w:tcPr>
            <w:tcW w:w="1985" w:type="dxa"/>
            <w:shd w:val="clear" w:color="auto" w:fill="auto"/>
          </w:tcPr>
          <w:p w:rsidR="007639DF" w:rsidRPr="00802A52" w:rsidRDefault="007639DF" w:rsidP="007D2538">
            <w:pPr>
              <w:pStyle w:val="TableofFigures"/>
              <w:rPr>
                <w:rFonts w:eastAsia="Cambria"/>
              </w:rPr>
            </w:pPr>
            <w:r>
              <w:rPr>
                <w:rFonts w:eastAsia="Cambria"/>
              </w:rPr>
              <w:t>Annual grants</w:t>
            </w:r>
          </w:p>
        </w:tc>
        <w:tc>
          <w:tcPr>
            <w:tcW w:w="2664" w:type="dxa"/>
            <w:shd w:val="clear" w:color="auto" w:fill="auto"/>
          </w:tcPr>
          <w:p w:rsidR="0046489A" w:rsidRDefault="0046489A" w:rsidP="007639DF">
            <w:pPr>
              <w:spacing w:after="120"/>
            </w:pPr>
            <w:r>
              <w:t>Funding categories</w:t>
            </w:r>
          </w:p>
          <w:p w:rsidR="007639DF" w:rsidRDefault="007639DF" w:rsidP="0046489A">
            <w:pPr>
              <w:pStyle w:val="ListNumber"/>
              <w:rPr>
                <w:sz w:val="22"/>
                <w:szCs w:val="22"/>
              </w:rPr>
            </w:pPr>
            <w:r>
              <w:t>Up to $3,000</w:t>
            </w:r>
          </w:p>
          <w:p w:rsidR="007639DF" w:rsidRDefault="007639DF" w:rsidP="0046489A">
            <w:pPr>
              <w:pStyle w:val="ListNumber"/>
              <w:rPr>
                <w:szCs w:val="20"/>
              </w:rPr>
            </w:pPr>
            <w:r>
              <w:t>$3001 - $10,000</w:t>
            </w:r>
          </w:p>
          <w:p w:rsidR="007639DF" w:rsidRPr="00802A52" w:rsidRDefault="007639DF" w:rsidP="0046489A">
            <w:pPr>
              <w:pStyle w:val="ListNumber"/>
              <w:rPr>
                <w:rFonts w:eastAsia="Cambria"/>
              </w:rPr>
            </w:pPr>
            <w:r>
              <w:t>$10,001 - $20,000</w:t>
            </w:r>
          </w:p>
        </w:tc>
        <w:tc>
          <w:tcPr>
            <w:tcW w:w="3006" w:type="dxa"/>
            <w:shd w:val="clear" w:color="auto" w:fill="auto"/>
          </w:tcPr>
          <w:p w:rsidR="007639DF" w:rsidRPr="0046489A" w:rsidRDefault="007639DF" w:rsidP="007639DF">
            <w:r w:rsidRPr="00CD675E">
              <w:t xml:space="preserve">Connected Communities Small Grants </w:t>
            </w:r>
            <w:r>
              <w:t>(up to $1,550)</w:t>
            </w:r>
          </w:p>
          <w:p w:rsidR="007639DF" w:rsidRDefault="007639DF" w:rsidP="007639DF">
            <w:r w:rsidRPr="00CD675E">
              <w:t>Connected Communities Impact Grants</w:t>
            </w:r>
            <w:r w:rsidR="0046489A">
              <w:t xml:space="preserve"> (</w:t>
            </w:r>
            <w:r>
              <w:t>$1,551 - $20,000)</w:t>
            </w:r>
          </w:p>
          <w:p w:rsidR="007639DF" w:rsidRPr="00802A52" w:rsidRDefault="007639DF" w:rsidP="007D2538">
            <w:pPr>
              <w:pStyle w:val="TableofFigures"/>
              <w:rPr>
                <w:rFonts w:eastAsia="Cambria"/>
              </w:rPr>
            </w:pPr>
          </w:p>
        </w:tc>
        <w:tc>
          <w:tcPr>
            <w:tcW w:w="6804" w:type="dxa"/>
            <w:shd w:val="clear" w:color="auto" w:fill="auto"/>
          </w:tcPr>
          <w:p w:rsidR="007639DF" w:rsidRDefault="007639DF" w:rsidP="007639DF">
            <w:pPr>
              <w:pStyle w:val="ListBullet"/>
            </w:pPr>
            <w:r>
              <w:t>The re-brand of Annual Grants to a more outcome-focused approach that funds community led activities that increase community connection, social inclusion and participation.</w:t>
            </w:r>
          </w:p>
          <w:p w:rsidR="007639DF" w:rsidRDefault="007639DF" w:rsidP="007639DF">
            <w:pPr>
              <w:pStyle w:val="ListBullet"/>
            </w:pPr>
            <w:r>
              <w:t>Connected Communities Small Grants will move to a simpler, lower resource model with only a basic application and reporting structure. They will not be externally assessed but be assessed against transparent criteria. This program includes Residents Groups operational funding and will pick up Seniors Groups activities and other small projects.</w:t>
            </w:r>
          </w:p>
          <w:p w:rsidR="007639DF" w:rsidRPr="007639DF" w:rsidRDefault="007639DF" w:rsidP="007639DF">
            <w:pPr>
              <w:pStyle w:val="ListParagraph"/>
            </w:pPr>
            <w:r>
              <w:t>Connected Communities Impact Grants will run the same as the current Annual Grants.</w:t>
            </w:r>
          </w:p>
        </w:tc>
      </w:tr>
      <w:tr w:rsidR="007639DF" w:rsidRPr="00493E0A" w:rsidTr="0046489A">
        <w:tc>
          <w:tcPr>
            <w:tcW w:w="1985" w:type="dxa"/>
            <w:shd w:val="clear" w:color="auto" w:fill="auto"/>
          </w:tcPr>
          <w:p w:rsidR="007639DF" w:rsidRPr="00802A52" w:rsidRDefault="007639DF" w:rsidP="007D2538">
            <w:pPr>
              <w:pStyle w:val="TableofFigures"/>
              <w:rPr>
                <w:rFonts w:eastAsia="Cambria"/>
              </w:rPr>
            </w:pPr>
            <w:r>
              <w:rPr>
                <w:rFonts w:eastAsia="Cambria"/>
              </w:rPr>
              <w:t>Community Use of Town Halls</w:t>
            </w:r>
          </w:p>
        </w:tc>
        <w:tc>
          <w:tcPr>
            <w:tcW w:w="2664" w:type="dxa"/>
            <w:shd w:val="clear" w:color="auto" w:fill="auto"/>
          </w:tcPr>
          <w:p w:rsidR="0046489A" w:rsidRDefault="0046489A" w:rsidP="007639DF">
            <w:r>
              <w:t>Venues:</w:t>
            </w:r>
          </w:p>
          <w:p w:rsidR="007639DF" w:rsidRDefault="007639DF" w:rsidP="0046489A">
            <w:pPr>
              <w:pStyle w:val="ListBullet"/>
            </w:pPr>
            <w:r>
              <w:t>Melbourne Town Hall</w:t>
            </w:r>
          </w:p>
          <w:p w:rsidR="007639DF" w:rsidRDefault="007639DF" w:rsidP="0046489A">
            <w:pPr>
              <w:pStyle w:val="ListBullet"/>
            </w:pPr>
            <w:r>
              <w:t>Meat Market</w:t>
            </w:r>
          </w:p>
          <w:p w:rsidR="007639DF" w:rsidRPr="00802A52" w:rsidRDefault="0046489A" w:rsidP="007639DF">
            <w:pPr>
              <w:pStyle w:val="TableofFigures"/>
              <w:rPr>
                <w:rFonts w:eastAsia="Cambria"/>
              </w:rPr>
            </w:pPr>
            <w:r>
              <w:t>Sponsorship up to $6</w:t>
            </w:r>
            <w:r w:rsidR="007639DF">
              <w:t>000 org/year</w:t>
            </w:r>
          </w:p>
        </w:tc>
        <w:tc>
          <w:tcPr>
            <w:tcW w:w="3006" w:type="dxa"/>
            <w:shd w:val="clear" w:color="auto" w:fill="auto"/>
          </w:tcPr>
          <w:p w:rsidR="0046489A" w:rsidRDefault="0046489A" w:rsidP="007639DF">
            <w:r>
              <w:t>Venues:</w:t>
            </w:r>
          </w:p>
          <w:p w:rsidR="007639DF" w:rsidRDefault="007639DF" w:rsidP="0046489A">
            <w:pPr>
              <w:pStyle w:val="ListParagraph"/>
              <w:numPr>
                <w:ilvl w:val="0"/>
                <w:numId w:val="23"/>
              </w:numPr>
              <w:ind w:left="397" w:hanging="283"/>
            </w:pPr>
            <w:r>
              <w:t>Melbourne Town Hall</w:t>
            </w:r>
          </w:p>
          <w:p w:rsidR="007639DF" w:rsidRDefault="007639DF" w:rsidP="0046489A">
            <w:pPr>
              <w:pStyle w:val="ListParagraph"/>
              <w:numPr>
                <w:ilvl w:val="0"/>
                <w:numId w:val="23"/>
              </w:numPr>
              <w:ind w:left="397" w:hanging="283"/>
            </w:pPr>
            <w:r>
              <w:t>Meat Market</w:t>
            </w:r>
          </w:p>
          <w:p w:rsidR="007639DF" w:rsidRPr="007639DF" w:rsidRDefault="007639DF" w:rsidP="0046489A">
            <w:pPr>
              <w:pStyle w:val="ListParagraph"/>
              <w:numPr>
                <w:ilvl w:val="0"/>
                <w:numId w:val="23"/>
              </w:numPr>
              <w:ind w:left="397" w:hanging="283"/>
            </w:pPr>
            <w:r w:rsidRPr="007639DF">
              <w:t>Kensington Town Hall</w:t>
            </w:r>
          </w:p>
          <w:p w:rsidR="007639DF" w:rsidRPr="00802A52" w:rsidRDefault="0046489A" w:rsidP="0046489A">
            <w:pPr>
              <w:pStyle w:val="TableofFigures"/>
              <w:rPr>
                <w:rFonts w:eastAsia="Cambria"/>
              </w:rPr>
            </w:pPr>
            <w:r>
              <w:t>Sponsorship up to $7</w:t>
            </w:r>
            <w:r w:rsidR="007639DF" w:rsidRPr="007639DF">
              <w:t>000 org/year</w:t>
            </w:r>
          </w:p>
        </w:tc>
        <w:tc>
          <w:tcPr>
            <w:tcW w:w="6804" w:type="dxa"/>
            <w:shd w:val="clear" w:color="auto" w:fill="auto"/>
          </w:tcPr>
          <w:p w:rsidR="00CD675E" w:rsidRDefault="00CD675E" w:rsidP="00CD675E">
            <w:pPr>
              <w:pStyle w:val="ListBullet"/>
            </w:pPr>
            <w:r>
              <w:t>Inclusion of Kensington Town Hall to enhance utilisation of facility and provide a more affordable offering for small community groups.</w:t>
            </w:r>
          </w:p>
          <w:p w:rsidR="00CD675E" w:rsidRDefault="00CD675E" w:rsidP="00CD675E">
            <w:pPr>
              <w:pStyle w:val="ListBullet"/>
            </w:pPr>
            <w:r>
              <w:t xml:space="preserve">Enhanced transparency of CUTHS through clearer assessment criteria provided online; and the online publishing of successful applications. </w:t>
            </w:r>
          </w:p>
          <w:p w:rsidR="007639DF" w:rsidRPr="00CD675E" w:rsidRDefault="00CD675E" w:rsidP="00CD675E">
            <w:pPr>
              <w:pStyle w:val="ListBullet"/>
              <w:rPr>
                <w:rFonts w:eastAsia="Cambria"/>
              </w:rPr>
            </w:pPr>
            <w:r>
              <w:t>Increased annual cap by $1000 to cover costs associated with new compulsory security requirements for events held in the Melbourne Town Hall.</w:t>
            </w:r>
          </w:p>
          <w:p w:rsidR="00CD675E" w:rsidRPr="00802A52" w:rsidRDefault="00CD675E" w:rsidP="00711128">
            <w:pPr>
              <w:pStyle w:val="ListBullet"/>
              <w:numPr>
                <w:ilvl w:val="0"/>
                <w:numId w:val="0"/>
              </w:numPr>
              <w:rPr>
                <w:rFonts w:eastAsia="Cambria"/>
              </w:rPr>
            </w:pPr>
          </w:p>
        </w:tc>
      </w:tr>
      <w:tr w:rsidR="007639DF" w:rsidRPr="00493E0A" w:rsidTr="00711128">
        <w:trPr>
          <w:cantSplit/>
        </w:trPr>
        <w:tc>
          <w:tcPr>
            <w:tcW w:w="1985" w:type="dxa"/>
            <w:shd w:val="clear" w:color="auto" w:fill="auto"/>
          </w:tcPr>
          <w:p w:rsidR="007639DF" w:rsidRPr="00802A52" w:rsidRDefault="00CD675E" w:rsidP="007D2538">
            <w:pPr>
              <w:pStyle w:val="TableofFigures"/>
              <w:rPr>
                <w:rFonts w:eastAsia="Cambria"/>
              </w:rPr>
            </w:pPr>
            <w:r>
              <w:t>Aboriginal Melbourne grants</w:t>
            </w:r>
          </w:p>
        </w:tc>
        <w:tc>
          <w:tcPr>
            <w:tcW w:w="2664" w:type="dxa"/>
            <w:shd w:val="clear" w:color="auto" w:fill="auto"/>
          </w:tcPr>
          <w:p w:rsidR="007639DF" w:rsidRPr="00802A52" w:rsidRDefault="00CD675E" w:rsidP="007D2538">
            <w:pPr>
              <w:pStyle w:val="TableofFigures"/>
              <w:rPr>
                <w:rFonts w:eastAsia="Cambria"/>
              </w:rPr>
            </w:pPr>
            <w:r>
              <w:t>Grants up to $10,000 processed monthly via Community Grants Briefing paper.</w:t>
            </w:r>
          </w:p>
        </w:tc>
        <w:tc>
          <w:tcPr>
            <w:tcW w:w="3006" w:type="dxa"/>
            <w:shd w:val="clear" w:color="auto" w:fill="auto"/>
          </w:tcPr>
          <w:p w:rsidR="007639DF" w:rsidRPr="0046489A" w:rsidRDefault="00CD675E" w:rsidP="0046489A">
            <w:r>
              <w:t xml:space="preserve">Grants up to $10,000 processed monthly via Community Grants Briefing Paper. </w:t>
            </w:r>
          </w:p>
        </w:tc>
        <w:tc>
          <w:tcPr>
            <w:tcW w:w="6804" w:type="dxa"/>
            <w:shd w:val="clear" w:color="auto" w:fill="auto"/>
          </w:tcPr>
          <w:p w:rsidR="007639DF" w:rsidRPr="00802A52" w:rsidRDefault="00CD675E" w:rsidP="007D2538">
            <w:pPr>
              <w:pStyle w:val="TableofFigures"/>
              <w:rPr>
                <w:rFonts w:eastAsia="Cambria"/>
              </w:rPr>
            </w:pPr>
            <w:r>
              <w:t>No change to Aboriginal Melbourne grants.</w:t>
            </w:r>
          </w:p>
        </w:tc>
      </w:tr>
      <w:tr w:rsidR="00CD675E" w:rsidRPr="00493E0A" w:rsidTr="0046489A">
        <w:tc>
          <w:tcPr>
            <w:tcW w:w="1985" w:type="dxa"/>
            <w:shd w:val="clear" w:color="auto" w:fill="auto"/>
          </w:tcPr>
          <w:p w:rsidR="00CD675E" w:rsidRDefault="00CD675E" w:rsidP="007D2538">
            <w:pPr>
              <w:pStyle w:val="TableofFigures"/>
            </w:pPr>
            <w:r>
              <w:t>Sports and Recreation Grants</w:t>
            </w:r>
          </w:p>
        </w:tc>
        <w:tc>
          <w:tcPr>
            <w:tcW w:w="2664" w:type="dxa"/>
            <w:shd w:val="clear" w:color="auto" w:fill="auto"/>
          </w:tcPr>
          <w:p w:rsidR="00CD675E" w:rsidRDefault="00CD675E" w:rsidP="00CD675E">
            <w:r>
              <w:t>Individual Athlete Grants</w:t>
            </w:r>
          </w:p>
          <w:p w:rsidR="00CD675E" w:rsidRDefault="0046489A" w:rsidP="00CD675E">
            <w:r>
              <w:t>Funding u</w:t>
            </w:r>
            <w:r w:rsidR="00CD675E">
              <w:t>p to $2000</w:t>
            </w:r>
          </w:p>
          <w:p w:rsidR="00CD675E" w:rsidRDefault="00CD675E" w:rsidP="00CD675E">
            <w:pPr>
              <w:pStyle w:val="TableofFigures"/>
            </w:pPr>
            <w:r>
              <w:t>Monthly rounds</w:t>
            </w:r>
          </w:p>
        </w:tc>
        <w:tc>
          <w:tcPr>
            <w:tcW w:w="3006" w:type="dxa"/>
            <w:shd w:val="clear" w:color="auto" w:fill="auto"/>
          </w:tcPr>
          <w:p w:rsidR="00CD675E" w:rsidRPr="00CD675E" w:rsidRDefault="00CD675E" w:rsidP="00CD675E">
            <w:pPr>
              <w:spacing w:after="0" w:line="288" w:lineRule="auto"/>
              <w:rPr>
                <w:rFonts w:eastAsia="Times New Roman"/>
                <w:b/>
                <w:color w:val="000000"/>
                <w:szCs w:val="20"/>
                <w:lang w:eastAsia="en-AU"/>
              </w:rPr>
            </w:pPr>
            <w:r w:rsidRPr="00CD675E">
              <w:rPr>
                <w:rFonts w:eastAsia="Times New Roman"/>
                <w:b/>
                <w:color w:val="000000"/>
                <w:szCs w:val="20"/>
                <w:lang w:eastAsia="en-AU"/>
              </w:rPr>
              <w:t>Inclusive Sport and Recreation Grants</w:t>
            </w:r>
          </w:p>
          <w:p w:rsidR="00CD675E" w:rsidRPr="00CD675E" w:rsidRDefault="00CD675E" w:rsidP="00CD675E">
            <w:pPr>
              <w:spacing w:after="0" w:line="288" w:lineRule="auto"/>
              <w:rPr>
                <w:rFonts w:eastAsia="Times New Roman"/>
                <w:color w:val="000000"/>
                <w:szCs w:val="20"/>
                <w:lang w:eastAsia="en-AU"/>
              </w:rPr>
            </w:pPr>
            <w:r w:rsidRPr="00CD675E">
              <w:rPr>
                <w:rFonts w:eastAsia="Times New Roman"/>
                <w:color w:val="000000"/>
                <w:szCs w:val="20"/>
                <w:lang w:eastAsia="en-AU"/>
              </w:rPr>
              <w:t>Cat</w:t>
            </w:r>
            <w:r>
              <w:rPr>
                <w:rFonts w:eastAsia="Times New Roman"/>
                <w:color w:val="000000"/>
                <w:szCs w:val="20"/>
                <w:lang w:eastAsia="en-AU"/>
              </w:rPr>
              <w:t>egory</w:t>
            </w:r>
            <w:r w:rsidRPr="00CD675E">
              <w:rPr>
                <w:rFonts w:eastAsia="Times New Roman"/>
                <w:color w:val="000000"/>
                <w:szCs w:val="20"/>
                <w:lang w:eastAsia="en-AU"/>
              </w:rPr>
              <w:t xml:space="preserve"> 1: Inclusive Support Grants (up to $500)</w:t>
            </w:r>
          </w:p>
          <w:p w:rsidR="00CD675E" w:rsidRPr="00CD675E" w:rsidRDefault="00CD675E" w:rsidP="00CD675E">
            <w:pPr>
              <w:spacing w:after="0" w:line="288" w:lineRule="auto"/>
              <w:rPr>
                <w:rFonts w:eastAsia="Times New Roman"/>
                <w:color w:val="000000"/>
                <w:szCs w:val="20"/>
                <w:lang w:eastAsia="en-AU"/>
              </w:rPr>
            </w:pPr>
            <w:r w:rsidRPr="00CD675E">
              <w:rPr>
                <w:rFonts w:eastAsia="Times New Roman"/>
                <w:color w:val="000000"/>
                <w:szCs w:val="20"/>
                <w:lang w:eastAsia="en-AU"/>
              </w:rPr>
              <w:t>Cat</w:t>
            </w:r>
            <w:r>
              <w:rPr>
                <w:rFonts w:eastAsia="Times New Roman"/>
                <w:color w:val="000000"/>
                <w:szCs w:val="20"/>
                <w:lang w:eastAsia="en-AU"/>
              </w:rPr>
              <w:t xml:space="preserve">egory </w:t>
            </w:r>
            <w:r w:rsidRPr="00CD675E">
              <w:rPr>
                <w:rFonts w:eastAsia="Times New Roman"/>
                <w:color w:val="000000"/>
                <w:szCs w:val="20"/>
                <w:lang w:eastAsia="en-AU"/>
              </w:rPr>
              <w:t xml:space="preserve"> 2: Individual Participation Grants:</w:t>
            </w:r>
          </w:p>
          <w:p w:rsidR="00CD675E" w:rsidRPr="00CD675E" w:rsidRDefault="00CD675E" w:rsidP="00CD675E">
            <w:pPr>
              <w:pStyle w:val="ListBullet"/>
              <w:rPr>
                <w:lang w:eastAsia="en-AU"/>
              </w:rPr>
            </w:pPr>
            <w:r w:rsidRPr="00CD675E">
              <w:rPr>
                <w:lang w:eastAsia="en-AU"/>
              </w:rPr>
              <w:t xml:space="preserve">up to $300 individual/national </w:t>
            </w:r>
          </w:p>
          <w:p w:rsidR="00CD675E" w:rsidRPr="00CD675E" w:rsidRDefault="00CD675E" w:rsidP="00CD675E">
            <w:pPr>
              <w:pStyle w:val="ListBullet"/>
              <w:rPr>
                <w:lang w:eastAsia="en-AU"/>
              </w:rPr>
            </w:pPr>
            <w:r w:rsidRPr="00CD675E">
              <w:rPr>
                <w:lang w:eastAsia="en-AU"/>
              </w:rPr>
              <w:t>up to $500 team/national</w:t>
            </w:r>
          </w:p>
          <w:p w:rsidR="00CD675E" w:rsidRPr="00CD675E" w:rsidRDefault="00CD675E" w:rsidP="00CD675E">
            <w:pPr>
              <w:pStyle w:val="ListBullet"/>
              <w:rPr>
                <w:lang w:eastAsia="en-AU"/>
              </w:rPr>
            </w:pPr>
            <w:r w:rsidRPr="00CD675E">
              <w:rPr>
                <w:lang w:eastAsia="en-AU"/>
              </w:rPr>
              <w:t xml:space="preserve">up to $500 individual/international </w:t>
            </w:r>
          </w:p>
          <w:p w:rsidR="00CD675E" w:rsidRPr="00CD675E" w:rsidRDefault="00CD675E" w:rsidP="00CD675E">
            <w:pPr>
              <w:pStyle w:val="ListBullet"/>
              <w:rPr>
                <w:lang w:eastAsia="en-AU"/>
              </w:rPr>
            </w:pPr>
            <w:r w:rsidRPr="00CD675E">
              <w:rPr>
                <w:lang w:eastAsia="en-AU"/>
              </w:rPr>
              <w:t>up to $700 team/international</w:t>
            </w:r>
          </w:p>
          <w:p w:rsidR="00CD675E" w:rsidRDefault="00CD675E" w:rsidP="00CD675E">
            <w:r w:rsidRPr="00CD675E">
              <w:rPr>
                <w:rFonts w:eastAsia="Times New Roman"/>
                <w:szCs w:val="20"/>
                <w:lang w:eastAsia="en-AU"/>
              </w:rPr>
              <w:t>Quarterly rounds</w:t>
            </w:r>
          </w:p>
        </w:tc>
        <w:tc>
          <w:tcPr>
            <w:tcW w:w="6804" w:type="dxa"/>
            <w:shd w:val="clear" w:color="auto" w:fill="auto"/>
          </w:tcPr>
          <w:p w:rsidR="00CD675E" w:rsidRDefault="00CD675E" w:rsidP="00CD675E">
            <w:pPr>
              <w:pStyle w:val="ListBullet"/>
            </w:pPr>
            <w:r>
              <w:t>Increased focus on providing assistance to financially disadvantaged young people to engage with sport. Applicants to the Inclusion Support Grants must hold a Health Care Card.</w:t>
            </w:r>
          </w:p>
          <w:p w:rsidR="00CD675E" w:rsidRDefault="00CD675E" w:rsidP="00CD675E">
            <w:pPr>
              <w:pStyle w:val="ListBullet"/>
            </w:pPr>
            <w:r>
              <w:t>To be eligible, applicants in both categories need to be a resident of the City of Melbourne.</w:t>
            </w:r>
          </w:p>
        </w:tc>
      </w:tr>
      <w:tr w:rsidR="00CD675E" w:rsidRPr="00493E0A" w:rsidTr="0046489A">
        <w:tc>
          <w:tcPr>
            <w:tcW w:w="1985" w:type="dxa"/>
            <w:shd w:val="clear" w:color="auto" w:fill="auto"/>
          </w:tcPr>
          <w:p w:rsidR="00CD675E" w:rsidRPr="00CD675E" w:rsidRDefault="00CD675E" w:rsidP="00CD675E">
            <w:pPr>
              <w:rPr>
                <w:sz w:val="22"/>
                <w:szCs w:val="22"/>
              </w:rPr>
            </w:pPr>
            <w:r>
              <w:t>Long Term Funding</w:t>
            </w:r>
          </w:p>
        </w:tc>
        <w:tc>
          <w:tcPr>
            <w:tcW w:w="2664" w:type="dxa"/>
            <w:shd w:val="clear" w:color="auto" w:fill="auto"/>
          </w:tcPr>
          <w:p w:rsidR="00CD675E" w:rsidRPr="00CD675E" w:rsidRDefault="00CD675E" w:rsidP="00CD675E">
            <w:pPr>
              <w:rPr>
                <w:sz w:val="22"/>
                <w:szCs w:val="22"/>
              </w:rPr>
            </w:pPr>
            <w:r>
              <w:t>Long Term Funding</w:t>
            </w:r>
          </w:p>
          <w:p w:rsidR="00CD675E" w:rsidRDefault="00CD675E" w:rsidP="00CD675E">
            <w:r>
              <w:t>Minimum $20,000</w:t>
            </w:r>
          </w:p>
          <w:p w:rsidR="00CD675E" w:rsidRDefault="00CD675E" w:rsidP="00CD675E">
            <w:r>
              <w:t>No maximum</w:t>
            </w:r>
            <w:r w:rsidR="0046489A">
              <w:t xml:space="preserve"> amount</w:t>
            </w:r>
          </w:p>
          <w:p w:rsidR="00CD675E" w:rsidRDefault="00CD675E" w:rsidP="0046489A">
            <w:r>
              <w:t>4 years</w:t>
            </w:r>
          </w:p>
        </w:tc>
        <w:tc>
          <w:tcPr>
            <w:tcW w:w="3006" w:type="dxa"/>
            <w:shd w:val="clear" w:color="auto" w:fill="auto"/>
          </w:tcPr>
          <w:p w:rsidR="0046489A" w:rsidRPr="0046489A" w:rsidRDefault="0046489A" w:rsidP="0046489A">
            <w:pPr>
              <w:rPr>
                <w:sz w:val="22"/>
                <w:szCs w:val="22"/>
              </w:rPr>
            </w:pPr>
            <w:r w:rsidRPr="0046489A">
              <w:t>Social Innovation Partnerships</w:t>
            </w:r>
          </w:p>
          <w:p w:rsidR="0046489A" w:rsidRDefault="0046489A" w:rsidP="0046489A">
            <w:pPr>
              <w:rPr>
                <w:szCs w:val="20"/>
              </w:rPr>
            </w:pPr>
            <w:r>
              <w:t>Funding from $15,000  to $80,000)</w:t>
            </w:r>
          </w:p>
          <w:p w:rsidR="0046489A" w:rsidRDefault="0046489A" w:rsidP="0046489A">
            <w:r>
              <w:t xml:space="preserve">2 years discrete project funding </w:t>
            </w:r>
          </w:p>
          <w:p w:rsidR="00CD675E" w:rsidRDefault="0046489A" w:rsidP="00CD675E">
            <w:r>
              <w:t xml:space="preserve">Option to re-apply for second round only if aligned to a growth or replication strategy. </w:t>
            </w:r>
          </w:p>
        </w:tc>
        <w:tc>
          <w:tcPr>
            <w:tcW w:w="6804" w:type="dxa"/>
            <w:shd w:val="clear" w:color="auto" w:fill="auto"/>
          </w:tcPr>
          <w:p w:rsidR="0046489A" w:rsidRDefault="0046489A" w:rsidP="0046489A">
            <w:pPr>
              <w:pStyle w:val="ListBullet"/>
              <w:rPr>
                <w:sz w:val="22"/>
                <w:szCs w:val="22"/>
              </w:rPr>
            </w:pPr>
            <w:r>
              <w:t>Two year project funding for innovative projects addressing City of Melbourne’s social priorities and create sustained social change.</w:t>
            </w:r>
          </w:p>
          <w:p w:rsidR="0046489A" w:rsidRDefault="0046489A" w:rsidP="0046489A">
            <w:pPr>
              <w:pStyle w:val="ListBullet"/>
              <w:rPr>
                <w:szCs w:val="20"/>
              </w:rPr>
            </w:pPr>
            <w:r>
              <w:rPr>
                <w:rFonts w:cs="Arial"/>
              </w:rPr>
              <w:t>The Guidelines will specify social priority areas and may include, but are not limited to: gender equality and preventing violence against women and children; African Australian youth engagement; pathways out of homelessness; and embracing diversity within our communities.</w:t>
            </w:r>
          </w:p>
          <w:p w:rsidR="00CD675E" w:rsidRDefault="0046489A" w:rsidP="0046489A">
            <w:pPr>
              <w:pStyle w:val="ListBullet"/>
            </w:pPr>
            <w:r>
              <w:rPr>
                <w:rFonts w:cs="Arial"/>
              </w:rPr>
              <w:t>Social enterprises are also eligible to apply for Social Innovation Partnerships.</w:t>
            </w:r>
          </w:p>
        </w:tc>
      </w:tr>
      <w:tr w:rsidR="00CD675E" w:rsidRPr="00493E0A" w:rsidTr="0046489A">
        <w:tc>
          <w:tcPr>
            <w:tcW w:w="1985" w:type="dxa"/>
            <w:shd w:val="clear" w:color="auto" w:fill="auto"/>
          </w:tcPr>
          <w:p w:rsidR="00CD675E" w:rsidRDefault="0046489A" w:rsidP="007D2538">
            <w:pPr>
              <w:pStyle w:val="TableofFigures"/>
            </w:pPr>
            <w:r>
              <w:t>Strategic Partnerships</w:t>
            </w:r>
          </w:p>
        </w:tc>
        <w:tc>
          <w:tcPr>
            <w:tcW w:w="2664" w:type="dxa"/>
            <w:shd w:val="clear" w:color="auto" w:fill="auto"/>
          </w:tcPr>
          <w:p w:rsidR="0046489A" w:rsidRPr="0046489A" w:rsidRDefault="0046489A" w:rsidP="0046489A">
            <w:pPr>
              <w:spacing w:after="0"/>
              <w:rPr>
                <w:rFonts w:eastAsia="Times New Roman"/>
                <w:color w:val="000000"/>
                <w:szCs w:val="20"/>
                <w:lang w:eastAsia="en-AU"/>
              </w:rPr>
            </w:pPr>
            <w:r w:rsidRPr="0046489A">
              <w:rPr>
                <w:rFonts w:eastAsia="Times New Roman"/>
                <w:color w:val="000000"/>
                <w:szCs w:val="20"/>
                <w:lang w:eastAsia="en-AU"/>
              </w:rPr>
              <w:t xml:space="preserve">Non-competitive 4 year funding in accordance with </w:t>
            </w:r>
          </w:p>
          <w:p w:rsidR="0046489A" w:rsidRPr="0046489A" w:rsidRDefault="0046489A" w:rsidP="0046489A">
            <w:pPr>
              <w:spacing w:after="0"/>
              <w:rPr>
                <w:rFonts w:eastAsia="Times New Roman"/>
                <w:color w:val="000000"/>
                <w:szCs w:val="20"/>
                <w:lang w:eastAsia="en-AU"/>
              </w:rPr>
            </w:pPr>
            <w:r w:rsidRPr="0046489A">
              <w:rPr>
                <w:rFonts w:eastAsia="Times New Roman"/>
                <w:color w:val="000000"/>
                <w:szCs w:val="20"/>
                <w:lang w:eastAsia="en-AU"/>
              </w:rPr>
              <w:t xml:space="preserve">Neighbourhood </w:t>
            </w:r>
            <w:r w:rsidRPr="0046489A">
              <w:rPr>
                <w:rFonts w:eastAsia="Times New Roman"/>
                <w:color w:val="000000"/>
                <w:szCs w:val="20"/>
                <w:lang w:eastAsia="en-AU"/>
              </w:rPr>
              <w:br/>
              <w:t>House Policy 2013.</w:t>
            </w:r>
          </w:p>
          <w:p w:rsidR="0046489A" w:rsidRPr="0046489A" w:rsidRDefault="0046489A" w:rsidP="0046489A">
            <w:pPr>
              <w:pStyle w:val="ListBullet"/>
              <w:rPr>
                <w:lang w:eastAsia="en-AU"/>
              </w:rPr>
            </w:pPr>
            <w:r w:rsidRPr="0046489A">
              <w:rPr>
                <w:lang w:eastAsia="en-AU"/>
              </w:rPr>
              <w:t>North Melb</w:t>
            </w:r>
            <w:r>
              <w:rPr>
                <w:lang w:eastAsia="en-AU"/>
              </w:rPr>
              <w:t>ourne Language and Learning</w:t>
            </w:r>
            <w:r w:rsidRPr="0046489A">
              <w:rPr>
                <w:lang w:eastAsia="en-AU"/>
              </w:rPr>
              <w:t xml:space="preserve"> $83,984</w:t>
            </w:r>
          </w:p>
          <w:p w:rsidR="0046489A" w:rsidRPr="0046489A" w:rsidRDefault="0046489A" w:rsidP="0046489A">
            <w:pPr>
              <w:pStyle w:val="ListBullet"/>
              <w:rPr>
                <w:lang w:eastAsia="en-AU"/>
              </w:rPr>
            </w:pPr>
            <w:r w:rsidRPr="0046489A">
              <w:rPr>
                <w:lang w:eastAsia="en-AU"/>
              </w:rPr>
              <w:t xml:space="preserve">Kensington </w:t>
            </w:r>
            <w:r>
              <w:rPr>
                <w:lang w:eastAsia="en-AU"/>
              </w:rPr>
              <w:t xml:space="preserve">Neighborhood House </w:t>
            </w:r>
            <w:r w:rsidRPr="0046489A">
              <w:rPr>
                <w:lang w:eastAsia="en-AU"/>
              </w:rPr>
              <w:t xml:space="preserve">$87,573 </w:t>
            </w:r>
          </w:p>
          <w:p w:rsidR="0046489A" w:rsidRPr="0046489A" w:rsidRDefault="0046489A" w:rsidP="0046489A">
            <w:pPr>
              <w:pStyle w:val="ListBullet"/>
              <w:rPr>
                <w:lang w:eastAsia="en-AU"/>
              </w:rPr>
            </w:pPr>
            <w:r w:rsidRPr="0046489A">
              <w:rPr>
                <w:lang w:eastAsia="en-AU"/>
              </w:rPr>
              <w:t>Carlton</w:t>
            </w:r>
            <w:r>
              <w:rPr>
                <w:lang w:eastAsia="en-AU"/>
              </w:rPr>
              <w:t xml:space="preserve"> Nei</w:t>
            </w:r>
            <w:r w:rsidR="00711128">
              <w:rPr>
                <w:lang w:eastAsia="en-AU"/>
              </w:rPr>
              <w:t>ghbourhood Learning Centre</w:t>
            </w:r>
            <w:r w:rsidRPr="0046489A">
              <w:rPr>
                <w:lang w:eastAsia="en-AU"/>
              </w:rPr>
              <w:t xml:space="preserve"> $80,181</w:t>
            </w:r>
          </w:p>
          <w:p w:rsidR="00CD675E" w:rsidRPr="00711128" w:rsidRDefault="0046489A" w:rsidP="007D2538">
            <w:pPr>
              <w:pStyle w:val="ListBullet"/>
              <w:rPr>
                <w:sz w:val="22"/>
                <w:szCs w:val="22"/>
                <w:lang w:eastAsia="en-AU"/>
              </w:rPr>
            </w:pPr>
            <w:r w:rsidRPr="0046489A">
              <w:rPr>
                <w:lang w:eastAsia="en-AU"/>
              </w:rPr>
              <w:t>The Centre $100,758</w:t>
            </w:r>
          </w:p>
        </w:tc>
        <w:tc>
          <w:tcPr>
            <w:tcW w:w="3006" w:type="dxa"/>
            <w:shd w:val="clear" w:color="auto" w:fill="auto"/>
          </w:tcPr>
          <w:p w:rsidR="00711128" w:rsidRPr="00711128" w:rsidRDefault="00711128" w:rsidP="00711128">
            <w:r w:rsidRPr="00711128">
              <w:t>Community Funding Agreements</w:t>
            </w:r>
            <w:r>
              <w:t xml:space="preserve"> </w:t>
            </w:r>
            <w:r w:rsidRPr="00711128">
              <w:t>(Neighbourhood Houses)</w:t>
            </w:r>
          </w:p>
          <w:p w:rsidR="00711128" w:rsidRDefault="00711128" w:rsidP="00711128">
            <w:r>
              <w:t>4 years funding conditional on achieving annual shared and agreed community development outcomes.</w:t>
            </w:r>
          </w:p>
          <w:p w:rsidR="00711128" w:rsidRDefault="00711128" w:rsidP="00711128">
            <w:r>
              <w:t>Funding of $100,000 each</w:t>
            </w:r>
          </w:p>
          <w:p w:rsidR="00CD675E" w:rsidRDefault="00CD675E" w:rsidP="00CD675E"/>
        </w:tc>
        <w:tc>
          <w:tcPr>
            <w:tcW w:w="6804" w:type="dxa"/>
            <w:shd w:val="clear" w:color="auto" w:fill="auto"/>
          </w:tcPr>
          <w:p w:rsidR="00711128" w:rsidRDefault="00711128" w:rsidP="00711128">
            <w:pPr>
              <w:pStyle w:val="ListBullet"/>
            </w:pPr>
            <w:r>
              <w:t>Retirement of stand-alone Neighbourhood House Policy 2013; funding to be managed within the community Grants and Partnerships Framework.</w:t>
            </w:r>
          </w:p>
          <w:p w:rsidR="00711128" w:rsidRDefault="00711128" w:rsidP="00711128">
            <w:pPr>
              <w:pStyle w:val="ListBullet"/>
            </w:pPr>
            <w:r>
              <w:t>Equal funding for all four Neighbourhood Houses.</w:t>
            </w:r>
          </w:p>
          <w:p w:rsidR="00CD675E" w:rsidRDefault="00711128" w:rsidP="00711128">
            <w:pPr>
              <w:pStyle w:val="ListBullet"/>
            </w:pPr>
            <w:r>
              <w:t>The focus of the funding will shift from program funding to the delivery of agreed and shared community development outcomes.</w:t>
            </w:r>
          </w:p>
        </w:tc>
      </w:tr>
      <w:tr w:rsidR="00CD675E" w:rsidRPr="00493E0A" w:rsidTr="0046489A">
        <w:tc>
          <w:tcPr>
            <w:tcW w:w="1985" w:type="dxa"/>
            <w:shd w:val="clear" w:color="auto" w:fill="auto"/>
          </w:tcPr>
          <w:p w:rsidR="00CD675E" w:rsidRDefault="00711128" w:rsidP="007D2538">
            <w:pPr>
              <w:pStyle w:val="TableofFigures"/>
            </w:pPr>
            <w:r>
              <w:t>Community Capacity Building Program</w:t>
            </w:r>
          </w:p>
        </w:tc>
        <w:tc>
          <w:tcPr>
            <w:tcW w:w="2664" w:type="dxa"/>
            <w:shd w:val="clear" w:color="auto" w:fill="auto"/>
          </w:tcPr>
          <w:p w:rsidR="00CD675E" w:rsidRDefault="00711128" w:rsidP="007D2538">
            <w:pPr>
              <w:pStyle w:val="TableofFigures"/>
            </w:pPr>
            <w:r>
              <w:t>City of Melbourne managed delivery of a series of capacity building workshops for community groups.</w:t>
            </w:r>
          </w:p>
        </w:tc>
        <w:tc>
          <w:tcPr>
            <w:tcW w:w="3006" w:type="dxa"/>
            <w:shd w:val="clear" w:color="auto" w:fill="auto"/>
          </w:tcPr>
          <w:p w:rsidR="00CD675E" w:rsidRPr="00711128" w:rsidRDefault="00711128" w:rsidP="00CD675E">
            <w:r w:rsidRPr="00711128">
              <w:t>Partnership and Professional Development</w:t>
            </w:r>
          </w:p>
        </w:tc>
        <w:tc>
          <w:tcPr>
            <w:tcW w:w="6804" w:type="dxa"/>
            <w:shd w:val="clear" w:color="auto" w:fill="auto"/>
          </w:tcPr>
          <w:p w:rsidR="00711128" w:rsidRDefault="00711128" w:rsidP="00711128">
            <w:pPr>
              <w:pStyle w:val="ListBullet"/>
            </w:pPr>
            <w:r>
              <w:t>Address low engagement in workshop offering through community groups applying for financial support to attend sector conferences or workshops.</w:t>
            </w:r>
          </w:p>
          <w:p w:rsidR="00711128" w:rsidRDefault="00711128" w:rsidP="00711128">
            <w:pPr>
              <w:pStyle w:val="ListBullet"/>
            </w:pPr>
            <w:r>
              <w:t>Develop relationships across corporate and philanthropic Melbourne to increase engagement with, and leverage of, our programs and create more impact for our communities.</w:t>
            </w:r>
          </w:p>
          <w:p w:rsidR="00CD675E" w:rsidRDefault="00711128" w:rsidP="00711128">
            <w:pPr>
              <w:pStyle w:val="ListBullet"/>
            </w:pPr>
            <w:r>
              <w:t>City of Melbourne to host an annual cross-sector learning and networking event.</w:t>
            </w:r>
          </w:p>
        </w:tc>
      </w:tr>
      <w:tr w:rsidR="00711128" w:rsidRPr="00493E0A" w:rsidTr="0046489A">
        <w:tc>
          <w:tcPr>
            <w:tcW w:w="1985" w:type="dxa"/>
            <w:shd w:val="clear" w:color="auto" w:fill="auto"/>
          </w:tcPr>
          <w:p w:rsidR="00711128" w:rsidRDefault="00711128" w:rsidP="00711128">
            <w:r>
              <w:t>Governance</w:t>
            </w:r>
          </w:p>
          <w:p w:rsidR="00711128" w:rsidRDefault="00711128" w:rsidP="00711128">
            <w:pPr>
              <w:pStyle w:val="TableofFigures"/>
            </w:pPr>
            <w:r>
              <w:rPr>
                <w:sz w:val="18"/>
                <w:szCs w:val="18"/>
              </w:rPr>
              <w:t>(Management and monitoring of the community grants)</w:t>
            </w:r>
          </w:p>
        </w:tc>
        <w:tc>
          <w:tcPr>
            <w:tcW w:w="2664" w:type="dxa"/>
            <w:shd w:val="clear" w:color="auto" w:fill="auto"/>
          </w:tcPr>
          <w:p w:rsidR="00711128" w:rsidRDefault="00711128" w:rsidP="007D2538">
            <w:pPr>
              <w:pStyle w:val="TableofFigures"/>
            </w:pPr>
            <w:r>
              <w:t>Grant Manager role under-utilised and inconsistent in level of support provided to grant recipients</w:t>
            </w:r>
          </w:p>
        </w:tc>
        <w:tc>
          <w:tcPr>
            <w:tcW w:w="3006" w:type="dxa"/>
            <w:shd w:val="clear" w:color="auto" w:fill="auto"/>
          </w:tcPr>
          <w:p w:rsidR="00711128" w:rsidRPr="00711128" w:rsidRDefault="00711128" w:rsidP="00CD675E">
            <w:r w:rsidRPr="00711128">
              <w:t>Increase formalisation and effectiveness of Grant Manager role</w:t>
            </w:r>
          </w:p>
        </w:tc>
        <w:tc>
          <w:tcPr>
            <w:tcW w:w="6804" w:type="dxa"/>
            <w:shd w:val="clear" w:color="auto" w:fill="auto"/>
          </w:tcPr>
          <w:p w:rsidR="00711128" w:rsidRDefault="00711128" w:rsidP="007D2538">
            <w:pPr>
              <w:pStyle w:val="TableofFigures"/>
            </w:pPr>
            <w:r>
              <w:t>Formalise the Grant Manager role and provide guidelines, training and forums to increase effectiveness of role.</w:t>
            </w:r>
          </w:p>
        </w:tc>
      </w:tr>
    </w:tbl>
    <w:p w:rsidR="00711128" w:rsidRDefault="00711128" w:rsidP="00AF02E0">
      <w:pPr>
        <w:pStyle w:val="Heading2"/>
        <w:rPr>
          <w:rFonts w:hint="eastAsia"/>
        </w:rPr>
        <w:sectPr w:rsidR="00711128" w:rsidSect="00711128">
          <w:endnotePr>
            <w:numFmt w:val="decimal"/>
          </w:endnotePr>
          <w:pgSz w:w="16840" w:h="11900" w:orient="landscape"/>
          <w:pgMar w:top="1134" w:right="1418" w:bottom="851" w:left="1134" w:header="709" w:footer="709" w:gutter="0"/>
          <w:cols w:space="708"/>
          <w:docGrid w:linePitch="360"/>
        </w:sectPr>
      </w:pPr>
    </w:p>
    <w:p w:rsidR="00711128" w:rsidRDefault="00711128" w:rsidP="00711128">
      <w:pPr>
        <w:pStyle w:val="Heading1"/>
        <w:rPr>
          <w:rFonts w:hint="eastAsia"/>
        </w:rPr>
      </w:pPr>
      <w:bookmarkStart w:id="16" w:name="_Toc516220061"/>
      <w:r>
        <w:t>Community Consultation</w:t>
      </w:r>
      <w:bookmarkEnd w:id="16"/>
      <w:r>
        <w:t xml:space="preserve"> </w:t>
      </w:r>
    </w:p>
    <w:p w:rsidR="002B23EB" w:rsidRPr="00DF03C6" w:rsidRDefault="002B23EB" w:rsidP="00DF03C6">
      <w:pPr>
        <w:rPr>
          <w:b/>
        </w:rPr>
      </w:pPr>
      <w:r w:rsidRPr="00DF03C6">
        <w:rPr>
          <w:b/>
        </w:rPr>
        <w:t xml:space="preserve">Participate Melbourne </w:t>
      </w:r>
      <w:r w:rsidRPr="00DF03C6">
        <w:rPr>
          <w:rFonts w:hint="eastAsia"/>
          <w:b/>
        </w:rPr>
        <w:t xml:space="preserve">community feedback </w:t>
      </w:r>
      <w:r w:rsidRPr="00DF03C6">
        <w:rPr>
          <w:b/>
        </w:rPr>
        <w:t>– key themes</w:t>
      </w:r>
    </w:p>
    <w:p w:rsidR="002B23EB" w:rsidRPr="002B23EB" w:rsidRDefault="002B23EB" w:rsidP="002B23EB">
      <w:r>
        <w:t xml:space="preserve">A key part of the consultation process for developing the new Community Grants and Partnership Framework was to better understand community expectations of our grant programs. A Participate Melbourne survey was open from 9 - 22 October 2017. The survey attracted 69 public submissions.  Emails were sent to community stakeholder groups and previous grant applicants to alert them to the survey. The survey comprised five questions designed to ascertain community expectations and perceptions of City of Melbourne’s community grant programs. </w:t>
      </w:r>
    </w:p>
    <w:p w:rsidR="002B23EB" w:rsidRDefault="002B23EB" w:rsidP="002B23EB">
      <w:pPr>
        <w:rPr>
          <w:rFonts w:cstheme="minorHAnsi"/>
        </w:rPr>
      </w:pPr>
      <w:r>
        <w:rPr>
          <w:rFonts w:cstheme="minorHAnsi"/>
        </w:rPr>
        <w:t xml:space="preserve">Responses have been collated into key themes, where applicable, and are summarised here under each question. </w:t>
      </w:r>
    </w:p>
    <w:p w:rsidR="002B23EB" w:rsidRPr="002B23EB" w:rsidRDefault="002B23EB" w:rsidP="002B23EB">
      <w:pPr>
        <w:rPr>
          <w:b/>
          <w:lang w:val="en-US"/>
        </w:rPr>
      </w:pPr>
      <w:r w:rsidRPr="002B23EB">
        <w:rPr>
          <w:b/>
          <w:lang w:val="en-US"/>
        </w:rPr>
        <w:t>Q1. Which CoM community grant programs are you aware of?</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3119"/>
        <w:gridCol w:w="1530"/>
        <w:gridCol w:w="2353"/>
      </w:tblGrid>
      <w:tr w:rsidR="002B23EB" w:rsidRPr="00493E0A" w:rsidTr="002B23EB">
        <w:tc>
          <w:tcPr>
            <w:tcW w:w="3119" w:type="dxa"/>
            <w:shd w:val="clear" w:color="auto" w:fill="auto"/>
          </w:tcPr>
          <w:p w:rsidR="002B23EB" w:rsidRPr="00802A52" w:rsidRDefault="002B23EB" w:rsidP="007D2538">
            <w:pPr>
              <w:pStyle w:val="TableofFigures"/>
              <w:rPr>
                <w:rFonts w:eastAsia="Cambria"/>
              </w:rPr>
            </w:pPr>
            <w:r>
              <w:rPr>
                <w:rFonts w:eastAsia="Cambria"/>
              </w:rPr>
              <w:t>Annual Community Grants</w:t>
            </w:r>
          </w:p>
        </w:tc>
        <w:tc>
          <w:tcPr>
            <w:tcW w:w="1530" w:type="dxa"/>
            <w:shd w:val="clear" w:color="auto" w:fill="auto"/>
          </w:tcPr>
          <w:p w:rsidR="002B23EB" w:rsidRPr="00802A52" w:rsidRDefault="002B23EB" w:rsidP="007D2538">
            <w:pPr>
              <w:pStyle w:val="TableofFigures"/>
              <w:rPr>
                <w:rFonts w:eastAsia="Cambria"/>
              </w:rPr>
            </w:pPr>
            <w:r>
              <w:rPr>
                <w:rFonts w:eastAsia="Cambria"/>
              </w:rPr>
              <w:t>52</w:t>
            </w:r>
          </w:p>
        </w:tc>
        <w:tc>
          <w:tcPr>
            <w:tcW w:w="2353" w:type="dxa"/>
            <w:shd w:val="clear" w:color="auto" w:fill="auto"/>
          </w:tcPr>
          <w:p w:rsidR="002B23EB" w:rsidRPr="00802A52" w:rsidRDefault="002B23EB" w:rsidP="007D2538">
            <w:pPr>
              <w:pStyle w:val="TableofFigures"/>
              <w:rPr>
                <w:rFonts w:eastAsia="Cambria"/>
              </w:rPr>
            </w:pPr>
            <w:r>
              <w:rPr>
                <w:rFonts w:eastAsia="Cambria"/>
              </w:rPr>
              <w:t>75%</w:t>
            </w:r>
          </w:p>
        </w:tc>
      </w:tr>
      <w:tr w:rsidR="002B23EB" w:rsidRPr="00493E0A" w:rsidTr="002B23EB">
        <w:tc>
          <w:tcPr>
            <w:tcW w:w="3119" w:type="dxa"/>
            <w:shd w:val="clear" w:color="auto" w:fill="auto"/>
          </w:tcPr>
          <w:p w:rsidR="002B23EB" w:rsidRPr="00802A52" w:rsidRDefault="002B23EB" w:rsidP="007D2538">
            <w:pPr>
              <w:pStyle w:val="TableofFigures"/>
              <w:rPr>
                <w:rFonts w:eastAsia="Cambria"/>
              </w:rPr>
            </w:pPr>
            <w:r>
              <w:rPr>
                <w:rFonts w:eastAsia="Cambria"/>
              </w:rPr>
              <w:t>Long Term Funding</w:t>
            </w:r>
          </w:p>
        </w:tc>
        <w:tc>
          <w:tcPr>
            <w:tcW w:w="1530" w:type="dxa"/>
            <w:shd w:val="clear" w:color="auto" w:fill="auto"/>
          </w:tcPr>
          <w:p w:rsidR="002B23EB" w:rsidRPr="00802A52" w:rsidRDefault="002B23EB" w:rsidP="007D2538">
            <w:pPr>
              <w:pStyle w:val="TableofFigures"/>
              <w:rPr>
                <w:rFonts w:eastAsia="Cambria"/>
              </w:rPr>
            </w:pPr>
            <w:r>
              <w:rPr>
                <w:rFonts w:eastAsia="Cambria"/>
              </w:rPr>
              <w:t>14</w:t>
            </w:r>
          </w:p>
        </w:tc>
        <w:tc>
          <w:tcPr>
            <w:tcW w:w="2353" w:type="dxa"/>
            <w:shd w:val="clear" w:color="auto" w:fill="auto"/>
          </w:tcPr>
          <w:p w:rsidR="002B23EB" w:rsidRPr="00802A52" w:rsidRDefault="002B23EB" w:rsidP="007D2538">
            <w:pPr>
              <w:pStyle w:val="TableofFigures"/>
              <w:rPr>
                <w:rFonts w:eastAsia="Cambria"/>
              </w:rPr>
            </w:pPr>
            <w:r>
              <w:rPr>
                <w:rFonts w:eastAsia="Cambria"/>
              </w:rPr>
              <w:t>20%</w:t>
            </w:r>
          </w:p>
        </w:tc>
      </w:tr>
      <w:tr w:rsidR="002B23EB" w:rsidRPr="00493E0A" w:rsidTr="002B23EB">
        <w:tc>
          <w:tcPr>
            <w:tcW w:w="3119" w:type="dxa"/>
            <w:shd w:val="clear" w:color="auto" w:fill="auto"/>
          </w:tcPr>
          <w:p w:rsidR="002B23EB" w:rsidRPr="00802A52" w:rsidRDefault="002B23EB" w:rsidP="007D2538">
            <w:pPr>
              <w:pStyle w:val="TableofFigures"/>
              <w:rPr>
                <w:rFonts w:eastAsia="Cambria"/>
              </w:rPr>
            </w:pPr>
            <w:r>
              <w:rPr>
                <w:rFonts w:eastAsia="Cambria"/>
              </w:rPr>
              <w:t>Aboriginal Grants</w:t>
            </w:r>
          </w:p>
        </w:tc>
        <w:tc>
          <w:tcPr>
            <w:tcW w:w="1530" w:type="dxa"/>
            <w:shd w:val="clear" w:color="auto" w:fill="auto"/>
          </w:tcPr>
          <w:p w:rsidR="002B23EB" w:rsidRPr="00802A52" w:rsidRDefault="002B23EB" w:rsidP="007D2538">
            <w:pPr>
              <w:pStyle w:val="TableofFigures"/>
              <w:rPr>
                <w:rFonts w:eastAsia="Cambria"/>
              </w:rPr>
            </w:pPr>
            <w:r>
              <w:rPr>
                <w:rFonts w:eastAsia="Cambria"/>
              </w:rPr>
              <w:t>10</w:t>
            </w:r>
          </w:p>
        </w:tc>
        <w:tc>
          <w:tcPr>
            <w:tcW w:w="2353" w:type="dxa"/>
            <w:shd w:val="clear" w:color="auto" w:fill="auto"/>
          </w:tcPr>
          <w:p w:rsidR="002B23EB" w:rsidRPr="00802A52" w:rsidRDefault="002B23EB" w:rsidP="007D2538">
            <w:pPr>
              <w:pStyle w:val="TableofFigures"/>
              <w:rPr>
                <w:rFonts w:eastAsia="Cambria"/>
              </w:rPr>
            </w:pPr>
            <w:r>
              <w:rPr>
                <w:rFonts w:eastAsia="Cambria"/>
              </w:rPr>
              <w:t>14%</w:t>
            </w:r>
          </w:p>
        </w:tc>
      </w:tr>
      <w:tr w:rsidR="002B23EB" w:rsidRPr="00493E0A" w:rsidTr="002B23EB">
        <w:tc>
          <w:tcPr>
            <w:tcW w:w="3119" w:type="dxa"/>
            <w:shd w:val="clear" w:color="auto" w:fill="auto"/>
          </w:tcPr>
          <w:p w:rsidR="002B23EB" w:rsidRPr="00802A52" w:rsidRDefault="002B23EB" w:rsidP="007D2538">
            <w:pPr>
              <w:pStyle w:val="TableofFigures"/>
              <w:rPr>
                <w:rFonts w:eastAsia="Cambria"/>
              </w:rPr>
            </w:pPr>
            <w:r>
              <w:rPr>
                <w:rFonts w:eastAsia="Cambria"/>
              </w:rPr>
              <w:t>CUTHS</w:t>
            </w:r>
          </w:p>
        </w:tc>
        <w:tc>
          <w:tcPr>
            <w:tcW w:w="1530" w:type="dxa"/>
            <w:shd w:val="clear" w:color="auto" w:fill="auto"/>
          </w:tcPr>
          <w:p w:rsidR="002B23EB" w:rsidRPr="00802A52" w:rsidRDefault="002B23EB" w:rsidP="007D2538">
            <w:pPr>
              <w:pStyle w:val="TableofFigures"/>
              <w:rPr>
                <w:rFonts w:eastAsia="Cambria"/>
              </w:rPr>
            </w:pPr>
            <w:r>
              <w:rPr>
                <w:rFonts w:eastAsia="Cambria"/>
              </w:rPr>
              <w:t>31</w:t>
            </w:r>
          </w:p>
        </w:tc>
        <w:tc>
          <w:tcPr>
            <w:tcW w:w="2353" w:type="dxa"/>
            <w:shd w:val="clear" w:color="auto" w:fill="auto"/>
          </w:tcPr>
          <w:p w:rsidR="002B23EB" w:rsidRPr="00802A52" w:rsidRDefault="002B23EB" w:rsidP="007D2538">
            <w:pPr>
              <w:pStyle w:val="TableofFigures"/>
              <w:rPr>
                <w:rFonts w:eastAsia="Cambria"/>
              </w:rPr>
            </w:pPr>
            <w:r>
              <w:rPr>
                <w:rFonts w:eastAsia="Cambria"/>
              </w:rPr>
              <w:t>45%</w:t>
            </w:r>
          </w:p>
        </w:tc>
      </w:tr>
      <w:tr w:rsidR="002B23EB" w:rsidRPr="00493E0A" w:rsidTr="002B23EB">
        <w:tc>
          <w:tcPr>
            <w:tcW w:w="3119" w:type="dxa"/>
            <w:shd w:val="clear" w:color="auto" w:fill="auto"/>
          </w:tcPr>
          <w:p w:rsidR="002B23EB" w:rsidRPr="00802A52" w:rsidRDefault="002B23EB" w:rsidP="007D2538">
            <w:pPr>
              <w:pStyle w:val="TableofFigures"/>
              <w:rPr>
                <w:rFonts w:eastAsia="Cambria"/>
              </w:rPr>
            </w:pPr>
            <w:r>
              <w:rPr>
                <w:rFonts w:eastAsia="Cambria"/>
              </w:rPr>
              <w:t>Individual Athletes Grants</w:t>
            </w:r>
          </w:p>
        </w:tc>
        <w:tc>
          <w:tcPr>
            <w:tcW w:w="1530" w:type="dxa"/>
            <w:shd w:val="clear" w:color="auto" w:fill="auto"/>
          </w:tcPr>
          <w:p w:rsidR="002B23EB" w:rsidRPr="00802A52" w:rsidRDefault="002B23EB" w:rsidP="007D2538">
            <w:pPr>
              <w:pStyle w:val="TableofFigures"/>
              <w:rPr>
                <w:rFonts w:eastAsia="Cambria"/>
              </w:rPr>
            </w:pPr>
            <w:r>
              <w:rPr>
                <w:rFonts w:eastAsia="Cambria"/>
              </w:rPr>
              <w:t>3</w:t>
            </w:r>
          </w:p>
        </w:tc>
        <w:tc>
          <w:tcPr>
            <w:tcW w:w="2353" w:type="dxa"/>
            <w:shd w:val="clear" w:color="auto" w:fill="auto"/>
          </w:tcPr>
          <w:p w:rsidR="002B23EB" w:rsidRPr="00802A52" w:rsidRDefault="002B23EB" w:rsidP="007D2538">
            <w:pPr>
              <w:pStyle w:val="TableofFigures"/>
              <w:rPr>
                <w:rFonts w:eastAsia="Cambria"/>
              </w:rPr>
            </w:pPr>
            <w:r>
              <w:rPr>
                <w:rFonts w:eastAsia="Cambria"/>
              </w:rPr>
              <w:t>4%</w:t>
            </w:r>
          </w:p>
        </w:tc>
      </w:tr>
      <w:tr w:rsidR="002B23EB" w:rsidRPr="00493E0A" w:rsidTr="002B23EB">
        <w:tc>
          <w:tcPr>
            <w:tcW w:w="3119" w:type="dxa"/>
            <w:shd w:val="clear" w:color="auto" w:fill="auto"/>
          </w:tcPr>
          <w:p w:rsidR="002B23EB" w:rsidRPr="00802A52" w:rsidRDefault="002B23EB" w:rsidP="007D2538">
            <w:pPr>
              <w:pStyle w:val="TableofFigures"/>
              <w:rPr>
                <w:rFonts w:eastAsia="Cambria"/>
              </w:rPr>
            </w:pPr>
            <w:r>
              <w:rPr>
                <w:rFonts w:eastAsia="Cambria"/>
              </w:rPr>
              <w:t>None of the above</w:t>
            </w:r>
          </w:p>
        </w:tc>
        <w:tc>
          <w:tcPr>
            <w:tcW w:w="1530" w:type="dxa"/>
            <w:shd w:val="clear" w:color="auto" w:fill="auto"/>
          </w:tcPr>
          <w:p w:rsidR="002B23EB" w:rsidRPr="00802A52" w:rsidRDefault="002B23EB" w:rsidP="007D2538">
            <w:pPr>
              <w:pStyle w:val="TableofFigures"/>
              <w:rPr>
                <w:rFonts w:eastAsia="Cambria"/>
              </w:rPr>
            </w:pPr>
            <w:r>
              <w:rPr>
                <w:rFonts w:eastAsia="Cambria"/>
              </w:rPr>
              <w:t>5</w:t>
            </w:r>
          </w:p>
        </w:tc>
        <w:tc>
          <w:tcPr>
            <w:tcW w:w="2353" w:type="dxa"/>
            <w:shd w:val="clear" w:color="auto" w:fill="auto"/>
          </w:tcPr>
          <w:p w:rsidR="002B23EB" w:rsidRPr="00802A52" w:rsidRDefault="002B23EB" w:rsidP="007D2538">
            <w:pPr>
              <w:pStyle w:val="TableofFigures"/>
              <w:rPr>
                <w:rFonts w:eastAsia="Cambria"/>
              </w:rPr>
            </w:pPr>
            <w:r>
              <w:rPr>
                <w:rFonts w:eastAsia="Cambria"/>
              </w:rPr>
              <w:t>7%</w:t>
            </w:r>
          </w:p>
        </w:tc>
      </w:tr>
    </w:tbl>
    <w:p w:rsidR="002B23EB" w:rsidRDefault="002B23EB" w:rsidP="002B23EB">
      <w:pPr>
        <w:rPr>
          <w:rFonts w:cstheme="minorHAnsi"/>
          <w:b/>
        </w:rPr>
      </w:pPr>
    </w:p>
    <w:p w:rsidR="002B23EB" w:rsidRPr="001E7A66" w:rsidRDefault="002B23EB" w:rsidP="001E7A66">
      <w:pPr>
        <w:rPr>
          <w:b/>
          <w:lang w:val="en-US"/>
        </w:rPr>
      </w:pPr>
      <w:r w:rsidRPr="001E7A66">
        <w:rPr>
          <w:b/>
          <w:lang w:val="en-US"/>
        </w:rPr>
        <w:t>Q2: Do you think council community grant programs are important for communities?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3119"/>
        <w:gridCol w:w="1530"/>
        <w:gridCol w:w="2353"/>
      </w:tblGrid>
      <w:tr w:rsidR="002B23EB" w:rsidRPr="00493E0A" w:rsidTr="007D2538">
        <w:tc>
          <w:tcPr>
            <w:tcW w:w="3119" w:type="dxa"/>
            <w:shd w:val="clear" w:color="auto" w:fill="auto"/>
          </w:tcPr>
          <w:p w:rsidR="002B23EB" w:rsidRPr="00802A52" w:rsidRDefault="002B23EB" w:rsidP="007D2538">
            <w:pPr>
              <w:pStyle w:val="TableofFigures"/>
              <w:rPr>
                <w:rFonts w:eastAsia="Cambria"/>
              </w:rPr>
            </w:pPr>
            <w:r>
              <w:rPr>
                <w:rFonts w:eastAsia="Cambria"/>
              </w:rPr>
              <w:t>Yes</w:t>
            </w:r>
          </w:p>
        </w:tc>
        <w:tc>
          <w:tcPr>
            <w:tcW w:w="1530" w:type="dxa"/>
            <w:shd w:val="clear" w:color="auto" w:fill="auto"/>
          </w:tcPr>
          <w:p w:rsidR="002B23EB" w:rsidRPr="00802A52" w:rsidRDefault="002B23EB" w:rsidP="007D2538">
            <w:pPr>
              <w:pStyle w:val="TableofFigures"/>
              <w:rPr>
                <w:rFonts w:eastAsia="Cambria"/>
              </w:rPr>
            </w:pPr>
            <w:r>
              <w:rPr>
                <w:rFonts w:eastAsia="Cambria"/>
              </w:rPr>
              <w:t>69</w:t>
            </w:r>
          </w:p>
        </w:tc>
        <w:tc>
          <w:tcPr>
            <w:tcW w:w="2353" w:type="dxa"/>
            <w:shd w:val="clear" w:color="auto" w:fill="auto"/>
          </w:tcPr>
          <w:p w:rsidR="002B23EB" w:rsidRPr="00802A52" w:rsidRDefault="002B23EB" w:rsidP="007D2538">
            <w:pPr>
              <w:pStyle w:val="TableofFigures"/>
              <w:rPr>
                <w:rFonts w:eastAsia="Cambria"/>
              </w:rPr>
            </w:pPr>
            <w:r>
              <w:rPr>
                <w:rFonts w:eastAsia="Cambria"/>
              </w:rPr>
              <w:t>100%</w:t>
            </w:r>
          </w:p>
        </w:tc>
      </w:tr>
      <w:tr w:rsidR="002B23EB" w:rsidRPr="00493E0A" w:rsidTr="007D2538">
        <w:tc>
          <w:tcPr>
            <w:tcW w:w="3119" w:type="dxa"/>
            <w:shd w:val="clear" w:color="auto" w:fill="auto"/>
          </w:tcPr>
          <w:p w:rsidR="002B23EB" w:rsidRPr="00802A52" w:rsidRDefault="002B23EB" w:rsidP="007D2538">
            <w:pPr>
              <w:pStyle w:val="TableofFigures"/>
              <w:rPr>
                <w:rFonts w:eastAsia="Cambria"/>
              </w:rPr>
            </w:pPr>
            <w:r>
              <w:rPr>
                <w:rFonts w:eastAsia="Cambria"/>
              </w:rPr>
              <w:t>No</w:t>
            </w:r>
          </w:p>
        </w:tc>
        <w:tc>
          <w:tcPr>
            <w:tcW w:w="1530" w:type="dxa"/>
            <w:shd w:val="clear" w:color="auto" w:fill="auto"/>
          </w:tcPr>
          <w:p w:rsidR="002B23EB" w:rsidRPr="00802A52" w:rsidRDefault="002B23EB" w:rsidP="007D2538">
            <w:pPr>
              <w:pStyle w:val="TableofFigures"/>
              <w:rPr>
                <w:rFonts w:eastAsia="Cambria"/>
              </w:rPr>
            </w:pPr>
            <w:r>
              <w:rPr>
                <w:rFonts w:eastAsia="Cambria"/>
              </w:rPr>
              <w:t>0</w:t>
            </w:r>
          </w:p>
        </w:tc>
        <w:tc>
          <w:tcPr>
            <w:tcW w:w="2353" w:type="dxa"/>
            <w:shd w:val="clear" w:color="auto" w:fill="auto"/>
          </w:tcPr>
          <w:p w:rsidR="002B23EB" w:rsidRPr="00802A52" w:rsidRDefault="002B23EB" w:rsidP="007D2538">
            <w:pPr>
              <w:pStyle w:val="TableofFigures"/>
              <w:rPr>
                <w:rFonts w:eastAsia="Cambria"/>
              </w:rPr>
            </w:pPr>
            <w:r>
              <w:rPr>
                <w:rFonts w:eastAsia="Cambria"/>
              </w:rPr>
              <w:t>0%</w:t>
            </w:r>
          </w:p>
        </w:tc>
      </w:tr>
      <w:tr w:rsidR="002B23EB" w:rsidRPr="00493E0A" w:rsidTr="007D2538">
        <w:tc>
          <w:tcPr>
            <w:tcW w:w="3119" w:type="dxa"/>
            <w:shd w:val="clear" w:color="auto" w:fill="auto"/>
          </w:tcPr>
          <w:p w:rsidR="002B23EB" w:rsidRPr="00802A52" w:rsidRDefault="002B23EB" w:rsidP="007D2538">
            <w:pPr>
              <w:pStyle w:val="TableofFigures"/>
              <w:rPr>
                <w:rFonts w:eastAsia="Cambria"/>
              </w:rPr>
            </w:pPr>
            <w:r>
              <w:rPr>
                <w:rFonts w:eastAsia="Cambria"/>
              </w:rPr>
              <w:t>Not sure</w:t>
            </w:r>
          </w:p>
        </w:tc>
        <w:tc>
          <w:tcPr>
            <w:tcW w:w="1530" w:type="dxa"/>
            <w:shd w:val="clear" w:color="auto" w:fill="auto"/>
          </w:tcPr>
          <w:p w:rsidR="002B23EB" w:rsidRPr="00802A52" w:rsidRDefault="002B23EB" w:rsidP="007D2538">
            <w:pPr>
              <w:pStyle w:val="TableofFigures"/>
              <w:rPr>
                <w:rFonts w:eastAsia="Cambria"/>
              </w:rPr>
            </w:pPr>
            <w:r>
              <w:rPr>
                <w:rFonts w:eastAsia="Cambria"/>
              </w:rPr>
              <w:t>0</w:t>
            </w:r>
          </w:p>
        </w:tc>
        <w:tc>
          <w:tcPr>
            <w:tcW w:w="2353" w:type="dxa"/>
            <w:shd w:val="clear" w:color="auto" w:fill="auto"/>
          </w:tcPr>
          <w:p w:rsidR="002B23EB" w:rsidRPr="00802A52" w:rsidRDefault="002B23EB" w:rsidP="007D2538">
            <w:pPr>
              <w:pStyle w:val="TableofFigures"/>
              <w:rPr>
                <w:rFonts w:eastAsia="Cambria"/>
              </w:rPr>
            </w:pPr>
            <w:r>
              <w:rPr>
                <w:rFonts w:eastAsia="Cambria"/>
              </w:rPr>
              <w:t>0%</w:t>
            </w:r>
          </w:p>
        </w:tc>
      </w:tr>
    </w:tbl>
    <w:p w:rsidR="001E7A66" w:rsidRDefault="001E7A66" w:rsidP="001E7A66"/>
    <w:p w:rsidR="00711128" w:rsidRPr="001E7A66" w:rsidRDefault="002B23EB" w:rsidP="001E7A66">
      <w:pPr>
        <w:rPr>
          <w:b/>
        </w:rPr>
      </w:pPr>
      <w:r w:rsidRPr="001E7A66">
        <w:rPr>
          <w:b/>
        </w:rPr>
        <w:t>Q3: Why grants are important for communities</w:t>
      </w:r>
    </w:p>
    <w:tbl>
      <w:tblPr>
        <w:tblStyle w:val="TableGrid1"/>
        <w:tblW w:w="9540" w:type="dxa"/>
        <w:tblInd w:w="-34" w:type="dxa"/>
        <w:tblLayout w:type="fixed"/>
        <w:tblLook w:val="04A0" w:firstRow="1" w:lastRow="0" w:firstColumn="1" w:lastColumn="0" w:noHBand="0" w:noVBand="1"/>
      </w:tblPr>
      <w:tblGrid>
        <w:gridCol w:w="7412"/>
        <w:gridCol w:w="2128"/>
      </w:tblGrid>
      <w:tr w:rsidR="007D2538" w:rsidRPr="002B23EB" w:rsidTr="007D2538">
        <w:trPr>
          <w:cnfStyle w:val="100000000000" w:firstRow="1" w:lastRow="0" w:firstColumn="0" w:lastColumn="0" w:oddVBand="0" w:evenVBand="0" w:oddHBand="0" w:evenHBand="0" w:firstRowFirstColumn="0" w:firstRowLastColumn="0" w:lastRowFirstColumn="0" w:lastRowLastColumn="0"/>
          <w:tblHeader/>
        </w:trPr>
        <w:tc>
          <w:tcPr>
            <w:tcW w:w="7412" w:type="dxa"/>
            <w:tcBorders>
              <w:top w:val="single" w:sz="4" w:space="0" w:color="auto"/>
              <w:left w:val="single" w:sz="4" w:space="0" w:color="auto"/>
              <w:bottom w:val="single" w:sz="4" w:space="0" w:color="auto"/>
              <w:right w:val="single" w:sz="4" w:space="0" w:color="auto"/>
            </w:tcBorders>
            <w:vAlign w:val="bottom"/>
          </w:tcPr>
          <w:p w:rsidR="007D2538" w:rsidRPr="002B23EB" w:rsidRDefault="007D2538" w:rsidP="002B23EB">
            <w:pPr>
              <w:spacing w:before="200" w:after="100"/>
              <w:rPr>
                <w:rFonts w:eastAsia="Cambria" w:cs="Arial"/>
                <w:szCs w:val="20"/>
                <w:lang w:val="en-US" w:eastAsia="en-AU"/>
              </w:rPr>
            </w:pPr>
          </w:p>
        </w:tc>
        <w:tc>
          <w:tcPr>
            <w:tcW w:w="2128" w:type="dxa"/>
            <w:tcBorders>
              <w:top w:val="single" w:sz="4" w:space="0" w:color="auto"/>
              <w:left w:val="single" w:sz="4" w:space="0" w:color="auto"/>
              <w:bottom w:val="single" w:sz="4" w:space="0" w:color="auto"/>
              <w:right w:val="single" w:sz="4" w:space="0" w:color="auto"/>
            </w:tcBorders>
            <w:vAlign w:val="bottom"/>
          </w:tcPr>
          <w:p w:rsidR="007D2538" w:rsidRPr="002B23EB" w:rsidRDefault="007D2538" w:rsidP="002B23EB">
            <w:pPr>
              <w:spacing w:before="200" w:after="100"/>
              <w:jc w:val="center"/>
              <w:rPr>
                <w:rFonts w:eastAsia="Cambria" w:cs="Arial"/>
                <w:szCs w:val="20"/>
                <w:lang w:val="en-US" w:eastAsia="en-AU"/>
              </w:rPr>
            </w:pPr>
            <w:r>
              <w:rPr>
                <w:rFonts w:eastAsia="Cambria" w:cs="Arial"/>
                <w:szCs w:val="20"/>
                <w:lang w:val="en-US" w:eastAsia="en-AU"/>
              </w:rPr>
              <w:t>Number of mentions</w:t>
            </w:r>
          </w:p>
        </w:tc>
      </w:tr>
      <w:tr w:rsidR="002B23EB" w:rsidRPr="002B23EB" w:rsidTr="007D2538">
        <w:trPr>
          <w:cnfStyle w:val="100000000000" w:firstRow="1" w:lastRow="0" w:firstColumn="0" w:lastColumn="0" w:oddVBand="0" w:evenVBand="0" w:oddHBand="0" w:evenHBand="0" w:firstRowFirstColumn="0" w:firstRowLastColumn="0" w:lastRowFirstColumn="0" w:lastRowLastColumn="0"/>
          <w:tblHeader/>
        </w:trPr>
        <w:tc>
          <w:tcPr>
            <w:tcW w:w="7412" w:type="dxa"/>
            <w:tcBorders>
              <w:top w:val="single" w:sz="4" w:space="0" w:color="auto"/>
              <w:left w:val="single" w:sz="4" w:space="0" w:color="auto"/>
              <w:bottom w:val="single" w:sz="4" w:space="0" w:color="auto"/>
              <w:right w:val="single" w:sz="4" w:space="0" w:color="auto"/>
            </w:tcBorders>
            <w:vAlign w:val="bottom"/>
            <w:hideMark/>
          </w:tcPr>
          <w:p w:rsidR="002B23EB" w:rsidRPr="002B23EB" w:rsidRDefault="002B23EB" w:rsidP="002B23EB">
            <w:pPr>
              <w:spacing w:before="200" w:after="100"/>
              <w:rPr>
                <w:rFonts w:eastAsia="Cambria" w:cs="Arial"/>
                <w:sz w:val="20"/>
                <w:szCs w:val="20"/>
                <w:lang w:val="en-US"/>
              </w:rPr>
            </w:pPr>
            <w:r w:rsidRPr="002B23EB">
              <w:rPr>
                <w:rFonts w:eastAsia="Cambria" w:cs="Arial"/>
                <w:sz w:val="20"/>
                <w:szCs w:val="20"/>
                <w:lang w:val="en-US" w:eastAsia="en-AU"/>
              </w:rPr>
              <w:t>Vital funding for small community groups/projects that couldn’t exist otherwise</w:t>
            </w:r>
          </w:p>
        </w:tc>
        <w:tc>
          <w:tcPr>
            <w:tcW w:w="2128" w:type="dxa"/>
            <w:tcBorders>
              <w:top w:val="single" w:sz="4" w:space="0" w:color="auto"/>
              <w:left w:val="single" w:sz="4" w:space="0" w:color="auto"/>
              <w:bottom w:val="single" w:sz="4" w:space="0" w:color="auto"/>
              <w:right w:val="single" w:sz="4" w:space="0" w:color="auto"/>
            </w:tcBorders>
            <w:vAlign w:val="bottom"/>
            <w:hideMark/>
          </w:tcPr>
          <w:p w:rsidR="002B23EB" w:rsidRPr="002B23EB" w:rsidRDefault="002B23EB" w:rsidP="002B23EB">
            <w:pPr>
              <w:spacing w:before="200" w:after="100"/>
              <w:jc w:val="center"/>
              <w:rPr>
                <w:rFonts w:eastAsia="Cambria" w:cs="Arial"/>
                <w:sz w:val="20"/>
                <w:szCs w:val="20"/>
                <w:lang w:val="en-US"/>
              </w:rPr>
            </w:pPr>
            <w:r w:rsidRPr="002B23EB">
              <w:rPr>
                <w:rFonts w:eastAsia="Cambria" w:cs="Arial"/>
                <w:sz w:val="20"/>
                <w:szCs w:val="20"/>
                <w:lang w:val="en-US" w:eastAsia="en-AU"/>
              </w:rPr>
              <w:t>16</w:t>
            </w:r>
          </w:p>
        </w:tc>
      </w:tr>
      <w:tr w:rsidR="002B23EB" w:rsidRPr="002B23EB" w:rsidTr="007D2538">
        <w:trPr>
          <w:cantSplit/>
        </w:trPr>
        <w:tc>
          <w:tcPr>
            <w:tcW w:w="7412" w:type="dxa"/>
            <w:tcBorders>
              <w:top w:val="single" w:sz="4" w:space="0" w:color="auto"/>
              <w:left w:val="single" w:sz="4" w:space="0" w:color="auto"/>
              <w:bottom w:val="single" w:sz="4" w:space="0" w:color="auto"/>
              <w:right w:val="single" w:sz="4" w:space="0" w:color="auto"/>
            </w:tcBorders>
            <w:hideMark/>
          </w:tcPr>
          <w:p w:rsidR="002B23EB" w:rsidRPr="002B23EB" w:rsidRDefault="002B23EB" w:rsidP="002B23EB">
            <w:pPr>
              <w:spacing w:before="200" w:after="100"/>
              <w:rPr>
                <w:rFonts w:eastAsia="Cambria" w:cs="Arial"/>
                <w:sz w:val="20"/>
                <w:szCs w:val="20"/>
                <w:lang w:val="en-US"/>
              </w:rPr>
            </w:pPr>
            <w:r w:rsidRPr="002B23EB">
              <w:rPr>
                <w:rFonts w:eastAsia="Cambria" w:cs="Arial"/>
                <w:sz w:val="20"/>
                <w:szCs w:val="20"/>
                <w:lang w:val="en-US" w:eastAsia="en-AU"/>
              </w:rPr>
              <w:t>Support community engagement and participation / self-determining action</w:t>
            </w:r>
          </w:p>
        </w:tc>
        <w:tc>
          <w:tcPr>
            <w:tcW w:w="2128" w:type="dxa"/>
            <w:tcBorders>
              <w:top w:val="single" w:sz="4" w:space="0" w:color="auto"/>
              <w:left w:val="single" w:sz="4" w:space="0" w:color="auto"/>
              <w:bottom w:val="single" w:sz="4" w:space="0" w:color="auto"/>
              <w:right w:val="single" w:sz="4" w:space="0" w:color="auto"/>
            </w:tcBorders>
            <w:hideMark/>
          </w:tcPr>
          <w:p w:rsidR="002B23EB" w:rsidRPr="002B23EB" w:rsidRDefault="002B23EB" w:rsidP="002B23EB">
            <w:pPr>
              <w:spacing w:before="200" w:after="100"/>
              <w:jc w:val="center"/>
              <w:rPr>
                <w:rFonts w:eastAsia="Cambria" w:cs="Arial"/>
                <w:sz w:val="20"/>
                <w:szCs w:val="20"/>
                <w:lang w:val="en-US"/>
              </w:rPr>
            </w:pPr>
            <w:r w:rsidRPr="002B23EB">
              <w:rPr>
                <w:rFonts w:eastAsia="Cambria" w:cs="Arial"/>
                <w:sz w:val="20"/>
                <w:szCs w:val="20"/>
                <w:lang w:val="en-US" w:eastAsia="en-AU"/>
              </w:rPr>
              <w:t>12</w:t>
            </w:r>
          </w:p>
        </w:tc>
      </w:tr>
      <w:tr w:rsidR="002B23EB" w:rsidRPr="002B23EB" w:rsidTr="007D2538">
        <w:trPr>
          <w:cantSplit/>
        </w:trPr>
        <w:tc>
          <w:tcPr>
            <w:tcW w:w="7412" w:type="dxa"/>
            <w:tcBorders>
              <w:top w:val="single" w:sz="4" w:space="0" w:color="auto"/>
              <w:left w:val="single" w:sz="4" w:space="0" w:color="auto"/>
              <w:bottom w:val="single" w:sz="4" w:space="0" w:color="auto"/>
              <w:right w:val="single" w:sz="4" w:space="0" w:color="auto"/>
            </w:tcBorders>
            <w:hideMark/>
          </w:tcPr>
          <w:p w:rsidR="002B23EB" w:rsidRPr="002B23EB" w:rsidRDefault="002B23EB" w:rsidP="002B23EB">
            <w:pPr>
              <w:spacing w:before="200" w:after="100"/>
              <w:rPr>
                <w:rFonts w:eastAsia="Cambria" w:cs="Arial"/>
                <w:sz w:val="20"/>
                <w:szCs w:val="20"/>
                <w:lang w:val="en-US"/>
              </w:rPr>
            </w:pPr>
            <w:r w:rsidRPr="002B23EB">
              <w:rPr>
                <w:rFonts w:eastAsia="Cambria" w:cs="Arial"/>
                <w:sz w:val="20"/>
                <w:szCs w:val="20"/>
                <w:lang w:val="en-US" w:eastAsia="en-AU"/>
              </w:rPr>
              <w:t>Create sense of community / connectedness / cohesion / trust / thrive</w:t>
            </w:r>
          </w:p>
        </w:tc>
        <w:tc>
          <w:tcPr>
            <w:tcW w:w="2128" w:type="dxa"/>
            <w:tcBorders>
              <w:top w:val="single" w:sz="4" w:space="0" w:color="auto"/>
              <w:left w:val="single" w:sz="4" w:space="0" w:color="auto"/>
              <w:bottom w:val="single" w:sz="4" w:space="0" w:color="auto"/>
              <w:right w:val="single" w:sz="4" w:space="0" w:color="auto"/>
            </w:tcBorders>
            <w:hideMark/>
          </w:tcPr>
          <w:p w:rsidR="002B23EB" w:rsidRPr="002B23EB" w:rsidRDefault="002B23EB" w:rsidP="002B23EB">
            <w:pPr>
              <w:spacing w:before="200" w:after="100"/>
              <w:jc w:val="center"/>
              <w:rPr>
                <w:rFonts w:eastAsia="Cambria" w:cs="Arial"/>
                <w:sz w:val="20"/>
                <w:szCs w:val="20"/>
                <w:lang w:val="en-US"/>
              </w:rPr>
            </w:pPr>
            <w:r w:rsidRPr="002B23EB">
              <w:rPr>
                <w:rFonts w:eastAsia="Cambria" w:cs="Arial"/>
                <w:sz w:val="20"/>
                <w:szCs w:val="20"/>
                <w:lang w:val="en-US" w:eastAsia="en-AU"/>
              </w:rPr>
              <w:t>6</w:t>
            </w:r>
          </w:p>
        </w:tc>
      </w:tr>
      <w:tr w:rsidR="002B23EB" w:rsidRPr="002B23EB" w:rsidTr="007D2538">
        <w:trPr>
          <w:cantSplit/>
        </w:trPr>
        <w:tc>
          <w:tcPr>
            <w:tcW w:w="7412" w:type="dxa"/>
            <w:tcBorders>
              <w:top w:val="single" w:sz="4" w:space="0" w:color="auto"/>
              <w:left w:val="single" w:sz="4" w:space="0" w:color="auto"/>
              <w:bottom w:val="single" w:sz="4" w:space="0" w:color="auto"/>
              <w:right w:val="single" w:sz="4" w:space="0" w:color="auto"/>
            </w:tcBorders>
            <w:hideMark/>
          </w:tcPr>
          <w:p w:rsidR="002B23EB" w:rsidRPr="002B23EB" w:rsidRDefault="002B23EB" w:rsidP="002B23EB">
            <w:pPr>
              <w:spacing w:before="200" w:after="100"/>
              <w:rPr>
                <w:rFonts w:eastAsia="Cambria" w:cs="Arial"/>
                <w:sz w:val="20"/>
                <w:szCs w:val="20"/>
                <w:lang w:val="en-US"/>
              </w:rPr>
            </w:pPr>
            <w:r w:rsidRPr="002B23EB">
              <w:rPr>
                <w:rFonts w:eastAsia="Cambria" w:cs="Arial"/>
                <w:sz w:val="20"/>
                <w:szCs w:val="20"/>
                <w:lang w:val="en-US" w:eastAsia="en-AU"/>
              </w:rPr>
              <w:t>Access to Council’s assets such as Town Halls / support for events</w:t>
            </w:r>
          </w:p>
        </w:tc>
        <w:tc>
          <w:tcPr>
            <w:tcW w:w="2128" w:type="dxa"/>
            <w:tcBorders>
              <w:top w:val="single" w:sz="4" w:space="0" w:color="auto"/>
              <w:left w:val="single" w:sz="4" w:space="0" w:color="auto"/>
              <w:bottom w:val="single" w:sz="4" w:space="0" w:color="auto"/>
              <w:right w:val="single" w:sz="4" w:space="0" w:color="auto"/>
            </w:tcBorders>
            <w:hideMark/>
          </w:tcPr>
          <w:p w:rsidR="002B23EB" w:rsidRPr="002B23EB" w:rsidRDefault="002B23EB" w:rsidP="002B23EB">
            <w:pPr>
              <w:spacing w:before="200" w:after="100"/>
              <w:jc w:val="center"/>
              <w:rPr>
                <w:rFonts w:eastAsia="Cambria" w:cs="Arial"/>
                <w:sz w:val="20"/>
                <w:szCs w:val="20"/>
                <w:lang w:val="en-US"/>
              </w:rPr>
            </w:pPr>
            <w:r w:rsidRPr="002B23EB">
              <w:rPr>
                <w:rFonts w:eastAsia="Cambria" w:cs="Arial"/>
                <w:sz w:val="20"/>
                <w:szCs w:val="20"/>
                <w:lang w:val="en-US" w:eastAsia="en-AU"/>
              </w:rPr>
              <w:t>6</w:t>
            </w:r>
          </w:p>
        </w:tc>
      </w:tr>
      <w:tr w:rsidR="002B23EB" w:rsidRPr="002B23EB" w:rsidTr="007D2538">
        <w:trPr>
          <w:cantSplit/>
        </w:trPr>
        <w:tc>
          <w:tcPr>
            <w:tcW w:w="7412" w:type="dxa"/>
            <w:tcBorders>
              <w:top w:val="single" w:sz="4" w:space="0" w:color="auto"/>
              <w:left w:val="single" w:sz="4" w:space="0" w:color="auto"/>
              <w:bottom w:val="single" w:sz="4" w:space="0" w:color="auto"/>
              <w:right w:val="single" w:sz="4" w:space="0" w:color="auto"/>
            </w:tcBorders>
            <w:hideMark/>
          </w:tcPr>
          <w:p w:rsidR="002B23EB" w:rsidRPr="002B23EB" w:rsidRDefault="002B23EB" w:rsidP="002B23EB">
            <w:pPr>
              <w:spacing w:before="200" w:after="100"/>
              <w:rPr>
                <w:rFonts w:eastAsia="Cambria" w:cs="Arial"/>
                <w:sz w:val="20"/>
                <w:szCs w:val="20"/>
                <w:lang w:val="en-US"/>
              </w:rPr>
            </w:pPr>
            <w:r w:rsidRPr="002B23EB">
              <w:rPr>
                <w:rFonts w:eastAsia="Cambria" w:cs="Arial"/>
                <w:sz w:val="20"/>
                <w:szCs w:val="20"/>
                <w:lang w:val="en-US" w:eastAsia="en-AU"/>
              </w:rPr>
              <w:t>Wellbeing of seniors</w:t>
            </w:r>
          </w:p>
        </w:tc>
        <w:tc>
          <w:tcPr>
            <w:tcW w:w="2128" w:type="dxa"/>
            <w:tcBorders>
              <w:top w:val="single" w:sz="4" w:space="0" w:color="auto"/>
              <w:left w:val="single" w:sz="4" w:space="0" w:color="auto"/>
              <w:bottom w:val="single" w:sz="4" w:space="0" w:color="auto"/>
              <w:right w:val="single" w:sz="4" w:space="0" w:color="auto"/>
            </w:tcBorders>
            <w:hideMark/>
          </w:tcPr>
          <w:p w:rsidR="002B23EB" w:rsidRPr="002B23EB" w:rsidRDefault="002B23EB" w:rsidP="002B23EB">
            <w:pPr>
              <w:spacing w:before="200" w:after="100"/>
              <w:jc w:val="center"/>
              <w:rPr>
                <w:rFonts w:eastAsia="Cambria" w:cs="Arial"/>
                <w:sz w:val="20"/>
                <w:szCs w:val="20"/>
                <w:lang w:val="en-US"/>
              </w:rPr>
            </w:pPr>
            <w:r w:rsidRPr="002B23EB">
              <w:rPr>
                <w:rFonts w:eastAsia="Cambria" w:cs="Arial"/>
                <w:sz w:val="20"/>
                <w:szCs w:val="20"/>
                <w:lang w:val="en-US" w:eastAsia="en-AU"/>
              </w:rPr>
              <w:t>5</w:t>
            </w:r>
          </w:p>
        </w:tc>
      </w:tr>
      <w:tr w:rsidR="002B23EB" w:rsidRPr="002B23EB" w:rsidTr="007D2538">
        <w:trPr>
          <w:cantSplit/>
        </w:trPr>
        <w:tc>
          <w:tcPr>
            <w:tcW w:w="7412" w:type="dxa"/>
            <w:tcBorders>
              <w:top w:val="single" w:sz="4" w:space="0" w:color="auto"/>
              <w:left w:val="single" w:sz="4" w:space="0" w:color="auto"/>
              <w:bottom w:val="single" w:sz="4" w:space="0" w:color="auto"/>
              <w:right w:val="single" w:sz="4" w:space="0" w:color="auto"/>
            </w:tcBorders>
            <w:hideMark/>
          </w:tcPr>
          <w:p w:rsidR="002B23EB" w:rsidRPr="002B23EB" w:rsidRDefault="002B23EB" w:rsidP="002B23EB">
            <w:pPr>
              <w:spacing w:before="200" w:after="100"/>
              <w:rPr>
                <w:rFonts w:eastAsia="Cambria" w:cs="Arial"/>
                <w:sz w:val="20"/>
                <w:szCs w:val="20"/>
                <w:lang w:val="en-US"/>
              </w:rPr>
            </w:pPr>
            <w:r w:rsidRPr="002B23EB">
              <w:rPr>
                <w:rFonts w:eastAsia="Cambria" w:cs="Arial"/>
                <w:sz w:val="20"/>
                <w:szCs w:val="20"/>
                <w:lang w:val="en-US" w:eastAsia="en-AU"/>
              </w:rPr>
              <w:t xml:space="preserve">Grants connect Council to communities / Council’s role is to support communities </w:t>
            </w:r>
          </w:p>
        </w:tc>
        <w:tc>
          <w:tcPr>
            <w:tcW w:w="2128" w:type="dxa"/>
            <w:tcBorders>
              <w:top w:val="single" w:sz="4" w:space="0" w:color="auto"/>
              <w:left w:val="single" w:sz="4" w:space="0" w:color="auto"/>
              <w:bottom w:val="single" w:sz="4" w:space="0" w:color="auto"/>
              <w:right w:val="single" w:sz="4" w:space="0" w:color="auto"/>
            </w:tcBorders>
            <w:hideMark/>
          </w:tcPr>
          <w:p w:rsidR="002B23EB" w:rsidRPr="002B23EB" w:rsidRDefault="002B23EB" w:rsidP="002B23EB">
            <w:pPr>
              <w:spacing w:before="200" w:after="100"/>
              <w:jc w:val="center"/>
              <w:rPr>
                <w:rFonts w:eastAsia="Cambria" w:cs="Arial"/>
                <w:sz w:val="20"/>
                <w:szCs w:val="20"/>
                <w:lang w:val="en-US"/>
              </w:rPr>
            </w:pPr>
            <w:r w:rsidRPr="002B23EB">
              <w:rPr>
                <w:rFonts w:eastAsia="Cambria" w:cs="Arial"/>
                <w:sz w:val="20"/>
                <w:szCs w:val="20"/>
                <w:lang w:val="en-US" w:eastAsia="en-AU"/>
              </w:rPr>
              <w:t>4</w:t>
            </w:r>
          </w:p>
        </w:tc>
      </w:tr>
      <w:tr w:rsidR="002B23EB" w:rsidRPr="002B23EB" w:rsidTr="007D2538">
        <w:trPr>
          <w:cantSplit/>
        </w:trPr>
        <w:tc>
          <w:tcPr>
            <w:tcW w:w="7412" w:type="dxa"/>
            <w:tcBorders>
              <w:top w:val="single" w:sz="4" w:space="0" w:color="auto"/>
              <w:left w:val="single" w:sz="4" w:space="0" w:color="auto"/>
              <w:bottom w:val="single" w:sz="4" w:space="0" w:color="auto"/>
              <w:right w:val="single" w:sz="4" w:space="0" w:color="auto"/>
            </w:tcBorders>
            <w:hideMark/>
          </w:tcPr>
          <w:p w:rsidR="002B23EB" w:rsidRPr="002B23EB" w:rsidRDefault="002B23EB" w:rsidP="002B23EB">
            <w:pPr>
              <w:spacing w:before="200" w:after="100"/>
              <w:rPr>
                <w:rFonts w:eastAsia="Cambria" w:cs="Arial"/>
                <w:sz w:val="20"/>
                <w:szCs w:val="20"/>
                <w:lang w:val="en-US"/>
              </w:rPr>
            </w:pPr>
            <w:r w:rsidRPr="002B23EB">
              <w:rPr>
                <w:rFonts w:eastAsia="Cambria" w:cs="Arial"/>
                <w:sz w:val="20"/>
                <w:szCs w:val="20"/>
                <w:lang w:val="en-US" w:eastAsia="en-AU"/>
              </w:rPr>
              <w:t>Responsiveness to local need / vulnerable and marginalised groups</w:t>
            </w:r>
          </w:p>
        </w:tc>
        <w:tc>
          <w:tcPr>
            <w:tcW w:w="2128" w:type="dxa"/>
            <w:tcBorders>
              <w:top w:val="single" w:sz="4" w:space="0" w:color="auto"/>
              <w:left w:val="single" w:sz="4" w:space="0" w:color="auto"/>
              <w:bottom w:val="single" w:sz="4" w:space="0" w:color="auto"/>
              <w:right w:val="single" w:sz="4" w:space="0" w:color="auto"/>
            </w:tcBorders>
            <w:hideMark/>
          </w:tcPr>
          <w:p w:rsidR="002B23EB" w:rsidRPr="002B23EB" w:rsidRDefault="002B23EB" w:rsidP="002B23EB">
            <w:pPr>
              <w:spacing w:before="200" w:after="100"/>
              <w:jc w:val="center"/>
              <w:rPr>
                <w:rFonts w:eastAsia="Cambria" w:cs="Arial"/>
                <w:sz w:val="20"/>
                <w:szCs w:val="20"/>
                <w:lang w:val="en-US"/>
              </w:rPr>
            </w:pPr>
            <w:r w:rsidRPr="002B23EB">
              <w:rPr>
                <w:rFonts w:eastAsia="Cambria" w:cs="Arial"/>
                <w:sz w:val="20"/>
                <w:szCs w:val="20"/>
                <w:lang w:val="en-US" w:eastAsia="en-AU"/>
              </w:rPr>
              <w:t>3</w:t>
            </w:r>
          </w:p>
        </w:tc>
      </w:tr>
      <w:tr w:rsidR="002B23EB" w:rsidRPr="002B23EB" w:rsidTr="007D2538">
        <w:trPr>
          <w:cantSplit/>
        </w:trPr>
        <w:tc>
          <w:tcPr>
            <w:tcW w:w="7412" w:type="dxa"/>
            <w:tcBorders>
              <w:top w:val="single" w:sz="4" w:space="0" w:color="auto"/>
              <w:left w:val="single" w:sz="4" w:space="0" w:color="auto"/>
              <w:bottom w:val="single" w:sz="4" w:space="0" w:color="auto"/>
              <w:right w:val="single" w:sz="4" w:space="0" w:color="auto"/>
            </w:tcBorders>
            <w:hideMark/>
          </w:tcPr>
          <w:p w:rsidR="002B23EB" w:rsidRPr="002B23EB" w:rsidRDefault="002B23EB" w:rsidP="002B23EB">
            <w:pPr>
              <w:spacing w:before="200" w:after="100"/>
              <w:rPr>
                <w:rFonts w:eastAsia="Cambria" w:cs="Arial"/>
                <w:sz w:val="20"/>
                <w:szCs w:val="20"/>
                <w:lang w:val="en-US"/>
              </w:rPr>
            </w:pPr>
            <w:r w:rsidRPr="002B23EB">
              <w:rPr>
                <w:rFonts w:eastAsia="Cambria" w:cs="Arial"/>
                <w:sz w:val="20"/>
                <w:szCs w:val="20"/>
                <w:lang w:val="en-US" w:eastAsia="en-AU"/>
              </w:rPr>
              <w:t>Cultural inclusion / integrate diverse communities</w:t>
            </w:r>
          </w:p>
        </w:tc>
        <w:tc>
          <w:tcPr>
            <w:tcW w:w="2128" w:type="dxa"/>
            <w:tcBorders>
              <w:top w:val="single" w:sz="4" w:space="0" w:color="auto"/>
              <w:left w:val="single" w:sz="4" w:space="0" w:color="auto"/>
              <w:bottom w:val="single" w:sz="4" w:space="0" w:color="auto"/>
              <w:right w:val="single" w:sz="4" w:space="0" w:color="auto"/>
            </w:tcBorders>
            <w:hideMark/>
          </w:tcPr>
          <w:p w:rsidR="002B23EB" w:rsidRPr="002B23EB" w:rsidRDefault="002B23EB" w:rsidP="002B23EB">
            <w:pPr>
              <w:spacing w:before="200" w:after="100"/>
              <w:jc w:val="center"/>
              <w:rPr>
                <w:rFonts w:eastAsia="Cambria" w:cs="Arial"/>
                <w:sz w:val="20"/>
                <w:szCs w:val="20"/>
                <w:lang w:val="en-US"/>
              </w:rPr>
            </w:pPr>
            <w:r w:rsidRPr="002B23EB">
              <w:rPr>
                <w:rFonts w:eastAsia="Cambria" w:cs="Arial"/>
                <w:sz w:val="20"/>
                <w:szCs w:val="20"/>
                <w:lang w:val="en-US" w:eastAsia="en-AU"/>
              </w:rPr>
              <w:t>2</w:t>
            </w:r>
          </w:p>
        </w:tc>
      </w:tr>
    </w:tbl>
    <w:p w:rsidR="007D2538" w:rsidRDefault="007D2538" w:rsidP="007D2538">
      <w:pPr>
        <w:pStyle w:val="CoMHeading2"/>
        <w:rPr>
          <w:rFonts w:eastAsia="MS Mincho" w:cs="Times New Roman"/>
          <w:color w:val="auto"/>
          <w:sz w:val="20"/>
          <w:szCs w:val="24"/>
          <w:lang w:val="en-US" w:eastAsia="en-US"/>
        </w:rPr>
      </w:pPr>
    </w:p>
    <w:p w:rsidR="00711128" w:rsidRPr="001E7A66" w:rsidRDefault="007D2538" w:rsidP="001E7A66">
      <w:pPr>
        <w:spacing w:before="200" w:after="100"/>
        <w:ind w:left="28" w:right="113"/>
        <w:rPr>
          <w:rFonts w:eastAsia="Cambria" w:cs="Arial"/>
          <w:color w:val="000000"/>
          <w:szCs w:val="20"/>
          <w:lang w:val="en-US" w:eastAsia="en-AU"/>
        </w:rPr>
      </w:pPr>
      <w:r w:rsidRPr="001E7A66">
        <w:rPr>
          <w:rFonts w:eastAsia="Cambria" w:cs="Arial"/>
          <w:b/>
          <w:color w:val="000000"/>
          <w:szCs w:val="20"/>
          <w:lang w:val="en-US" w:eastAsia="en-AU"/>
        </w:rPr>
        <w:t>Q4: Types of projects that should be funded</w:t>
      </w:r>
      <w:r w:rsidRPr="001E7A66">
        <w:rPr>
          <w:rFonts w:eastAsia="Cambria" w:cs="Arial"/>
          <w:color w:val="000000"/>
          <w:szCs w:val="20"/>
          <w:lang w:val="en-US" w:eastAsia="en-AU"/>
        </w:rPr>
        <w:t xml:space="preserve"> (The following summarises responses according to best fit descriptions)</w:t>
      </w:r>
    </w:p>
    <w:tbl>
      <w:tblPr>
        <w:tblStyle w:val="TableGrid"/>
        <w:tblW w:w="9537" w:type="dxa"/>
        <w:tblInd w:w="-34" w:type="dxa"/>
        <w:tblLook w:val="04A0" w:firstRow="1" w:lastRow="0" w:firstColumn="1" w:lastColumn="0" w:noHBand="0" w:noVBand="1"/>
      </w:tblPr>
      <w:tblGrid>
        <w:gridCol w:w="4859"/>
        <w:gridCol w:w="4678"/>
      </w:tblGrid>
      <w:tr w:rsidR="007D2538" w:rsidTr="007D2538">
        <w:trPr>
          <w:tblHeader/>
        </w:trPr>
        <w:tc>
          <w:tcPr>
            <w:tcW w:w="4859" w:type="dxa"/>
            <w:tcBorders>
              <w:top w:val="single" w:sz="4" w:space="0" w:color="auto"/>
              <w:left w:val="single" w:sz="4" w:space="0" w:color="auto"/>
              <w:bottom w:val="single" w:sz="4" w:space="0" w:color="auto"/>
              <w:right w:val="single" w:sz="4" w:space="0" w:color="auto"/>
            </w:tcBorders>
            <w:vAlign w:val="bottom"/>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Participation and engagement programs</w:t>
            </w:r>
          </w:p>
        </w:tc>
        <w:tc>
          <w:tcPr>
            <w:tcW w:w="4678" w:type="dxa"/>
            <w:tcBorders>
              <w:top w:val="single" w:sz="4" w:space="0" w:color="auto"/>
              <w:left w:val="single" w:sz="4" w:space="0" w:color="auto"/>
              <w:bottom w:val="single" w:sz="4" w:space="0" w:color="auto"/>
              <w:right w:val="single" w:sz="4" w:space="0" w:color="auto"/>
            </w:tcBorders>
            <w:vAlign w:val="bottom"/>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Social cohesion and inclusion programs</w:t>
            </w:r>
          </w:p>
        </w:tc>
      </w:tr>
      <w:tr w:rsidR="007D2538" w:rsidTr="007D2538">
        <w:trPr>
          <w:cantSplit/>
        </w:trPr>
        <w:tc>
          <w:tcPr>
            <w:tcW w:w="4859"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 xml:space="preserve">Programs engaging  people with disabilities </w:t>
            </w:r>
          </w:p>
        </w:tc>
        <w:tc>
          <w:tcPr>
            <w:tcW w:w="4678"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 xml:space="preserve">Programs engaging people who are disadvantaged / vulnerable </w:t>
            </w:r>
          </w:p>
        </w:tc>
      </w:tr>
      <w:tr w:rsidR="007D2538" w:rsidTr="007D2538">
        <w:trPr>
          <w:cantSplit/>
        </w:trPr>
        <w:tc>
          <w:tcPr>
            <w:tcW w:w="4859"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Cultural diversity projects and events</w:t>
            </w:r>
          </w:p>
        </w:tc>
        <w:tc>
          <w:tcPr>
            <w:tcW w:w="4678"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Health, recreation and wellbeing programs</w:t>
            </w:r>
          </w:p>
        </w:tc>
      </w:tr>
      <w:tr w:rsidR="007D2538" w:rsidTr="007D2538">
        <w:trPr>
          <w:cantSplit/>
        </w:trPr>
        <w:tc>
          <w:tcPr>
            <w:tcW w:w="4859"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Creativity, craft and performance programs</w:t>
            </w:r>
          </w:p>
        </w:tc>
        <w:tc>
          <w:tcPr>
            <w:tcW w:w="4678"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Volunteer programs</w:t>
            </w:r>
          </w:p>
        </w:tc>
      </w:tr>
      <w:tr w:rsidR="007D2538" w:rsidTr="007D2538">
        <w:trPr>
          <w:cantSplit/>
        </w:trPr>
        <w:tc>
          <w:tcPr>
            <w:tcW w:w="4859"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Women and youth programs</w:t>
            </w:r>
          </w:p>
        </w:tc>
        <w:tc>
          <w:tcPr>
            <w:tcW w:w="4678"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Social Enterprises</w:t>
            </w:r>
          </w:p>
        </w:tc>
      </w:tr>
      <w:tr w:rsidR="007D2538" w:rsidTr="007D2538">
        <w:trPr>
          <w:cantSplit/>
        </w:trPr>
        <w:tc>
          <w:tcPr>
            <w:tcW w:w="4859"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Community gardens</w:t>
            </w:r>
          </w:p>
        </w:tc>
        <w:tc>
          <w:tcPr>
            <w:tcW w:w="4678"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Local interest and local history projects</w:t>
            </w:r>
          </w:p>
        </w:tc>
      </w:tr>
      <w:tr w:rsidR="007D2538" w:rsidTr="007D2538">
        <w:trPr>
          <w:cantSplit/>
        </w:trPr>
        <w:tc>
          <w:tcPr>
            <w:tcW w:w="4859"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Sustainable living and environmental projects</w:t>
            </w:r>
          </w:p>
        </w:tc>
        <w:tc>
          <w:tcPr>
            <w:tcW w:w="4678"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Programs and activities for seniors</w:t>
            </w:r>
          </w:p>
        </w:tc>
      </w:tr>
      <w:tr w:rsidR="007D2538" w:rsidTr="007D2538">
        <w:trPr>
          <w:cantSplit/>
        </w:trPr>
        <w:tc>
          <w:tcPr>
            <w:tcW w:w="4859"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Children’s programs and toy libraries</w:t>
            </w:r>
          </w:p>
        </w:tc>
        <w:tc>
          <w:tcPr>
            <w:tcW w:w="4678"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Family-based programs</w:t>
            </w:r>
          </w:p>
        </w:tc>
      </w:tr>
      <w:tr w:rsidR="007D2538" w:rsidTr="007D2538">
        <w:trPr>
          <w:cantSplit/>
        </w:trPr>
        <w:tc>
          <w:tcPr>
            <w:tcW w:w="4859"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Community safety and crime prevention</w:t>
            </w:r>
          </w:p>
        </w:tc>
        <w:tc>
          <w:tcPr>
            <w:tcW w:w="4678"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Cooking, food and meals programs</w:t>
            </w:r>
          </w:p>
        </w:tc>
      </w:tr>
    </w:tbl>
    <w:p w:rsidR="007D2538" w:rsidRDefault="007D2538" w:rsidP="007D2538">
      <w:pPr>
        <w:pStyle w:val="CoMHeading2"/>
        <w:rPr>
          <w:rFonts w:eastAsia="MS Mincho" w:cs="Times New Roman"/>
          <w:color w:val="auto"/>
          <w:sz w:val="20"/>
          <w:szCs w:val="24"/>
          <w:lang w:val="en-US" w:eastAsia="en-US"/>
        </w:rPr>
      </w:pPr>
    </w:p>
    <w:p w:rsidR="00711128" w:rsidRPr="001E7A66" w:rsidRDefault="007D2538" w:rsidP="001E7A66">
      <w:pPr>
        <w:spacing w:before="200" w:after="100"/>
        <w:ind w:left="28" w:right="113"/>
        <w:rPr>
          <w:rFonts w:eastAsia="Cambria" w:cs="Arial"/>
          <w:color w:val="000000"/>
          <w:szCs w:val="20"/>
          <w:lang w:val="en-US" w:eastAsia="en-AU"/>
        </w:rPr>
      </w:pPr>
      <w:r w:rsidRPr="001E7A66">
        <w:rPr>
          <w:rFonts w:eastAsia="Cambria" w:cs="Arial"/>
          <w:b/>
          <w:color w:val="000000"/>
          <w:szCs w:val="20"/>
          <w:lang w:val="en-US" w:eastAsia="en-AU"/>
        </w:rPr>
        <w:t xml:space="preserve">Q5: Types of projects that should not be funded </w:t>
      </w:r>
      <w:r w:rsidRPr="001E7A66">
        <w:rPr>
          <w:rFonts w:eastAsia="Cambria" w:cs="Arial"/>
          <w:color w:val="000000"/>
          <w:szCs w:val="20"/>
          <w:lang w:val="en-US" w:eastAsia="en-AU"/>
        </w:rPr>
        <w:t>(The following summarises responses according to best fit descriptions)</w:t>
      </w:r>
    </w:p>
    <w:tbl>
      <w:tblPr>
        <w:tblStyle w:val="TableGrid"/>
        <w:tblW w:w="9537" w:type="dxa"/>
        <w:tblInd w:w="-34" w:type="dxa"/>
        <w:tblLook w:val="04A0" w:firstRow="1" w:lastRow="0" w:firstColumn="1" w:lastColumn="0" w:noHBand="0" w:noVBand="1"/>
      </w:tblPr>
      <w:tblGrid>
        <w:gridCol w:w="4859"/>
        <w:gridCol w:w="4678"/>
      </w:tblGrid>
      <w:tr w:rsidR="007D2538" w:rsidTr="001C60A4">
        <w:trPr>
          <w:cantSplit/>
        </w:trPr>
        <w:tc>
          <w:tcPr>
            <w:tcW w:w="4859" w:type="dxa"/>
            <w:tcBorders>
              <w:top w:val="single" w:sz="4" w:space="0" w:color="auto"/>
              <w:left w:val="single" w:sz="4" w:space="0" w:color="auto"/>
              <w:bottom w:val="single" w:sz="4" w:space="0" w:color="auto"/>
              <w:right w:val="single" w:sz="4" w:space="0" w:color="auto"/>
            </w:tcBorders>
            <w:vAlign w:val="bottom"/>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Programs with negative social impacts (gambling, discrimination, gender bias)</w:t>
            </w:r>
          </w:p>
        </w:tc>
        <w:tc>
          <w:tcPr>
            <w:tcW w:w="4678" w:type="dxa"/>
            <w:tcBorders>
              <w:top w:val="single" w:sz="4" w:space="0" w:color="auto"/>
              <w:left w:val="single" w:sz="4" w:space="0" w:color="auto"/>
              <w:bottom w:val="single" w:sz="4" w:space="0" w:color="auto"/>
              <w:right w:val="single" w:sz="4" w:space="0" w:color="auto"/>
            </w:tcBorders>
            <w:vAlign w:val="bottom"/>
            <w:hideMark/>
          </w:tcPr>
          <w:p w:rsidR="007D2538" w:rsidRPr="007D2538" w:rsidRDefault="007D2538" w:rsidP="001C60A4">
            <w:pPr>
              <w:spacing w:before="200" w:after="100"/>
              <w:ind w:right="113"/>
              <w:rPr>
                <w:rFonts w:cs="Arial"/>
                <w:color w:val="000000"/>
                <w:szCs w:val="20"/>
                <w:lang w:val="en-US" w:eastAsia="en-AU"/>
              </w:rPr>
            </w:pPr>
            <w:r w:rsidRPr="007D2538">
              <w:rPr>
                <w:rFonts w:cs="Arial"/>
                <w:color w:val="000000"/>
                <w:szCs w:val="20"/>
                <w:lang w:val="en-US" w:eastAsia="en-AU"/>
              </w:rPr>
              <w:t>Projects that restrict democracy and engagement</w:t>
            </w:r>
          </w:p>
        </w:tc>
      </w:tr>
      <w:tr w:rsidR="007D2538" w:rsidTr="007D2538">
        <w:trPr>
          <w:cantSplit/>
        </w:trPr>
        <w:tc>
          <w:tcPr>
            <w:tcW w:w="4859"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Political projects</w:t>
            </w:r>
          </w:p>
        </w:tc>
        <w:tc>
          <w:tcPr>
            <w:tcW w:w="4678"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Religious programs</w:t>
            </w:r>
          </w:p>
        </w:tc>
      </w:tr>
      <w:tr w:rsidR="007D2538" w:rsidTr="007D2538">
        <w:trPr>
          <w:cantSplit/>
        </w:trPr>
        <w:tc>
          <w:tcPr>
            <w:tcW w:w="4859"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Programs that focus on one minority group as these are divisive and not inclusive</w:t>
            </w:r>
          </w:p>
        </w:tc>
        <w:tc>
          <w:tcPr>
            <w:tcW w:w="4678"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Programs lacking social or cultural benefits or lacking a practical outcome</w:t>
            </w:r>
          </w:p>
        </w:tc>
      </w:tr>
      <w:tr w:rsidR="007D2538" w:rsidTr="007D2538">
        <w:trPr>
          <w:cantSplit/>
        </w:trPr>
        <w:tc>
          <w:tcPr>
            <w:tcW w:w="4859"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Organisations that don’t rely on the funding</w:t>
            </w:r>
          </w:p>
        </w:tc>
        <w:tc>
          <w:tcPr>
            <w:tcW w:w="4678"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Programs that are already being funded</w:t>
            </w:r>
          </w:p>
        </w:tc>
      </w:tr>
      <w:tr w:rsidR="007D2538" w:rsidTr="007D2538">
        <w:trPr>
          <w:cantSplit/>
        </w:trPr>
        <w:tc>
          <w:tcPr>
            <w:tcW w:w="4859"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Capital works and infrastructure</w:t>
            </w:r>
          </w:p>
        </w:tc>
        <w:tc>
          <w:tcPr>
            <w:tcW w:w="4678"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 xml:space="preserve">Programs replicating already available services </w:t>
            </w:r>
          </w:p>
        </w:tc>
      </w:tr>
      <w:tr w:rsidR="007D2538" w:rsidTr="007D2538">
        <w:trPr>
          <w:cantSplit/>
        </w:trPr>
        <w:tc>
          <w:tcPr>
            <w:tcW w:w="4859"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Projects that are individual-based or exist for personal gain</w:t>
            </w:r>
          </w:p>
        </w:tc>
        <w:tc>
          <w:tcPr>
            <w:tcW w:w="4678"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Commercial, government, private or profitable projects</w:t>
            </w:r>
          </w:p>
        </w:tc>
      </w:tr>
      <w:tr w:rsidR="007D2538" w:rsidTr="007D2538">
        <w:trPr>
          <w:cantSplit/>
        </w:trPr>
        <w:tc>
          <w:tcPr>
            <w:tcW w:w="4859"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 xml:space="preserve">Programs outside of the municipality </w:t>
            </w:r>
          </w:p>
        </w:tc>
        <w:tc>
          <w:tcPr>
            <w:tcW w:w="4678"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Controversial or divisive projects</w:t>
            </w:r>
          </w:p>
        </w:tc>
      </w:tr>
      <w:tr w:rsidR="007D2538" w:rsidTr="007D2538">
        <w:trPr>
          <w:cantSplit/>
        </w:trPr>
        <w:tc>
          <w:tcPr>
            <w:tcW w:w="4859"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Individual athletes grants</w:t>
            </w:r>
          </w:p>
        </w:tc>
        <w:tc>
          <w:tcPr>
            <w:tcW w:w="4678" w:type="dxa"/>
            <w:tcBorders>
              <w:top w:val="single" w:sz="4" w:space="0" w:color="auto"/>
              <w:left w:val="single" w:sz="4" w:space="0" w:color="auto"/>
              <w:bottom w:val="single" w:sz="4" w:space="0" w:color="auto"/>
              <w:right w:val="single" w:sz="4" w:space="0" w:color="auto"/>
            </w:tcBorders>
            <w:hideMark/>
          </w:tcPr>
          <w:p w:rsidR="007D2538" w:rsidRPr="007D2538" w:rsidRDefault="007D2538" w:rsidP="007D2538">
            <w:pPr>
              <w:spacing w:before="200" w:after="100"/>
              <w:ind w:left="28" w:right="113"/>
              <w:rPr>
                <w:rFonts w:cs="Arial"/>
                <w:color w:val="000000"/>
                <w:szCs w:val="20"/>
                <w:lang w:val="en-US" w:eastAsia="en-AU"/>
              </w:rPr>
            </w:pPr>
            <w:r w:rsidRPr="007D2538">
              <w:rPr>
                <w:rFonts w:cs="Arial"/>
                <w:color w:val="000000"/>
                <w:szCs w:val="20"/>
                <w:lang w:val="en-US" w:eastAsia="en-AU"/>
              </w:rPr>
              <w:t>Large sporting club programs</w:t>
            </w:r>
          </w:p>
        </w:tc>
      </w:tr>
    </w:tbl>
    <w:p w:rsidR="004A26E3" w:rsidRPr="00FA0ED7" w:rsidRDefault="00FA0ED7" w:rsidP="00FA0ED7">
      <w:pPr>
        <w:spacing w:before="120" w:after="120"/>
        <w:rPr>
          <w:rFonts w:asciiTheme="minorHAnsi" w:hAnsiTheme="minorHAnsi"/>
        </w:rPr>
      </w:pPr>
      <w:r>
        <w:rPr>
          <w:rFonts w:cs="Arial"/>
          <w:b/>
        </w:rPr>
        <w:t xml:space="preserve"> </w:t>
      </w:r>
      <w:bookmarkEnd w:id="4"/>
      <w:bookmarkEnd w:id="5"/>
      <w:bookmarkEnd w:id="6"/>
    </w:p>
    <w:sectPr w:rsidR="004A26E3" w:rsidRPr="00FA0ED7" w:rsidSect="00711128">
      <w:endnotePr>
        <w:numFmt w:val="decimal"/>
      </w:endnotePr>
      <w:pgSz w:w="11900" w:h="16840"/>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FC" w:rsidRDefault="000B5BFC" w:rsidP="00BC719D">
      <w:pPr>
        <w:spacing w:after="0"/>
      </w:pPr>
      <w:r>
        <w:separator/>
      </w:r>
    </w:p>
  </w:endnote>
  <w:endnote w:type="continuationSeparator" w:id="0">
    <w:p w:rsidR="000B5BFC" w:rsidRDefault="000B5BF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FC" w:rsidRDefault="000B5BFC" w:rsidP="00577A39">
      <w:pPr>
        <w:spacing w:after="40" w:line="240" w:lineRule="auto"/>
      </w:pPr>
      <w:r>
        <w:separator/>
      </w:r>
    </w:p>
  </w:footnote>
  <w:footnote w:type="continuationSeparator" w:id="0">
    <w:p w:rsidR="000B5BFC" w:rsidRDefault="000B5BFC"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528"/>
        </w:tabs>
        <w:ind w:left="1528"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923DC6"/>
    <w:multiLevelType w:val="hybridMultilevel"/>
    <w:tmpl w:val="2BB2CE9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9773B2D"/>
    <w:multiLevelType w:val="hybridMultilevel"/>
    <w:tmpl w:val="FF38D518"/>
    <w:name w:val="MyNumbering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nsid w:val="175552D0"/>
    <w:multiLevelType w:val="hybridMultilevel"/>
    <w:tmpl w:val="73449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1957677"/>
    <w:multiLevelType w:val="hybridMultilevel"/>
    <w:tmpl w:val="21DC69D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9">
    <w:nsid w:val="2A2B5D1C"/>
    <w:multiLevelType w:val="multilevel"/>
    <w:tmpl w:val="16506B6C"/>
    <w:numStyleLink w:val="ListNumbers"/>
  </w:abstractNum>
  <w:abstractNum w:abstractNumId="10">
    <w:nsid w:val="31F71E83"/>
    <w:multiLevelType w:val="hybridMultilevel"/>
    <w:tmpl w:val="FB3CC8E2"/>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35A6548E"/>
    <w:multiLevelType w:val="hybridMultilevel"/>
    <w:tmpl w:val="36FCCCDE"/>
    <w:lvl w:ilvl="0" w:tplc="0C090001">
      <w:start w:val="1"/>
      <w:numFmt w:val="bullet"/>
      <w:lvlText w:val=""/>
      <w:lvlJc w:val="left"/>
      <w:pPr>
        <w:ind w:left="6173" w:hanging="360"/>
      </w:pPr>
      <w:rPr>
        <w:rFonts w:ascii="Symbol" w:hAnsi="Symbol" w:hint="default"/>
      </w:rPr>
    </w:lvl>
    <w:lvl w:ilvl="1" w:tplc="0C090003">
      <w:start w:val="1"/>
      <w:numFmt w:val="bullet"/>
      <w:lvlText w:val="o"/>
      <w:lvlJc w:val="left"/>
      <w:pPr>
        <w:ind w:left="6893" w:hanging="360"/>
      </w:pPr>
      <w:rPr>
        <w:rFonts w:ascii="Courier New" w:hAnsi="Courier New" w:cs="Courier New" w:hint="default"/>
      </w:rPr>
    </w:lvl>
    <w:lvl w:ilvl="2" w:tplc="0C090005">
      <w:start w:val="1"/>
      <w:numFmt w:val="bullet"/>
      <w:lvlText w:val=""/>
      <w:lvlJc w:val="left"/>
      <w:pPr>
        <w:ind w:left="7613" w:hanging="360"/>
      </w:pPr>
      <w:rPr>
        <w:rFonts w:ascii="Wingdings" w:hAnsi="Wingdings" w:hint="default"/>
      </w:rPr>
    </w:lvl>
    <w:lvl w:ilvl="3" w:tplc="0C090001">
      <w:start w:val="1"/>
      <w:numFmt w:val="bullet"/>
      <w:lvlText w:val=""/>
      <w:lvlJc w:val="left"/>
      <w:pPr>
        <w:ind w:left="8333" w:hanging="360"/>
      </w:pPr>
      <w:rPr>
        <w:rFonts w:ascii="Symbol" w:hAnsi="Symbol" w:hint="default"/>
      </w:rPr>
    </w:lvl>
    <w:lvl w:ilvl="4" w:tplc="0C090003">
      <w:start w:val="1"/>
      <w:numFmt w:val="bullet"/>
      <w:lvlText w:val="o"/>
      <w:lvlJc w:val="left"/>
      <w:pPr>
        <w:ind w:left="9053" w:hanging="360"/>
      </w:pPr>
      <w:rPr>
        <w:rFonts w:ascii="Courier New" w:hAnsi="Courier New" w:cs="Courier New" w:hint="default"/>
      </w:rPr>
    </w:lvl>
    <w:lvl w:ilvl="5" w:tplc="0C090005">
      <w:start w:val="1"/>
      <w:numFmt w:val="bullet"/>
      <w:lvlText w:val=""/>
      <w:lvlJc w:val="left"/>
      <w:pPr>
        <w:ind w:left="9773" w:hanging="360"/>
      </w:pPr>
      <w:rPr>
        <w:rFonts w:ascii="Wingdings" w:hAnsi="Wingdings" w:hint="default"/>
      </w:rPr>
    </w:lvl>
    <w:lvl w:ilvl="6" w:tplc="0C090001">
      <w:start w:val="1"/>
      <w:numFmt w:val="bullet"/>
      <w:lvlText w:val=""/>
      <w:lvlJc w:val="left"/>
      <w:pPr>
        <w:ind w:left="10493" w:hanging="360"/>
      </w:pPr>
      <w:rPr>
        <w:rFonts w:ascii="Symbol" w:hAnsi="Symbol" w:hint="default"/>
      </w:rPr>
    </w:lvl>
    <w:lvl w:ilvl="7" w:tplc="0C090003">
      <w:start w:val="1"/>
      <w:numFmt w:val="bullet"/>
      <w:lvlText w:val="o"/>
      <w:lvlJc w:val="left"/>
      <w:pPr>
        <w:ind w:left="11213" w:hanging="360"/>
      </w:pPr>
      <w:rPr>
        <w:rFonts w:ascii="Courier New" w:hAnsi="Courier New" w:cs="Courier New" w:hint="default"/>
      </w:rPr>
    </w:lvl>
    <w:lvl w:ilvl="8" w:tplc="0C090005">
      <w:start w:val="1"/>
      <w:numFmt w:val="bullet"/>
      <w:lvlText w:val=""/>
      <w:lvlJc w:val="left"/>
      <w:pPr>
        <w:ind w:left="11933" w:hanging="360"/>
      </w:pPr>
      <w:rPr>
        <w:rFonts w:ascii="Wingdings" w:hAnsi="Wingdings" w:hint="default"/>
      </w:rPr>
    </w:lvl>
  </w:abstractNum>
  <w:abstractNum w:abstractNumId="12">
    <w:nsid w:val="35C1609E"/>
    <w:multiLevelType w:val="hybridMultilevel"/>
    <w:tmpl w:val="BF5A553A"/>
    <w:lvl w:ilvl="0" w:tplc="0C090001">
      <w:start w:val="1"/>
      <w:numFmt w:val="bullet"/>
      <w:lvlText w:val=""/>
      <w:lvlJc w:val="left"/>
      <w:pPr>
        <w:tabs>
          <w:tab w:val="num" w:pos="360"/>
        </w:tabs>
        <w:ind w:left="360" w:hanging="360"/>
      </w:pPr>
      <w:rPr>
        <w:rFonts w:ascii="Symbol" w:hAnsi="Symbol" w:hint="default"/>
      </w:rPr>
    </w:lvl>
    <w:lvl w:ilvl="1" w:tplc="646878E4">
      <w:start w:val="1"/>
      <w:numFmt w:val="bullet"/>
      <w:lvlText w:val="•"/>
      <w:lvlJc w:val="left"/>
      <w:pPr>
        <w:tabs>
          <w:tab w:val="num" w:pos="1080"/>
        </w:tabs>
        <w:ind w:left="1080" w:hanging="360"/>
      </w:pPr>
      <w:rPr>
        <w:rFonts w:ascii="Arial" w:hAnsi="Arial" w:cs="Times New Roman" w:hint="default"/>
      </w:rPr>
    </w:lvl>
    <w:lvl w:ilvl="2" w:tplc="614863AC">
      <w:start w:val="1"/>
      <w:numFmt w:val="bullet"/>
      <w:lvlText w:val="•"/>
      <w:lvlJc w:val="left"/>
      <w:pPr>
        <w:tabs>
          <w:tab w:val="num" w:pos="1800"/>
        </w:tabs>
        <w:ind w:left="1800" w:hanging="360"/>
      </w:pPr>
      <w:rPr>
        <w:rFonts w:ascii="Arial" w:hAnsi="Arial" w:cs="Times New Roman" w:hint="default"/>
      </w:rPr>
    </w:lvl>
    <w:lvl w:ilvl="3" w:tplc="2D72E520">
      <w:start w:val="1"/>
      <w:numFmt w:val="bullet"/>
      <w:lvlText w:val="•"/>
      <w:lvlJc w:val="left"/>
      <w:pPr>
        <w:tabs>
          <w:tab w:val="num" w:pos="2520"/>
        </w:tabs>
        <w:ind w:left="2520" w:hanging="360"/>
      </w:pPr>
      <w:rPr>
        <w:rFonts w:ascii="Arial" w:hAnsi="Arial" w:cs="Times New Roman" w:hint="default"/>
      </w:rPr>
    </w:lvl>
    <w:lvl w:ilvl="4" w:tplc="9774DC00">
      <w:start w:val="1"/>
      <w:numFmt w:val="bullet"/>
      <w:lvlText w:val="•"/>
      <w:lvlJc w:val="left"/>
      <w:pPr>
        <w:tabs>
          <w:tab w:val="num" w:pos="3240"/>
        </w:tabs>
        <w:ind w:left="3240" w:hanging="360"/>
      </w:pPr>
      <w:rPr>
        <w:rFonts w:ascii="Arial" w:hAnsi="Arial" w:cs="Times New Roman" w:hint="default"/>
      </w:rPr>
    </w:lvl>
    <w:lvl w:ilvl="5" w:tplc="9EA8FE0A">
      <w:start w:val="1"/>
      <w:numFmt w:val="bullet"/>
      <w:lvlText w:val="•"/>
      <w:lvlJc w:val="left"/>
      <w:pPr>
        <w:tabs>
          <w:tab w:val="num" w:pos="3960"/>
        </w:tabs>
        <w:ind w:left="3960" w:hanging="360"/>
      </w:pPr>
      <w:rPr>
        <w:rFonts w:ascii="Arial" w:hAnsi="Arial" w:cs="Times New Roman" w:hint="default"/>
      </w:rPr>
    </w:lvl>
    <w:lvl w:ilvl="6" w:tplc="5BF6496E">
      <w:start w:val="1"/>
      <w:numFmt w:val="bullet"/>
      <w:lvlText w:val="•"/>
      <w:lvlJc w:val="left"/>
      <w:pPr>
        <w:tabs>
          <w:tab w:val="num" w:pos="4680"/>
        </w:tabs>
        <w:ind w:left="4680" w:hanging="360"/>
      </w:pPr>
      <w:rPr>
        <w:rFonts w:ascii="Arial" w:hAnsi="Arial" w:cs="Times New Roman" w:hint="default"/>
      </w:rPr>
    </w:lvl>
    <w:lvl w:ilvl="7" w:tplc="72ACB202">
      <w:start w:val="1"/>
      <w:numFmt w:val="bullet"/>
      <w:lvlText w:val="•"/>
      <w:lvlJc w:val="left"/>
      <w:pPr>
        <w:tabs>
          <w:tab w:val="num" w:pos="5400"/>
        </w:tabs>
        <w:ind w:left="5400" w:hanging="360"/>
      </w:pPr>
      <w:rPr>
        <w:rFonts w:ascii="Arial" w:hAnsi="Arial" w:cs="Times New Roman" w:hint="default"/>
      </w:rPr>
    </w:lvl>
    <w:lvl w:ilvl="8" w:tplc="9BD26582">
      <w:start w:val="1"/>
      <w:numFmt w:val="bullet"/>
      <w:lvlText w:val="•"/>
      <w:lvlJc w:val="left"/>
      <w:pPr>
        <w:tabs>
          <w:tab w:val="num" w:pos="6120"/>
        </w:tabs>
        <w:ind w:left="6120" w:hanging="360"/>
      </w:pPr>
      <w:rPr>
        <w:rFonts w:ascii="Arial" w:hAnsi="Arial" w:cs="Times New Roman" w:hint="default"/>
      </w:rPr>
    </w:lvl>
  </w:abstractNum>
  <w:abstractNum w:abstractNumId="13">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C10957"/>
    <w:multiLevelType w:val="multilevel"/>
    <w:tmpl w:val="16506B6C"/>
    <w:numStyleLink w:val="ListNumbers"/>
  </w:abstractNum>
  <w:abstractNum w:abstractNumId="15">
    <w:nsid w:val="4305564F"/>
    <w:multiLevelType w:val="hybridMultilevel"/>
    <w:tmpl w:val="5156BB4E"/>
    <w:lvl w:ilvl="0" w:tplc="AE080FD2">
      <w:start w:val="1"/>
      <w:numFmt w:val="bullet"/>
      <w:lvlText w:val="•"/>
      <w:lvlJc w:val="left"/>
      <w:pPr>
        <w:tabs>
          <w:tab w:val="num" w:pos="1800"/>
        </w:tabs>
        <w:ind w:left="1800" w:hanging="360"/>
      </w:pPr>
      <w:rPr>
        <w:rFonts w:ascii="Times New Roman" w:hAnsi="Times New Roman" w:cs="Times New Roman"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nsid w:val="47E25BA1"/>
    <w:multiLevelType w:val="hybridMultilevel"/>
    <w:tmpl w:val="CFE62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BDA2B01"/>
    <w:multiLevelType w:val="hybridMultilevel"/>
    <w:tmpl w:val="DE0C2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623AB5"/>
    <w:multiLevelType w:val="hybridMultilevel"/>
    <w:tmpl w:val="EEE44DAE"/>
    <w:lvl w:ilvl="0" w:tplc="D49CE5A0">
      <w:numFmt w:val="bullet"/>
      <w:lvlText w:val="-"/>
      <w:lvlJc w:val="left"/>
      <w:pPr>
        <w:ind w:left="720" w:hanging="360"/>
      </w:pPr>
      <w:rPr>
        <w:rFonts w:ascii="Arial" w:eastAsiaTheme="minorHAnsi" w:hAnsi="Arial" w:cs="Arial" w:hint="default"/>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53926257"/>
    <w:multiLevelType w:val="hybridMultilevel"/>
    <w:tmpl w:val="C4B61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FE7853"/>
    <w:multiLevelType w:val="hybridMultilevel"/>
    <w:tmpl w:val="D4D47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E1209CA"/>
    <w:multiLevelType w:val="multilevel"/>
    <w:tmpl w:val="16506B6C"/>
    <w:numStyleLink w:val="ListNumbers"/>
  </w:abstractNum>
  <w:abstractNum w:abstractNumId="23">
    <w:nsid w:val="73B54759"/>
    <w:multiLevelType w:val="hybridMultilevel"/>
    <w:tmpl w:val="E766BD08"/>
    <w:lvl w:ilvl="0" w:tplc="2D464D60">
      <w:start w:val="1"/>
      <w:numFmt w:val="bullet"/>
      <w:lvlText w:val="•"/>
      <w:lvlJc w:val="left"/>
      <w:pPr>
        <w:tabs>
          <w:tab w:val="num" w:pos="720"/>
        </w:tabs>
        <w:ind w:left="720" w:hanging="360"/>
      </w:pPr>
      <w:rPr>
        <w:rFonts w:ascii="Times New Roman" w:hAnsi="Times New Roman"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6680A736">
      <w:start w:val="1"/>
      <w:numFmt w:val="bullet"/>
      <w:lvlText w:val="•"/>
      <w:lvlJc w:val="left"/>
      <w:pPr>
        <w:tabs>
          <w:tab w:val="num" w:pos="2160"/>
        </w:tabs>
        <w:ind w:left="2160" w:hanging="360"/>
      </w:pPr>
      <w:rPr>
        <w:rFonts w:ascii="Times New Roman" w:hAnsi="Times New Roman" w:cs="Times New Roman" w:hint="default"/>
      </w:rPr>
    </w:lvl>
    <w:lvl w:ilvl="3" w:tplc="3DBE2198">
      <w:start w:val="1"/>
      <w:numFmt w:val="bullet"/>
      <w:lvlText w:val="•"/>
      <w:lvlJc w:val="left"/>
      <w:pPr>
        <w:tabs>
          <w:tab w:val="num" w:pos="2880"/>
        </w:tabs>
        <w:ind w:left="2880" w:hanging="360"/>
      </w:pPr>
      <w:rPr>
        <w:rFonts w:ascii="Times New Roman" w:hAnsi="Times New Roman" w:cs="Times New Roman" w:hint="default"/>
      </w:rPr>
    </w:lvl>
    <w:lvl w:ilvl="4" w:tplc="07188534">
      <w:start w:val="1"/>
      <w:numFmt w:val="bullet"/>
      <w:lvlText w:val="•"/>
      <w:lvlJc w:val="left"/>
      <w:pPr>
        <w:tabs>
          <w:tab w:val="num" w:pos="3600"/>
        </w:tabs>
        <w:ind w:left="3600" w:hanging="360"/>
      </w:pPr>
      <w:rPr>
        <w:rFonts w:ascii="Times New Roman" w:hAnsi="Times New Roman" w:cs="Times New Roman" w:hint="default"/>
      </w:rPr>
    </w:lvl>
    <w:lvl w:ilvl="5" w:tplc="8C424A78">
      <w:start w:val="1"/>
      <w:numFmt w:val="bullet"/>
      <w:lvlText w:val="•"/>
      <w:lvlJc w:val="left"/>
      <w:pPr>
        <w:tabs>
          <w:tab w:val="num" w:pos="4320"/>
        </w:tabs>
        <w:ind w:left="4320" w:hanging="360"/>
      </w:pPr>
      <w:rPr>
        <w:rFonts w:ascii="Times New Roman" w:hAnsi="Times New Roman" w:cs="Times New Roman" w:hint="default"/>
      </w:rPr>
    </w:lvl>
    <w:lvl w:ilvl="6" w:tplc="6956638A">
      <w:start w:val="1"/>
      <w:numFmt w:val="bullet"/>
      <w:lvlText w:val="•"/>
      <w:lvlJc w:val="left"/>
      <w:pPr>
        <w:tabs>
          <w:tab w:val="num" w:pos="5040"/>
        </w:tabs>
        <w:ind w:left="5040" w:hanging="360"/>
      </w:pPr>
      <w:rPr>
        <w:rFonts w:ascii="Times New Roman" w:hAnsi="Times New Roman" w:cs="Times New Roman" w:hint="default"/>
      </w:rPr>
    </w:lvl>
    <w:lvl w:ilvl="7" w:tplc="2B0CF620">
      <w:start w:val="1"/>
      <w:numFmt w:val="bullet"/>
      <w:lvlText w:val="•"/>
      <w:lvlJc w:val="left"/>
      <w:pPr>
        <w:tabs>
          <w:tab w:val="num" w:pos="5760"/>
        </w:tabs>
        <w:ind w:left="5760" w:hanging="360"/>
      </w:pPr>
      <w:rPr>
        <w:rFonts w:ascii="Times New Roman" w:hAnsi="Times New Roman" w:cs="Times New Roman" w:hint="default"/>
      </w:rPr>
    </w:lvl>
    <w:lvl w:ilvl="8" w:tplc="C49C294C">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78D609B1"/>
    <w:multiLevelType w:val="hybridMultilevel"/>
    <w:tmpl w:val="C2BEA382"/>
    <w:lvl w:ilvl="0" w:tplc="0C090001">
      <w:start w:val="1"/>
      <w:numFmt w:val="bullet"/>
      <w:lvlText w:val=""/>
      <w:lvlJc w:val="left"/>
      <w:pPr>
        <w:tabs>
          <w:tab w:val="num" w:pos="360"/>
        </w:tabs>
        <w:ind w:left="360" w:hanging="360"/>
      </w:pPr>
      <w:rPr>
        <w:rFonts w:ascii="Symbol" w:hAnsi="Symbol" w:hint="default"/>
      </w:rPr>
    </w:lvl>
    <w:lvl w:ilvl="1" w:tplc="30CA1844">
      <w:start w:val="1"/>
      <w:numFmt w:val="bullet"/>
      <w:lvlText w:val="•"/>
      <w:lvlJc w:val="left"/>
      <w:pPr>
        <w:tabs>
          <w:tab w:val="num" w:pos="1080"/>
        </w:tabs>
        <w:ind w:left="1080" w:hanging="360"/>
      </w:pPr>
      <w:rPr>
        <w:rFonts w:ascii="Arial" w:hAnsi="Arial" w:cs="Times New Roman" w:hint="default"/>
      </w:rPr>
    </w:lvl>
    <w:lvl w:ilvl="2" w:tplc="4F283D8C">
      <w:start w:val="1"/>
      <w:numFmt w:val="bullet"/>
      <w:lvlText w:val="•"/>
      <w:lvlJc w:val="left"/>
      <w:pPr>
        <w:tabs>
          <w:tab w:val="num" w:pos="1800"/>
        </w:tabs>
        <w:ind w:left="1800" w:hanging="360"/>
      </w:pPr>
      <w:rPr>
        <w:rFonts w:ascii="Arial" w:hAnsi="Arial" w:cs="Times New Roman" w:hint="default"/>
      </w:rPr>
    </w:lvl>
    <w:lvl w:ilvl="3" w:tplc="AFE22682">
      <w:start w:val="1"/>
      <w:numFmt w:val="bullet"/>
      <w:lvlText w:val="•"/>
      <w:lvlJc w:val="left"/>
      <w:pPr>
        <w:tabs>
          <w:tab w:val="num" w:pos="2520"/>
        </w:tabs>
        <w:ind w:left="2520" w:hanging="360"/>
      </w:pPr>
      <w:rPr>
        <w:rFonts w:ascii="Arial" w:hAnsi="Arial" w:cs="Times New Roman" w:hint="default"/>
      </w:rPr>
    </w:lvl>
    <w:lvl w:ilvl="4" w:tplc="AF780C84">
      <w:start w:val="1"/>
      <w:numFmt w:val="bullet"/>
      <w:lvlText w:val="•"/>
      <w:lvlJc w:val="left"/>
      <w:pPr>
        <w:tabs>
          <w:tab w:val="num" w:pos="3240"/>
        </w:tabs>
        <w:ind w:left="3240" w:hanging="360"/>
      </w:pPr>
      <w:rPr>
        <w:rFonts w:ascii="Arial" w:hAnsi="Arial" w:cs="Times New Roman" w:hint="default"/>
      </w:rPr>
    </w:lvl>
    <w:lvl w:ilvl="5" w:tplc="8368A4AC">
      <w:start w:val="1"/>
      <w:numFmt w:val="bullet"/>
      <w:lvlText w:val="•"/>
      <w:lvlJc w:val="left"/>
      <w:pPr>
        <w:tabs>
          <w:tab w:val="num" w:pos="3960"/>
        </w:tabs>
        <w:ind w:left="3960" w:hanging="360"/>
      </w:pPr>
      <w:rPr>
        <w:rFonts w:ascii="Arial" w:hAnsi="Arial" w:cs="Times New Roman" w:hint="default"/>
      </w:rPr>
    </w:lvl>
    <w:lvl w:ilvl="6" w:tplc="F56E385E">
      <w:start w:val="1"/>
      <w:numFmt w:val="bullet"/>
      <w:lvlText w:val="•"/>
      <w:lvlJc w:val="left"/>
      <w:pPr>
        <w:tabs>
          <w:tab w:val="num" w:pos="4680"/>
        </w:tabs>
        <w:ind w:left="4680" w:hanging="360"/>
      </w:pPr>
      <w:rPr>
        <w:rFonts w:ascii="Arial" w:hAnsi="Arial" w:cs="Times New Roman" w:hint="default"/>
      </w:rPr>
    </w:lvl>
    <w:lvl w:ilvl="7" w:tplc="F7FAF3A8">
      <w:start w:val="1"/>
      <w:numFmt w:val="bullet"/>
      <w:lvlText w:val="•"/>
      <w:lvlJc w:val="left"/>
      <w:pPr>
        <w:tabs>
          <w:tab w:val="num" w:pos="5400"/>
        </w:tabs>
        <w:ind w:left="5400" w:hanging="360"/>
      </w:pPr>
      <w:rPr>
        <w:rFonts w:ascii="Arial" w:hAnsi="Arial" w:cs="Times New Roman" w:hint="default"/>
      </w:rPr>
    </w:lvl>
    <w:lvl w:ilvl="8" w:tplc="08502BD0">
      <w:start w:val="1"/>
      <w:numFmt w:val="bullet"/>
      <w:lvlText w:val="•"/>
      <w:lvlJc w:val="left"/>
      <w:pPr>
        <w:tabs>
          <w:tab w:val="num" w:pos="6120"/>
        </w:tabs>
        <w:ind w:left="6120" w:hanging="360"/>
      </w:pPr>
      <w:rPr>
        <w:rFonts w:ascii="Arial" w:hAnsi="Arial" w:cs="Times New Roman" w:hint="default"/>
      </w:rPr>
    </w:lvl>
  </w:abstractNum>
  <w:abstractNum w:abstractNumId="25">
    <w:nsid w:val="7A2C43DC"/>
    <w:multiLevelType w:val="multilevel"/>
    <w:tmpl w:val="16506B6C"/>
    <w:numStyleLink w:val="ListNumbers"/>
  </w:abstractNum>
  <w:abstractNum w:abstractNumId="26">
    <w:nsid w:val="7DD1201F"/>
    <w:multiLevelType w:val="multilevel"/>
    <w:tmpl w:val="7136B75E"/>
    <w:lvl w:ilvl="0">
      <w:start w:val="1"/>
      <w:numFmt w:val="decimal"/>
      <w:pStyle w:val="ListNumber"/>
      <w:lvlText w:val="%1."/>
      <w:lvlJc w:val="left"/>
      <w:pPr>
        <w:tabs>
          <w:tab w:val="num" w:pos="357"/>
        </w:tabs>
        <w:ind w:left="357" w:hanging="357"/>
      </w:pPr>
      <w:rPr>
        <w:rFonts w:hint="default"/>
        <w:b w:val="0"/>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7">
    <w:nsid w:val="7F2D2FEB"/>
    <w:multiLevelType w:val="hybridMultilevel"/>
    <w:tmpl w:val="FEC464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20"/>
  </w:num>
  <w:num w:numId="14">
    <w:abstractNumId w:val="2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8"/>
  </w:num>
  <w:num w:numId="18">
    <w:abstractNumId w:val="5"/>
  </w:num>
  <w:num w:numId="19">
    <w:abstractNumId w:val="5"/>
  </w:num>
  <w:num w:numId="20">
    <w:abstractNumId w:val="2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6"/>
  </w:num>
  <w:num w:numId="25">
    <w:abstractNumId w:val="27"/>
  </w:num>
  <w:num w:numId="26">
    <w:abstractNumId w:val="11"/>
  </w:num>
  <w:num w:numId="27">
    <w:abstractNumId w:val="19"/>
  </w:num>
  <w:num w:numId="28">
    <w:abstractNumId w:val="7"/>
  </w:num>
  <w:num w:numId="29">
    <w:abstractNumId w:val="12"/>
  </w:num>
  <w:num w:numId="30">
    <w:abstractNumId w:val="24"/>
  </w:num>
  <w:num w:numId="31">
    <w:abstractNumId w:val="15"/>
  </w:num>
  <w:num w:numId="32">
    <w:abstractNumId w:val="23"/>
  </w:num>
  <w:num w:numId="33">
    <w:abstractNumId w:val="2"/>
  </w:num>
  <w:num w:numId="34">
    <w:abstractNumId w:val="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1A"/>
    <w:rsid w:val="00020B35"/>
    <w:rsid w:val="000437C5"/>
    <w:rsid w:val="000474AE"/>
    <w:rsid w:val="00071857"/>
    <w:rsid w:val="000A2BDA"/>
    <w:rsid w:val="000A48D5"/>
    <w:rsid w:val="000B5BFC"/>
    <w:rsid w:val="000B5EAA"/>
    <w:rsid w:val="000F3535"/>
    <w:rsid w:val="00165309"/>
    <w:rsid w:val="00190B0E"/>
    <w:rsid w:val="001B51BF"/>
    <w:rsid w:val="001C60A4"/>
    <w:rsid w:val="001E7A66"/>
    <w:rsid w:val="001F46B4"/>
    <w:rsid w:val="001F554D"/>
    <w:rsid w:val="002436A6"/>
    <w:rsid w:val="002438B7"/>
    <w:rsid w:val="0024773F"/>
    <w:rsid w:val="002B23EB"/>
    <w:rsid w:val="002D630D"/>
    <w:rsid w:val="002E4153"/>
    <w:rsid w:val="002F47B6"/>
    <w:rsid w:val="002F6A88"/>
    <w:rsid w:val="003374DE"/>
    <w:rsid w:val="00380F44"/>
    <w:rsid w:val="003905D5"/>
    <w:rsid w:val="00392688"/>
    <w:rsid w:val="003D63A8"/>
    <w:rsid w:val="003E3A9F"/>
    <w:rsid w:val="00407429"/>
    <w:rsid w:val="00426584"/>
    <w:rsid w:val="00431D45"/>
    <w:rsid w:val="004564F4"/>
    <w:rsid w:val="00457042"/>
    <w:rsid w:val="004630B3"/>
    <w:rsid w:val="0046489A"/>
    <w:rsid w:val="004878DB"/>
    <w:rsid w:val="00493E0A"/>
    <w:rsid w:val="00494A2D"/>
    <w:rsid w:val="004A26E3"/>
    <w:rsid w:val="004C2A1A"/>
    <w:rsid w:val="004D00DD"/>
    <w:rsid w:val="004E1ECE"/>
    <w:rsid w:val="004F54F5"/>
    <w:rsid w:val="00535159"/>
    <w:rsid w:val="0053666A"/>
    <w:rsid w:val="005620A0"/>
    <w:rsid w:val="0056634E"/>
    <w:rsid w:val="0057264C"/>
    <w:rsid w:val="00577A39"/>
    <w:rsid w:val="005814F5"/>
    <w:rsid w:val="005D30BA"/>
    <w:rsid w:val="005F4391"/>
    <w:rsid w:val="0060298A"/>
    <w:rsid w:val="00630730"/>
    <w:rsid w:val="00687D4A"/>
    <w:rsid w:val="00692A5C"/>
    <w:rsid w:val="006A2F63"/>
    <w:rsid w:val="006A3718"/>
    <w:rsid w:val="006C7F7B"/>
    <w:rsid w:val="007007BB"/>
    <w:rsid w:val="00711128"/>
    <w:rsid w:val="00712950"/>
    <w:rsid w:val="00715B3E"/>
    <w:rsid w:val="0073401D"/>
    <w:rsid w:val="007361D8"/>
    <w:rsid w:val="00737A99"/>
    <w:rsid w:val="007639DF"/>
    <w:rsid w:val="00782E37"/>
    <w:rsid w:val="007A0AA6"/>
    <w:rsid w:val="007D2538"/>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29D9"/>
    <w:rsid w:val="00AB6132"/>
    <w:rsid w:val="00AD2B6E"/>
    <w:rsid w:val="00AF02E0"/>
    <w:rsid w:val="00AF2E4E"/>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CD675E"/>
    <w:rsid w:val="00D00427"/>
    <w:rsid w:val="00D02C4A"/>
    <w:rsid w:val="00D77363"/>
    <w:rsid w:val="00DF03C6"/>
    <w:rsid w:val="00DF7D5C"/>
    <w:rsid w:val="00E4646D"/>
    <w:rsid w:val="00E5089C"/>
    <w:rsid w:val="00E64A10"/>
    <w:rsid w:val="00E86DCD"/>
    <w:rsid w:val="00E94A1C"/>
    <w:rsid w:val="00EA2130"/>
    <w:rsid w:val="00EC4AF9"/>
    <w:rsid w:val="00ED7629"/>
    <w:rsid w:val="00EF11AE"/>
    <w:rsid w:val="00F03DF7"/>
    <w:rsid w:val="00F07FBE"/>
    <w:rsid w:val="00F24B46"/>
    <w:rsid w:val="00F4048D"/>
    <w:rsid w:val="00F41DE8"/>
    <w:rsid w:val="00F41FC6"/>
    <w:rsid w:val="00F61B69"/>
    <w:rsid w:val="00F63593"/>
    <w:rsid w:val="00F83261"/>
    <w:rsid w:val="00FA0ED7"/>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Body Text" w:qFormat="1"/>
    <w:lsdException w:name="Hyperlink" w:uiPriority="99"/>
    <w:lsdException w:name="Table Grid" w:uiPriority="59"/>
    <w:lsdException w:name="List Paragraph" w:uiPriority="34" w:qFormat="1"/>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CoMTOCtextChar">
    <w:name w:val="CoM_TOC text Char"/>
    <w:basedOn w:val="DefaultParagraphFont"/>
    <w:link w:val="CoMTOCtext"/>
    <w:locked/>
    <w:rsid w:val="004C2A1A"/>
    <w:rPr>
      <w:rFonts w:ascii="Arial" w:eastAsiaTheme="minorHAnsi" w:hAnsi="Arial" w:cs="Arial"/>
    </w:rPr>
  </w:style>
  <w:style w:type="paragraph" w:customStyle="1" w:styleId="CoMTOCtext">
    <w:name w:val="CoM_TOC text"/>
    <w:basedOn w:val="Normal"/>
    <w:link w:val="CoMTOCtextChar"/>
    <w:qFormat/>
    <w:rsid w:val="004C2A1A"/>
    <w:pPr>
      <w:tabs>
        <w:tab w:val="left" w:pos="567"/>
        <w:tab w:val="right" w:pos="9639"/>
      </w:tabs>
      <w:spacing w:after="60"/>
    </w:pPr>
    <w:rPr>
      <w:rFonts w:eastAsiaTheme="minorHAnsi" w:cs="Arial"/>
      <w:szCs w:val="20"/>
      <w:lang w:eastAsia="en-AU"/>
    </w:rPr>
  </w:style>
  <w:style w:type="character" w:customStyle="1" w:styleId="CoMHeading1Char">
    <w:name w:val="CoM_Heading1 Char"/>
    <w:basedOn w:val="DefaultParagraphFont"/>
    <w:link w:val="CoMHeading1"/>
    <w:locked/>
    <w:rsid w:val="004C2A1A"/>
    <w:rPr>
      <w:rFonts w:ascii="Arial" w:eastAsiaTheme="minorHAnsi" w:hAnsi="Arial" w:cs="Arial"/>
      <w:b/>
      <w:caps/>
      <w:color w:val="0A9A59"/>
      <w:sz w:val="32"/>
      <w:szCs w:val="32"/>
    </w:rPr>
  </w:style>
  <w:style w:type="paragraph" w:customStyle="1" w:styleId="CoMHeading1">
    <w:name w:val="CoM_Heading1"/>
    <w:link w:val="CoMHeading1Char"/>
    <w:qFormat/>
    <w:rsid w:val="004C2A1A"/>
    <w:pPr>
      <w:spacing w:before="500" w:after="300" w:line="276" w:lineRule="auto"/>
    </w:pPr>
    <w:rPr>
      <w:rFonts w:ascii="Arial" w:eastAsiaTheme="minorHAnsi" w:hAnsi="Arial" w:cs="Arial"/>
      <w:b/>
      <w:caps/>
      <w:color w:val="0A9A59"/>
      <w:sz w:val="32"/>
      <w:szCs w:val="32"/>
    </w:rPr>
  </w:style>
  <w:style w:type="paragraph" w:styleId="BodyText">
    <w:name w:val="Body Text"/>
    <w:basedOn w:val="Normal"/>
    <w:link w:val="BodyTextChar"/>
    <w:unhideWhenUsed/>
    <w:qFormat/>
    <w:rsid w:val="00711128"/>
    <w:pPr>
      <w:tabs>
        <w:tab w:val="left" w:pos="2268"/>
        <w:tab w:val="left" w:pos="4536"/>
        <w:tab w:val="left" w:pos="6804"/>
        <w:tab w:val="right" w:pos="9638"/>
      </w:tabs>
      <w:spacing w:before="200" w:line="288" w:lineRule="auto"/>
    </w:pPr>
    <w:rPr>
      <w:rFonts w:asciiTheme="minorHAnsi" w:eastAsia="Times New Roman" w:hAnsiTheme="minorHAnsi"/>
      <w:color w:val="000000" w:themeColor="text1"/>
      <w:szCs w:val="20"/>
      <w:lang w:eastAsia="en-AU"/>
    </w:rPr>
  </w:style>
  <w:style w:type="character" w:customStyle="1" w:styleId="BodyTextChar">
    <w:name w:val="Body Text Char"/>
    <w:basedOn w:val="DefaultParagraphFont"/>
    <w:link w:val="BodyText"/>
    <w:rsid w:val="00711128"/>
    <w:rPr>
      <w:rFonts w:asciiTheme="minorHAnsi" w:eastAsia="Times New Roman" w:hAnsiTheme="minorHAnsi"/>
      <w:color w:val="000000" w:themeColor="text1"/>
    </w:rPr>
  </w:style>
  <w:style w:type="character" w:customStyle="1" w:styleId="CoMHeading2Char">
    <w:name w:val="CoM_Heading2 Char"/>
    <w:basedOn w:val="DefaultParagraphFont"/>
    <w:link w:val="CoMHeading2"/>
    <w:locked/>
    <w:rsid w:val="002B23EB"/>
    <w:rPr>
      <w:rFonts w:ascii="Arial" w:eastAsiaTheme="minorHAnsi" w:hAnsi="Arial" w:cs="Arial"/>
      <w:b/>
      <w:color w:val="009FAC"/>
      <w:sz w:val="22"/>
      <w:szCs w:val="22"/>
    </w:rPr>
  </w:style>
  <w:style w:type="paragraph" w:customStyle="1" w:styleId="CoMHeading2">
    <w:name w:val="CoM_Heading2"/>
    <w:link w:val="CoMHeading2Char"/>
    <w:qFormat/>
    <w:rsid w:val="002B23EB"/>
    <w:pPr>
      <w:spacing w:before="200" w:after="100" w:line="276" w:lineRule="auto"/>
    </w:pPr>
    <w:rPr>
      <w:rFonts w:ascii="Arial" w:eastAsiaTheme="minorHAnsi" w:hAnsi="Arial" w:cs="Arial"/>
      <w:b/>
      <w:color w:val="009FAC"/>
      <w:sz w:val="22"/>
      <w:szCs w:val="22"/>
    </w:rPr>
  </w:style>
  <w:style w:type="table" w:customStyle="1" w:styleId="TableGrid1">
    <w:name w:val="Table Grid1"/>
    <w:basedOn w:val="TableNormal"/>
    <w:next w:val="TableGrid"/>
    <w:uiPriority w:val="59"/>
    <w:rsid w:val="002B23EB"/>
    <w:pPr>
      <w:spacing w:line="288" w:lineRule="auto"/>
      <w:ind w:left="28" w:right="113"/>
    </w:pPr>
    <w:rPr>
      <w:rFonts w:ascii="Arial" w:eastAsia="Times New Roman" w:hAnsi="Arial"/>
      <w:color w:val="000000"/>
      <w:sz w:val="18"/>
    </w:rPr>
    <w:tblPr>
      <w:tblInd w:w="0" w:type="nil"/>
      <w:tblBorders>
        <w:top w:val="single" w:sz="4" w:space="0" w:color="277BB4"/>
        <w:bottom w:val="single" w:sz="4" w:space="0" w:color="277BB4"/>
        <w:insideH w:val="single" w:sz="4" w:space="0" w:color="277BB4"/>
      </w:tblBorders>
      <w:tblCellMar>
        <w:top w:w="57" w:type="dxa"/>
        <w:left w:w="0" w:type="dxa"/>
        <w:bottom w:w="28" w:type="dxa"/>
        <w:right w:w="0" w:type="dxa"/>
      </w:tblCellMar>
    </w:tblPr>
    <w:tblStylePr w:type="firstRow">
      <w:pPr>
        <w:wordWrap/>
        <w:jc w:val="left"/>
      </w:pPr>
      <w:rPr>
        <w:b w:val="0"/>
        <w:color w:val="auto"/>
      </w:rPr>
      <w:tblPr/>
      <w:tcPr>
        <w:tcBorders>
          <w:top w:val="single" w:sz="4" w:space="0" w:color="277BB4"/>
          <w:left w:val="nil"/>
          <w:bottom w:val="single" w:sz="4" w:space="0" w:color="277BB4"/>
          <w:right w:val="nil"/>
          <w:insideH w:val="nil"/>
          <w:insideV w:val="nil"/>
          <w:tl2br w:val="nil"/>
          <w:tr2bl w:val="nil"/>
        </w:tcBorders>
        <w:vAlign w:val="both"/>
      </w:tcPr>
    </w:tblStylePr>
  </w:style>
  <w:style w:type="character" w:customStyle="1" w:styleId="definition">
    <w:name w:val="definition"/>
    <w:rsid w:val="00AF2E4E"/>
    <w:rPr>
      <w:shd w:val="clear" w:color="auto" w:fill="FFFFFF"/>
    </w:rPr>
  </w:style>
  <w:style w:type="paragraph" w:styleId="NormalWeb">
    <w:name w:val="Normal (Web)"/>
    <w:basedOn w:val="Normal"/>
    <w:unhideWhenUsed/>
    <w:rsid w:val="00AF2E4E"/>
    <w:pPr>
      <w:spacing w:before="100" w:beforeAutospacing="1" w:after="100" w:afterAutospacing="1" w:line="240" w:lineRule="auto"/>
    </w:pPr>
    <w:rPr>
      <w:rFonts w:asciiTheme="minorHAnsi" w:eastAsiaTheme="minorEastAsia" w:hAnsiTheme="minorHAnsi"/>
      <w:color w:val="000000" w:themeColor="text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Body Text" w:qFormat="1"/>
    <w:lsdException w:name="Hyperlink" w:uiPriority="99"/>
    <w:lsdException w:name="Table Grid" w:uiPriority="59"/>
    <w:lsdException w:name="List Paragraph" w:uiPriority="34" w:qFormat="1"/>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CoMTOCtextChar">
    <w:name w:val="CoM_TOC text Char"/>
    <w:basedOn w:val="DefaultParagraphFont"/>
    <w:link w:val="CoMTOCtext"/>
    <w:locked/>
    <w:rsid w:val="004C2A1A"/>
    <w:rPr>
      <w:rFonts w:ascii="Arial" w:eastAsiaTheme="minorHAnsi" w:hAnsi="Arial" w:cs="Arial"/>
    </w:rPr>
  </w:style>
  <w:style w:type="paragraph" w:customStyle="1" w:styleId="CoMTOCtext">
    <w:name w:val="CoM_TOC text"/>
    <w:basedOn w:val="Normal"/>
    <w:link w:val="CoMTOCtextChar"/>
    <w:qFormat/>
    <w:rsid w:val="004C2A1A"/>
    <w:pPr>
      <w:tabs>
        <w:tab w:val="left" w:pos="567"/>
        <w:tab w:val="right" w:pos="9639"/>
      </w:tabs>
      <w:spacing w:after="60"/>
    </w:pPr>
    <w:rPr>
      <w:rFonts w:eastAsiaTheme="minorHAnsi" w:cs="Arial"/>
      <w:szCs w:val="20"/>
      <w:lang w:eastAsia="en-AU"/>
    </w:rPr>
  </w:style>
  <w:style w:type="character" w:customStyle="1" w:styleId="CoMHeading1Char">
    <w:name w:val="CoM_Heading1 Char"/>
    <w:basedOn w:val="DefaultParagraphFont"/>
    <w:link w:val="CoMHeading1"/>
    <w:locked/>
    <w:rsid w:val="004C2A1A"/>
    <w:rPr>
      <w:rFonts w:ascii="Arial" w:eastAsiaTheme="minorHAnsi" w:hAnsi="Arial" w:cs="Arial"/>
      <w:b/>
      <w:caps/>
      <w:color w:val="0A9A59"/>
      <w:sz w:val="32"/>
      <w:szCs w:val="32"/>
    </w:rPr>
  </w:style>
  <w:style w:type="paragraph" w:customStyle="1" w:styleId="CoMHeading1">
    <w:name w:val="CoM_Heading1"/>
    <w:link w:val="CoMHeading1Char"/>
    <w:qFormat/>
    <w:rsid w:val="004C2A1A"/>
    <w:pPr>
      <w:spacing w:before="500" w:after="300" w:line="276" w:lineRule="auto"/>
    </w:pPr>
    <w:rPr>
      <w:rFonts w:ascii="Arial" w:eastAsiaTheme="minorHAnsi" w:hAnsi="Arial" w:cs="Arial"/>
      <w:b/>
      <w:caps/>
      <w:color w:val="0A9A59"/>
      <w:sz w:val="32"/>
      <w:szCs w:val="32"/>
    </w:rPr>
  </w:style>
  <w:style w:type="paragraph" w:styleId="BodyText">
    <w:name w:val="Body Text"/>
    <w:basedOn w:val="Normal"/>
    <w:link w:val="BodyTextChar"/>
    <w:unhideWhenUsed/>
    <w:qFormat/>
    <w:rsid w:val="00711128"/>
    <w:pPr>
      <w:tabs>
        <w:tab w:val="left" w:pos="2268"/>
        <w:tab w:val="left" w:pos="4536"/>
        <w:tab w:val="left" w:pos="6804"/>
        <w:tab w:val="right" w:pos="9638"/>
      </w:tabs>
      <w:spacing w:before="200" w:line="288" w:lineRule="auto"/>
    </w:pPr>
    <w:rPr>
      <w:rFonts w:asciiTheme="minorHAnsi" w:eastAsia="Times New Roman" w:hAnsiTheme="minorHAnsi"/>
      <w:color w:val="000000" w:themeColor="text1"/>
      <w:szCs w:val="20"/>
      <w:lang w:eastAsia="en-AU"/>
    </w:rPr>
  </w:style>
  <w:style w:type="character" w:customStyle="1" w:styleId="BodyTextChar">
    <w:name w:val="Body Text Char"/>
    <w:basedOn w:val="DefaultParagraphFont"/>
    <w:link w:val="BodyText"/>
    <w:rsid w:val="00711128"/>
    <w:rPr>
      <w:rFonts w:asciiTheme="minorHAnsi" w:eastAsia="Times New Roman" w:hAnsiTheme="minorHAnsi"/>
      <w:color w:val="000000" w:themeColor="text1"/>
    </w:rPr>
  </w:style>
  <w:style w:type="character" w:customStyle="1" w:styleId="CoMHeading2Char">
    <w:name w:val="CoM_Heading2 Char"/>
    <w:basedOn w:val="DefaultParagraphFont"/>
    <w:link w:val="CoMHeading2"/>
    <w:locked/>
    <w:rsid w:val="002B23EB"/>
    <w:rPr>
      <w:rFonts w:ascii="Arial" w:eastAsiaTheme="minorHAnsi" w:hAnsi="Arial" w:cs="Arial"/>
      <w:b/>
      <w:color w:val="009FAC"/>
      <w:sz w:val="22"/>
      <w:szCs w:val="22"/>
    </w:rPr>
  </w:style>
  <w:style w:type="paragraph" w:customStyle="1" w:styleId="CoMHeading2">
    <w:name w:val="CoM_Heading2"/>
    <w:link w:val="CoMHeading2Char"/>
    <w:qFormat/>
    <w:rsid w:val="002B23EB"/>
    <w:pPr>
      <w:spacing w:before="200" w:after="100" w:line="276" w:lineRule="auto"/>
    </w:pPr>
    <w:rPr>
      <w:rFonts w:ascii="Arial" w:eastAsiaTheme="minorHAnsi" w:hAnsi="Arial" w:cs="Arial"/>
      <w:b/>
      <w:color w:val="009FAC"/>
      <w:sz w:val="22"/>
      <w:szCs w:val="22"/>
    </w:rPr>
  </w:style>
  <w:style w:type="table" w:customStyle="1" w:styleId="TableGrid1">
    <w:name w:val="Table Grid1"/>
    <w:basedOn w:val="TableNormal"/>
    <w:next w:val="TableGrid"/>
    <w:uiPriority w:val="59"/>
    <w:rsid w:val="002B23EB"/>
    <w:pPr>
      <w:spacing w:line="288" w:lineRule="auto"/>
      <w:ind w:left="28" w:right="113"/>
    </w:pPr>
    <w:rPr>
      <w:rFonts w:ascii="Arial" w:eastAsia="Times New Roman" w:hAnsi="Arial"/>
      <w:color w:val="000000"/>
      <w:sz w:val="18"/>
    </w:rPr>
    <w:tblPr>
      <w:tblInd w:w="0" w:type="nil"/>
      <w:tblBorders>
        <w:top w:val="single" w:sz="4" w:space="0" w:color="277BB4"/>
        <w:bottom w:val="single" w:sz="4" w:space="0" w:color="277BB4"/>
        <w:insideH w:val="single" w:sz="4" w:space="0" w:color="277BB4"/>
      </w:tblBorders>
      <w:tblCellMar>
        <w:top w:w="57" w:type="dxa"/>
        <w:left w:w="0" w:type="dxa"/>
        <w:bottom w:w="28" w:type="dxa"/>
        <w:right w:w="0" w:type="dxa"/>
      </w:tblCellMar>
    </w:tblPr>
    <w:tblStylePr w:type="firstRow">
      <w:pPr>
        <w:wordWrap/>
        <w:jc w:val="left"/>
      </w:pPr>
      <w:rPr>
        <w:b w:val="0"/>
        <w:color w:val="auto"/>
      </w:rPr>
      <w:tblPr/>
      <w:tcPr>
        <w:tcBorders>
          <w:top w:val="single" w:sz="4" w:space="0" w:color="277BB4"/>
          <w:left w:val="nil"/>
          <w:bottom w:val="single" w:sz="4" w:space="0" w:color="277BB4"/>
          <w:right w:val="nil"/>
          <w:insideH w:val="nil"/>
          <w:insideV w:val="nil"/>
          <w:tl2br w:val="nil"/>
          <w:tr2bl w:val="nil"/>
        </w:tcBorders>
        <w:vAlign w:val="both"/>
      </w:tcPr>
    </w:tblStylePr>
  </w:style>
  <w:style w:type="character" w:customStyle="1" w:styleId="definition">
    <w:name w:val="definition"/>
    <w:rsid w:val="00AF2E4E"/>
    <w:rPr>
      <w:shd w:val="clear" w:color="auto" w:fill="FFFFFF"/>
    </w:rPr>
  </w:style>
  <w:style w:type="paragraph" w:styleId="NormalWeb">
    <w:name w:val="Normal (Web)"/>
    <w:basedOn w:val="Normal"/>
    <w:unhideWhenUsed/>
    <w:rsid w:val="00AF2E4E"/>
    <w:pPr>
      <w:spacing w:before="100" w:beforeAutospacing="1" w:after="100" w:afterAutospacing="1" w:line="240" w:lineRule="auto"/>
    </w:pPr>
    <w:rPr>
      <w:rFonts w:asciiTheme="minorHAnsi" w:eastAsiaTheme="minorEastAsia" w:hAnsiTheme="minorHAnsi"/>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1321">
      <w:bodyDiv w:val="1"/>
      <w:marLeft w:val="0"/>
      <w:marRight w:val="0"/>
      <w:marTop w:val="0"/>
      <w:marBottom w:val="0"/>
      <w:divBdr>
        <w:top w:val="none" w:sz="0" w:space="0" w:color="auto"/>
        <w:left w:val="none" w:sz="0" w:space="0" w:color="auto"/>
        <w:bottom w:val="none" w:sz="0" w:space="0" w:color="auto"/>
        <w:right w:val="none" w:sz="0" w:space="0" w:color="auto"/>
      </w:divBdr>
    </w:div>
    <w:div w:id="59914149">
      <w:bodyDiv w:val="1"/>
      <w:marLeft w:val="0"/>
      <w:marRight w:val="0"/>
      <w:marTop w:val="0"/>
      <w:marBottom w:val="0"/>
      <w:divBdr>
        <w:top w:val="none" w:sz="0" w:space="0" w:color="auto"/>
        <w:left w:val="none" w:sz="0" w:space="0" w:color="auto"/>
        <w:bottom w:val="none" w:sz="0" w:space="0" w:color="auto"/>
        <w:right w:val="none" w:sz="0" w:space="0" w:color="auto"/>
      </w:divBdr>
    </w:div>
    <w:div w:id="148907852">
      <w:bodyDiv w:val="1"/>
      <w:marLeft w:val="0"/>
      <w:marRight w:val="0"/>
      <w:marTop w:val="0"/>
      <w:marBottom w:val="0"/>
      <w:divBdr>
        <w:top w:val="none" w:sz="0" w:space="0" w:color="auto"/>
        <w:left w:val="none" w:sz="0" w:space="0" w:color="auto"/>
        <w:bottom w:val="none" w:sz="0" w:space="0" w:color="auto"/>
        <w:right w:val="none" w:sz="0" w:space="0" w:color="auto"/>
      </w:divBdr>
    </w:div>
    <w:div w:id="171536550">
      <w:bodyDiv w:val="1"/>
      <w:marLeft w:val="0"/>
      <w:marRight w:val="0"/>
      <w:marTop w:val="0"/>
      <w:marBottom w:val="0"/>
      <w:divBdr>
        <w:top w:val="none" w:sz="0" w:space="0" w:color="auto"/>
        <w:left w:val="none" w:sz="0" w:space="0" w:color="auto"/>
        <w:bottom w:val="none" w:sz="0" w:space="0" w:color="auto"/>
        <w:right w:val="none" w:sz="0" w:space="0" w:color="auto"/>
      </w:divBdr>
    </w:div>
    <w:div w:id="218251714">
      <w:bodyDiv w:val="1"/>
      <w:marLeft w:val="0"/>
      <w:marRight w:val="0"/>
      <w:marTop w:val="0"/>
      <w:marBottom w:val="0"/>
      <w:divBdr>
        <w:top w:val="none" w:sz="0" w:space="0" w:color="auto"/>
        <w:left w:val="none" w:sz="0" w:space="0" w:color="auto"/>
        <w:bottom w:val="none" w:sz="0" w:space="0" w:color="auto"/>
        <w:right w:val="none" w:sz="0" w:space="0" w:color="auto"/>
      </w:divBdr>
    </w:div>
    <w:div w:id="228150857">
      <w:bodyDiv w:val="1"/>
      <w:marLeft w:val="0"/>
      <w:marRight w:val="0"/>
      <w:marTop w:val="0"/>
      <w:marBottom w:val="0"/>
      <w:divBdr>
        <w:top w:val="none" w:sz="0" w:space="0" w:color="auto"/>
        <w:left w:val="none" w:sz="0" w:space="0" w:color="auto"/>
        <w:bottom w:val="none" w:sz="0" w:space="0" w:color="auto"/>
        <w:right w:val="none" w:sz="0" w:space="0" w:color="auto"/>
      </w:divBdr>
    </w:div>
    <w:div w:id="231160631">
      <w:bodyDiv w:val="1"/>
      <w:marLeft w:val="0"/>
      <w:marRight w:val="0"/>
      <w:marTop w:val="0"/>
      <w:marBottom w:val="0"/>
      <w:divBdr>
        <w:top w:val="none" w:sz="0" w:space="0" w:color="auto"/>
        <w:left w:val="none" w:sz="0" w:space="0" w:color="auto"/>
        <w:bottom w:val="none" w:sz="0" w:space="0" w:color="auto"/>
        <w:right w:val="none" w:sz="0" w:space="0" w:color="auto"/>
      </w:divBdr>
    </w:div>
    <w:div w:id="232086051">
      <w:bodyDiv w:val="1"/>
      <w:marLeft w:val="0"/>
      <w:marRight w:val="0"/>
      <w:marTop w:val="0"/>
      <w:marBottom w:val="0"/>
      <w:divBdr>
        <w:top w:val="none" w:sz="0" w:space="0" w:color="auto"/>
        <w:left w:val="none" w:sz="0" w:space="0" w:color="auto"/>
        <w:bottom w:val="none" w:sz="0" w:space="0" w:color="auto"/>
        <w:right w:val="none" w:sz="0" w:space="0" w:color="auto"/>
      </w:divBdr>
    </w:div>
    <w:div w:id="237516837">
      <w:bodyDiv w:val="1"/>
      <w:marLeft w:val="0"/>
      <w:marRight w:val="0"/>
      <w:marTop w:val="0"/>
      <w:marBottom w:val="0"/>
      <w:divBdr>
        <w:top w:val="none" w:sz="0" w:space="0" w:color="auto"/>
        <w:left w:val="none" w:sz="0" w:space="0" w:color="auto"/>
        <w:bottom w:val="none" w:sz="0" w:space="0" w:color="auto"/>
        <w:right w:val="none" w:sz="0" w:space="0" w:color="auto"/>
      </w:divBdr>
    </w:div>
    <w:div w:id="340667827">
      <w:bodyDiv w:val="1"/>
      <w:marLeft w:val="0"/>
      <w:marRight w:val="0"/>
      <w:marTop w:val="0"/>
      <w:marBottom w:val="0"/>
      <w:divBdr>
        <w:top w:val="none" w:sz="0" w:space="0" w:color="auto"/>
        <w:left w:val="none" w:sz="0" w:space="0" w:color="auto"/>
        <w:bottom w:val="none" w:sz="0" w:space="0" w:color="auto"/>
        <w:right w:val="none" w:sz="0" w:space="0" w:color="auto"/>
      </w:divBdr>
    </w:div>
    <w:div w:id="347946897">
      <w:bodyDiv w:val="1"/>
      <w:marLeft w:val="0"/>
      <w:marRight w:val="0"/>
      <w:marTop w:val="0"/>
      <w:marBottom w:val="0"/>
      <w:divBdr>
        <w:top w:val="none" w:sz="0" w:space="0" w:color="auto"/>
        <w:left w:val="none" w:sz="0" w:space="0" w:color="auto"/>
        <w:bottom w:val="none" w:sz="0" w:space="0" w:color="auto"/>
        <w:right w:val="none" w:sz="0" w:space="0" w:color="auto"/>
      </w:divBdr>
    </w:div>
    <w:div w:id="378556987">
      <w:bodyDiv w:val="1"/>
      <w:marLeft w:val="0"/>
      <w:marRight w:val="0"/>
      <w:marTop w:val="0"/>
      <w:marBottom w:val="0"/>
      <w:divBdr>
        <w:top w:val="none" w:sz="0" w:space="0" w:color="auto"/>
        <w:left w:val="none" w:sz="0" w:space="0" w:color="auto"/>
        <w:bottom w:val="none" w:sz="0" w:space="0" w:color="auto"/>
        <w:right w:val="none" w:sz="0" w:space="0" w:color="auto"/>
      </w:divBdr>
    </w:div>
    <w:div w:id="392196338">
      <w:bodyDiv w:val="1"/>
      <w:marLeft w:val="0"/>
      <w:marRight w:val="0"/>
      <w:marTop w:val="0"/>
      <w:marBottom w:val="0"/>
      <w:divBdr>
        <w:top w:val="none" w:sz="0" w:space="0" w:color="auto"/>
        <w:left w:val="none" w:sz="0" w:space="0" w:color="auto"/>
        <w:bottom w:val="none" w:sz="0" w:space="0" w:color="auto"/>
        <w:right w:val="none" w:sz="0" w:space="0" w:color="auto"/>
      </w:divBdr>
    </w:div>
    <w:div w:id="393821939">
      <w:bodyDiv w:val="1"/>
      <w:marLeft w:val="0"/>
      <w:marRight w:val="0"/>
      <w:marTop w:val="0"/>
      <w:marBottom w:val="0"/>
      <w:divBdr>
        <w:top w:val="none" w:sz="0" w:space="0" w:color="auto"/>
        <w:left w:val="none" w:sz="0" w:space="0" w:color="auto"/>
        <w:bottom w:val="none" w:sz="0" w:space="0" w:color="auto"/>
        <w:right w:val="none" w:sz="0" w:space="0" w:color="auto"/>
      </w:divBdr>
    </w:div>
    <w:div w:id="396972267">
      <w:bodyDiv w:val="1"/>
      <w:marLeft w:val="0"/>
      <w:marRight w:val="0"/>
      <w:marTop w:val="0"/>
      <w:marBottom w:val="0"/>
      <w:divBdr>
        <w:top w:val="none" w:sz="0" w:space="0" w:color="auto"/>
        <w:left w:val="none" w:sz="0" w:space="0" w:color="auto"/>
        <w:bottom w:val="none" w:sz="0" w:space="0" w:color="auto"/>
        <w:right w:val="none" w:sz="0" w:space="0" w:color="auto"/>
      </w:divBdr>
    </w:div>
    <w:div w:id="404455190">
      <w:bodyDiv w:val="1"/>
      <w:marLeft w:val="0"/>
      <w:marRight w:val="0"/>
      <w:marTop w:val="0"/>
      <w:marBottom w:val="0"/>
      <w:divBdr>
        <w:top w:val="none" w:sz="0" w:space="0" w:color="auto"/>
        <w:left w:val="none" w:sz="0" w:space="0" w:color="auto"/>
        <w:bottom w:val="none" w:sz="0" w:space="0" w:color="auto"/>
        <w:right w:val="none" w:sz="0" w:space="0" w:color="auto"/>
      </w:divBdr>
    </w:div>
    <w:div w:id="453182517">
      <w:bodyDiv w:val="1"/>
      <w:marLeft w:val="0"/>
      <w:marRight w:val="0"/>
      <w:marTop w:val="0"/>
      <w:marBottom w:val="0"/>
      <w:divBdr>
        <w:top w:val="none" w:sz="0" w:space="0" w:color="auto"/>
        <w:left w:val="none" w:sz="0" w:space="0" w:color="auto"/>
        <w:bottom w:val="none" w:sz="0" w:space="0" w:color="auto"/>
        <w:right w:val="none" w:sz="0" w:space="0" w:color="auto"/>
      </w:divBdr>
    </w:div>
    <w:div w:id="488248534">
      <w:bodyDiv w:val="1"/>
      <w:marLeft w:val="0"/>
      <w:marRight w:val="0"/>
      <w:marTop w:val="0"/>
      <w:marBottom w:val="0"/>
      <w:divBdr>
        <w:top w:val="none" w:sz="0" w:space="0" w:color="auto"/>
        <w:left w:val="none" w:sz="0" w:space="0" w:color="auto"/>
        <w:bottom w:val="none" w:sz="0" w:space="0" w:color="auto"/>
        <w:right w:val="none" w:sz="0" w:space="0" w:color="auto"/>
      </w:divBdr>
    </w:div>
    <w:div w:id="492720302">
      <w:bodyDiv w:val="1"/>
      <w:marLeft w:val="0"/>
      <w:marRight w:val="0"/>
      <w:marTop w:val="0"/>
      <w:marBottom w:val="0"/>
      <w:divBdr>
        <w:top w:val="none" w:sz="0" w:space="0" w:color="auto"/>
        <w:left w:val="none" w:sz="0" w:space="0" w:color="auto"/>
        <w:bottom w:val="none" w:sz="0" w:space="0" w:color="auto"/>
        <w:right w:val="none" w:sz="0" w:space="0" w:color="auto"/>
      </w:divBdr>
    </w:div>
    <w:div w:id="496504105">
      <w:bodyDiv w:val="1"/>
      <w:marLeft w:val="0"/>
      <w:marRight w:val="0"/>
      <w:marTop w:val="0"/>
      <w:marBottom w:val="0"/>
      <w:divBdr>
        <w:top w:val="none" w:sz="0" w:space="0" w:color="auto"/>
        <w:left w:val="none" w:sz="0" w:space="0" w:color="auto"/>
        <w:bottom w:val="none" w:sz="0" w:space="0" w:color="auto"/>
        <w:right w:val="none" w:sz="0" w:space="0" w:color="auto"/>
      </w:divBdr>
    </w:div>
    <w:div w:id="558635127">
      <w:bodyDiv w:val="1"/>
      <w:marLeft w:val="0"/>
      <w:marRight w:val="0"/>
      <w:marTop w:val="0"/>
      <w:marBottom w:val="0"/>
      <w:divBdr>
        <w:top w:val="none" w:sz="0" w:space="0" w:color="auto"/>
        <w:left w:val="none" w:sz="0" w:space="0" w:color="auto"/>
        <w:bottom w:val="none" w:sz="0" w:space="0" w:color="auto"/>
        <w:right w:val="none" w:sz="0" w:space="0" w:color="auto"/>
      </w:divBdr>
    </w:div>
    <w:div w:id="603730658">
      <w:bodyDiv w:val="1"/>
      <w:marLeft w:val="0"/>
      <w:marRight w:val="0"/>
      <w:marTop w:val="0"/>
      <w:marBottom w:val="0"/>
      <w:divBdr>
        <w:top w:val="none" w:sz="0" w:space="0" w:color="auto"/>
        <w:left w:val="none" w:sz="0" w:space="0" w:color="auto"/>
        <w:bottom w:val="none" w:sz="0" w:space="0" w:color="auto"/>
        <w:right w:val="none" w:sz="0" w:space="0" w:color="auto"/>
      </w:divBdr>
    </w:div>
    <w:div w:id="664893428">
      <w:bodyDiv w:val="1"/>
      <w:marLeft w:val="0"/>
      <w:marRight w:val="0"/>
      <w:marTop w:val="0"/>
      <w:marBottom w:val="0"/>
      <w:divBdr>
        <w:top w:val="none" w:sz="0" w:space="0" w:color="auto"/>
        <w:left w:val="none" w:sz="0" w:space="0" w:color="auto"/>
        <w:bottom w:val="none" w:sz="0" w:space="0" w:color="auto"/>
        <w:right w:val="none" w:sz="0" w:space="0" w:color="auto"/>
      </w:divBdr>
    </w:div>
    <w:div w:id="667102289">
      <w:bodyDiv w:val="1"/>
      <w:marLeft w:val="0"/>
      <w:marRight w:val="0"/>
      <w:marTop w:val="0"/>
      <w:marBottom w:val="0"/>
      <w:divBdr>
        <w:top w:val="none" w:sz="0" w:space="0" w:color="auto"/>
        <w:left w:val="none" w:sz="0" w:space="0" w:color="auto"/>
        <w:bottom w:val="none" w:sz="0" w:space="0" w:color="auto"/>
        <w:right w:val="none" w:sz="0" w:space="0" w:color="auto"/>
      </w:divBdr>
    </w:div>
    <w:div w:id="682704401">
      <w:bodyDiv w:val="1"/>
      <w:marLeft w:val="0"/>
      <w:marRight w:val="0"/>
      <w:marTop w:val="0"/>
      <w:marBottom w:val="0"/>
      <w:divBdr>
        <w:top w:val="none" w:sz="0" w:space="0" w:color="auto"/>
        <w:left w:val="none" w:sz="0" w:space="0" w:color="auto"/>
        <w:bottom w:val="none" w:sz="0" w:space="0" w:color="auto"/>
        <w:right w:val="none" w:sz="0" w:space="0" w:color="auto"/>
      </w:divBdr>
    </w:div>
    <w:div w:id="683285783">
      <w:bodyDiv w:val="1"/>
      <w:marLeft w:val="0"/>
      <w:marRight w:val="0"/>
      <w:marTop w:val="0"/>
      <w:marBottom w:val="0"/>
      <w:divBdr>
        <w:top w:val="none" w:sz="0" w:space="0" w:color="auto"/>
        <w:left w:val="none" w:sz="0" w:space="0" w:color="auto"/>
        <w:bottom w:val="none" w:sz="0" w:space="0" w:color="auto"/>
        <w:right w:val="none" w:sz="0" w:space="0" w:color="auto"/>
      </w:divBdr>
    </w:div>
    <w:div w:id="692417787">
      <w:bodyDiv w:val="1"/>
      <w:marLeft w:val="0"/>
      <w:marRight w:val="0"/>
      <w:marTop w:val="0"/>
      <w:marBottom w:val="0"/>
      <w:divBdr>
        <w:top w:val="none" w:sz="0" w:space="0" w:color="auto"/>
        <w:left w:val="none" w:sz="0" w:space="0" w:color="auto"/>
        <w:bottom w:val="none" w:sz="0" w:space="0" w:color="auto"/>
        <w:right w:val="none" w:sz="0" w:space="0" w:color="auto"/>
      </w:divBdr>
    </w:div>
    <w:div w:id="697464243">
      <w:bodyDiv w:val="1"/>
      <w:marLeft w:val="0"/>
      <w:marRight w:val="0"/>
      <w:marTop w:val="0"/>
      <w:marBottom w:val="0"/>
      <w:divBdr>
        <w:top w:val="none" w:sz="0" w:space="0" w:color="auto"/>
        <w:left w:val="none" w:sz="0" w:space="0" w:color="auto"/>
        <w:bottom w:val="none" w:sz="0" w:space="0" w:color="auto"/>
        <w:right w:val="none" w:sz="0" w:space="0" w:color="auto"/>
      </w:divBdr>
    </w:div>
    <w:div w:id="733436378">
      <w:bodyDiv w:val="1"/>
      <w:marLeft w:val="0"/>
      <w:marRight w:val="0"/>
      <w:marTop w:val="0"/>
      <w:marBottom w:val="0"/>
      <w:divBdr>
        <w:top w:val="none" w:sz="0" w:space="0" w:color="auto"/>
        <w:left w:val="none" w:sz="0" w:space="0" w:color="auto"/>
        <w:bottom w:val="none" w:sz="0" w:space="0" w:color="auto"/>
        <w:right w:val="none" w:sz="0" w:space="0" w:color="auto"/>
      </w:divBdr>
    </w:div>
    <w:div w:id="796949232">
      <w:bodyDiv w:val="1"/>
      <w:marLeft w:val="0"/>
      <w:marRight w:val="0"/>
      <w:marTop w:val="0"/>
      <w:marBottom w:val="0"/>
      <w:divBdr>
        <w:top w:val="none" w:sz="0" w:space="0" w:color="auto"/>
        <w:left w:val="none" w:sz="0" w:space="0" w:color="auto"/>
        <w:bottom w:val="none" w:sz="0" w:space="0" w:color="auto"/>
        <w:right w:val="none" w:sz="0" w:space="0" w:color="auto"/>
      </w:divBdr>
    </w:div>
    <w:div w:id="813181302">
      <w:bodyDiv w:val="1"/>
      <w:marLeft w:val="0"/>
      <w:marRight w:val="0"/>
      <w:marTop w:val="0"/>
      <w:marBottom w:val="0"/>
      <w:divBdr>
        <w:top w:val="none" w:sz="0" w:space="0" w:color="auto"/>
        <w:left w:val="none" w:sz="0" w:space="0" w:color="auto"/>
        <w:bottom w:val="none" w:sz="0" w:space="0" w:color="auto"/>
        <w:right w:val="none" w:sz="0" w:space="0" w:color="auto"/>
      </w:divBdr>
    </w:div>
    <w:div w:id="814105250">
      <w:bodyDiv w:val="1"/>
      <w:marLeft w:val="0"/>
      <w:marRight w:val="0"/>
      <w:marTop w:val="0"/>
      <w:marBottom w:val="0"/>
      <w:divBdr>
        <w:top w:val="none" w:sz="0" w:space="0" w:color="auto"/>
        <w:left w:val="none" w:sz="0" w:space="0" w:color="auto"/>
        <w:bottom w:val="none" w:sz="0" w:space="0" w:color="auto"/>
        <w:right w:val="none" w:sz="0" w:space="0" w:color="auto"/>
      </w:divBdr>
    </w:div>
    <w:div w:id="816997973">
      <w:bodyDiv w:val="1"/>
      <w:marLeft w:val="0"/>
      <w:marRight w:val="0"/>
      <w:marTop w:val="0"/>
      <w:marBottom w:val="0"/>
      <w:divBdr>
        <w:top w:val="none" w:sz="0" w:space="0" w:color="auto"/>
        <w:left w:val="none" w:sz="0" w:space="0" w:color="auto"/>
        <w:bottom w:val="none" w:sz="0" w:space="0" w:color="auto"/>
        <w:right w:val="none" w:sz="0" w:space="0" w:color="auto"/>
      </w:divBdr>
    </w:div>
    <w:div w:id="871042741">
      <w:bodyDiv w:val="1"/>
      <w:marLeft w:val="0"/>
      <w:marRight w:val="0"/>
      <w:marTop w:val="0"/>
      <w:marBottom w:val="0"/>
      <w:divBdr>
        <w:top w:val="none" w:sz="0" w:space="0" w:color="auto"/>
        <w:left w:val="none" w:sz="0" w:space="0" w:color="auto"/>
        <w:bottom w:val="none" w:sz="0" w:space="0" w:color="auto"/>
        <w:right w:val="none" w:sz="0" w:space="0" w:color="auto"/>
      </w:divBdr>
    </w:div>
    <w:div w:id="876544087">
      <w:bodyDiv w:val="1"/>
      <w:marLeft w:val="0"/>
      <w:marRight w:val="0"/>
      <w:marTop w:val="0"/>
      <w:marBottom w:val="0"/>
      <w:divBdr>
        <w:top w:val="none" w:sz="0" w:space="0" w:color="auto"/>
        <w:left w:val="none" w:sz="0" w:space="0" w:color="auto"/>
        <w:bottom w:val="none" w:sz="0" w:space="0" w:color="auto"/>
        <w:right w:val="none" w:sz="0" w:space="0" w:color="auto"/>
      </w:divBdr>
    </w:div>
    <w:div w:id="884829048">
      <w:bodyDiv w:val="1"/>
      <w:marLeft w:val="0"/>
      <w:marRight w:val="0"/>
      <w:marTop w:val="0"/>
      <w:marBottom w:val="0"/>
      <w:divBdr>
        <w:top w:val="none" w:sz="0" w:space="0" w:color="auto"/>
        <w:left w:val="none" w:sz="0" w:space="0" w:color="auto"/>
        <w:bottom w:val="none" w:sz="0" w:space="0" w:color="auto"/>
        <w:right w:val="none" w:sz="0" w:space="0" w:color="auto"/>
      </w:divBdr>
    </w:div>
    <w:div w:id="891305386">
      <w:bodyDiv w:val="1"/>
      <w:marLeft w:val="0"/>
      <w:marRight w:val="0"/>
      <w:marTop w:val="0"/>
      <w:marBottom w:val="0"/>
      <w:divBdr>
        <w:top w:val="none" w:sz="0" w:space="0" w:color="auto"/>
        <w:left w:val="none" w:sz="0" w:space="0" w:color="auto"/>
        <w:bottom w:val="none" w:sz="0" w:space="0" w:color="auto"/>
        <w:right w:val="none" w:sz="0" w:space="0" w:color="auto"/>
      </w:divBdr>
    </w:div>
    <w:div w:id="983267637">
      <w:bodyDiv w:val="1"/>
      <w:marLeft w:val="0"/>
      <w:marRight w:val="0"/>
      <w:marTop w:val="0"/>
      <w:marBottom w:val="0"/>
      <w:divBdr>
        <w:top w:val="none" w:sz="0" w:space="0" w:color="auto"/>
        <w:left w:val="none" w:sz="0" w:space="0" w:color="auto"/>
        <w:bottom w:val="none" w:sz="0" w:space="0" w:color="auto"/>
        <w:right w:val="none" w:sz="0" w:space="0" w:color="auto"/>
      </w:divBdr>
    </w:div>
    <w:div w:id="986008209">
      <w:bodyDiv w:val="1"/>
      <w:marLeft w:val="0"/>
      <w:marRight w:val="0"/>
      <w:marTop w:val="0"/>
      <w:marBottom w:val="0"/>
      <w:divBdr>
        <w:top w:val="none" w:sz="0" w:space="0" w:color="auto"/>
        <w:left w:val="none" w:sz="0" w:space="0" w:color="auto"/>
        <w:bottom w:val="none" w:sz="0" w:space="0" w:color="auto"/>
        <w:right w:val="none" w:sz="0" w:space="0" w:color="auto"/>
      </w:divBdr>
    </w:div>
    <w:div w:id="1007713174">
      <w:bodyDiv w:val="1"/>
      <w:marLeft w:val="0"/>
      <w:marRight w:val="0"/>
      <w:marTop w:val="0"/>
      <w:marBottom w:val="0"/>
      <w:divBdr>
        <w:top w:val="none" w:sz="0" w:space="0" w:color="auto"/>
        <w:left w:val="none" w:sz="0" w:space="0" w:color="auto"/>
        <w:bottom w:val="none" w:sz="0" w:space="0" w:color="auto"/>
        <w:right w:val="none" w:sz="0" w:space="0" w:color="auto"/>
      </w:divBdr>
    </w:div>
    <w:div w:id="1018846919">
      <w:bodyDiv w:val="1"/>
      <w:marLeft w:val="0"/>
      <w:marRight w:val="0"/>
      <w:marTop w:val="0"/>
      <w:marBottom w:val="0"/>
      <w:divBdr>
        <w:top w:val="none" w:sz="0" w:space="0" w:color="auto"/>
        <w:left w:val="none" w:sz="0" w:space="0" w:color="auto"/>
        <w:bottom w:val="none" w:sz="0" w:space="0" w:color="auto"/>
        <w:right w:val="none" w:sz="0" w:space="0" w:color="auto"/>
      </w:divBdr>
    </w:div>
    <w:div w:id="1073965646">
      <w:bodyDiv w:val="1"/>
      <w:marLeft w:val="0"/>
      <w:marRight w:val="0"/>
      <w:marTop w:val="0"/>
      <w:marBottom w:val="0"/>
      <w:divBdr>
        <w:top w:val="none" w:sz="0" w:space="0" w:color="auto"/>
        <w:left w:val="none" w:sz="0" w:space="0" w:color="auto"/>
        <w:bottom w:val="none" w:sz="0" w:space="0" w:color="auto"/>
        <w:right w:val="none" w:sz="0" w:space="0" w:color="auto"/>
      </w:divBdr>
    </w:div>
    <w:div w:id="1105610843">
      <w:bodyDiv w:val="1"/>
      <w:marLeft w:val="0"/>
      <w:marRight w:val="0"/>
      <w:marTop w:val="0"/>
      <w:marBottom w:val="0"/>
      <w:divBdr>
        <w:top w:val="none" w:sz="0" w:space="0" w:color="auto"/>
        <w:left w:val="none" w:sz="0" w:space="0" w:color="auto"/>
        <w:bottom w:val="none" w:sz="0" w:space="0" w:color="auto"/>
        <w:right w:val="none" w:sz="0" w:space="0" w:color="auto"/>
      </w:divBdr>
    </w:div>
    <w:div w:id="1115444426">
      <w:bodyDiv w:val="1"/>
      <w:marLeft w:val="0"/>
      <w:marRight w:val="0"/>
      <w:marTop w:val="0"/>
      <w:marBottom w:val="0"/>
      <w:divBdr>
        <w:top w:val="none" w:sz="0" w:space="0" w:color="auto"/>
        <w:left w:val="none" w:sz="0" w:space="0" w:color="auto"/>
        <w:bottom w:val="none" w:sz="0" w:space="0" w:color="auto"/>
        <w:right w:val="none" w:sz="0" w:space="0" w:color="auto"/>
      </w:divBdr>
    </w:div>
    <w:div w:id="1124541968">
      <w:bodyDiv w:val="1"/>
      <w:marLeft w:val="0"/>
      <w:marRight w:val="0"/>
      <w:marTop w:val="0"/>
      <w:marBottom w:val="0"/>
      <w:divBdr>
        <w:top w:val="none" w:sz="0" w:space="0" w:color="auto"/>
        <w:left w:val="none" w:sz="0" w:space="0" w:color="auto"/>
        <w:bottom w:val="none" w:sz="0" w:space="0" w:color="auto"/>
        <w:right w:val="none" w:sz="0" w:space="0" w:color="auto"/>
      </w:divBdr>
    </w:div>
    <w:div w:id="1125201950">
      <w:bodyDiv w:val="1"/>
      <w:marLeft w:val="0"/>
      <w:marRight w:val="0"/>
      <w:marTop w:val="0"/>
      <w:marBottom w:val="0"/>
      <w:divBdr>
        <w:top w:val="none" w:sz="0" w:space="0" w:color="auto"/>
        <w:left w:val="none" w:sz="0" w:space="0" w:color="auto"/>
        <w:bottom w:val="none" w:sz="0" w:space="0" w:color="auto"/>
        <w:right w:val="none" w:sz="0" w:space="0" w:color="auto"/>
      </w:divBdr>
    </w:div>
    <w:div w:id="1230769693">
      <w:bodyDiv w:val="1"/>
      <w:marLeft w:val="0"/>
      <w:marRight w:val="0"/>
      <w:marTop w:val="0"/>
      <w:marBottom w:val="0"/>
      <w:divBdr>
        <w:top w:val="none" w:sz="0" w:space="0" w:color="auto"/>
        <w:left w:val="none" w:sz="0" w:space="0" w:color="auto"/>
        <w:bottom w:val="none" w:sz="0" w:space="0" w:color="auto"/>
        <w:right w:val="none" w:sz="0" w:space="0" w:color="auto"/>
      </w:divBdr>
    </w:div>
    <w:div w:id="1259022130">
      <w:bodyDiv w:val="1"/>
      <w:marLeft w:val="0"/>
      <w:marRight w:val="0"/>
      <w:marTop w:val="0"/>
      <w:marBottom w:val="0"/>
      <w:divBdr>
        <w:top w:val="none" w:sz="0" w:space="0" w:color="auto"/>
        <w:left w:val="none" w:sz="0" w:space="0" w:color="auto"/>
        <w:bottom w:val="none" w:sz="0" w:space="0" w:color="auto"/>
        <w:right w:val="none" w:sz="0" w:space="0" w:color="auto"/>
      </w:divBdr>
    </w:div>
    <w:div w:id="1283658249">
      <w:bodyDiv w:val="1"/>
      <w:marLeft w:val="0"/>
      <w:marRight w:val="0"/>
      <w:marTop w:val="0"/>
      <w:marBottom w:val="0"/>
      <w:divBdr>
        <w:top w:val="none" w:sz="0" w:space="0" w:color="auto"/>
        <w:left w:val="none" w:sz="0" w:space="0" w:color="auto"/>
        <w:bottom w:val="none" w:sz="0" w:space="0" w:color="auto"/>
        <w:right w:val="none" w:sz="0" w:space="0" w:color="auto"/>
      </w:divBdr>
    </w:div>
    <w:div w:id="1292174427">
      <w:bodyDiv w:val="1"/>
      <w:marLeft w:val="0"/>
      <w:marRight w:val="0"/>
      <w:marTop w:val="0"/>
      <w:marBottom w:val="0"/>
      <w:divBdr>
        <w:top w:val="none" w:sz="0" w:space="0" w:color="auto"/>
        <w:left w:val="none" w:sz="0" w:space="0" w:color="auto"/>
        <w:bottom w:val="none" w:sz="0" w:space="0" w:color="auto"/>
        <w:right w:val="none" w:sz="0" w:space="0" w:color="auto"/>
      </w:divBdr>
    </w:div>
    <w:div w:id="1306395496">
      <w:bodyDiv w:val="1"/>
      <w:marLeft w:val="0"/>
      <w:marRight w:val="0"/>
      <w:marTop w:val="0"/>
      <w:marBottom w:val="0"/>
      <w:divBdr>
        <w:top w:val="none" w:sz="0" w:space="0" w:color="auto"/>
        <w:left w:val="none" w:sz="0" w:space="0" w:color="auto"/>
        <w:bottom w:val="none" w:sz="0" w:space="0" w:color="auto"/>
        <w:right w:val="none" w:sz="0" w:space="0" w:color="auto"/>
      </w:divBdr>
    </w:div>
    <w:div w:id="1312323808">
      <w:bodyDiv w:val="1"/>
      <w:marLeft w:val="0"/>
      <w:marRight w:val="0"/>
      <w:marTop w:val="0"/>
      <w:marBottom w:val="0"/>
      <w:divBdr>
        <w:top w:val="none" w:sz="0" w:space="0" w:color="auto"/>
        <w:left w:val="none" w:sz="0" w:space="0" w:color="auto"/>
        <w:bottom w:val="none" w:sz="0" w:space="0" w:color="auto"/>
        <w:right w:val="none" w:sz="0" w:space="0" w:color="auto"/>
      </w:divBdr>
    </w:div>
    <w:div w:id="1323003219">
      <w:bodyDiv w:val="1"/>
      <w:marLeft w:val="0"/>
      <w:marRight w:val="0"/>
      <w:marTop w:val="0"/>
      <w:marBottom w:val="0"/>
      <w:divBdr>
        <w:top w:val="none" w:sz="0" w:space="0" w:color="auto"/>
        <w:left w:val="none" w:sz="0" w:space="0" w:color="auto"/>
        <w:bottom w:val="none" w:sz="0" w:space="0" w:color="auto"/>
        <w:right w:val="none" w:sz="0" w:space="0" w:color="auto"/>
      </w:divBdr>
    </w:div>
    <w:div w:id="1411541027">
      <w:bodyDiv w:val="1"/>
      <w:marLeft w:val="0"/>
      <w:marRight w:val="0"/>
      <w:marTop w:val="0"/>
      <w:marBottom w:val="0"/>
      <w:divBdr>
        <w:top w:val="none" w:sz="0" w:space="0" w:color="auto"/>
        <w:left w:val="none" w:sz="0" w:space="0" w:color="auto"/>
        <w:bottom w:val="none" w:sz="0" w:space="0" w:color="auto"/>
        <w:right w:val="none" w:sz="0" w:space="0" w:color="auto"/>
      </w:divBdr>
    </w:div>
    <w:div w:id="1431122765">
      <w:bodyDiv w:val="1"/>
      <w:marLeft w:val="0"/>
      <w:marRight w:val="0"/>
      <w:marTop w:val="0"/>
      <w:marBottom w:val="0"/>
      <w:divBdr>
        <w:top w:val="none" w:sz="0" w:space="0" w:color="auto"/>
        <w:left w:val="none" w:sz="0" w:space="0" w:color="auto"/>
        <w:bottom w:val="none" w:sz="0" w:space="0" w:color="auto"/>
        <w:right w:val="none" w:sz="0" w:space="0" w:color="auto"/>
      </w:divBdr>
    </w:div>
    <w:div w:id="1485581093">
      <w:bodyDiv w:val="1"/>
      <w:marLeft w:val="0"/>
      <w:marRight w:val="0"/>
      <w:marTop w:val="0"/>
      <w:marBottom w:val="0"/>
      <w:divBdr>
        <w:top w:val="none" w:sz="0" w:space="0" w:color="auto"/>
        <w:left w:val="none" w:sz="0" w:space="0" w:color="auto"/>
        <w:bottom w:val="none" w:sz="0" w:space="0" w:color="auto"/>
        <w:right w:val="none" w:sz="0" w:space="0" w:color="auto"/>
      </w:divBdr>
    </w:div>
    <w:div w:id="1501770727">
      <w:bodyDiv w:val="1"/>
      <w:marLeft w:val="0"/>
      <w:marRight w:val="0"/>
      <w:marTop w:val="0"/>
      <w:marBottom w:val="0"/>
      <w:divBdr>
        <w:top w:val="none" w:sz="0" w:space="0" w:color="auto"/>
        <w:left w:val="none" w:sz="0" w:space="0" w:color="auto"/>
        <w:bottom w:val="none" w:sz="0" w:space="0" w:color="auto"/>
        <w:right w:val="none" w:sz="0" w:space="0" w:color="auto"/>
      </w:divBdr>
    </w:div>
    <w:div w:id="1536501074">
      <w:bodyDiv w:val="1"/>
      <w:marLeft w:val="0"/>
      <w:marRight w:val="0"/>
      <w:marTop w:val="0"/>
      <w:marBottom w:val="0"/>
      <w:divBdr>
        <w:top w:val="none" w:sz="0" w:space="0" w:color="auto"/>
        <w:left w:val="none" w:sz="0" w:space="0" w:color="auto"/>
        <w:bottom w:val="none" w:sz="0" w:space="0" w:color="auto"/>
        <w:right w:val="none" w:sz="0" w:space="0" w:color="auto"/>
      </w:divBdr>
    </w:div>
    <w:div w:id="1565724536">
      <w:bodyDiv w:val="1"/>
      <w:marLeft w:val="0"/>
      <w:marRight w:val="0"/>
      <w:marTop w:val="0"/>
      <w:marBottom w:val="0"/>
      <w:divBdr>
        <w:top w:val="none" w:sz="0" w:space="0" w:color="auto"/>
        <w:left w:val="none" w:sz="0" w:space="0" w:color="auto"/>
        <w:bottom w:val="none" w:sz="0" w:space="0" w:color="auto"/>
        <w:right w:val="none" w:sz="0" w:space="0" w:color="auto"/>
      </w:divBdr>
    </w:div>
    <w:div w:id="1579947584">
      <w:bodyDiv w:val="1"/>
      <w:marLeft w:val="0"/>
      <w:marRight w:val="0"/>
      <w:marTop w:val="0"/>
      <w:marBottom w:val="0"/>
      <w:divBdr>
        <w:top w:val="none" w:sz="0" w:space="0" w:color="auto"/>
        <w:left w:val="none" w:sz="0" w:space="0" w:color="auto"/>
        <w:bottom w:val="none" w:sz="0" w:space="0" w:color="auto"/>
        <w:right w:val="none" w:sz="0" w:space="0" w:color="auto"/>
      </w:divBdr>
    </w:div>
    <w:div w:id="1622297728">
      <w:bodyDiv w:val="1"/>
      <w:marLeft w:val="0"/>
      <w:marRight w:val="0"/>
      <w:marTop w:val="0"/>
      <w:marBottom w:val="0"/>
      <w:divBdr>
        <w:top w:val="none" w:sz="0" w:space="0" w:color="auto"/>
        <w:left w:val="none" w:sz="0" w:space="0" w:color="auto"/>
        <w:bottom w:val="none" w:sz="0" w:space="0" w:color="auto"/>
        <w:right w:val="none" w:sz="0" w:space="0" w:color="auto"/>
      </w:divBdr>
    </w:div>
    <w:div w:id="1653292521">
      <w:bodyDiv w:val="1"/>
      <w:marLeft w:val="0"/>
      <w:marRight w:val="0"/>
      <w:marTop w:val="0"/>
      <w:marBottom w:val="0"/>
      <w:divBdr>
        <w:top w:val="none" w:sz="0" w:space="0" w:color="auto"/>
        <w:left w:val="none" w:sz="0" w:space="0" w:color="auto"/>
        <w:bottom w:val="none" w:sz="0" w:space="0" w:color="auto"/>
        <w:right w:val="none" w:sz="0" w:space="0" w:color="auto"/>
      </w:divBdr>
    </w:div>
    <w:div w:id="1702198069">
      <w:bodyDiv w:val="1"/>
      <w:marLeft w:val="0"/>
      <w:marRight w:val="0"/>
      <w:marTop w:val="0"/>
      <w:marBottom w:val="0"/>
      <w:divBdr>
        <w:top w:val="none" w:sz="0" w:space="0" w:color="auto"/>
        <w:left w:val="none" w:sz="0" w:space="0" w:color="auto"/>
        <w:bottom w:val="none" w:sz="0" w:space="0" w:color="auto"/>
        <w:right w:val="none" w:sz="0" w:space="0" w:color="auto"/>
      </w:divBdr>
    </w:div>
    <w:div w:id="1711153242">
      <w:bodyDiv w:val="1"/>
      <w:marLeft w:val="0"/>
      <w:marRight w:val="0"/>
      <w:marTop w:val="0"/>
      <w:marBottom w:val="0"/>
      <w:divBdr>
        <w:top w:val="none" w:sz="0" w:space="0" w:color="auto"/>
        <w:left w:val="none" w:sz="0" w:space="0" w:color="auto"/>
        <w:bottom w:val="none" w:sz="0" w:space="0" w:color="auto"/>
        <w:right w:val="none" w:sz="0" w:space="0" w:color="auto"/>
      </w:divBdr>
    </w:div>
    <w:div w:id="1730110469">
      <w:bodyDiv w:val="1"/>
      <w:marLeft w:val="0"/>
      <w:marRight w:val="0"/>
      <w:marTop w:val="0"/>
      <w:marBottom w:val="0"/>
      <w:divBdr>
        <w:top w:val="none" w:sz="0" w:space="0" w:color="auto"/>
        <w:left w:val="none" w:sz="0" w:space="0" w:color="auto"/>
        <w:bottom w:val="none" w:sz="0" w:space="0" w:color="auto"/>
        <w:right w:val="none" w:sz="0" w:space="0" w:color="auto"/>
      </w:divBdr>
    </w:div>
    <w:div w:id="1784962917">
      <w:bodyDiv w:val="1"/>
      <w:marLeft w:val="0"/>
      <w:marRight w:val="0"/>
      <w:marTop w:val="0"/>
      <w:marBottom w:val="0"/>
      <w:divBdr>
        <w:top w:val="none" w:sz="0" w:space="0" w:color="auto"/>
        <w:left w:val="none" w:sz="0" w:space="0" w:color="auto"/>
        <w:bottom w:val="none" w:sz="0" w:space="0" w:color="auto"/>
        <w:right w:val="none" w:sz="0" w:space="0" w:color="auto"/>
      </w:divBdr>
    </w:div>
    <w:div w:id="1787045108">
      <w:bodyDiv w:val="1"/>
      <w:marLeft w:val="0"/>
      <w:marRight w:val="0"/>
      <w:marTop w:val="0"/>
      <w:marBottom w:val="0"/>
      <w:divBdr>
        <w:top w:val="none" w:sz="0" w:space="0" w:color="auto"/>
        <w:left w:val="none" w:sz="0" w:space="0" w:color="auto"/>
        <w:bottom w:val="none" w:sz="0" w:space="0" w:color="auto"/>
        <w:right w:val="none" w:sz="0" w:space="0" w:color="auto"/>
      </w:divBdr>
    </w:div>
    <w:div w:id="1787045844">
      <w:bodyDiv w:val="1"/>
      <w:marLeft w:val="0"/>
      <w:marRight w:val="0"/>
      <w:marTop w:val="0"/>
      <w:marBottom w:val="0"/>
      <w:divBdr>
        <w:top w:val="none" w:sz="0" w:space="0" w:color="auto"/>
        <w:left w:val="none" w:sz="0" w:space="0" w:color="auto"/>
        <w:bottom w:val="none" w:sz="0" w:space="0" w:color="auto"/>
        <w:right w:val="none" w:sz="0" w:space="0" w:color="auto"/>
      </w:divBdr>
    </w:div>
    <w:div w:id="1804500027">
      <w:bodyDiv w:val="1"/>
      <w:marLeft w:val="0"/>
      <w:marRight w:val="0"/>
      <w:marTop w:val="0"/>
      <w:marBottom w:val="0"/>
      <w:divBdr>
        <w:top w:val="none" w:sz="0" w:space="0" w:color="auto"/>
        <w:left w:val="none" w:sz="0" w:space="0" w:color="auto"/>
        <w:bottom w:val="none" w:sz="0" w:space="0" w:color="auto"/>
        <w:right w:val="none" w:sz="0" w:space="0" w:color="auto"/>
      </w:divBdr>
    </w:div>
    <w:div w:id="1841046142">
      <w:bodyDiv w:val="1"/>
      <w:marLeft w:val="0"/>
      <w:marRight w:val="0"/>
      <w:marTop w:val="0"/>
      <w:marBottom w:val="0"/>
      <w:divBdr>
        <w:top w:val="none" w:sz="0" w:space="0" w:color="auto"/>
        <w:left w:val="none" w:sz="0" w:space="0" w:color="auto"/>
        <w:bottom w:val="none" w:sz="0" w:space="0" w:color="auto"/>
        <w:right w:val="none" w:sz="0" w:space="0" w:color="auto"/>
      </w:divBdr>
    </w:div>
    <w:div w:id="1866366046">
      <w:bodyDiv w:val="1"/>
      <w:marLeft w:val="0"/>
      <w:marRight w:val="0"/>
      <w:marTop w:val="0"/>
      <w:marBottom w:val="0"/>
      <w:divBdr>
        <w:top w:val="none" w:sz="0" w:space="0" w:color="auto"/>
        <w:left w:val="none" w:sz="0" w:space="0" w:color="auto"/>
        <w:bottom w:val="none" w:sz="0" w:space="0" w:color="auto"/>
        <w:right w:val="none" w:sz="0" w:space="0" w:color="auto"/>
      </w:divBdr>
    </w:div>
    <w:div w:id="1896238237">
      <w:bodyDiv w:val="1"/>
      <w:marLeft w:val="0"/>
      <w:marRight w:val="0"/>
      <w:marTop w:val="0"/>
      <w:marBottom w:val="0"/>
      <w:divBdr>
        <w:top w:val="none" w:sz="0" w:space="0" w:color="auto"/>
        <w:left w:val="none" w:sz="0" w:space="0" w:color="auto"/>
        <w:bottom w:val="none" w:sz="0" w:space="0" w:color="auto"/>
        <w:right w:val="none" w:sz="0" w:space="0" w:color="auto"/>
      </w:divBdr>
    </w:div>
    <w:div w:id="1903786551">
      <w:bodyDiv w:val="1"/>
      <w:marLeft w:val="0"/>
      <w:marRight w:val="0"/>
      <w:marTop w:val="0"/>
      <w:marBottom w:val="0"/>
      <w:divBdr>
        <w:top w:val="none" w:sz="0" w:space="0" w:color="auto"/>
        <w:left w:val="none" w:sz="0" w:space="0" w:color="auto"/>
        <w:bottom w:val="none" w:sz="0" w:space="0" w:color="auto"/>
        <w:right w:val="none" w:sz="0" w:space="0" w:color="auto"/>
      </w:divBdr>
    </w:div>
    <w:div w:id="1908148132">
      <w:bodyDiv w:val="1"/>
      <w:marLeft w:val="0"/>
      <w:marRight w:val="0"/>
      <w:marTop w:val="0"/>
      <w:marBottom w:val="0"/>
      <w:divBdr>
        <w:top w:val="none" w:sz="0" w:space="0" w:color="auto"/>
        <w:left w:val="none" w:sz="0" w:space="0" w:color="auto"/>
        <w:bottom w:val="none" w:sz="0" w:space="0" w:color="auto"/>
        <w:right w:val="none" w:sz="0" w:space="0" w:color="auto"/>
      </w:divBdr>
    </w:div>
    <w:div w:id="1915503253">
      <w:bodyDiv w:val="1"/>
      <w:marLeft w:val="0"/>
      <w:marRight w:val="0"/>
      <w:marTop w:val="0"/>
      <w:marBottom w:val="0"/>
      <w:divBdr>
        <w:top w:val="none" w:sz="0" w:space="0" w:color="auto"/>
        <w:left w:val="none" w:sz="0" w:space="0" w:color="auto"/>
        <w:bottom w:val="none" w:sz="0" w:space="0" w:color="auto"/>
        <w:right w:val="none" w:sz="0" w:space="0" w:color="auto"/>
      </w:divBdr>
    </w:div>
    <w:div w:id="1940945970">
      <w:bodyDiv w:val="1"/>
      <w:marLeft w:val="0"/>
      <w:marRight w:val="0"/>
      <w:marTop w:val="0"/>
      <w:marBottom w:val="0"/>
      <w:divBdr>
        <w:top w:val="none" w:sz="0" w:space="0" w:color="auto"/>
        <w:left w:val="none" w:sz="0" w:space="0" w:color="auto"/>
        <w:bottom w:val="none" w:sz="0" w:space="0" w:color="auto"/>
        <w:right w:val="none" w:sz="0" w:space="0" w:color="auto"/>
      </w:divBdr>
    </w:div>
    <w:div w:id="1944796307">
      <w:bodyDiv w:val="1"/>
      <w:marLeft w:val="0"/>
      <w:marRight w:val="0"/>
      <w:marTop w:val="0"/>
      <w:marBottom w:val="0"/>
      <w:divBdr>
        <w:top w:val="none" w:sz="0" w:space="0" w:color="auto"/>
        <w:left w:val="none" w:sz="0" w:space="0" w:color="auto"/>
        <w:bottom w:val="none" w:sz="0" w:space="0" w:color="auto"/>
        <w:right w:val="none" w:sz="0" w:space="0" w:color="auto"/>
      </w:divBdr>
    </w:div>
    <w:div w:id="1946376283">
      <w:bodyDiv w:val="1"/>
      <w:marLeft w:val="0"/>
      <w:marRight w:val="0"/>
      <w:marTop w:val="0"/>
      <w:marBottom w:val="0"/>
      <w:divBdr>
        <w:top w:val="none" w:sz="0" w:space="0" w:color="auto"/>
        <w:left w:val="none" w:sz="0" w:space="0" w:color="auto"/>
        <w:bottom w:val="none" w:sz="0" w:space="0" w:color="auto"/>
        <w:right w:val="none" w:sz="0" w:space="0" w:color="auto"/>
      </w:divBdr>
    </w:div>
    <w:div w:id="1949047877">
      <w:bodyDiv w:val="1"/>
      <w:marLeft w:val="0"/>
      <w:marRight w:val="0"/>
      <w:marTop w:val="0"/>
      <w:marBottom w:val="0"/>
      <w:divBdr>
        <w:top w:val="none" w:sz="0" w:space="0" w:color="auto"/>
        <w:left w:val="none" w:sz="0" w:space="0" w:color="auto"/>
        <w:bottom w:val="none" w:sz="0" w:space="0" w:color="auto"/>
        <w:right w:val="none" w:sz="0" w:space="0" w:color="auto"/>
      </w:divBdr>
    </w:div>
    <w:div w:id="1952858543">
      <w:bodyDiv w:val="1"/>
      <w:marLeft w:val="0"/>
      <w:marRight w:val="0"/>
      <w:marTop w:val="0"/>
      <w:marBottom w:val="0"/>
      <w:divBdr>
        <w:top w:val="none" w:sz="0" w:space="0" w:color="auto"/>
        <w:left w:val="none" w:sz="0" w:space="0" w:color="auto"/>
        <w:bottom w:val="none" w:sz="0" w:space="0" w:color="auto"/>
        <w:right w:val="none" w:sz="0" w:space="0" w:color="auto"/>
      </w:divBdr>
    </w:div>
    <w:div w:id="1956280288">
      <w:bodyDiv w:val="1"/>
      <w:marLeft w:val="0"/>
      <w:marRight w:val="0"/>
      <w:marTop w:val="0"/>
      <w:marBottom w:val="0"/>
      <w:divBdr>
        <w:top w:val="none" w:sz="0" w:space="0" w:color="auto"/>
        <w:left w:val="none" w:sz="0" w:space="0" w:color="auto"/>
        <w:bottom w:val="none" w:sz="0" w:space="0" w:color="auto"/>
        <w:right w:val="none" w:sz="0" w:space="0" w:color="auto"/>
      </w:divBdr>
    </w:div>
    <w:div w:id="1964341748">
      <w:bodyDiv w:val="1"/>
      <w:marLeft w:val="0"/>
      <w:marRight w:val="0"/>
      <w:marTop w:val="0"/>
      <w:marBottom w:val="0"/>
      <w:divBdr>
        <w:top w:val="none" w:sz="0" w:space="0" w:color="auto"/>
        <w:left w:val="none" w:sz="0" w:space="0" w:color="auto"/>
        <w:bottom w:val="none" w:sz="0" w:space="0" w:color="auto"/>
        <w:right w:val="none" w:sz="0" w:space="0" w:color="auto"/>
      </w:divBdr>
    </w:div>
    <w:div w:id="1990819268">
      <w:bodyDiv w:val="1"/>
      <w:marLeft w:val="0"/>
      <w:marRight w:val="0"/>
      <w:marTop w:val="0"/>
      <w:marBottom w:val="0"/>
      <w:divBdr>
        <w:top w:val="none" w:sz="0" w:space="0" w:color="auto"/>
        <w:left w:val="none" w:sz="0" w:space="0" w:color="auto"/>
        <w:bottom w:val="none" w:sz="0" w:space="0" w:color="auto"/>
        <w:right w:val="none" w:sz="0" w:space="0" w:color="auto"/>
      </w:divBdr>
    </w:div>
    <w:div w:id="2000452228">
      <w:bodyDiv w:val="1"/>
      <w:marLeft w:val="0"/>
      <w:marRight w:val="0"/>
      <w:marTop w:val="0"/>
      <w:marBottom w:val="0"/>
      <w:divBdr>
        <w:top w:val="none" w:sz="0" w:space="0" w:color="auto"/>
        <w:left w:val="none" w:sz="0" w:space="0" w:color="auto"/>
        <w:bottom w:val="none" w:sz="0" w:space="0" w:color="auto"/>
        <w:right w:val="none" w:sz="0" w:space="0" w:color="auto"/>
      </w:divBdr>
    </w:div>
    <w:div w:id="2010474321">
      <w:bodyDiv w:val="1"/>
      <w:marLeft w:val="0"/>
      <w:marRight w:val="0"/>
      <w:marTop w:val="0"/>
      <w:marBottom w:val="0"/>
      <w:divBdr>
        <w:top w:val="none" w:sz="0" w:space="0" w:color="auto"/>
        <w:left w:val="none" w:sz="0" w:space="0" w:color="auto"/>
        <w:bottom w:val="none" w:sz="0" w:space="0" w:color="auto"/>
        <w:right w:val="none" w:sz="0" w:space="0" w:color="auto"/>
      </w:divBdr>
    </w:div>
    <w:div w:id="2023776438">
      <w:bodyDiv w:val="1"/>
      <w:marLeft w:val="0"/>
      <w:marRight w:val="0"/>
      <w:marTop w:val="0"/>
      <w:marBottom w:val="0"/>
      <w:divBdr>
        <w:top w:val="none" w:sz="0" w:space="0" w:color="auto"/>
        <w:left w:val="none" w:sz="0" w:space="0" w:color="auto"/>
        <w:bottom w:val="none" w:sz="0" w:space="0" w:color="auto"/>
        <w:right w:val="none" w:sz="0" w:space="0" w:color="auto"/>
      </w:divBdr>
    </w:div>
    <w:div w:id="2024013939">
      <w:bodyDiv w:val="1"/>
      <w:marLeft w:val="0"/>
      <w:marRight w:val="0"/>
      <w:marTop w:val="0"/>
      <w:marBottom w:val="0"/>
      <w:divBdr>
        <w:top w:val="none" w:sz="0" w:space="0" w:color="auto"/>
        <w:left w:val="none" w:sz="0" w:space="0" w:color="auto"/>
        <w:bottom w:val="none" w:sz="0" w:space="0" w:color="auto"/>
        <w:right w:val="none" w:sz="0" w:space="0" w:color="auto"/>
      </w:divBdr>
    </w:div>
    <w:div w:id="2040738547">
      <w:bodyDiv w:val="1"/>
      <w:marLeft w:val="0"/>
      <w:marRight w:val="0"/>
      <w:marTop w:val="0"/>
      <w:marBottom w:val="0"/>
      <w:divBdr>
        <w:top w:val="none" w:sz="0" w:space="0" w:color="auto"/>
        <w:left w:val="none" w:sz="0" w:space="0" w:color="auto"/>
        <w:bottom w:val="none" w:sz="0" w:space="0" w:color="auto"/>
        <w:right w:val="none" w:sz="0" w:space="0" w:color="auto"/>
      </w:divBdr>
    </w:div>
    <w:div w:id="2060006643">
      <w:bodyDiv w:val="1"/>
      <w:marLeft w:val="0"/>
      <w:marRight w:val="0"/>
      <w:marTop w:val="0"/>
      <w:marBottom w:val="0"/>
      <w:divBdr>
        <w:top w:val="none" w:sz="0" w:space="0" w:color="auto"/>
        <w:left w:val="none" w:sz="0" w:space="0" w:color="auto"/>
        <w:bottom w:val="none" w:sz="0" w:space="0" w:color="auto"/>
        <w:right w:val="none" w:sz="0" w:space="0" w:color="auto"/>
      </w:divBdr>
    </w:div>
    <w:div w:id="2104719270">
      <w:bodyDiv w:val="1"/>
      <w:marLeft w:val="0"/>
      <w:marRight w:val="0"/>
      <w:marTop w:val="0"/>
      <w:marBottom w:val="0"/>
      <w:divBdr>
        <w:top w:val="none" w:sz="0" w:space="0" w:color="auto"/>
        <w:left w:val="none" w:sz="0" w:space="0" w:color="auto"/>
        <w:bottom w:val="none" w:sz="0" w:space="0" w:color="auto"/>
        <w:right w:val="none" w:sz="0" w:space="0" w:color="auto"/>
      </w:divBdr>
    </w:div>
    <w:div w:id="2111047084">
      <w:bodyDiv w:val="1"/>
      <w:marLeft w:val="0"/>
      <w:marRight w:val="0"/>
      <w:marTop w:val="0"/>
      <w:marBottom w:val="0"/>
      <w:divBdr>
        <w:top w:val="none" w:sz="0" w:space="0" w:color="auto"/>
        <w:left w:val="none" w:sz="0" w:space="0" w:color="auto"/>
        <w:bottom w:val="none" w:sz="0" w:space="0" w:color="auto"/>
        <w:right w:val="none" w:sz="0" w:space="0" w:color="auto"/>
      </w:divBdr>
    </w:div>
    <w:div w:id="2114979386">
      <w:bodyDiv w:val="1"/>
      <w:marLeft w:val="0"/>
      <w:marRight w:val="0"/>
      <w:marTop w:val="0"/>
      <w:marBottom w:val="0"/>
      <w:divBdr>
        <w:top w:val="none" w:sz="0" w:space="0" w:color="auto"/>
        <w:left w:val="none" w:sz="0" w:space="0" w:color="auto"/>
        <w:bottom w:val="none" w:sz="0" w:space="0" w:color="auto"/>
        <w:right w:val="none" w:sz="0" w:space="0" w:color="auto"/>
      </w:divBdr>
    </w:div>
    <w:div w:id="2122916480">
      <w:bodyDiv w:val="1"/>
      <w:marLeft w:val="0"/>
      <w:marRight w:val="0"/>
      <w:marTop w:val="0"/>
      <w:marBottom w:val="0"/>
      <w:divBdr>
        <w:top w:val="none" w:sz="0" w:space="0" w:color="auto"/>
        <w:left w:val="none" w:sz="0" w:space="0" w:color="auto"/>
        <w:bottom w:val="none" w:sz="0" w:space="0" w:color="auto"/>
        <w:right w:val="none" w:sz="0" w:space="0" w:color="auto"/>
      </w:divBdr>
    </w:div>
    <w:div w:id="2125926292">
      <w:bodyDiv w:val="1"/>
      <w:marLeft w:val="0"/>
      <w:marRight w:val="0"/>
      <w:marTop w:val="0"/>
      <w:marBottom w:val="0"/>
      <w:divBdr>
        <w:top w:val="none" w:sz="0" w:space="0" w:color="auto"/>
        <w:left w:val="none" w:sz="0" w:space="0" w:color="auto"/>
        <w:bottom w:val="none" w:sz="0" w:space="0" w:color="auto"/>
        <w:right w:val="none" w:sz="0" w:space="0" w:color="auto"/>
      </w:divBdr>
    </w:div>
    <w:div w:id="2133134839">
      <w:bodyDiv w:val="1"/>
      <w:marLeft w:val="0"/>
      <w:marRight w:val="0"/>
      <w:marTop w:val="0"/>
      <w:marBottom w:val="0"/>
      <w:divBdr>
        <w:top w:val="none" w:sz="0" w:space="0" w:color="auto"/>
        <w:left w:val="none" w:sz="0" w:space="0" w:color="auto"/>
        <w:bottom w:val="none" w:sz="0" w:space="0" w:color="auto"/>
        <w:right w:val="none" w:sz="0" w:space="0" w:color="auto"/>
      </w:divBdr>
    </w:div>
    <w:div w:id="2135558336">
      <w:bodyDiv w:val="1"/>
      <w:marLeft w:val="0"/>
      <w:marRight w:val="0"/>
      <w:marTop w:val="0"/>
      <w:marBottom w:val="0"/>
      <w:divBdr>
        <w:top w:val="none" w:sz="0" w:space="0" w:color="auto"/>
        <w:left w:val="none" w:sz="0" w:space="0" w:color="auto"/>
        <w:bottom w:val="none" w:sz="0" w:space="0" w:color="auto"/>
        <w:right w:val="none" w:sz="0" w:space="0" w:color="auto"/>
      </w:divBdr>
    </w:div>
    <w:div w:id="2142310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0897E-6E18-44B4-9E72-650440B4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2018-06-06T05:47:00Z</dcterms:created>
  <dcterms:modified xsi:type="dcterms:W3CDTF">2018-06-08T01:18:00Z</dcterms:modified>
</cp:coreProperties>
</file>