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Default="002208F4" w:rsidP="00020B35">
      <w:pPr>
        <w:pStyle w:val="DocumentTitle"/>
        <w:spacing w:before="3360"/>
      </w:pPr>
      <w:r>
        <w:t>Draft Waste and Resource Recovery Strategy</w:t>
      </w:r>
    </w:p>
    <w:p w:rsidR="002208F4" w:rsidRPr="002208F4" w:rsidRDefault="002208F4" w:rsidP="002208F4">
      <w:pPr>
        <w:pStyle w:val="DocumentTitle"/>
        <w:rPr>
          <w:szCs w:val="52"/>
        </w:rPr>
      </w:pPr>
      <w:r w:rsidRPr="002208F4">
        <w:rPr>
          <w:szCs w:val="52"/>
        </w:rPr>
        <w:t xml:space="preserve">Discussion Paper: </w:t>
      </w:r>
      <w:r w:rsidR="007130D6">
        <w:rPr>
          <w:rFonts w:eastAsia="MS Gothic"/>
          <w:szCs w:val="52"/>
        </w:rPr>
        <w:t>Waste to Energy</w:t>
      </w:r>
    </w:p>
    <w:p w:rsidR="002208F4" w:rsidRDefault="002208F4" w:rsidP="00507DC3">
      <w:pPr>
        <w:pStyle w:val="Heading1"/>
        <w:rPr>
          <w:rFonts w:hint="eastAsia"/>
        </w:rPr>
      </w:pPr>
      <w:r>
        <w:t>This discussion paper is part of consultation on the Draft Waste and Resource Recovery Strategy 2030. To have your say, visit participate.melbourne.vic.gov.au/waste-resource-strategy.</w:t>
      </w:r>
    </w:p>
    <w:p w:rsidR="007130D6" w:rsidRDefault="007130D6" w:rsidP="007130D6">
      <w:r>
        <w:t xml:space="preserve">Recovering energy is one option for managing waste. Energy recovery is typically through thermal or biological processing. Each type of technology has different input materials, outputs (heat, electricity, gas etc.) and residual materials. The main technology types are outlined on page two. </w:t>
      </w:r>
    </w:p>
    <w:p w:rsidR="00BE6801" w:rsidRPr="00AB6132" w:rsidRDefault="007130D6" w:rsidP="007130D6">
      <w:r>
        <w:t>Modern landfills such as that used by City of Melbourne also have a form of energy recovery by capturing methane gas emanating from the landfill and burning this for energy. This is a relatively inefficient way of generating energy. Other alternatives to landfill include advanced sorting technologies. Methane capture and sorting are not the</w:t>
      </w:r>
      <w:r>
        <w:t xml:space="preserve"> focus of this discussion paper</w:t>
      </w:r>
      <w:r w:rsidR="002208F4" w:rsidRPr="002208F4">
        <w:t>.</w:t>
      </w:r>
      <w:r w:rsidR="00BE6801" w:rsidRPr="00AB6132">
        <w:t xml:space="preserve"> </w:t>
      </w:r>
    </w:p>
    <w:p w:rsidR="002208F4" w:rsidRPr="00507DC3" w:rsidRDefault="002208F4" w:rsidP="00507DC3">
      <w:pPr>
        <w:pStyle w:val="Heading1"/>
        <w:rPr>
          <w:rFonts w:hint="eastAsia"/>
        </w:rPr>
      </w:pPr>
      <w:r w:rsidRPr="00507DC3">
        <w:t>What are the current issues?</w:t>
      </w:r>
    </w:p>
    <w:p w:rsidR="00507DC3" w:rsidRDefault="00507DC3" w:rsidP="00507DC3">
      <w:bookmarkStart w:id="0" w:name="_Toc403992347"/>
      <w:bookmarkStart w:id="1" w:name="_Toc403992582"/>
      <w:bookmarkStart w:id="2" w:name="_Toc419966635"/>
      <w:bookmarkStart w:id="3" w:name="_Toc419982221"/>
      <w:bookmarkStart w:id="4" w:name="_Toc419982307"/>
      <w:r>
        <w:rPr>
          <w:b/>
        </w:rPr>
        <w:t>Environmental benefits</w:t>
      </w:r>
      <w:r>
        <w:t xml:space="preserve"> – energy recovery from waste reduces greenhouse gas emissions through avoiding methane that is generated in landfill and by reducing the amount of electricity that needs to be generated using fossil fuels. </w:t>
      </w:r>
    </w:p>
    <w:p w:rsidR="00507DC3" w:rsidRDefault="00507DC3" w:rsidP="00507DC3">
      <w:r>
        <w:rPr>
          <w:b/>
        </w:rPr>
        <w:t>Land use</w:t>
      </w:r>
      <w:r>
        <w:t xml:space="preserve"> – Reducing the amount of material disposed to landfill means less land is required for landfill. </w:t>
      </w:r>
    </w:p>
    <w:p w:rsidR="00507DC3" w:rsidRDefault="00507DC3" w:rsidP="00507DC3">
      <w:r>
        <w:rPr>
          <w:b/>
        </w:rPr>
        <w:t>Required standards</w:t>
      </w:r>
      <w:r>
        <w:t xml:space="preserve"> – The Victorian EPA requires that waste to energy facilities must incorporate measures to ensure air quality and protection of land and water. The residual material produced by some facilities may require disposal to a specialised landfill.</w:t>
      </w:r>
    </w:p>
    <w:p w:rsidR="00507DC3" w:rsidRDefault="00507DC3" w:rsidP="00507DC3">
      <w:pPr>
        <w:rPr>
          <w:strike/>
        </w:rPr>
      </w:pPr>
      <w:r>
        <w:rPr>
          <w:b/>
        </w:rPr>
        <w:t>Facility size</w:t>
      </w:r>
      <w:r>
        <w:t xml:space="preserve"> – </w:t>
      </w:r>
      <w:r>
        <w:rPr>
          <w:rFonts w:cs="Arial"/>
          <w:color w:val="222222"/>
          <w:shd w:val="clear" w:color="auto" w:fill="FFFFFF"/>
        </w:rPr>
        <w:t>Large scale waste to energy facilities can process upwards of 100,000 tonnes per year. Smaller facilities are also available.</w:t>
      </w:r>
    </w:p>
    <w:p w:rsidR="002208F4" w:rsidRDefault="00507DC3" w:rsidP="002208F4">
      <w:pPr>
        <w:rPr>
          <w:rFonts w:cs="Arial"/>
          <w:color w:val="222222"/>
          <w:shd w:val="clear" w:color="auto" w:fill="FFFFFF"/>
        </w:rPr>
      </w:pPr>
      <w:r>
        <w:rPr>
          <w:b/>
        </w:rPr>
        <w:t>Relative cost</w:t>
      </w:r>
      <w:r>
        <w:t xml:space="preserve"> – </w:t>
      </w:r>
      <w:r>
        <w:rPr>
          <w:rFonts w:cs="Arial"/>
          <w:color w:val="222222"/>
          <w:shd w:val="clear" w:color="auto" w:fill="FFFFFF"/>
        </w:rPr>
        <w:t>Cost estimates for processing residual waste at a waste to energy plant</w:t>
      </w:r>
      <w:proofErr w:type="gramStart"/>
      <w:r>
        <w:rPr>
          <w:rFonts w:cs="Arial"/>
          <w:color w:val="222222"/>
          <w:shd w:val="clear" w:color="auto" w:fill="FFFFFF"/>
        </w:rPr>
        <w:t>  vary</w:t>
      </w:r>
      <w:proofErr w:type="gramEnd"/>
      <w:r>
        <w:rPr>
          <w:rFonts w:cs="Arial"/>
          <w:color w:val="222222"/>
          <w:shd w:val="clear" w:color="auto" w:fill="FFFFFF"/>
        </w:rPr>
        <w:t xml:space="preserve"> widely, from 1.2 to 4 times the current landfill cost.</w:t>
      </w:r>
    </w:p>
    <w:p w:rsidR="005B284D" w:rsidRPr="005B284D" w:rsidRDefault="005B284D" w:rsidP="005B284D">
      <w:pPr>
        <w:pStyle w:val="Caption"/>
      </w:pPr>
      <w:r w:rsidRPr="005B284D">
        <w:t xml:space="preserve">Table reproduced from: The State of Victoria Department of Environment, Land, Water and </w:t>
      </w:r>
      <w:proofErr w:type="gramStart"/>
      <w:r w:rsidRPr="005B284D">
        <w:t>Planning</w:t>
      </w:r>
      <w:proofErr w:type="gramEnd"/>
      <w:r w:rsidRPr="005B284D">
        <w:t xml:space="preserve"> (2017) Turning waste into energy. </w:t>
      </w:r>
      <w:hyperlink r:id="rId10" w:history="1">
        <w:r w:rsidRPr="005B284D">
          <w:rPr>
            <w:rStyle w:val="Hyperlink"/>
            <w:color w:val="auto"/>
            <w:u w:val="none"/>
          </w:rPr>
          <w:t>www.environment.vic.gov.au</w:t>
        </w:r>
      </w:hyperlink>
      <w:r w:rsidRPr="005B284D">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1747"/>
        <w:gridCol w:w="2029"/>
        <w:gridCol w:w="2066"/>
        <w:gridCol w:w="1981"/>
        <w:gridCol w:w="2013"/>
      </w:tblGrid>
      <w:tr w:rsidR="005B284D" w:rsidTr="005B284D">
        <w:trPr>
          <w:tblHeader/>
        </w:trPr>
        <w:tc>
          <w:tcPr>
            <w:tcW w:w="1747" w:type="dxa"/>
            <w:tcBorders>
              <w:top w:val="single" w:sz="4" w:space="0" w:color="auto"/>
              <w:left w:val="single" w:sz="4" w:space="0" w:color="auto"/>
              <w:bottom w:val="single" w:sz="4" w:space="0" w:color="auto"/>
              <w:right w:val="single" w:sz="4" w:space="0" w:color="auto"/>
            </w:tcBorders>
          </w:tcPr>
          <w:p w:rsidR="005B284D" w:rsidRDefault="005B284D">
            <w:pPr>
              <w:pStyle w:val="TableofFigures"/>
              <w:rPr>
                <w:rFonts w:eastAsia="Cambria"/>
                <w:b/>
              </w:rPr>
            </w:pPr>
            <w:r>
              <w:rPr>
                <w:rFonts w:eastAsia="Cambria"/>
                <w:b/>
              </w:rPr>
              <w:t>Technology (1)</w:t>
            </w:r>
          </w:p>
        </w:tc>
        <w:tc>
          <w:tcPr>
            <w:tcW w:w="2029" w:type="dxa"/>
            <w:tcBorders>
              <w:top w:val="single" w:sz="4" w:space="0" w:color="auto"/>
              <w:left w:val="single" w:sz="4" w:space="0" w:color="auto"/>
              <w:bottom w:val="single" w:sz="4" w:space="0" w:color="auto"/>
              <w:right w:val="single" w:sz="4" w:space="0" w:color="auto"/>
            </w:tcBorders>
            <w:hideMark/>
          </w:tcPr>
          <w:p w:rsidR="005B284D" w:rsidRDefault="005B284D">
            <w:pPr>
              <w:pStyle w:val="TableofFigures"/>
              <w:rPr>
                <w:rFonts w:eastAsia="Cambria"/>
                <w:b/>
              </w:rPr>
            </w:pPr>
            <w:bookmarkStart w:id="5" w:name="_Toc403992349"/>
            <w:bookmarkStart w:id="6" w:name="_Toc403992585"/>
            <w:r>
              <w:rPr>
                <w:rFonts w:eastAsia="Cambria"/>
                <w:b/>
              </w:rPr>
              <w:t>Technology (2)</w:t>
            </w:r>
          </w:p>
        </w:tc>
        <w:tc>
          <w:tcPr>
            <w:tcW w:w="2066" w:type="dxa"/>
            <w:tcBorders>
              <w:top w:val="single" w:sz="4" w:space="0" w:color="auto"/>
              <w:left w:val="single" w:sz="4" w:space="0" w:color="auto"/>
              <w:bottom w:val="single" w:sz="4" w:space="0" w:color="auto"/>
              <w:right w:val="single" w:sz="4" w:space="0" w:color="auto"/>
            </w:tcBorders>
            <w:hideMark/>
          </w:tcPr>
          <w:p w:rsidR="005B284D" w:rsidRDefault="005B284D">
            <w:pPr>
              <w:pStyle w:val="TableofFigures"/>
              <w:rPr>
                <w:rFonts w:eastAsia="Cambria"/>
                <w:b/>
              </w:rPr>
            </w:pPr>
            <w:r>
              <w:rPr>
                <w:rFonts w:eastAsia="Cambria"/>
                <w:b/>
              </w:rPr>
              <w:t>Feedstocks</w:t>
            </w:r>
          </w:p>
        </w:tc>
        <w:tc>
          <w:tcPr>
            <w:tcW w:w="1981" w:type="dxa"/>
            <w:tcBorders>
              <w:top w:val="single" w:sz="4" w:space="0" w:color="auto"/>
              <w:left w:val="single" w:sz="4" w:space="0" w:color="auto"/>
              <w:bottom w:val="single" w:sz="4" w:space="0" w:color="auto"/>
              <w:right w:val="single" w:sz="4" w:space="0" w:color="auto"/>
            </w:tcBorders>
            <w:hideMark/>
          </w:tcPr>
          <w:p w:rsidR="005B284D" w:rsidRDefault="005B284D">
            <w:pPr>
              <w:pStyle w:val="TableofFigures"/>
              <w:rPr>
                <w:rFonts w:eastAsia="Cambria"/>
                <w:b/>
              </w:rPr>
            </w:pPr>
            <w:r>
              <w:rPr>
                <w:rFonts w:eastAsia="Cambria"/>
                <w:b/>
              </w:rPr>
              <w:t>Outputs</w:t>
            </w:r>
          </w:p>
        </w:tc>
        <w:tc>
          <w:tcPr>
            <w:tcW w:w="2013" w:type="dxa"/>
            <w:tcBorders>
              <w:top w:val="single" w:sz="4" w:space="0" w:color="auto"/>
              <w:left w:val="single" w:sz="4" w:space="0" w:color="auto"/>
              <w:bottom w:val="single" w:sz="4" w:space="0" w:color="auto"/>
              <w:right w:val="single" w:sz="4" w:space="0" w:color="auto"/>
            </w:tcBorders>
            <w:hideMark/>
          </w:tcPr>
          <w:p w:rsidR="005B284D" w:rsidRDefault="005B284D">
            <w:pPr>
              <w:pStyle w:val="TableofFigures"/>
              <w:rPr>
                <w:rFonts w:eastAsia="Cambria"/>
                <w:b/>
              </w:rPr>
            </w:pPr>
            <w:r>
              <w:rPr>
                <w:rFonts w:eastAsia="Cambria"/>
                <w:b/>
              </w:rPr>
              <w:t>Residues</w:t>
            </w:r>
          </w:p>
        </w:tc>
      </w:tr>
      <w:tr w:rsidR="005B284D" w:rsidTr="005B284D">
        <w:tc>
          <w:tcPr>
            <w:tcW w:w="1747" w:type="dxa"/>
            <w:tcBorders>
              <w:top w:val="single" w:sz="4" w:space="0" w:color="auto"/>
              <w:left w:val="single" w:sz="4" w:space="0" w:color="auto"/>
              <w:bottom w:val="single" w:sz="4" w:space="0" w:color="auto"/>
              <w:right w:val="single" w:sz="4" w:space="0" w:color="auto"/>
            </w:tcBorders>
          </w:tcPr>
          <w:p w:rsidR="005B284D" w:rsidRDefault="005B284D" w:rsidP="005B284D">
            <w:pPr>
              <w:pStyle w:val="TableofFigures"/>
            </w:pPr>
            <w:r>
              <w:t>Thermal</w:t>
            </w:r>
          </w:p>
        </w:tc>
        <w:tc>
          <w:tcPr>
            <w:tcW w:w="2029" w:type="dxa"/>
            <w:tcBorders>
              <w:top w:val="single" w:sz="4" w:space="0" w:color="auto"/>
              <w:left w:val="single" w:sz="4" w:space="0" w:color="auto"/>
              <w:bottom w:val="single" w:sz="4" w:space="0" w:color="auto"/>
              <w:right w:val="single" w:sz="4" w:space="0" w:color="auto"/>
            </w:tcBorders>
          </w:tcPr>
          <w:p w:rsidR="005B284D" w:rsidRPr="005B284D" w:rsidRDefault="005B284D" w:rsidP="005B284D">
            <w:pPr>
              <w:pStyle w:val="TableofFigures"/>
              <w:rPr>
                <w:rFonts w:cs="Arial"/>
                <w:sz w:val="36"/>
                <w:szCs w:val="36"/>
              </w:rPr>
            </w:pPr>
            <w:r w:rsidRPr="005B284D">
              <w:rPr>
                <w:rFonts w:asciiTheme="majorHAnsi" w:cs="Arial"/>
                <w:bCs/>
                <w:kern w:val="24"/>
                <w:sz w:val="26"/>
                <w:szCs w:val="26"/>
              </w:rPr>
              <w:t>Combustion</w:t>
            </w:r>
          </w:p>
        </w:tc>
        <w:tc>
          <w:tcPr>
            <w:tcW w:w="2066" w:type="dxa"/>
            <w:tcBorders>
              <w:top w:val="single" w:sz="4" w:space="0" w:color="auto"/>
              <w:left w:val="single" w:sz="4" w:space="0" w:color="auto"/>
              <w:bottom w:val="single" w:sz="4" w:space="0" w:color="auto"/>
              <w:right w:val="single" w:sz="4" w:space="0" w:color="auto"/>
            </w:tcBorders>
          </w:tcPr>
          <w:p w:rsidR="005B284D" w:rsidRPr="005B284D" w:rsidRDefault="005B284D" w:rsidP="005B284D">
            <w:pPr>
              <w:pStyle w:val="TableofFigures"/>
              <w:rPr>
                <w:rFonts w:cs="Arial"/>
                <w:sz w:val="36"/>
                <w:szCs w:val="36"/>
              </w:rPr>
            </w:pPr>
            <w:r w:rsidRPr="005B284D">
              <w:rPr>
                <w:rFonts w:asciiTheme="majorHAnsi"/>
                <w:bCs/>
                <w:kern w:val="24"/>
                <w:sz w:val="26"/>
                <w:szCs w:val="26"/>
              </w:rPr>
              <w:t>Mixed residual MSW, mixed C&amp;I and C&amp;D wastes, refuse derived fuels (e.g. Pellets manufactured from residual materials)</w:t>
            </w:r>
          </w:p>
        </w:tc>
        <w:tc>
          <w:tcPr>
            <w:tcW w:w="1981" w:type="dxa"/>
            <w:tcBorders>
              <w:top w:val="single" w:sz="4" w:space="0" w:color="auto"/>
              <w:left w:val="single" w:sz="4" w:space="0" w:color="auto"/>
              <w:bottom w:val="single" w:sz="4" w:space="0" w:color="auto"/>
              <w:right w:val="single" w:sz="4" w:space="0" w:color="auto"/>
            </w:tcBorders>
          </w:tcPr>
          <w:p w:rsidR="005B284D" w:rsidRPr="005B284D" w:rsidRDefault="005B284D" w:rsidP="005B284D">
            <w:pPr>
              <w:pStyle w:val="TableofFigures"/>
              <w:rPr>
                <w:rFonts w:cs="Arial"/>
                <w:sz w:val="36"/>
                <w:szCs w:val="36"/>
              </w:rPr>
            </w:pPr>
            <w:r w:rsidRPr="005B284D">
              <w:rPr>
                <w:rFonts w:asciiTheme="majorHAnsi"/>
                <w:bCs/>
                <w:kern w:val="24"/>
                <w:sz w:val="26"/>
                <w:szCs w:val="26"/>
              </w:rPr>
              <w:t>Heat, electricity, (Bottom ash residues may in some circumstances have value as road base or as an additive in building blocks)</w:t>
            </w:r>
          </w:p>
        </w:tc>
        <w:tc>
          <w:tcPr>
            <w:tcW w:w="2013" w:type="dxa"/>
            <w:tcBorders>
              <w:top w:val="single" w:sz="4" w:space="0" w:color="auto"/>
              <w:left w:val="single" w:sz="4" w:space="0" w:color="auto"/>
              <w:bottom w:val="single" w:sz="4" w:space="0" w:color="auto"/>
              <w:right w:val="single" w:sz="4" w:space="0" w:color="auto"/>
            </w:tcBorders>
          </w:tcPr>
          <w:p w:rsidR="005B284D" w:rsidRPr="005B284D" w:rsidRDefault="005B284D" w:rsidP="005B284D">
            <w:pPr>
              <w:pStyle w:val="TableofFigures"/>
              <w:rPr>
                <w:rFonts w:cs="Arial"/>
                <w:sz w:val="36"/>
                <w:szCs w:val="36"/>
              </w:rPr>
            </w:pPr>
            <w:r w:rsidRPr="005B284D">
              <w:rPr>
                <w:rFonts w:asciiTheme="majorHAnsi"/>
                <w:bCs/>
                <w:kern w:val="24"/>
                <w:sz w:val="26"/>
                <w:szCs w:val="26"/>
              </w:rPr>
              <w:t>Bottom ash, fly ash, air pollution control residues, metals</w:t>
            </w:r>
          </w:p>
        </w:tc>
      </w:tr>
      <w:tr w:rsidR="005B284D" w:rsidTr="005B284D">
        <w:tc>
          <w:tcPr>
            <w:tcW w:w="1747" w:type="dxa"/>
            <w:tcBorders>
              <w:top w:val="single" w:sz="4" w:space="0" w:color="auto"/>
              <w:left w:val="single" w:sz="4" w:space="0" w:color="auto"/>
              <w:bottom w:val="single" w:sz="4" w:space="0" w:color="auto"/>
              <w:right w:val="single" w:sz="4" w:space="0" w:color="auto"/>
            </w:tcBorders>
          </w:tcPr>
          <w:p w:rsidR="005B284D" w:rsidRDefault="005B284D" w:rsidP="005B284D">
            <w:pPr>
              <w:pStyle w:val="TableofFigures"/>
            </w:pPr>
            <w:r>
              <w:t>Thermal</w:t>
            </w:r>
          </w:p>
        </w:tc>
        <w:tc>
          <w:tcPr>
            <w:tcW w:w="2029" w:type="dxa"/>
            <w:tcBorders>
              <w:top w:val="single" w:sz="4" w:space="0" w:color="auto"/>
              <w:left w:val="single" w:sz="4" w:space="0" w:color="auto"/>
              <w:bottom w:val="single" w:sz="4" w:space="0" w:color="auto"/>
              <w:right w:val="single" w:sz="4" w:space="0" w:color="auto"/>
            </w:tcBorders>
          </w:tcPr>
          <w:p w:rsidR="005B284D" w:rsidRPr="005B284D" w:rsidRDefault="005B284D" w:rsidP="005B284D">
            <w:pPr>
              <w:pStyle w:val="TableofFigures"/>
              <w:rPr>
                <w:rFonts w:cs="Arial"/>
                <w:sz w:val="36"/>
                <w:szCs w:val="36"/>
              </w:rPr>
            </w:pPr>
            <w:r w:rsidRPr="005B284D">
              <w:rPr>
                <w:rFonts w:asciiTheme="majorHAnsi" w:cs="Arial"/>
                <w:kern w:val="24"/>
                <w:sz w:val="26"/>
                <w:szCs w:val="26"/>
              </w:rPr>
              <w:t>Gasification</w:t>
            </w:r>
          </w:p>
        </w:tc>
        <w:tc>
          <w:tcPr>
            <w:tcW w:w="2066" w:type="dxa"/>
            <w:tcBorders>
              <w:top w:val="single" w:sz="4" w:space="0" w:color="auto"/>
              <w:left w:val="single" w:sz="4" w:space="0" w:color="auto"/>
              <w:bottom w:val="single" w:sz="4" w:space="0" w:color="auto"/>
              <w:right w:val="single" w:sz="4" w:space="0" w:color="auto"/>
            </w:tcBorders>
          </w:tcPr>
          <w:p w:rsidR="005B284D" w:rsidRPr="005B284D" w:rsidRDefault="005B284D" w:rsidP="005B284D">
            <w:pPr>
              <w:pStyle w:val="TableofFigures"/>
              <w:rPr>
                <w:rFonts w:cs="Arial"/>
                <w:sz w:val="36"/>
                <w:szCs w:val="36"/>
              </w:rPr>
            </w:pPr>
            <w:r w:rsidRPr="005B284D">
              <w:rPr>
                <w:rFonts w:asciiTheme="majorHAnsi"/>
                <w:kern w:val="24"/>
                <w:sz w:val="26"/>
                <w:szCs w:val="26"/>
              </w:rPr>
              <w:t>Typically refuse derived fuel (RDF) prepared from mixed residual MSW, mixed C&amp;I and C&amp;D wastes, organic waste</w:t>
            </w:r>
          </w:p>
        </w:tc>
        <w:tc>
          <w:tcPr>
            <w:tcW w:w="1981" w:type="dxa"/>
            <w:tcBorders>
              <w:top w:val="single" w:sz="4" w:space="0" w:color="auto"/>
              <w:left w:val="single" w:sz="4" w:space="0" w:color="auto"/>
              <w:bottom w:val="single" w:sz="4" w:space="0" w:color="auto"/>
              <w:right w:val="single" w:sz="4" w:space="0" w:color="auto"/>
            </w:tcBorders>
          </w:tcPr>
          <w:p w:rsidR="005B284D" w:rsidRPr="005B284D" w:rsidRDefault="005B284D" w:rsidP="005B284D">
            <w:pPr>
              <w:pStyle w:val="TableofFigures"/>
              <w:rPr>
                <w:rFonts w:cs="Arial"/>
                <w:sz w:val="36"/>
                <w:szCs w:val="36"/>
              </w:rPr>
            </w:pPr>
            <w:r w:rsidRPr="005B284D">
              <w:rPr>
                <w:rFonts w:asciiTheme="majorHAnsi"/>
                <w:kern w:val="24"/>
                <w:sz w:val="26"/>
                <w:szCs w:val="26"/>
              </w:rPr>
              <w:t>Heat, electricity, syngas, (see above re Bottom ash)</w:t>
            </w:r>
          </w:p>
        </w:tc>
        <w:tc>
          <w:tcPr>
            <w:tcW w:w="2013" w:type="dxa"/>
            <w:tcBorders>
              <w:top w:val="single" w:sz="4" w:space="0" w:color="auto"/>
              <w:left w:val="single" w:sz="4" w:space="0" w:color="auto"/>
              <w:bottom w:val="single" w:sz="4" w:space="0" w:color="auto"/>
              <w:right w:val="single" w:sz="4" w:space="0" w:color="auto"/>
            </w:tcBorders>
          </w:tcPr>
          <w:p w:rsidR="005B284D" w:rsidRPr="005B284D" w:rsidRDefault="005B284D" w:rsidP="005B284D">
            <w:pPr>
              <w:pStyle w:val="TableofFigures"/>
              <w:rPr>
                <w:rFonts w:cs="Arial"/>
                <w:sz w:val="36"/>
                <w:szCs w:val="36"/>
              </w:rPr>
            </w:pPr>
            <w:r w:rsidRPr="005B284D">
              <w:rPr>
                <w:rFonts w:asciiTheme="majorHAnsi"/>
                <w:kern w:val="24"/>
                <w:sz w:val="26"/>
                <w:szCs w:val="26"/>
              </w:rPr>
              <w:t>Bottom ash, air pollution control residues</w:t>
            </w:r>
          </w:p>
        </w:tc>
      </w:tr>
      <w:tr w:rsidR="005B284D" w:rsidTr="005B284D">
        <w:tc>
          <w:tcPr>
            <w:tcW w:w="1747" w:type="dxa"/>
            <w:tcBorders>
              <w:top w:val="single" w:sz="4" w:space="0" w:color="auto"/>
              <w:left w:val="single" w:sz="4" w:space="0" w:color="auto"/>
              <w:bottom w:val="single" w:sz="4" w:space="0" w:color="auto"/>
              <w:right w:val="single" w:sz="4" w:space="0" w:color="auto"/>
            </w:tcBorders>
          </w:tcPr>
          <w:p w:rsidR="005B284D" w:rsidRDefault="005B284D" w:rsidP="005B284D">
            <w:pPr>
              <w:pStyle w:val="TableofFigures"/>
            </w:pPr>
            <w:r>
              <w:t>Thermal</w:t>
            </w:r>
          </w:p>
        </w:tc>
        <w:tc>
          <w:tcPr>
            <w:tcW w:w="2029" w:type="dxa"/>
            <w:tcBorders>
              <w:top w:val="single" w:sz="4" w:space="0" w:color="auto"/>
              <w:left w:val="single" w:sz="4" w:space="0" w:color="auto"/>
              <w:bottom w:val="single" w:sz="4" w:space="0" w:color="auto"/>
              <w:right w:val="single" w:sz="4" w:space="0" w:color="auto"/>
            </w:tcBorders>
          </w:tcPr>
          <w:p w:rsidR="005B284D" w:rsidRPr="005B284D" w:rsidRDefault="005B284D" w:rsidP="005B284D">
            <w:pPr>
              <w:pStyle w:val="TableofFigures"/>
              <w:rPr>
                <w:rFonts w:cs="Arial"/>
                <w:sz w:val="36"/>
                <w:szCs w:val="36"/>
              </w:rPr>
            </w:pPr>
            <w:r w:rsidRPr="005B284D">
              <w:rPr>
                <w:rFonts w:asciiTheme="majorHAnsi" w:cs="Arial"/>
                <w:kern w:val="24"/>
                <w:sz w:val="26"/>
                <w:szCs w:val="26"/>
              </w:rPr>
              <w:t>Pyrolysis</w:t>
            </w:r>
          </w:p>
        </w:tc>
        <w:tc>
          <w:tcPr>
            <w:tcW w:w="2066" w:type="dxa"/>
            <w:tcBorders>
              <w:top w:val="single" w:sz="4" w:space="0" w:color="auto"/>
              <w:left w:val="single" w:sz="4" w:space="0" w:color="auto"/>
              <w:bottom w:val="single" w:sz="4" w:space="0" w:color="auto"/>
              <w:right w:val="single" w:sz="4" w:space="0" w:color="auto"/>
            </w:tcBorders>
          </w:tcPr>
          <w:p w:rsidR="005B284D" w:rsidRPr="005B284D" w:rsidRDefault="005B284D" w:rsidP="005B284D">
            <w:pPr>
              <w:pStyle w:val="TableofFigures"/>
              <w:rPr>
                <w:rFonts w:cs="Arial"/>
                <w:sz w:val="36"/>
                <w:szCs w:val="36"/>
              </w:rPr>
            </w:pPr>
            <w:r w:rsidRPr="005B284D">
              <w:rPr>
                <w:rFonts w:asciiTheme="majorHAnsi"/>
                <w:kern w:val="24"/>
                <w:sz w:val="26"/>
                <w:szCs w:val="26"/>
              </w:rPr>
              <w:t>Homogenous feedstocks from sorted C&amp;I + C&amp;D waste (e.g. wood, tyres), sorted residual MSW (e.g. plastics), organic waste</w:t>
            </w:r>
          </w:p>
        </w:tc>
        <w:tc>
          <w:tcPr>
            <w:tcW w:w="1981" w:type="dxa"/>
            <w:tcBorders>
              <w:top w:val="single" w:sz="4" w:space="0" w:color="auto"/>
              <w:left w:val="single" w:sz="4" w:space="0" w:color="auto"/>
              <w:bottom w:val="single" w:sz="4" w:space="0" w:color="auto"/>
              <w:right w:val="single" w:sz="4" w:space="0" w:color="auto"/>
            </w:tcBorders>
          </w:tcPr>
          <w:p w:rsidR="005B284D" w:rsidRPr="005B284D" w:rsidRDefault="005B284D" w:rsidP="005B284D">
            <w:pPr>
              <w:pStyle w:val="TableofFigures"/>
              <w:rPr>
                <w:rFonts w:cs="Arial"/>
                <w:sz w:val="36"/>
                <w:szCs w:val="36"/>
              </w:rPr>
            </w:pPr>
            <w:r w:rsidRPr="005B284D">
              <w:rPr>
                <w:rFonts w:asciiTheme="majorHAnsi"/>
                <w:kern w:val="24"/>
                <w:sz w:val="26"/>
                <w:szCs w:val="26"/>
              </w:rPr>
              <w:t>Syngas, biochar (when biomass used as feedstock), pyrolysis oil to make liquid fuels</w:t>
            </w:r>
          </w:p>
        </w:tc>
        <w:tc>
          <w:tcPr>
            <w:tcW w:w="2013" w:type="dxa"/>
            <w:tcBorders>
              <w:top w:val="single" w:sz="4" w:space="0" w:color="auto"/>
              <w:left w:val="single" w:sz="4" w:space="0" w:color="auto"/>
              <w:bottom w:val="single" w:sz="4" w:space="0" w:color="auto"/>
              <w:right w:val="single" w:sz="4" w:space="0" w:color="auto"/>
            </w:tcBorders>
          </w:tcPr>
          <w:p w:rsidR="005B284D" w:rsidRPr="005B284D" w:rsidRDefault="005B284D" w:rsidP="005B284D">
            <w:pPr>
              <w:pStyle w:val="TableofFigures"/>
              <w:rPr>
                <w:rFonts w:cs="Arial"/>
                <w:sz w:val="36"/>
                <w:szCs w:val="36"/>
              </w:rPr>
            </w:pPr>
            <w:r w:rsidRPr="005B284D">
              <w:rPr>
                <w:rFonts w:asciiTheme="majorHAnsi"/>
                <w:kern w:val="24"/>
                <w:sz w:val="26"/>
                <w:szCs w:val="26"/>
              </w:rPr>
              <w:t>Air pollution control residues</w:t>
            </w:r>
          </w:p>
        </w:tc>
      </w:tr>
      <w:tr w:rsidR="005B284D" w:rsidTr="005B284D">
        <w:tc>
          <w:tcPr>
            <w:tcW w:w="1747" w:type="dxa"/>
            <w:tcBorders>
              <w:top w:val="single" w:sz="4" w:space="0" w:color="auto"/>
              <w:left w:val="single" w:sz="4" w:space="0" w:color="auto"/>
              <w:bottom w:val="single" w:sz="4" w:space="0" w:color="auto"/>
              <w:right w:val="single" w:sz="4" w:space="0" w:color="auto"/>
            </w:tcBorders>
          </w:tcPr>
          <w:p w:rsidR="005B284D" w:rsidRDefault="005B284D" w:rsidP="005B284D">
            <w:pPr>
              <w:pStyle w:val="TableofFigures"/>
            </w:pPr>
            <w:r>
              <w:t>Biological</w:t>
            </w:r>
          </w:p>
        </w:tc>
        <w:tc>
          <w:tcPr>
            <w:tcW w:w="2029" w:type="dxa"/>
            <w:tcBorders>
              <w:top w:val="single" w:sz="4" w:space="0" w:color="auto"/>
              <w:left w:val="single" w:sz="4" w:space="0" w:color="auto"/>
              <w:bottom w:val="single" w:sz="4" w:space="0" w:color="auto"/>
              <w:right w:val="single" w:sz="4" w:space="0" w:color="auto"/>
            </w:tcBorders>
          </w:tcPr>
          <w:p w:rsidR="005B284D" w:rsidRPr="005B284D" w:rsidRDefault="005B284D" w:rsidP="005B284D">
            <w:pPr>
              <w:pStyle w:val="TableofFigures"/>
              <w:rPr>
                <w:rFonts w:cs="Arial"/>
                <w:sz w:val="36"/>
                <w:szCs w:val="36"/>
              </w:rPr>
            </w:pPr>
            <w:r w:rsidRPr="005B284D">
              <w:rPr>
                <w:rFonts w:asciiTheme="majorHAnsi" w:cs="Arial"/>
                <w:bCs/>
                <w:kern w:val="24"/>
                <w:sz w:val="26"/>
                <w:szCs w:val="26"/>
              </w:rPr>
              <w:t>Mechanical Biological Treatment</w:t>
            </w:r>
          </w:p>
        </w:tc>
        <w:tc>
          <w:tcPr>
            <w:tcW w:w="2066" w:type="dxa"/>
            <w:tcBorders>
              <w:top w:val="single" w:sz="4" w:space="0" w:color="auto"/>
              <w:left w:val="single" w:sz="4" w:space="0" w:color="auto"/>
              <w:bottom w:val="single" w:sz="4" w:space="0" w:color="auto"/>
              <w:right w:val="single" w:sz="4" w:space="0" w:color="auto"/>
            </w:tcBorders>
          </w:tcPr>
          <w:p w:rsidR="005B284D" w:rsidRPr="005B284D" w:rsidRDefault="005B284D" w:rsidP="005B284D">
            <w:pPr>
              <w:pStyle w:val="TableofFigures"/>
              <w:rPr>
                <w:rFonts w:cs="Arial"/>
                <w:sz w:val="36"/>
                <w:szCs w:val="36"/>
              </w:rPr>
            </w:pPr>
            <w:r w:rsidRPr="005B284D">
              <w:rPr>
                <w:rFonts w:asciiTheme="majorHAnsi"/>
                <w:bCs/>
                <w:kern w:val="24"/>
                <w:sz w:val="26"/>
                <w:szCs w:val="26"/>
              </w:rPr>
              <w:t>Residual MSW, C&amp;I waste, organic waste</w:t>
            </w:r>
          </w:p>
        </w:tc>
        <w:tc>
          <w:tcPr>
            <w:tcW w:w="1981" w:type="dxa"/>
            <w:tcBorders>
              <w:top w:val="single" w:sz="4" w:space="0" w:color="auto"/>
              <w:left w:val="single" w:sz="4" w:space="0" w:color="auto"/>
              <w:bottom w:val="single" w:sz="4" w:space="0" w:color="auto"/>
              <w:right w:val="single" w:sz="4" w:space="0" w:color="auto"/>
            </w:tcBorders>
          </w:tcPr>
          <w:p w:rsidR="005B284D" w:rsidRPr="005B284D" w:rsidRDefault="005B284D" w:rsidP="005B284D">
            <w:pPr>
              <w:pStyle w:val="TableofFigures"/>
              <w:rPr>
                <w:rFonts w:cs="Arial"/>
                <w:sz w:val="36"/>
                <w:szCs w:val="36"/>
              </w:rPr>
            </w:pPr>
            <w:r w:rsidRPr="005B284D">
              <w:rPr>
                <w:rFonts w:asciiTheme="majorHAnsi"/>
                <w:bCs/>
                <w:kern w:val="24"/>
                <w:sz w:val="26"/>
                <w:szCs w:val="26"/>
              </w:rPr>
              <w:t>Biogas, electricity, refuse derived fuels, separated recyclables (</w:t>
            </w:r>
            <w:proofErr w:type="spellStart"/>
            <w:r w:rsidRPr="005B284D">
              <w:rPr>
                <w:rFonts w:asciiTheme="majorHAnsi"/>
                <w:bCs/>
                <w:kern w:val="24"/>
                <w:sz w:val="26"/>
                <w:szCs w:val="26"/>
              </w:rPr>
              <w:t>eg</w:t>
            </w:r>
            <w:proofErr w:type="spellEnd"/>
            <w:r w:rsidRPr="005B284D">
              <w:rPr>
                <w:rFonts w:asciiTheme="majorHAnsi"/>
                <w:bCs/>
                <w:kern w:val="24"/>
                <w:sz w:val="26"/>
                <w:szCs w:val="26"/>
              </w:rPr>
              <w:t xml:space="preserve">. plastics, paper, glass, metals), compost-like material </w:t>
            </w:r>
            <w:r w:rsidRPr="005B284D">
              <w:rPr>
                <w:rFonts w:asciiTheme="majorHAnsi"/>
                <w:bCs/>
                <w:kern w:val="24"/>
                <w:sz w:val="26"/>
                <w:szCs w:val="26"/>
              </w:rPr>
              <w:t>–</w:t>
            </w:r>
            <w:r w:rsidRPr="005B284D">
              <w:rPr>
                <w:rFonts w:asciiTheme="majorHAnsi"/>
                <w:bCs/>
                <w:kern w:val="24"/>
                <w:sz w:val="26"/>
                <w:szCs w:val="26"/>
              </w:rPr>
              <w:t xml:space="preserve"> depending on technology configuration</w:t>
            </w:r>
          </w:p>
        </w:tc>
        <w:tc>
          <w:tcPr>
            <w:tcW w:w="2013" w:type="dxa"/>
            <w:tcBorders>
              <w:top w:val="single" w:sz="4" w:space="0" w:color="auto"/>
              <w:left w:val="single" w:sz="4" w:space="0" w:color="auto"/>
              <w:bottom w:val="single" w:sz="4" w:space="0" w:color="auto"/>
              <w:right w:val="single" w:sz="4" w:space="0" w:color="auto"/>
            </w:tcBorders>
          </w:tcPr>
          <w:p w:rsidR="005B284D" w:rsidRPr="005B284D" w:rsidRDefault="005B284D" w:rsidP="005B284D">
            <w:pPr>
              <w:pStyle w:val="TableofFigures"/>
              <w:rPr>
                <w:rFonts w:cs="Arial"/>
                <w:sz w:val="36"/>
                <w:szCs w:val="36"/>
              </w:rPr>
            </w:pPr>
            <w:r w:rsidRPr="005B284D">
              <w:rPr>
                <w:rFonts w:asciiTheme="majorHAnsi"/>
                <w:bCs/>
                <w:kern w:val="24"/>
                <w:sz w:val="26"/>
                <w:szCs w:val="26"/>
              </w:rPr>
              <w:t>Process water, air pollution control residues, inert materials and residual materials that have no economic value</w:t>
            </w:r>
          </w:p>
        </w:tc>
      </w:tr>
      <w:tr w:rsidR="005B284D" w:rsidTr="005B284D">
        <w:tc>
          <w:tcPr>
            <w:tcW w:w="1747" w:type="dxa"/>
            <w:tcBorders>
              <w:top w:val="single" w:sz="4" w:space="0" w:color="auto"/>
              <w:left w:val="single" w:sz="4" w:space="0" w:color="auto"/>
              <w:bottom w:val="single" w:sz="4" w:space="0" w:color="auto"/>
              <w:right w:val="single" w:sz="4" w:space="0" w:color="auto"/>
            </w:tcBorders>
          </w:tcPr>
          <w:p w:rsidR="005B284D" w:rsidRDefault="005B284D" w:rsidP="005B284D">
            <w:pPr>
              <w:pStyle w:val="TableofFigures"/>
            </w:pPr>
            <w:r>
              <w:t>Biological</w:t>
            </w:r>
          </w:p>
        </w:tc>
        <w:tc>
          <w:tcPr>
            <w:tcW w:w="2029" w:type="dxa"/>
            <w:tcBorders>
              <w:top w:val="single" w:sz="4" w:space="0" w:color="auto"/>
              <w:left w:val="single" w:sz="4" w:space="0" w:color="auto"/>
              <w:bottom w:val="single" w:sz="4" w:space="0" w:color="auto"/>
              <w:right w:val="single" w:sz="4" w:space="0" w:color="auto"/>
            </w:tcBorders>
          </w:tcPr>
          <w:p w:rsidR="005B284D" w:rsidRPr="005B284D" w:rsidRDefault="005B284D" w:rsidP="005B284D">
            <w:pPr>
              <w:pStyle w:val="TableofFigures"/>
              <w:rPr>
                <w:rFonts w:cs="Arial"/>
                <w:sz w:val="36"/>
                <w:szCs w:val="36"/>
              </w:rPr>
            </w:pPr>
            <w:r w:rsidRPr="005B284D">
              <w:rPr>
                <w:rFonts w:asciiTheme="majorHAnsi" w:cs="Arial"/>
                <w:kern w:val="24"/>
                <w:sz w:val="26"/>
                <w:szCs w:val="26"/>
              </w:rPr>
              <w:t>Anaerobic Digestion</w:t>
            </w:r>
          </w:p>
        </w:tc>
        <w:tc>
          <w:tcPr>
            <w:tcW w:w="2066" w:type="dxa"/>
            <w:tcBorders>
              <w:top w:val="single" w:sz="4" w:space="0" w:color="auto"/>
              <w:left w:val="single" w:sz="4" w:space="0" w:color="auto"/>
              <w:bottom w:val="single" w:sz="4" w:space="0" w:color="auto"/>
              <w:right w:val="single" w:sz="4" w:space="0" w:color="auto"/>
            </w:tcBorders>
          </w:tcPr>
          <w:p w:rsidR="005B284D" w:rsidRPr="005B284D" w:rsidRDefault="005B284D" w:rsidP="005B284D">
            <w:pPr>
              <w:pStyle w:val="TableofFigures"/>
              <w:rPr>
                <w:rFonts w:cs="Arial"/>
                <w:sz w:val="36"/>
                <w:szCs w:val="36"/>
              </w:rPr>
            </w:pPr>
            <w:proofErr w:type="spellStart"/>
            <w:r w:rsidRPr="005B284D">
              <w:rPr>
                <w:rFonts w:asciiTheme="majorHAnsi"/>
                <w:kern w:val="24"/>
                <w:sz w:val="26"/>
                <w:szCs w:val="26"/>
              </w:rPr>
              <w:t>Biosolids</w:t>
            </w:r>
            <w:proofErr w:type="spellEnd"/>
            <w:r w:rsidRPr="005B284D">
              <w:rPr>
                <w:rFonts w:asciiTheme="majorHAnsi"/>
                <w:kern w:val="24"/>
                <w:sz w:val="26"/>
                <w:szCs w:val="26"/>
              </w:rPr>
              <w:t>, food waste, green waste, crop residues</w:t>
            </w:r>
          </w:p>
        </w:tc>
        <w:tc>
          <w:tcPr>
            <w:tcW w:w="1981" w:type="dxa"/>
            <w:tcBorders>
              <w:top w:val="single" w:sz="4" w:space="0" w:color="auto"/>
              <w:left w:val="single" w:sz="4" w:space="0" w:color="auto"/>
              <w:bottom w:val="single" w:sz="4" w:space="0" w:color="auto"/>
              <w:right w:val="single" w:sz="4" w:space="0" w:color="auto"/>
            </w:tcBorders>
          </w:tcPr>
          <w:p w:rsidR="005B284D" w:rsidRPr="005B284D" w:rsidRDefault="005B284D" w:rsidP="005B284D">
            <w:pPr>
              <w:pStyle w:val="TableofFigures"/>
              <w:rPr>
                <w:rFonts w:cs="Arial"/>
                <w:sz w:val="36"/>
                <w:szCs w:val="36"/>
              </w:rPr>
            </w:pPr>
            <w:proofErr w:type="spellStart"/>
            <w:r w:rsidRPr="005B284D">
              <w:rPr>
                <w:rFonts w:asciiTheme="majorHAnsi"/>
                <w:kern w:val="24"/>
                <w:sz w:val="26"/>
                <w:szCs w:val="26"/>
              </w:rPr>
              <w:t>Digestate</w:t>
            </w:r>
            <w:proofErr w:type="spellEnd"/>
            <w:r w:rsidRPr="005B284D">
              <w:rPr>
                <w:rFonts w:asciiTheme="majorHAnsi"/>
                <w:kern w:val="24"/>
                <w:sz w:val="26"/>
                <w:szCs w:val="26"/>
              </w:rPr>
              <w:t>, compost, heat, electricity, biogas</w:t>
            </w:r>
          </w:p>
        </w:tc>
        <w:tc>
          <w:tcPr>
            <w:tcW w:w="2013" w:type="dxa"/>
            <w:tcBorders>
              <w:top w:val="single" w:sz="4" w:space="0" w:color="auto"/>
              <w:left w:val="single" w:sz="4" w:space="0" w:color="auto"/>
              <w:bottom w:val="single" w:sz="4" w:space="0" w:color="auto"/>
              <w:right w:val="single" w:sz="4" w:space="0" w:color="auto"/>
            </w:tcBorders>
          </w:tcPr>
          <w:p w:rsidR="005B284D" w:rsidRPr="005B284D" w:rsidRDefault="005B284D" w:rsidP="005B284D">
            <w:pPr>
              <w:pStyle w:val="TableofFigures"/>
              <w:rPr>
                <w:rFonts w:cs="Arial"/>
                <w:sz w:val="36"/>
                <w:szCs w:val="36"/>
              </w:rPr>
            </w:pPr>
            <w:r w:rsidRPr="005B284D">
              <w:rPr>
                <w:rFonts w:asciiTheme="majorHAnsi"/>
                <w:kern w:val="24"/>
                <w:sz w:val="26"/>
                <w:szCs w:val="26"/>
              </w:rPr>
              <w:t>Liquid residues, wastewater, inert and non-compostable material, contaminants (e.g. plastics)</w:t>
            </w:r>
          </w:p>
        </w:tc>
      </w:tr>
    </w:tbl>
    <w:p w:rsidR="002208F4" w:rsidRDefault="002208F4" w:rsidP="002208F4">
      <w:pPr>
        <w:pStyle w:val="Heading1"/>
        <w:rPr>
          <w:rFonts w:hint="eastAsia"/>
        </w:rPr>
      </w:pPr>
      <w:bookmarkStart w:id="7" w:name="_GoBack"/>
      <w:bookmarkEnd w:id="5"/>
      <w:bookmarkEnd w:id="6"/>
      <w:bookmarkEnd w:id="7"/>
      <w:r>
        <w:t>What are other cities doing?</w:t>
      </w:r>
    </w:p>
    <w:p w:rsidR="00507DC3" w:rsidRDefault="00507DC3" w:rsidP="00507DC3">
      <w:r>
        <w:t>City of Sydney proposed an Advanced Waste Treatment Master Plan in 2014 to convert non-recyclable waste into gas. They are yet to identify a site that is suitable for this technology that is accessible to the city and has the right connections to the gas and electricity grids.</w:t>
      </w:r>
    </w:p>
    <w:p w:rsidR="002208F4" w:rsidRDefault="00507DC3" w:rsidP="002208F4">
      <w:r>
        <w:t>The Confederation of European Waste-to-Energy Plants identifies 500 plants across 23 European countries. Many European countries use waste-to-energy as a means of reducing their waste to landfill. For example, Germany recycles or composts 68 per cent of their waste and uses the remaining 32 per cent to generate energy.</w:t>
      </w:r>
    </w:p>
    <w:p w:rsidR="002208F4" w:rsidRDefault="002208F4" w:rsidP="002208F4">
      <w:pPr>
        <w:pStyle w:val="Heading1"/>
        <w:rPr>
          <w:rFonts w:hint="eastAsia"/>
        </w:rPr>
      </w:pPr>
      <w:r>
        <w:t>What should be done to address these issues in Melbourne?</w:t>
      </w:r>
    </w:p>
    <w:p w:rsidR="00507DC3" w:rsidRDefault="00507DC3" w:rsidP="00507DC3">
      <w:r>
        <w:t>City of Melbourne is working with the Metropolitan Waste and Resource Recovery Group to establish the business case for Advanced Waste and Resource Recovery Technology facilities and has partnered with City of Port Phillip and South-East Water to investigate the feasibility of a Sustainability Hub, including advanced waste technologies, in Fishermans Bend.</w:t>
      </w:r>
    </w:p>
    <w:p w:rsidR="00507DC3" w:rsidRDefault="00507DC3" w:rsidP="00507DC3">
      <w:r>
        <w:t xml:space="preserve">Funding for Advanced Waste and Resource Recovery Technology facilities (which may include waste to energy plants) should be made available by the Victorian Government from landfill levy funds. </w:t>
      </w:r>
    </w:p>
    <w:p w:rsidR="002208F4" w:rsidRDefault="002208F4" w:rsidP="00507DC3">
      <w:pPr>
        <w:pStyle w:val="Heading1"/>
        <w:rPr>
          <w:rFonts w:hint="eastAsia"/>
        </w:rPr>
      </w:pPr>
      <w:r>
        <w:t xml:space="preserve">What if? </w:t>
      </w:r>
    </w:p>
    <w:p w:rsidR="00507DC3" w:rsidRDefault="00507DC3" w:rsidP="00507DC3">
      <w:r>
        <w:t>A network of waste to energy plants was established across metropolitan Melbourne to process the material that is currently being disposed to landfill.</w:t>
      </w:r>
    </w:p>
    <w:p w:rsidR="00507DC3" w:rsidRDefault="00507DC3" w:rsidP="00507DC3">
      <w:r>
        <w:t>Local governments across metropolitan Melbourne continue to dispose residual waste to landfill. This would require new landfills to accommodate the extra one million tonnes of annual landfill capacity required by 2041-42.</w:t>
      </w:r>
    </w:p>
    <w:p w:rsidR="002208F4" w:rsidRDefault="002208F4" w:rsidP="002208F4">
      <w:pPr>
        <w:pStyle w:val="Heading1"/>
        <w:rPr>
          <w:rFonts w:hint="eastAsia"/>
        </w:rPr>
      </w:pPr>
      <w:r>
        <w:t>We want your thoughts</w:t>
      </w:r>
    </w:p>
    <w:p w:rsidR="002208F4" w:rsidRDefault="002208F4" w:rsidP="00AB7C61">
      <w:pPr>
        <w:rPr>
          <w:rFonts w:eastAsia="Calibri"/>
          <w:sz w:val="22"/>
          <w:szCs w:val="22"/>
          <w:lang w:val="en-US" w:eastAsia="en-AU"/>
        </w:rPr>
      </w:pPr>
      <w:r>
        <w:rPr>
          <w:lang w:val="en-US"/>
        </w:rPr>
        <w:lastRenderedPageBreak/>
        <w:t xml:space="preserve">Web: </w:t>
      </w:r>
      <w:hyperlink r:id="rId11" w:history="1">
        <w:r>
          <w:rPr>
            <w:rStyle w:val="Hyperlink"/>
          </w:rPr>
          <w:t>participate.melbourne.vic.gov.au/waste-resource-recovery-strategy</w:t>
        </w:r>
      </w:hyperlink>
    </w:p>
    <w:p w:rsidR="002208F4" w:rsidRDefault="002208F4" w:rsidP="00AB7C61">
      <w:pPr>
        <w:rPr>
          <w:lang w:val="en-US"/>
        </w:rPr>
      </w:pPr>
      <w:r>
        <w:rPr>
          <w:lang w:val="en-US"/>
        </w:rPr>
        <w:t>Telephone: 03 9658 9658</w:t>
      </w:r>
    </w:p>
    <w:p w:rsidR="002208F4" w:rsidRDefault="002208F4" w:rsidP="00AB7C61">
      <w:pPr>
        <w:rPr>
          <w:lang w:val="en-US"/>
        </w:rPr>
      </w:pPr>
      <w:r>
        <w:rPr>
          <w:lang w:val="en-US"/>
        </w:rPr>
        <w:t xml:space="preserve">Email: </w:t>
      </w:r>
      <w:hyperlink r:id="rId12" w:history="1">
        <w:r>
          <w:rPr>
            <w:rStyle w:val="Hyperlink"/>
          </w:rPr>
          <w:t>engineering@melbourne.vic.gov.au</w:t>
        </w:r>
      </w:hyperlink>
      <w:r>
        <w:rPr>
          <w:lang w:val="en-US"/>
        </w:rPr>
        <w:t xml:space="preserve"> </w:t>
      </w:r>
    </w:p>
    <w:p w:rsidR="002208F4" w:rsidRDefault="002208F4" w:rsidP="00AB7C61">
      <w:r>
        <w:t>For more information, contact City of Melbourne</w:t>
      </w:r>
    </w:p>
    <w:p w:rsidR="002208F4" w:rsidRDefault="002208F4" w:rsidP="00AB7C61">
      <w:r>
        <w:t>Telephone: 03 9658 9658</w:t>
      </w:r>
    </w:p>
    <w:p w:rsidR="002208F4" w:rsidRDefault="002208F4" w:rsidP="00AB7C61">
      <w:r>
        <w:t>participate.melbourne.vic.gov.au</w:t>
      </w:r>
      <w:r w:rsidR="00AB7C61">
        <w:t xml:space="preserve"> </w:t>
      </w:r>
    </w:p>
    <w:bookmarkEnd w:id="0"/>
    <w:bookmarkEnd w:id="1"/>
    <w:bookmarkEnd w:id="2"/>
    <w:bookmarkEnd w:id="3"/>
    <w:bookmarkEnd w:id="4"/>
    <w:sectPr w:rsidR="002208F4"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8F4" w:rsidRDefault="002208F4" w:rsidP="00BC719D">
      <w:pPr>
        <w:spacing w:after="0"/>
      </w:pPr>
      <w:r>
        <w:separator/>
      </w:r>
    </w:p>
  </w:endnote>
  <w:endnote w:type="continuationSeparator" w:id="0">
    <w:p w:rsidR="002208F4" w:rsidRDefault="002208F4"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8F4" w:rsidRDefault="002208F4" w:rsidP="00577A39">
      <w:pPr>
        <w:spacing w:after="40" w:line="240" w:lineRule="auto"/>
      </w:pPr>
      <w:r>
        <w:separator/>
      </w:r>
    </w:p>
  </w:footnote>
  <w:footnote w:type="continuationSeparator" w:id="0">
    <w:p w:rsidR="002208F4" w:rsidRDefault="002208F4" w:rsidP="00EA2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047D6"/>
    <w:lvl w:ilvl="0">
      <w:start w:val="1"/>
      <w:numFmt w:val="decimal"/>
      <w:lvlText w:val="%1."/>
      <w:lvlJc w:val="left"/>
      <w:pPr>
        <w:tabs>
          <w:tab w:val="num" w:pos="1492"/>
        </w:tabs>
        <w:ind w:left="1492" w:hanging="360"/>
      </w:pPr>
    </w:lvl>
  </w:abstractNum>
  <w:abstractNum w:abstractNumId="1">
    <w:nsid w:val="FFFFFF7D"/>
    <w:multiLevelType w:val="singleLevel"/>
    <w:tmpl w:val="529ECBB4"/>
    <w:lvl w:ilvl="0">
      <w:start w:val="1"/>
      <w:numFmt w:val="decimal"/>
      <w:lvlText w:val="%1."/>
      <w:lvlJc w:val="left"/>
      <w:pPr>
        <w:tabs>
          <w:tab w:val="num" w:pos="1209"/>
        </w:tabs>
        <w:ind w:left="1209" w:hanging="360"/>
      </w:pPr>
    </w:lvl>
  </w:abstractNum>
  <w:abstractNum w:abstractNumId="2">
    <w:nsid w:val="FFFFFF7E"/>
    <w:multiLevelType w:val="singleLevel"/>
    <w:tmpl w:val="58E84B54"/>
    <w:lvl w:ilvl="0">
      <w:start w:val="1"/>
      <w:numFmt w:val="decimal"/>
      <w:lvlText w:val="%1."/>
      <w:lvlJc w:val="left"/>
      <w:pPr>
        <w:tabs>
          <w:tab w:val="num" w:pos="926"/>
        </w:tabs>
        <w:ind w:left="926" w:hanging="360"/>
      </w:pPr>
    </w:lvl>
  </w:abstractNum>
  <w:abstractNum w:abstractNumId="3">
    <w:nsid w:val="FFFFFF7F"/>
    <w:multiLevelType w:val="singleLevel"/>
    <w:tmpl w:val="3342F0E8"/>
    <w:lvl w:ilvl="0">
      <w:start w:val="1"/>
      <w:numFmt w:val="decimal"/>
      <w:lvlText w:val="%1."/>
      <w:lvlJc w:val="left"/>
      <w:pPr>
        <w:tabs>
          <w:tab w:val="num" w:pos="643"/>
        </w:tabs>
        <w:ind w:left="643" w:hanging="360"/>
      </w:pPr>
    </w:lvl>
  </w:abstractNum>
  <w:abstractNum w:abstractNumId="4">
    <w:nsid w:val="FFFFFF80"/>
    <w:multiLevelType w:val="singleLevel"/>
    <w:tmpl w:val="E9D2C0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F651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0CAE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EC2A8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A87D4C"/>
    <w:lvl w:ilvl="0">
      <w:start w:val="1"/>
      <w:numFmt w:val="decimal"/>
      <w:lvlText w:val="%1."/>
      <w:lvlJc w:val="left"/>
      <w:pPr>
        <w:tabs>
          <w:tab w:val="num" w:pos="360"/>
        </w:tabs>
        <w:ind w:left="360" w:hanging="360"/>
      </w:pPr>
    </w:lvl>
  </w:abstractNum>
  <w:abstractNum w:abstractNumId="9">
    <w:nsid w:val="FFFFFF89"/>
    <w:multiLevelType w:val="singleLevel"/>
    <w:tmpl w:val="7310C99C"/>
    <w:lvl w:ilvl="0">
      <w:start w:val="1"/>
      <w:numFmt w:val="bullet"/>
      <w:lvlText w:val=""/>
      <w:lvlJc w:val="left"/>
      <w:pPr>
        <w:tabs>
          <w:tab w:val="num" w:pos="360"/>
        </w:tabs>
        <w:ind w:left="360" w:hanging="360"/>
      </w:pPr>
      <w:rPr>
        <w:rFonts w:ascii="Symbol" w:hAnsi="Symbol" w:hint="default"/>
      </w:rPr>
    </w:lvl>
  </w:abstractNum>
  <w:abstractNum w:abstractNumId="1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12">
    <w:nsid w:val="1BD858DD"/>
    <w:multiLevelType w:val="hybridMultilevel"/>
    <w:tmpl w:val="DC38D8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4">
    <w:nsid w:val="2A2B5D1C"/>
    <w:multiLevelType w:val="multilevel"/>
    <w:tmpl w:val="16506B6C"/>
    <w:numStyleLink w:val="ListNumbers"/>
  </w:abstractNum>
  <w:abstractNum w:abstractNumId="15">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7D0624C"/>
    <w:multiLevelType w:val="hybridMultilevel"/>
    <w:tmpl w:val="75CC8F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38C10957"/>
    <w:multiLevelType w:val="multilevel"/>
    <w:tmpl w:val="16506B6C"/>
    <w:numStyleLink w:val="ListNumbers"/>
  </w:abstractNum>
  <w:abstractNum w:abstractNumId="18">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E1209CA"/>
    <w:multiLevelType w:val="multilevel"/>
    <w:tmpl w:val="16506B6C"/>
    <w:numStyleLink w:val="ListNumbers"/>
  </w:abstractNum>
  <w:abstractNum w:abstractNumId="20">
    <w:nsid w:val="7A2C43DC"/>
    <w:multiLevelType w:val="multilevel"/>
    <w:tmpl w:val="16506B6C"/>
    <w:numStyleLink w:val="ListNumbers"/>
  </w:abstractNum>
  <w:abstractNum w:abstractNumId="21">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11"/>
  </w:num>
  <w:num w:numId="2">
    <w:abstractNumId w:val="13"/>
  </w:num>
  <w:num w:numId="3">
    <w:abstractNumId w:val="20"/>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5"/>
  </w:num>
  <w:num w:numId="13">
    <w:abstractNumId w:val="18"/>
  </w:num>
  <w:num w:numId="14">
    <w:abstractNumId w:val="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9"/>
  </w:num>
  <w:num w:numId="18">
    <w:abstractNumId w:val="8"/>
  </w:num>
  <w:num w:numId="19">
    <w:abstractNumId w:val="3"/>
  </w:num>
  <w:num w:numId="20">
    <w:abstractNumId w:val="7"/>
  </w:num>
  <w:num w:numId="21">
    <w:abstractNumId w:val="6"/>
  </w:num>
  <w:num w:numId="22">
    <w:abstractNumId w:val="5"/>
  </w:num>
  <w:num w:numId="23">
    <w:abstractNumId w:val="4"/>
  </w:num>
  <w:num w:numId="24">
    <w:abstractNumId w:val="1"/>
  </w:num>
  <w:num w:numId="25">
    <w:abstractNumId w:val="12"/>
  </w:num>
  <w:num w:numId="26">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F4"/>
    <w:rsid w:val="00020B35"/>
    <w:rsid w:val="000437C5"/>
    <w:rsid w:val="000474AE"/>
    <w:rsid w:val="00071857"/>
    <w:rsid w:val="000A2BDA"/>
    <w:rsid w:val="000A48D5"/>
    <w:rsid w:val="000B5EAA"/>
    <w:rsid w:val="000F3535"/>
    <w:rsid w:val="00190B0E"/>
    <w:rsid w:val="001B51BF"/>
    <w:rsid w:val="001F46B4"/>
    <w:rsid w:val="001F554D"/>
    <w:rsid w:val="002208F4"/>
    <w:rsid w:val="002436A6"/>
    <w:rsid w:val="002438B7"/>
    <w:rsid w:val="0024773F"/>
    <w:rsid w:val="002D630D"/>
    <w:rsid w:val="002E4153"/>
    <w:rsid w:val="002F47B6"/>
    <w:rsid w:val="002F6A88"/>
    <w:rsid w:val="00353A13"/>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07DC3"/>
    <w:rsid w:val="00535159"/>
    <w:rsid w:val="0053666A"/>
    <w:rsid w:val="005620A0"/>
    <w:rsid w:val="0056634E"/>
    <w:rsid w:val="0057264C"/>
    <w:rsid w:val="00577A39"/>
    <w:rsid w:val="005814F5"/>
    <w:rsid w:val="005B284D"/>
    <w:rsid w:val="005D30BA"/>
    <w:rsid w:val="005F4391"/>
    <w:rsid w:val="00687D4A"/>
    <w:rsid w:val="006A2F63"/>
    <w:rsid w:val="006A3718"/>
    <w:rsid w:val="006C7F7B"/>
    <w:rsid w:val="00712950"/>
    <w:rsid w:val="007130D6"/>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B7C61"/>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caption" w:qFormat="1"/>
    <w:lsdException w:name="table of figures" w:qFormat="1"/>
    <w:lsdException w:name="List Bullet" w:qFormat="1"/>
    <w:lsdException w:name="List Number" w:qFormat="1"/>
    <w:lsdException w:name="Default Paragraph Font" w:qFormat="1"/>
    <w:lsdException w:name="Hyperlink" w:uiPriority="99"/>
    <w:lsdException w:name="Normal (Web)" w:uiPriority="99"/>
    <w:lsdException w:name="List Paragraph" w:uiPriority="34" w:qFormat="1"/>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qFormat/>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styleId="NormalWeb">
    <w:name w:val="Normal (Web)"/>
    <w:basedOn w:val="Normal"/>
    <w:uiPriority w:val="99"/>
    <w:unhideWhenUsed/>
    <w:rsid w:val="005B284D"/>
    <w:pPr>
      <w:spacing w:before="100" w:beforeAutospacing="1" w:after="100" w:afterAutospacing="1" w:line="240" w:lineRule="auto"/>
    </w:pPr>
    <w:rPr>
      <w:rFonts w:ascii="Times New Roman" w:eastAsia="Times New Roman" w:hAnsi="Times New Roman"/>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caption" w:qFormat="1"/>
    <w:lsdException w:name="table of figures" w:qFormat="1"/>
    <w:lsdException w:name="List Bullet" w:qFormat="1"/>
    <w:lsdException w:name="List Number" w:qFormat="1"/>
    <w:lsdException w:name="Default Paragraph Font" w:qFormat="1"/>
    <w:lsdException w:name="Hyperlink" w:uiPriority="99"/>
    <w:lsdException w:name="Normal (Web)" w:uiPriority="99"/>
    <w:lsdException w:name="List Paragraph" w:uiPriority="34" w:qFormat="1"/>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qFormat/>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styleId="NormalWeb">
    <w:name w:val="Normal (Web)"/>
    <w:basedOn w:val="Normal"/>
    <w:uiPriority w:val="99"/>
    <w:unhideWhenUsed/>
    <w:rsid w:val="005B284D"/>
    <w:pPr>
      <w:spacing w:before="100" w:beforeAutospacing="1" w:after="100" w:afterAutospacing="1" w:line="240" w:lineRule="auto"/>
    </w:pPr>
    <w:rPr>
      <w:rFonts w:ascii="Times New Roman" w:eastAsia="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4279">
      <w:bodyDiv w:val="1"/>
      <w:marLeft w:val="0"/>
      <w:marRight w:val="0"/>
      <w:marTop w:val="0"/>
      <w:marBottom w:val="0"/>
      <w:divBdr>
        <w:top w:val="none" w:sz="0" w:space="0" w:color="auto"/>
        <w:left w:val="none" w:sz="0" w:space="0" w:color="auto"/>
        <w:bottom w:val="none" w:sz="0" w:space="0" w:color="auto"/>
        <w:right w:val="none" w:sz="0" w:space="0" w:color="auto"/>
      </w:divBdr>
    </w:div>
    <w:div w:id="239409304">
      <w:bodyDiv w:val="1"/>
      <w:marLeft w:val="0"/>
      <w:marRight w:val="0"/>
      <w:marTop w:val="0"/>
      <w:marBottom w:val="0"/>
      <w:divBdr>
        <w:top w:val="none" w:sz="0" w:space="0" w:color="auto"/>
        <w:left w:val="none" w:sz="0" w:space="0" w:color="auto"/>
        <w:bottom w:val="none" w:sz="0" w:space="0" w:color="auto"/>
        <w:right w:val="none" w:sz="0" w:space="0" w:color="auto"/>
      </w:divBdr>
    </w:div>
    <w:div w:id="345863641">
      <w:bodyDiv w:val="1"/>
      <w:marLeft w:val="0"/>
      <w:marRight w:val="0"/>
      <w:marTop w:val="0"/>
      <w:marBottom w:val="0"/>
      <w:divBdr>
        <w:top w:val="none" w:sz="0" w:space="0" w:color="auto"/>
        <w:left w:val="none" w:sz="0" w:space="0" w:color="auto"/>
        <w:bottom w:val="none" w:sz="0" w:space="0" w:color="auto"/>
        <w:right w:val="none" w:sz="0" w:space="0" w:color="auto"/>
      </w:divBdr>
    </w:div>
    <w:div w:id="690649833">
      <w:bodyDiv w:val="1"/>
      <w:marLeft w:val="0"/>
      <w:marRight w:val="0"/>
      <w:marTop w:val="0"/>
      <w:marBottom w:val="0"/>
      <w:divBdr>
        <w:top w:val="none" w:sz="0" w:space="0" w:color="auto"/>
        <w:left w:val="none" w:sz="0" w:space="0" w:color="auto"/>
        <w:bottom w:val="none" w:sz="0" w:space="0" w:color="auto"/>
        <w:right w:val="none" w:sz="0" w:space="0" w:color="auto"/>
      </w:divBdr>
    </w:div>
    <w:div w:id="712462216">
      <w:bodyDiv w:val="1"/>
      <w:marLeft w:val="0"/>
      <w:marRight w:val="0"/>
      <w:marTop w:val="0"/>
      <w:marBottom w:val="0"/>
      <w:divBdr>
        <w:top w:val="none" w:sz="0" w:space="0" w:color="auto"/>
        <w:left w:val="none" w:sz="0" w:space="0" w:color="auto"/>
        <w:bottom w:val="none" w:sz="0" w:space="0" w:color="auto"/>
        <w:right w:val="none" w:sz="0" w:space="0" w:color="auto"/>
      </w:divBdr>
    </w:div>
    <w:div w:id="718168390">
      <w:bodyDiv w:val="1"/>
      <w:marLeft w:val="0"/>
      <w:marRight w:val="0"/>
      <w:marTop w:val="0"/>
      <w:marBottom w:val="0"/>
      <w:divBdr>
        <w:top w:val="none" w:sz="0" w:space="0" w:color="auto"/>
        <w:left w:val="none" w:sz="0" w:space="0" w:color="auto"/>
        <w:bottom w:val="none" w:sz="0" w:space="0" w:color="auto"/>
        <w:right w:val="none" w:sz="0" w:space="0" w:color="auto"/>
      </w:divBdr>
    </w:div>
    <w:div w:id="892615385">
      <w:bodyDiv w:val="1"/>
      <w:marLeft w:val="0"/>
      <w:marRight w:val="0"/>
      <w:marTop w:val="0"/>
      <w:marBottom w:val="0"/>
      <w:divBdr>
        <w:top w:val="none" w:sz="0" w:space="0" w:color="auto"/>
        <w:left w:val="none" w:sz="0" w:space="0" w:color="auto"/>
        <w:bottom w:val="none" w:sz="0" w:space="0" w:color="auto"/>
        <w:right w:val="none" w:sz="0" w:space="0" w:color="auto"/>
      </w:divBdr>
    </w:div>
    <w:div w:id="1522744862">
      <w:bodyDiv w:val="1"/>
      <w:marLeft w:val="0"/>
      <w:marRight w:val="0"/>
      <w:marTop w:val="0"/>
      <w:marBottom w:val="0"/>
      <w:divBdr>
        <w:top w:val="none" w:sz="0" w:space="0" w:color="auto"/>
        <w:left w:val="none" w:sz="0" w:space="0" w:color="auto"/>
        <w:bottom w:val="none" w:sz="0" w:space="0" w:color="auto"/>
        <w:right w:val="none" w:sz="0" w:space="0" w:color="auto"/>
      </w:divBdr>
    </w:div>
    <w:div w:id="1635330021">
      <w:bodyDiv w:val="1"/>
      <w:marLeft w:val="0"/>
      <w:marRight w:val="0"/>
      <w:marTop w:val="0"/>
      <w:marBottom w:val="0"/>
      <w:divBdr>
        <w:top w:val="none" w:sz="0" w:space="0" w:color="auto"/>
        <w:left w:val="none" w:sz="0" w:space="0" w:color="auto"/>
        <w:bottom w:val="none" w:sz="0" w:space="0" w:color="auto"/>
        <w:right w:val="none" w:sz="0" w:space="0" w:color="auto"/>
      </w:divBdr>
    </w:div>
    <w:div w:id="1671785805">
      <w:bodyDiv w:val="1"/>
      <w:marLeft w:val="0"/>
      <w:marRight w:val="0"/>
      <w:marTop w:val="0"/>
      <w:marBottom w:val="0"/>
      <w:divBdr>
        <w:top w:val="none" w:sz="0" w:space="0" w:color="auto"/>
        <w:left w:val="none" w:sz="0" w:space="0" w:color="auto"/>
        <w:bottom w:val="none" w:sz="0" w:space="0" w:color="auto"/>
        <w:right w:val="none" w:sz="0" w:space="0" w:color="auto"/>
      </w:divBdr>
    </w:div>
    <w:div w:id="1915240761">
      <w:bodyDiv w:val="1"/>
      <w:marLeft w:val="0"/>
      <w:marRight w:val="0"/>
      <w:marTop w:val="0"/>
      <w:marBottom w:val="0"/>
      <w:divBdr>
        <w:top w:val="none" w:sz="0" w:space="0" w:color="auto"/>
        <w:left w:val="none" w:sz="0" w:space="0" w:color="auto"/>
        <w:bottom w:val="none" w:sz="0" w:space="0" w:color="auto"/>
        <w:right w:val="none" w:sz="0" w:space="0" w:color="auto"/>
      </w:divBdr>
    </w:div>
    <w:div w:id="2052877654">
      <w:bodyDiv w:val="1"/>
      <w:marLeft w:val="0"/>
      <w:marRight w:val="0"/>
      <w:marTop w:val="0"/>
      <w:marBottom w:val="0"/>
      <w:divBdr>
        <w:top w:val="none" w:sz="0" w:space="0" w:color="auto"/>
        <w:left w:val="none" w:sz="0" w:space="0" w:color="auto"/>
        <w:bottom w:val="none" w:sz="0" w:space="0" w:color="auto"/>
        <w:right w:val="none" w:sz="0" w:space="0" w:color="auto"/>
      </w:divBdr>
    </w:div>
    <w:div w:id="2069838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ngineering@melbourne.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ticipate.melbourne.vic.gov.au/waste-resource-strategy" TargetMode="External"/><Relationship Id="rId5" Type="http://schemas.openxmlformats.org/officeDocument/2006/relationships/settings" Target="settings.xml"/><Relationship Id="rId10" Type="http://schemas.openxmlformats.org/officeDocument/2006/relationships/hyperlink" Target="http://www.environment.vic.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1DEA6-3DBC-4570-9140-5BBDF5DB4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4</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2018-07-02T02:06:00Z</dcterms:created>
  <dcterms:modified xsi:type="dcterms:W3CDTF">2018-07-02T02:20:00Z</dcterms:modified>
</cp:coreProperties>
</file>