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theme/themeOverride1.xml" ContentType="application/vnd.openxmlformats-officedocument.themeOverride+xml"/>
  <Override PartName="/word/charts/chart3.xml" ContentType="application/vnd.openxmlformats-officedocument.drawingml.chart+xml"/>
  <Override PartName="/word/theme/themeOverride2.xml" ContentType="application/vnd.openxmlformats-officedocument.themeOverride+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theme/themeOverride3.xml" ContentType="application/vnd.openxmlformats-officedocument.themeOverride+xml"/>
  <Override PartName="/word/charts/chart7.xml" ContentType="application/vnd.openxmlformats-officedocument.drawingml.chart+xml"/>
  <Override PartName="/word/theme/themeOverride4.xml" ContentType="application/vnd.openxmlformats-officedocument.themeOverride+xml"/>
  <Override PartName="/word/charts/chart8.xml" ContentType="application/vnd.openxmlformats-officedocument.drawingml.chart+xml"/>
  <Override PartName="/word/theme/themeOverride5.xml" ContentType="application/vnd.openxmlformats-officedocument.themeOverride+xml"/>
  <Override PartName="/word/charts/chart9.xml" ContentType="application/vnd.openxmlformats-officedocument.drawingml.chart+xml"/>
  <Override PartName="/word/theme/themeOverride6.xml" ContentType="application/vnd.openxmlformats-officedocument.themeOverride+xml"/>
  <Override PartName="/word/charts/chart10.xml" ContentType="application/vnd.openxmlformats-officedocument.drawingml.chart+xml"/>
  <Override PartName="/word/charts/chart11.xml" ContentType="application/vnd.openxmlformats-officedocument.drawingml.chart+xml"/>
  <Override PartName="/word/theme/themeOverride7.xml" ContentType="application/vnd.openxmlformats-officedocument.themeOverride+xml"/>
  <Override PartName="/word/charts/chart12.xml" ContentType="application/vnd.openxmlformats-officedocument.drawingml.chart+xml"/>
  <Override PartName="/word/theme/themeOverride8.xml" ContentType="application/vnd.openxmlformats-officedocument.themeOverride+xml"/>
  <Override PartName="/word/charts/chart13.xml" ContentType="application/vnd.openxmlformats-officedocument.drawingml.chart+xml"/>
  <Override PartName="/word/theme/themeOverride9.xml" ContentType="application/vnd.openxmlformats-officedocument.themeOverride+xml"/>
  <Override PartName="/word/charts/chart14.xml" ContentType="application/vnd.openxmlformats-officedocument.drawingml.chart+xml"/>
  <Override PartName="/word/theme/themeOverride10.xml" ContentType="application/vnd.openxmlformats-officedocument.themeOverride+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charts/chart15.xml" ContentType="application/vnd.openxmlformats-officedocument.drawingml.chart+xml"/>
  <Override PartName="/word/theme/themeOverride11.xml" ContentType="application/vnd.openxmlformats-officedocument.themeOverride+xml"/>
  <Override PartName="/word/charts/chart16.xml" ContentType="application/vnd.openxmlformats-officedocument.drawingml.chart+xml"/>
  <Override PartName="/word/theme/themeOverride12.xml" ContentType="application/vnd.openxmlformats-officedocument.themeOverride+xml"/>
  <Override PartName="/word/charts/chart17.xml" ContentType="application/vnd.openxmlformats-officedocument.drawingml.chart+xml"/>
  <Override PartName="/word/theme/themeOverride13.xml" ContentType="application/vnd.openxmlformats-officedocument.themeOverride+xml"/>
  <Override PartName="/word/charts/chart18.xml" ContentType="application/vnd.openxmlformats-officedocument.drawingml.chart+xml"/>
  <Override PartName="/word/theme/themeOverride14.xml" ContentType="application/vnd.openxmlformats-officedocument.themeOverride+xml"/>
  <Override PartName="/word/charts/chart19.xml" ContentType="application/vnd.openxmlformats-officedocument.drawingml.chart+xml"/>
  <Override PartName="/word/theme/themeOverride15.xml" ContentType="application/vnd.openxmlformats-officedocument.themeOverride+xml"/>
  <Override PartName="/word/charts/chart20.xml" ContentType="application/vnd.openxmlformats-officedocument.drawingml.chart+xml"/>
  <Override PartName="/word/theme/themeOverride16.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Override PartName="/word/people.xml" ContentType="application/vnd.openxmlformats-officedocument.wordprocessingml.people+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sz w:val="20"/>
        </w:rPr>
        <w:id w:val="14741860"/>
        <w:docPartObj>
          <w:docPartGallery w:val="Cover Pages"/>
          <w:docPartUnique/>
        </w:docPartObj>
      </w:sdtPr>
      <w:sdtEndPr>
        <w:rPr>
          <w:sz w:val="19"/>
          <w:szCs w:val="19"/>
        </w:rPr>
      </w:sdtEndPr>
      <w:sdtContent>
        <w:p w:rsidR="007D7B46" w:rsidRDefault="007D7B46" w:rsidP="00E526EB">
          <w:pPr>
            <w:pStyle w:val="HeaderCoverPage"/>
          </w:pPr>
          <w:r w:rsidRPr="00E526EB">
            <w:rPr>
              <w:noProof/>
            </w:rPr>
            <w:drawing>
              <wp:inline distT="0" distB="0" distL="0" distR="0" wp14:anchorId="55558B33" wp14:editId="4DC9F593">
                <wp:extent cx="990000" cy="954000"/>
                <wp:effectExtent l="0" t="0" r="635" b="0"/>
                <wp:docPr id="12" name="Picture 12" descr="City of Melbour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City of Melbourn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990000" cy="954000"/>
                        </a:xfrm>
                        <a:prstGeom prst="rect">
                          <a:avLst/>
                        </a:prstGeom>
                        <a:noFill/>
                        <a:ln>
                          <a:noFill/>
                        </a:ln>
                      </pic:spPr>
                    </pic:pic>
                  </a:graphicData>
                </a:graphic>
              </wp:inline>
            </w:drawing>
          </w:r>
        </w:p>
        <w:p w:rsidR="005C45E7" w:rsidRDefault="003C02AC" w:rsidP="005C45E7">
          <w:pPr>
            <w:pStyle w:val="Title"/>
          </w:pPr>
          <w:r>
            <w:t xml:space="preserve">Climate </w:t>
          </w:r>
          <w:r w:rsidR="003A0B7C">
            <w:t>Change Mitigation</w:t>
          </w:r>
          <w:r w:rsidR="009D1DFE">
            <w:t xml:space="preserve"> Strategy to </w:t>
          </w:r>
          <w:r w:rsidR="00255756">
            <w:t>2050</w:t>
          </w:r>
          <w:r w:rsidR="0040423B">
            <w:t xml:space="preserve"> </w:t>
          </w:r>
        </w:p>
        <w:p w:rsidR="00B32A5A" w:rsidRDefault="00B32A5A" w:rsidP="00B32A5A">
          <w:pPr>
            <w:pStyle w:val="Subtitle"/>
          </w:pPr>
          <w:r>
            <w:t>Melbourne together for 1.</w:t>
          </w:r>
          <w:r>
            <w:rPr>
              <w:rFonts w:cstheme="minorHAnsi"/>
              <w:szCs w:val="44"/>
            </w:rPr>
            <w:t>5</w:t>
          </w:r>
          <w:r>
            <w:rPr>
              <w:rFonts w:eastAsia="Adobe Heiti Std R" w:cstheme="minorHAnsi"/>
              <w:color w:val="auto"/>
              <w:szCs w:val="44"/>
              <w:lang w:val="en-US"/>
            </w:rPr>
            <w:t>°</w:t>
          </w:r>
          <w:r>
            <w:rPr>
              <w:rFonts w:cstheme="minorHAnsi"/>
              <w:color w:val="auto"/>
              <w:szCs w:val="44"/>
            </w:rPr>
            <w:t>C</w:t>
          </w:r>
        </w:p>
        <w:p w:rsidR="003C02AC" w:rsidRDefault="003C02AC" w:rsidP="005C45E7">
          <w:pPr>
            <w:pStyle w:val="Subtitle"/>
          </w:pPr>
        </w:p>
        <w:p w:rsidR="009C5DBD" w:rsidRPr="00F27994" w:rsidRDefault="003A0B7C" w:rsidP="00F27994">
          <w:pPr>
            <w:pStyle w:val="Subtitle2"/>
          </w:pPr>
          <w:r>
            <w:t xml:space="preserve">DRAFT </w:t>
          </w:r>
          <w:r w:rsidR="00EF322A">
            <w:t>21</w:t>
          </w:r>
          <w:r w:rsidR="00F31036">
            <w:t xml:space="preserve"> August</w:t>
          </w:r>
          <w:r w:rsidR="00255756">
            <w:t xml:space="preserve"> 2018</w:t>
          </w:r>
        </w:p>
        <w:p w:rsidR="002E1030" w:rsidRPr="00851AAA" w:rsidRDefault="002E1030" w:rsidP="00FA2487">
          <w:pPr>
            <w:rPr>
              <w:sz w:val="19"/>
              <w:szCs w:val="19"/>
            </w:rPr>
          </w:pPr>
        </w:p>
        <w:p w:rsidR="008B51D2" w:rsidRPr="00851AAA" w:rsidRDefault="00130D4F" w:rsidP="0045796F">
          <w:pPr>
            <w:rPr>
              <w:sz w:val="19"/>
              <w:szCs w:val="19"/>
            </w:rPr>
            <w:sectPr w:rsidR="008B51D2" w:rsidRPr="00851AAA" w:rsidSect="00932663">
              <w:footerReference w:type="default" r:id="rId11"/>
              <w:pgSz w:w="11907" w:h="16839" w:code="9"/>
              <w:pgMar w:top="1440" w:right="992" w:bottom="1440" w:left="709" w:header="454" w:footer="510" w:gutter="0"/>
              <w:cols w:space="708"/>
              <w:titlePg/>
              <w:docGrid w:linePitch="360"/>
            </w:sectPr>
          </w:pPr>
        </w:p>
      </w:sdtContent>
    </w:sdt>
    <w:p w:rsidR="00255756" w:rsidRDefault="00A3646A" w:rsidP="00255756">
      <w:pPr>
        <w:pStyle w:val="BoldHeading"/>
      </w:pPr>
      <w:r>
        <w:t>Acknowledgement of Traditional Owners</w:t>
      </w:r>
    </w:p>
    <w:p w:rsidR="00A1171F" w:rsidRDefault="00A1171F" w:rsidP="00A1171F">
      <w:pPr>
        <w:pStyle w:val="BodyText"/>
      </w:pPr>
      <w:r>
        <w:t xml:space="preserve">The City of Melbourne respectfully acknowledges the Traditional Custodians of the Land. </w:t>
      </w:r>
    </w:p>
    <w:p w:rsidR="00A1171F" w:rsidRDefault="00A1171F" w:rsidP="00A1171F">
      <w:pPr>
        <w:pStyle w:val="BodyText"/>
      </w:pPr>
      <w:r>
        <w:t xml:space="preserve">For the </w:t>
      </w:r>
      <w:proofErr w:type="spellStart"/>
      <w:r>
        <w:t>Woiwurrung</w:t>
      </w:r>
      <w:proofErr w:type="spellEnd"/>
      <w:r>
        <w:t xml:space="preserve"> (Wurundjeri), </w:t>
      </w:r>
      <w:proofErr w:type="spellStart"/>
      <w:r>
        <w:t>Boonwurrung</w:t>
      </w:r>
      <w:proofErr w:type="spellEnd"/>
      <w:r>
        <w:t xml:space="preserve">, </w:t>
      </w:r>
      <w:proofErr w:type="spellStart"/>
      <w:r>
        <w:t>Taungurong</w:t>
      </w:r>
      <w:proofErr w:type="spellEnd"/>
      <w:r>
        <w:t xml:space="preserve">, </w:t>
      </w:r>
      <w:proofErr w:type="spellStart"/>
      <w:r>
        <w:t>Dja</w:t>
      </w:r>
      <w:proofErr w:type="spellEnd"/>
      <w:r>
        <w:t xml:space="preserve"> </w:t>
      </w:r>
      <w:proofErr w:type="spellStart"/>
      <w:r>
        <w:t>Dja</w:t>
      </w:r>
      <w:proofErr w:type="spellEnd"/>
      <w:r>
        <w:t xml:space="preserve"> Wurrung and the </w:t>
      </w:r>
      <w:proofErr w:type="spellStart"/>
      <w:r>
        <w:t>Wathaurung</w:t>
      </w:r>
      <w:proofErr w:type="spellEnd"/>
      <w:r>
        <w:t xml:space="preserve"> groups who form the Kulin Nation, Melbourne has always been an important meeting place for events of social, educational, sporting and cultural significance. </w:t>
      </w:r>
    </w:p>
    <w:p w:rsidR="00A1171F" w:rsidRDefault="00A1171F" w:rsidP="00A1171F">
      <w:pPr>
        <w:pStyle w:val="BodyText"/>
      </w:pPr>
      <w:r>
        <w:t xml:space="preserve">Today </w:t>
      </w:r>
      <w:r w:rsidR="00816EA7">
        <w:t xml:space="preserve">the </w:t>
      </w:r>
      <w:r w:rsidR="008927A2">
        <w:t>City of Melbourne</w:t>
      </w:r>
      <w:r>
        <w:t xml:space="preserve"> </w:t>
      </w:r>
      <w:r w:rsidR="00816EA7">
        <w:t>is</w:t>
      </w:r>
      <w:r>
        <w:t xml:space="preserve"> proud to say that Melbourne is a significant gathering place for all Aboriginal and Torres Strait Islander people.</w:t>
      </w:r>
    </w:p>
    <w:p w:rsidR="00A75743" w:rsidRDefault="00A1171F" w:rsidP="00255756">
      <w:pPr>
        <w:pStyle w:val="BoldHeading"/>
      </w:pPr>
      <w:r>
        <w:t>A</w:t>
      </w:r>
      <w:r w:rsidR="00BA52AF">
        <w:t>cknowledgements</w:t>
      </w:r>
    </w:p>
    <w:p w:rsidR="00A1171F" w:rsidRDefault="00CD7AB6" w:rsidP="00C84E56">
      <w:pPr>
        <w:spacing w:before="200" w:after="200"/>
      </w:pPr>
      <w:r>
        <w:t xml:space="preserve">The </w:t>
      </w:r>
      <w:r w:rsidR="008927A2">
        <w:t>City of Melbourne</w:t>
      </w:r>
      <w:r w:rsidR="00255756">
        <w:t xml:space="preserve"> would like to acknowledge the generous funding from Bloomberg Philanthropies, the support of the C40 Climate Action Plan</w:t>
      </w:r>
      <w:r w:rsidR="006866AC">
        <w:t>ning</w:t>
      </w:r>
      <w:r w:rsidR="00255756">
        <w:t xml:space="preserve"> Pilot Program and the cities </w:t>
      </w:r>
      <w:r w:rsidR="008A76ED">
        <w:t>that</w:t>
      </w:r>
      <w:r w:rsidR="00255756">
        <w:t xml:space="preserve"> participated in the program. </w:t>
      </w:r>
    </w:p>
    <w:p w:rsidR="00BA52AF" w:rsidRDefault="004C53CE" w:rsidP="00C84E56">
      <w:pPr>
        <w:spacing w:before="200" w:after="200"/>
      </w:pPr>
      <w:r>
        <w:t>M</w:t>
      </w:r>
      <w:r w:rsidR="00A1171F">
        <w:t xml:space="preserve">any people contributed their time and expertise to the development of this </w:t>
      </w:r>
      <w:r w:rsidR="00190351">
        <w:t xml:space="preserve">draft </w:t>
      </w:r>
      <w:r w:rsidR="00A1171F">
        <w:t>strategy</w:t>
      </w:r>
      <w:r w:rsidR="009D24A1">
        <w:t>. Thank you to the</w:t>
      </w:r>
      <w:r w:rsidR="00A1171F">
        <w:t xml:space="preserve"> members of the external reference group</w:t>
      </w:r>
      <w:r w:rsidR="00255756">
        <w:t xml:space="preserve">, </w:t>
      </w:r>
      <w:r w:rsidR="00A1171F">
        <w:t>community, government and business representatives, expert consultants, City of Melbourn</w:t>
      </w:r>
      <w:r w:rsidR="009D24A1">
        <w:t xml:space="preserve">e </w:t>
      </w:r>
      <w:r w:rsidR="0060028E">
        <w:t>c</w:t>
      </w:r>
      <w:r w:rsidR="009D24A1">
        <w:t xml:space="preserve">ouncillors and staff. </w:t>
      </w:r>
      <w:r w:rsidR="0060028E">
        <w:t xml:space="preserve">The </w:t>
      </w:r>
      <w:r w:rsidR="008927A2">
        <w:t>City of Melbourne</w:t>
      </w:r>
      <w:r w:rsidR="009D24A1">
        <w:t xml:space="preserve"> would also like to thank the representatives </w:t>
      </w:r>
      <w:r w:rsidR="00A1171F">
        <w:t xml:space="preserve">from </w:t>
      </w:r>
      <w:r w:rsidR="009D24A1">
        <w:t>the many local and international cities who have peer-reviewed our progress to date and who continue to collaborate on solutions</w:t>
      </w:r>
      <w:r w:rsidR="00A1171F">
        <w:t xml:space="preserve">. </w:t>
      </w:r>
    </w:p>
    <w:p w:rsidR="00130D13" w:rsidRPr="00AD4C7F" w:rsidRDefault="00130D13" w:rsidP="00C84E56">
      <w:pPr>
        <w:spacing w:before="200" w:after="200"/>
      </w:pPr>
      <w:r w:rsidRPr="00CB2077">
        <w:t xml:space="preserve">This </w:t>
      </w:r>
      <w:r>
        <w:t xml:space="preserve">draft </w:t>
      </w:r>
      <w:r w:rsidRPr="00CB2077">
        <w:t xml:space="preserve">strategy is one of a suite adopted in conjunction with the Council Plan and should be read as consistent with the overall vision and outcomes of the Council Plan. Note that any specific actions or initiatives outlined in this strategy are not binding upon the City of Melbourne but </w:t>
      </w:r>
      <w:r w:rsidR="008A76ED">
        <w:t>will</w:t>
      </w:r>
      <w:r w:rsidRPr="00CB2077">
        <w:t xml:space="preserve"> inform its planning and resourcing considerations and</w:t>
      </w:r>
      <w:r>
        <w:t xml:space="preserve"> </w:t>
      </w:r>
      <w:r w:rsidR="008A76ED">
        <w:t>may</w:t>
      </w:r>
      <w:r w:rsidRPr="00CB2077">
        <w:t xml:space="preserve"> </w:t>
      </w:r>
      <w:proofErr w:type="gramStart"/>
      <w:r w:rsidRPr="00CB2077">
        <w:t>endorsed</w:t>
      </w:r>
      <w:proofErr w:type="gramEnd"/>
      <w:r w:rsidRPr="00CB2077">
        <w:t xml:space="preserve"> as part of its Annual Plan and Budget.</w:t>
      </w:r>
    </w:p>
    <w:p w:rsidR="00130D13" w:rsidRDefault="00130D13" w:rsidP="006B0A47"/>
    <w:p w:rsidR="00A1171F" w:rsidRDefault="00A1171F" w:rsidP="006B0A47">
      <w:pPr>
        <w:rPr>
          <w:b/>
        </w:rPr>
      </w:pPr>
    </w:p>
    <w:p w:rsidR="00BA52AF" w:rsidRDefault="00BA52AF" w:rsidP="006B0A47">
      <w:pPr>
        <w:rPr>
          <w:b/>
        </w:rPr>
        <w:sectPr w:rsidR="00BA52AF" w:rsidSect="00932663">
          <w:headerReference w:type="even" r:id="rId12"/>
          <w:footerReference w:type="default" r:id="rId13"/>
          <w:pgSz w:w="11907" w:h="16839" w:code="9"/>
          <w:pgMar w:top="1440" w:right="992" w:bottom="1440" w:left="709" w:header="454" w:footer="510" w:gutter="0"/>
          <w:pgNumType w:fmt="lowerRoman"/>
          <w:cols w:space="708"/>
          <w:docGrid w:linePitch="360"/>
        </w:sectPr>
      </w:pPr>
    </w:p>
    <w:p w:rsidR="00F7059A" w:rsidRDefault="00143675" w:rsidP="00D33E32">
      <w:pPr>
        <w:pStyle w:val="TOCHeading"/>
        <w:pageBreakBefore w:val="0"/>
        <w:outlineLvl w:val="0"/>
      </w:pPr>
      <w:r>
        <w:t>Contents</w:t>
      </w:r>
    </w:p>
    <w:sdt>
      <w:sdtPr>
        <w:rPr>
          <w:b w:val="0"/>
          <w:noProof w:val="0"/>
        </w:rPr>
        <w:id w:val="-2048135085"/>
        <w:docPartObj>
          <w:docPartGallery w:val="Table of Contents"/>
          <w:docPartUnique/>
        </w:docPartObj>
      </w:sdtPr>
      <w:sdtEndPr/>
      <w:sdtContent>
        <w:p w:rsidR="00002231" w:rsidRDefault="00F07312">
          <w:pPr>
            <w:pStyle w:val="TOC1"/>
            <w:rPr>
              <w:rFonts w:eastAsiaTheme="minorEastAsia" w:cstheme="minorBidi"/>
              <w:b w:val="0"/>
              <w:color w:val="auto"/>
              <w:sz w:val="22"/>
              <w:szCs w:val="22"/>
            </w:rPr>
          </w:pPr>
          <w:r w:rsidRPr="00851AAA">
            <w:rPr>
              <w:noProof w:val="0"/>
            </w:rPr>
            <w:fldChar w:fldCharType="begin"/>
          </w:r>
          <w:r w:rsidRPr="00851AAA">
            <w:rPr>
              <w:noProof w:val="0"/>
            </w:rPr>
            <w:instrText xml:space="preserve"> TOC </w:instrText>
          </w:r>
          <w:r w:rsidR="00824530" w:rsidRPr="00824530">
            <w:instrText>\h \z \t "Heading 1,1, Heading 1 No Numbering,1,Heading 2,2, Heading 3,3, Heading 8,</w:instrText>
          </w:r>
          <w:r w:rsidR="00824530">
            <w:instrText>5"</w:instrText>
          </w:r>
          <w:r w:rsidRPr="00851AAA">
            <w:rPr>
              <w:noProof w:val="0"/>
            </w:rPr>
            <w:fldChar w:fldCharType="separate"/>
          </w:r>
          <w:hyperlink w:anchor="_Toc523238941" w:history="1">
            <w:r w:rsidR="00002231" w:rsidRPr="005F2323">
              <w:rPr>
                <w:rStyle w:val="Hyperlink"/>
              </w:rPr>
              <w:t>Abbreviations</w:t>
            </w:r>
            <w:r w:rsidR="00002231">
              <w:rPr>
                <w:webHidden/>
              </w:rPr>
              <w:tab/>
            </w:r>
            <w:r w:rsidR="00002231">
              <w:rPr>
                <w:webHidden/>
              </w:rPr>
              <w:fldChar w:fldCharType="begin"/>
            </w:r>
            <w:r w:rsidR="00002231">
              <w:rPr>
                <w:webHidden/>
              </w:rPr>
              <w:instrText xml:space="preserve"> PAGEREF _Toc523238941 \h </w:instrText>
            </w:r>
            <w:r w:rsidR="00002231">
              <w:rPr>
                <w:webHidden/>
              </w:rPr>
            </w:r>
            <w:r w:rsidR="00002231">
              <w:rPr>
                <w:webHidden/>
              </w:rPr>
              <w:fldChar w:fldCharType="separate"/>
            </w:r>
            <w:r w:rsidR="00002231">
              <w:rPr>
                <w:webHidden/>
              </w:rPr>
              <w:t>vi</w:t>
            </w:r>
            <w:r w:rsidR="00002231">
              <w:rPr>
                <w:webHidden/>
              </w:rPr>
              <w:fldChar w:fldCharType="end"/>
            </w:r>
          </w:hyperlink>
        </w:p>
        <w:p w:rsidR="00002231" w:rsidRDefault="00130D4F">
          <w:pPr>
            <w:pStyle w:val="TOC1"/>
            <w:rPr>
              <w:rFonts w:eastAsiaTheme="minorEastAsia" w:cstheme="minorBidi"/>
              <w:b w:val="0"/>
              <w:color w:val="auto"/>
              <w:sz w:val="22"/>
              <w:szCs w:val="22"/>
            </w:rPr>
          </w:pPr>
          <w:hyperlink w:anchor="_Toc523238942" w:history="1">
            <w:r w:rsidR="00002231" w:rsidRPr="005F2323">
              <w:rPr>
                <w:rStyle w:val="Hyperlink"/>
              </w:rPr>
              <w:t>Glossary</w:t>
            </w:r>
            <w:r w:rsidR="00002231">
              <w:rPr>
                <w:webHidden/>
              </w:rPr>
              <w:tab/>
            </w:r>
            <w:r w:rsidR="00002231">
              <w:rPr>
                <w:webHidden/>
              </w:rPr>
              <w:fldChar w:fldCharType="begin"/>
            </w:r>
            <w:r w:rsidR="00002231">
              <w:rPr>
                <w:webHidden/>
              </w:rPr>
              <w:instrText xml:space="preserve"> PAGEREF _Toc523238942 \h </w:instrText>
            </w:r>
            <w:r w:rsidR="00002231">
              <w:rPr>
                <w:webHidden/>
              </w:rPr>
            </w:r>
            <w:r w:rsidR="00002231">
              <w:rPr>
                <w:webHidden/>
              </w:rPr>
              <w:fldChar w:fldCharType="separate"/>
            </w:r>
            <w:r w:rsidR="00002231">
              <w:rPr>
                <w:webHidden/>
              </w:rPr>
              <w:t>vi</w:t>
            </w:r>
            <w:r w:rsidR="00002231">
              <w:rPr>
                <w:webHidden/>
              </w:rPr>
              <w:fldChar w:fldCharType="end"/>
            </w:r>
          </w:hyperlink>
        </w:p>
        <w:p w:rsidR="00002231" w:rsidRDefault="00130D4F">
          <w:pPr>
            <w:pStyle w:val="TOC1"/>
            <w:rPr>
              <w:rFonts w:eastAsiaTheme="minorEastAsia" w:cstheme="minorBidi"/>
              <w:b w:val="0"/>
              <w:color w:val="auto"/>
              <w:sz w:val="22"/>
              <w:szCs w:val="22"/>
            </w:rPr>
          </w:pPr>
          <w:hyperlink w:anchor="_Toc523238943" w:history="1">
            <w:r w:rsidR="00002231" w:rsidRPr="005F2323">
              <w:rPr>
                <w:rStyle w:val="Hyperlink"/>
              </w:rPr>
              <w:t>Executive Summary</w:t>
            </w:r>
            <w:r w:rsidR="00002231">
              <w:rPr>
                <w:webHidden/>
              </w:rPr>
              <w:tab/>
            </w:r>
            <w:r w:rsidR="00002231">
              <w:rPr>
                <w:webHidden/>
              </w:rPr>
              <w:fldChar w:fldCharType="begin"/>
            </w:r>
            <w:r w:rsidR="00002231">
              <w:rPr>
                <w:webHidden/>
              </w:rPr>
              <w:instrText xml:space="preserve"> PAGEREF _Toc523238943 \h </w:instrText>
            </w:r>
            <w:r w:rsidR="00002231">
              <w:rPr>
                <w:webHidden/>
              </w:rPr>
            </w:r>
            <w:r w:rsidR="00002231">
              <w:rPr>
                <w:webHidden/>
              </w:rPr>
              <w:fldChar w:fldCharType="separate"/>
            </w:r>
            <w:r w:rsidR="00002231">
              <w:rPr>
                <w:webHidden/>
              </w:rPr>
              <w:t>vii</w:t>
            </w:r>
            <w:r w:rsidR="00002231">
              <w:rPr>
                <w:webHidden/>
              </w:rPr>
              <w:fldChar w:fldCharType="end"/>
            </w:r>
          </w:hyperlink>
        </w:p>
        <w:p w:rsidR="00002231" w:rsidRDefault="00130D4F">
          <w:pPr>
            <w:pStyle w:val="TOC1"/>
            <w:rPr>
              <w:rFonts w:eastAsiaTheme="minorEastAsia" w:cstheme="minorBidi"/>
              <w:b w:val="0"/>
              <w:color w:val="auto"/>
              <w:sz w:val="22"/>
              <w:szCs w:val="22"/>
            </w:rPr>
          </w:pPr>
          <w:hyperlink w:anchor="_Toc523238944" w:history="1">
            <w:r w:rsidR="00002231" w:rsidRPr="005F2323">
              <w:rPr>
                <w:rStyle w:val="Hyperlink"/>
              </w:rPr>
              <w:t>1.</w:t>
            </w:r>
            <w:r w:rsidR="00002231">
              <w:rPr>
                <w:rFonts w:eastAsiaTheme="minorEastAsia" w:cstheme="minorBidi"/>
                <w:b w:val="0"/>
                <w:color w:val="auto"/>
                <w:sz w:val="22"/>
                <w:szCs w:val="22"/>
              </w:rPr>
              <w:tab/>
            </w:r>
            <w:r w:rsidR="00002231" w:rsidRPr="005F2323">
              <w:rPr>
                <w:rStyle w:val="Hyperlink"/>
              </w:rPr>
              <w:t>Introduction</w:t>
            </w:r>
            <w:r w:rsidR="00002231">
              <w:rPr>
                <w:webHidden/>
              </w:rPr>
              <w:tab/>
            </w:r>
            <w:r w:rsidR="00002231">
              <w:rPr>
                <w:webHidden/>
              </w:rPr>
              <w:fldChar w:fldCharType="begin"/>
            </w:r>
            <w:r w:rsidR="00002231">
              <w:rPr>
                <w:webHidden/>
              </w:rPr>
              <w:instrText xml:space="preserve"> PAGEREF _Toc523238944 \h </w:instrText>
            </w:r>
            <w:r w:rsidR="00002231">
              <w:rPr>
                <w:webHidden/>
              </w:rPr>
            </w:r>
            <w:r w:rsidR="00002231">
              <w:rPr>
                <w:webHidden/>
              </w:rPr>
              <w:fldChar w:fldCharType="separate"/>
            </w:r>
            <w:r w:rsidR="00002231">
              <w:rPr>
                <w:webHidden/>
              </w:rPr>
              <w:t>13</w:t>
            </w:r>
            <w:r w:rsidR="00002231">
              <w:rPr>
                <w:webHidden/>
              </w:rPr>
              <w:fldChar w:fldCharType="end"/>
            </w:r>
          </w:hyperlink>
        </w:p>
        <w:p w:rsidR="00002231" w:rsidRDefault="00130D4F">
          <w:pPr>
            <w:pStyle w:val="TOC2"/>
            <w:rPr>
              <w:rFonts w:eastAsiaTheme="minorEastAsia" w:cstheme="minorBidi"/>
              <w:color w:val="auto"/>
              <w:sz w:val="22"/>
              <w:szCs w:val="22"/>
            </w:rPr>
          </w:pPr>
          <w:hyperlink w:anchor="_Toc523238945" w:history="1">
            <w:r w:rsidR="00002231" w:rsidRPr="005F2323">
              <w:rPr>
                <w:rStyle w:val="Hyperlink"/>
              </w:rPr>
              <w:t>1.1</w:t>
            </w:r>
            <w:r w:rsidR="00002231">
              <w:rPr>
                <w:rFonts w:eastAsiaTheme="minorEastAsia" w:cstheme="minorBidi"/>
                <w:color w:val="auto"/>
                <w:sz w:val="22"/>
                <w:szCs w:val="22"/>
              </w:rPr>
              <w:tab/>
            </w:r>
            <w:r w:rsidR="00002231" w:rsidRPr="005F2323">
              <w:rPr>
                <w:rStyle w:val="Hyperlink"/>
              </w:rPr>
              <w:t>How can we work together to reduce greenhouse gas emissions?</w:t>
            </w:r>
            <w:r w:rsidR="00002231">
              <w:rPr>
                <w:webHidden/>
              </w:rPr>
              <w:tab/>
            </w:r>
            <w:r w:rsidR="00002231">
              <w:rPr>
                <w:webHidden/>
              </w:rPr>
              <w:fldChar w:fldCharType="begin"/>
            </w:r>
            <w:r w:rsidR="00002231">
              <w:rPr>
                <w:webHidden/>
              </w:rPr>
              <w:instrText xml:space="preserve"> PAGEREF _Toc523238945 \h </w:instrText>
            </w:r>
            <w:r w:rsidR="00002231">
              <w:rPr>
                <w:webHidden/>
              </w:rPr>
            </w:r>
            <w:r w:rsidR="00002231">
              <w:rPr>
                <w:webHidden/>
              </w:rPr>
              <w:fldChar w:fldCharType="separate"/>
            </w:r>
            <w:r w:rsidR="00002231">
              <w:rPr>
                <w:webHidden/>
              </w:rPr>
              <w:t>13</w:t>
            </w:r>
            <w:r w:rsidR="00002231">
              <w:rPr>
                <w:webHidden/>
              </w:rPr>
              <w:fldChar w:fldCharType="end"/>
            </w:r>
          </w:hyperlink>
        </w:p>
        <w:p w:rsidR="00002231" w:rsidRDefault="00130D4F">
          <w:pPr>
            <w:pStyle w:val="TOC2"/>
            <w:rPr>
              <w:rFonts w:eastAsiaTheme="minorEastAsia" w:cstheme="minorBidi"/>
              <w:color w:val="auto"/>
              <w:sz w:val="22"/>
              <w:szCs w:val="22"/>
            </w:rPr>
          </w:pPr>
          <w:hyperlink w:anchor="_Toc523238946" w:history="1">
            <w:r w:rsidR="00002231" w:rsidRPr="005F2323">
              <w:rPr>
                <w:rStyle w:val="Hyperlink"/>
              </w:rPr>
              <w:t>1.2</w:t>
            </w:r>
            <w:r w:rsidR="00002231">
              <w:rPr>
                <w:rFonts w:eastAsiaTheme="minorEastAsia" w:cstheme="minorBidi"/>
                <w:color w:val="auto"/>
                <w:sz w:val="22"/>
                <w:szCs w:val="22"/>
              </w:rPr>
              <w:tab/>
            </w:r>
            <w:r w:rsidR="00002231" w:rsidRPr="005F2323">
              <w:rPr>
                <w:rStyle w:val="Hyperlink"/>
              </w:rPr>
              <w:t>Melbourne’s emissions profile</w:t>
            </w:r>
            <w:r w:rsidR="00002231">
              <w:rPr>
                <w:webHidden/>
              </w:rPr>
              <w:tab/>
            </w:r>
            <w:r w:rsidR="00002231">
              <w:rPr>
                <w:webHidden/>
              </w:rPr>
              <w:fldChar w:fldCharType="begin"/>
            </w:r>
            <w:r w:rsidR="00002231">
              <w:rPr>
                <w:webHidden/>
              </w:rPr>
              <w:instrText xml:space="preserve"> PAGEREF _Toc523238946 \h </w:instrText>
            </w:r>
            <w:r w:rsidR="00002231">
              <w:rPr>
                <w:webHidden/>
              </w:rPr>
            </w:r>
            <w:r w:rsidR="00002231">
              <w:rPr>
                <w:webHidden/>
              </w:rPr>
              <w:fldChar w:fldCharType="separate"/>
            </w:r>
            <w:r w:rsidR="00002231">
              <w:rPr>
                <w:webHidden/>
              </w:rPr>
              <w:t>14</w:t>
            </w:r>
            <w:r w:rsidR="00002231">
              <w:rPr>
                <w:webHidden/>
              </w:rPr>
              <w:fldChar w:fldCharType="end"/>
            </w:r>
          </w:hyperlink>
        </w:p>
        <w:p w:rsidR="00002231" w:rsidRDefault="00130D4F">
          <w:pPr>
            <w:pStyle w:val="TOC2"/>
            <w:rPr>
              <w:rFonts w:eastAsiaTheme="minorEastAsia" w:cstheme="minorBidi"/>
              <w:color w:val="auto"/>
              <w:sz w:val="22"/>
              <w:szCs w:val="22"/>
            </w:rPr>
          </w:pPr>
          <w:hyperlink w:anchor="_Toc523238947" w:history="1">
            <w:r w:rsidR="00002231" w:rsidRPr="005F2323">
              <w:rPr>
                <w:rStyle w:val="Hyperlink"/>
              </w:rPr>
              <w:t>1.3</w:t>
            </w:r>
            <w:r w:rsidR="00002231">
              <w:rPr>
                <w:rFonts w:eastAsiaTheme="minorEastAsia" w:cstheme="minorBidi"/>
                <w:color w:val="auto"/>
                <w:sz w:val="22"/>
                <w:szCs w:val="22"/>
              </w:rPr>
              <w:tab/>
            </w:r>
            <w:r w:rsidR="00002231" w:rsidRPr="005F2323">
              <w:rPr>
                <w:rStyle w:val="Hyperlink"/>
              </w:rPr>
              <w:t>Why we need a new approach</w:t>
            </w:r>
            <w:r w:rsidR="00002231">
              <w:rPr>
                <w:webHidden/>
              </w:rPr>
              <w:tab/>
            </w:r>
            <w:r w:rsidR="00002231">
              <w:rPr>
                <w:webHidden/>
              </w:rPr>
              <w:fldChar w:fldCharType="begin"/>
            </w:r>
            <w:r w:rsidR="00002231">
              <w:rPr>
                <w:webHidden/>
              </w:rPr>
              <w:instrText xml:space="preserve"> PAGEREF _Toc523238947 \h </w:instrText>
            </w:r>
            <w:r w:rsidR="00002231">
              <w:rPr>
                <w:webHidden/>
              </w:rPr>
            </w:r>
            <w:r w:rsidR="00002231">
              <w:rPr>
                <w:webHidden/>
              </w:rPr>
              <w:fldChar w:fldCharType="separate"/>
            </w:r>
            <w:r w:rsidR="00002231">
              <w:rPr>
                <w:webHidden/>
              </w:rPr>
              <w:t>14</w:t>
            </w:r>
            <w:r w:rsidR="00002231">
              <w:rPr>
                <w:webHidden/>
              </w:rPr>
              <w:fldChar w:fldCharType="end"/>
            </w:r>
          </w:hyperlink>
        </w:p>
        <w:p w:rsidR="00002231" w:rsidRDefault="00130D4F">
          <w:pPr>
            <w:pStyle w:val="TOC2"/>
            <w:rPr>
              <w:rFonts w:eastAsiaTheme="minorEastAsia" w:cstheme="minorBidi"/>
              <w:color w:val="auto"/>
              <w:sz w:val="22"/>
              <w:szCs w:val="22"/>
            </w:rPr>
          </w:pPr>
          <w:hyperlink w:anchor="_Toc523238948" w:history="1">
            <w:r w:rsidR="00002231" w:rsidRPr="005F2323">
              <w:rPr>
                <w:rStyle w:val="Hyperlink"/>
              </w:rPr>
              <w:t>1.4</w:t>
            </w:r>
            <w:r w:rsidR="00002231">
              <w:rPr>
                <w:rFonts w:eastAsiaTheme="minorEastAsia" w:cstheme="minorBidi"/>
                <w:color w:val="auto"/>
                <w:sz w:val="22"/>
                <w:szCs w:val="22"/>
              </w:rPr>
              <w:tab/>
            </w:r>
            <w:r w:rsidR="00002231" w:rsidRPr="005F2323">
              <w:rPr>
                <w:rStyle w:val="Hyperlink"/>
              </w:rPr>
              <w:t>A low carbon, circular economy</w:t>
            </w:r>
            <w:r w:rsidR="00002231">
              <w:rPr>
                <w:webHidden/>
              </w:rPr>
              <w:tab/>
            </w:r>
            <w:r w:rsidR="00002231">
              <w:rPr>
                <w:webHidden/>
              </w:rPr>
              <w:fldChar w:fldCharType="begin"/>
            </w:r>
            <w:r w:rsidR="00002231">
              <w:rPr>
                <w:webHidden/>
              </w:rPr>
              <w:instrText xml:space="preserve"> PAGEREF _Toc523238948 \h </w:instrText>
            </w:r>
            <w:r w:rsidR="00002231">
              <w:rPr>
                <w:webHidden/>
              </w:rPr>
            </w:r>
            <w:r w:rsidR="00002231">
              <w:rPr>
                <w:webHidden/>
              </w:rPr>
              <w:fldChar w:fldCharType="separate"/>
            </w:r>
            <w:r w:rsidR="00002231">
              <w:rPr>
                <w:webHidden/>
              </w:rPr>
              <w:t>16</w:t>
            </w:r>
            <w:r w:rsidR="00002231">
              <w:rPr>
                <w:webHidden/>
              </w:rPr>
              <w:fldChar w:fldCharType="end"/>
            </w:r>
          </w:hyperlink>
        </w:p>
        <w:p w:rsidR="00002231" w:rsidRDefault="00130D4F">
          <w:pPr>
            <w:pStyle w:val="TOC1"/>
            <w:rPr>
              <w:rFonts w:eastAsiaTheme="minorEastAsia" w:cstheme="minorBidi"/>
              <w:b w:val="0"/>
              <w:color w:val="auto"/>
              <w:sz w:val="22"/>
              <w:szCs w:val="22"/>
            </w:rPr>
          </w:pPr>
          <w:hyperlink w:anchor="_Toc523238949" w:history="1">
            <w:r w:rsidR="00002231" w:rsidRPr="005F2323">
              <w:rPr>
                <w:rStyle w:val="Hyperlink"/>
              </w:rPr>
              <w:t>2.</w:t>
            </w:r>
            <w:r w:rsidR="00002231">
              <w:rPr>
                <w:rFonts w:eastAsiaTheme="minorEastAsia" w:cstheme="minorBidi"/>
                <w:b w:val="0"/>
                <w:color w:val="auto"/>
                <w:sz w:val="22"/>
                <w:szCs w:val="22"/>
              </w:rPr>
              <w:tab/>
            </w:r>
            <w:r w:rsidR="00002231" w:rsidRPr="005F2323">
              <w:rPr>
                <w:rStyle w:val="Hyperlink"/>
              </w:rPr>
              <w:t>Taking bold action together</w:t>
            </w:r>
            <w:r w:rsidR="00002231">
              <w:rPr>
                <w:webHidden/>
              </w:rPr>
              <w:tab/>
            </w:r>
            <w:r w:rsidR="00002231">
              <w:rPr>
                <w:webHidden/>
              </w:rPr>
              <w:fldChar w:fldCharType="begin"/>
            </w:r>
            <w:r w:rsidR="00002231">
              <w:rPr>
                <w:webHidden/>
              </w:rPr>
              <w:instrText xml:space="preserve"> PAGEREF _Toc523238949 \h </w:instrText>
            </w:r>
            <w:r w:rsidR="00002231">
              <w:rPr>
                <w:webHidden/>
              </w:rPr>
            </w:r>
            <w:r w:rsidR="00002231">
              <w:rPr>
                <w:webHidden/>
              </w:rPr>
              <w:fldChar w:fldCharType="separate"/>
            </w:r>
            <w:r w:rsidR="00002231">
              <w:rPr>
                <w:webHidden/>
              </w:rPr>
              <w:t>17</w:t>
            </w:r>
            <w:r w:rsidR="00002231">
              <w:rPr>
                <w:webHidden/>
              </w:rPr>
              <w:fldChar w:fldCharType="end"/>
            </w:r>
          </w:hyperlink>
        </w:p>
        <w:p w:rsidR="00002231" w:rsidRDefault="00130D4F">
          <w:pPr>
            <w:pStyle w:val="TOC2"/>
            <w:rPr>
              <w:rFonts w:eastAsiaTheme="minorEastAsia" w:cstheme="minorBidi"/>
              <w:color w:val="auto"/>
              <w:sz w:val="22"/>
              <w:szCs w:val="22"/>
            </w:rPr>
          </w:pPr>
          <w:hyperlink w:anchor="_Toc523238950" w:history="1">
            <w:r w:rsidR="00002231" w:rsidRPr="005F2323">
              <w:rPr>
                <w:rStyle w:val="Hyperlink"/>
              </w:rPr>
              <w:t>2.1</w:t>
            </w:r>
            <w:r w:rsidR="00002231">
              <w:rPr>
                <w:rFonts w:eastAsiaTheme="minorEastAsia" w:cstheme="minorBidi"/>
                <w:color w:val="auto"/>
                <w:sz w:val="22"/>
                <w:szCs w:val="22"/>
              </w:rPr>
              <w:tab/>
            </w:r>
            <w:r w:rsidR="00002231" w:rsidRPr="005F2323">
              <w:rPr>
                <w:rStyle w:val="Hyperlink"/>
              </w:rPr>
              <w:t>City of Melbourne’s role</w:t>
            </w:r>
            <w:r w:rsidR="00002231">
              <w:rPr>
                <w:webHidden/>
              </w:rPr>
              <w:tab/>
            </w:r>
            <w:r w:rsidR="00002231">
              <w:rPr>
                <w:webHidden/>
              </w:rPr>
              <w:fldChar w:fldCharType="begin"/>
            </w:r>
            <w:r w:rsidR="00002231">
              <w:rPr>
                <w:webHidden/>
              </w:rPr>
              <w:instrText xml:space="preserve"> PAGEREF _Toc523238950 \h </w:instrText>
            </w:r>
            <w:r w:rsidR="00002231">
              <w:rPr>
                <w:webHidden/>
              </w:rPr>
            </w:r>
            <w:r w:rsidR="00002231">
              <w:rPr>
                <w:webHidden/>
              </w:rPr>
              <w:fldChar w:fldCharType="separate"/>
            </w:r>
            <w:r w:rsidR="00002231">
              <w:rPr>
                <w:webHidden/>
              </w:rPr>
              <w:t>17</w:t>
            </w:r>
            <w:r w:rsidR="00002231">
              <w:rPr>
                <w:webHidden/>
              </w:rPr>
              <w:fldChar w:fldCharType="end"/>
            </w:r>
          </w:hyperlink>
        </w:p>
        <w:p w:rsidR="00002231" w:rsidRDefault="00130D4F">
          <w:pPr>
            <w:pStyle w:val="TOC2"/>
            <w:rPr>
              <w:rFonts w:eastAsiaTheme="minorEastAsia" w:cstheme="minorBidi"/>
              <w:color w:val="auto"/>
              <w:sz w:val="22"/>
              <w:szCs w:val="22"/>
            </w:rPr>
          </w:pPr>
          <w:hyperlink w:anchor="_Toc523238951" w:history="1">
            <w:r w:rsidR="00002231" w:rsidRPr="005F2323">
              <w:rPr>
                <w:rStyle w:val="Hyperlink"/>
              </w:rPr>
              <w:t>2.2</w:t>
            </w:r>
            <w:r w:rsidR="00002231">
              <w:rPr>
                <w:rFonts w:eastAsiaTheme="minorEastAsia" w:cstheme="minorBidi"/>
                <w:color w:val="auto"/>
                <w:sz w:val="22"/>
                <w:szCs w:val="22"/>
              </w:rPr>
              <w:tab/>
            </w:r>
            <w:r w:rsidR="00002231" w:rsidRPr="005F2323">
              <w:rPr>
                <w:rStyle w:val="Hyperlink"/>
              </w:rPr>
              <w:t>Australian and Victorian climate change policy</w:t>
            </w:r>
            <w:r w:rsidR="00002231">
              <w:rPr>
                <w:webHidden/>
              </w:rPr>
              <w:tab/>
            </w:r>
            <w:r w:rsidR="00002231">
              <w:rPr>
                <w:webHidden/>
              </w:rPr>
              <w:fldChar w:fldCharType="begin"/>
            </w:r>
            <w:r w:rsidR="00002231">
              <w:rPr>
                <w:webHidden/>
              </w:rPr>
              <w:instrText xml:space="preserve"> PAGEREF _Toc523238951 \h </w:instrText>
            </w:r>
            <w:r w:rsidR="00002231">
              <w:rPr>
                <w:webHidden/>
              </w:rPr>
            </w:r>
            <w:r w:rsidR="00002231">
              <w:rPr>
                <w:webHidden/>
              </w:rPr>
              <w:fldChar w:fldCharType="separate"/>
            </w:r>
            <w:r w:rsidR="00002231">
              <w:rPr>
                <w:webHidden/>
              </w:rPr>
              <w:t>17</w:t>
            </w:r>
            <w:r w:rsidR="00002231">
              <w:rPr>
                <w:webHidden/>
              </w:rPr>
              <w:fldChar w:fldCharType="end"/>
            </w:r>
          </w:hyperlink>
        </w:p>
        <w:p w:rsidR="00002231" w:rsidRDefault="00130D4F">
          <w:pPr>
            <w:pStyle w:val="TOC2"/>
            <w:rPr>
              <w:rFonts w:eastAsiaTheme="minorEastAsia" w:cstheme="minorBidi"/>
              <w:color w:val="auto"/>
              <w:sz w:val="22"/>
              <w:szCs w:val="22"/>
            </w:rPr>
          </w:pPr>
          <w:hyperlink w:anchor="_Toc523238952" w:history="1">
            <w:r w:rsidR="00002231" w:rsidRPr="005F2323">
              <w:rPr>
                <w:rStyle w:val="Hyperlink"/>
              </w:rPr>
              <w:t>2.3</w:t>
            </w:r>
            <w:r w:rsidR="00002231">
              <w:rPr>
                <w:rFonts w:eastAsiaTheme="minorEastAsia" w:cstheme="minorBidi"/>
                <w:color w:val="auto"/>
                <w:sz w:val="22"/>
                <w:szCs w:val="22"/>
              </w:rPr>
              <w:tab/>
            </w:r>
            <w:r w:rsidR="00002231" w:rsidRPr="005F2323">
              <w:rPr>
                <w:rStyle w:val="Hyperlink"/>
              </w:rPr>
              <w:t>Proposed emission reduction targets</w:t>
            </w:r>
            <w:r w:rsidR="00002231">
              <w:rPr>
                <w:webHidden/>
              </w:rPr>
              <w:tab/>
            </w:r>
            <w:r w:rsidR="00002231">
              <w:rPr>
                <w:webHidden/>
              </w:rPr>
              <w:fldChar w:fldCharType="begin"/>
            </w:r>
            <w:r w:rsidR="00002231">
              <w:rPr>
                <w:webHidden/>
              </w:rPr>
              <w:instrText xml:space="preserve"> PAGEREF _Toc523238952 \h </w:instrText>
            </w:r>
            <w:r w:rsidR="00002231">
              <w:rPr>
                <w:webHidden/>
              </w:rPr>
            </w:r>
            <w:r w:rsidR="00002231">
              <w:rPr>
                <w:webHidden/>
              </w:rPr>
              <w:fldChar w:fldCharType="separate"/>
            </w:r>
            <w:r w:rsidR="00002231">
              <w:rPr>
                <w:webHidden/>
              </w:rPr>
              <w:t>19</w:t>
            </w:r>
            <w:r w:rsidR="00002231">
              <w:rPr>
                <w:webHidden/>
              </w:rPr>
              <w:fldChar w:fldCharType="end"/>
            </w:r>
          </w:hyperlink>
        </w:p>
        <w:p w:rsidR="00002231" w:rsidRDefault="00130D4F">
          <w:pPr>
            <w:pStyle w:val="TOC1"/>
            <w:rPr>
              <w:rFonts w:eastAsiaTheme="minorEastAsia" w:cstheme="minorBidi"/>
              <w:b w:val="0"/>
              <w:color w:val="auto"/>
              <w:sz w:val="22"/>
              <w:szCs w:val="22"/>
            </w:rPr>
          </w:pPr>
          <w:hyperlink w:anchor="_Toc523238953" w:history="1">
            <w:r w:rsidR="00002231" w:rsidRPr="005F2323">
              <w:rPr>
                <w:rStyle w:val="Hyperlink"/>
              </w:rPr>
              <w:t>3.</w:t>
            </w:r>
            <w:r w:rsidR="00002231">
              <w:rPr>
                <w:rFonts w:eastAsiaTheme="minorEastAsia" w:cstheme="minorBidi"/>
                <w:b w:val="0"/>
                <w:color w:val="auto"/>
                <w:sz w:val="22"/>
                <w:szCs w:val="22"/>
              </w:rPr>
              <w:tab/>
            </w:r>
            <w:r w:rsidR="00002231" w:rsidRPr="005F2323">
              <w:rPr>
                <w:rStyle w:val="Hyperlink"/>
              </w:rPr>
              <w:t>Strategic priorities</w:t>
            </w:r>
            <w:r w:rsidR="00002231">
              <w:rPr>
                <w:webHidden/>
              </w:rPr>
              <w:tab/>
            </w:r>
            <w:r w:rsidR="00002231">
              <w:rPr>
                <w:webHidden/>
              </w:rPr>
              <w:fldChar w:fldCharType="begin"/>
            </w:r>
            <w:r w:rsidR="00002231">
              <w:rPr>
                <w:webHidden/>
              </w:rPr>
              <w:instrText xml:space="preserve"> PAGEREF _Toc523238953 \h </w:instrText>
            </w:r>
            <w:r w:rsidR="00002231">
              <w:rPr>
                <w:webHidden/>
              </w:rPr>
            </w:r>
            <w:r w:rsidR="00002231">
              <w:rPr>
                <w:webHidden/>
              </w:rPr>
              <w:fldChar w:fldCharType="separate"/>
            </w:r>
            <w:r w:rsidR="00002231">
              <w:rPr>
                <w:webHidden/>
              </w:rPr>
              <w:t>22</w:t>
            </w:r>
            <w:r w:rsidR="00002231">
              <w:rPr>
                <w:webHidden/>
              </w:rPr>
              <w:fldChar w:fldCharType="end"/>
            </w:r>
          </w:hyperlink>
        </w:p>
        <w:p w:rsidR="00002231" w:rsidRDefault="00130D4F">
          <w:pPr>
            <w:pStyle w:val="TOC2"/>
            <w:rPr>
              <w:rFonts w:eastAsiaTheme="minorEastAsia" w:cstheme="minorBidi"/>
              <w:color w:val="auto"/>
              <w:sz w:val="22"/>
              <w:szCs w:val="22"/>
            </w:rPr>
          </w:pPr>
          <w:hyperlink w:anchor="_Toc523238954" w:history="1">
            <w:r w:rsidR="00002231" w:rsidRPr="005F2323">
              <w:rPr>
                <w:rStyle w:val="Hyperlink"/>
              </w:rPr>
              <w:t>3.1</w:t>
            </w:r>
            <w:r w:rsidR="00002231">
              <w:rPr>
                <w:rFonts w:eastAsiaTheme="minorEastAsia" w:cstheme="minorBidi"/>
                <w:color w:val="auto"/>
                <w:sz w:val="22"/>
                <w:szCs w:val="22"/>
              </w:rPr>
              <w:tab/>
            </w:r>
            <w:r w:rsidR="00002231" w:rsidRPr="005F2323">
              <w:rPr>
                <w:rStyle w:val="Hyperlink"/>
              </w:rPr>
              <w:t>Where should we put our effort?</w:t>
            </w:r>
            <w:r w:rsidR="00002231">
              <w:rPr>
                <w:webHidden/>
              </w:rPr>
              <w:tab/>
            </w:r>
            <w:r w:rsidR="00002231">
              <w:rPr>
                <w:webHidden/>
              </w:rPr>
              <w:fldChar w:fldCharType="begin"/>
            </w:r>
            <w:r w:rsidR="00002231">
              <w:rPr>
                <w:webHidden/>
              </w:rPr>
              <w:instrText xml:space="preserve"> PAGEREF _Toc523238954 \h </w:instrText>
            </w:r>
            <w:r w:rsidR="00002231">
              <w:rPr>
                <w:webHidden/>
              </w:rPr>
            </w:r>
            <w:r w:rsidR="00002231">
              <w:rPr>
                <w:webHidden/>
              </w:rPr>
              <w:fldChar w:fldCharType="separate"/>
            </w:r>
            <w:r w:rsidR="00002231">
              <w:rPr>
                <w:webHidden/>
              </w:rPr>
              <w:t>22</w:t>
            </w:r>
            <w:r w:rsidR="00002231">
              <w:rPr>
                <w:webHidden/>
              </w:rPr>
              <w:fldChar w:fldCharType="end"/>
            </w:r>
          </w:hyperlink>
        </w:p>
        <w:p w:rsidR="00002231" w:rsidRDefault="00130D4F">
          <w:pPr>
            <w:pStyle w:val="TOC2"/>
            <w:rPr>
              <w:rFonts w:eastAsiaTheme="minorEastAsia" w:cstheme="minorBidi"/>
              <w:color w:val="auto"/>
              <w:sz w:val="22"/>
              <w:szCs w:val="22"/>
            </w:rPr>
          </w:pPr>
          <w:hyperlink w:anchor="_Toc523238955" w:history="1">
            <w:r w:rsidR="00002231" w:rsidRPr="005F2323">
              <w:rPr>
                <w:rStyle w:val="Hyperlink"/>
              </w:rPr>
              <w:t>3.2</w:t>
            </w:r>
            <w:r w:rsidR="00002231">
              <w:rPr>
                <w:rFonts w:eastAsiaTheme="minorEastAsia" w:cstheme="minorBidi"/>
                <w:color w:val="auto"/>
                <w:sz w:val="22"/>
                <w:szCs w:val="22"/>
              </w:rPr>
              <w:tab/>
            </w:r>
            <w:r w:rsidR="00002231" w:rsidRPr="005F2323">
              <w:rPr>
                <w:rStyle w:val="Hyperlink"/>
              </w:rPr>
              <w:t>Strategic priorities and outcomes</w:t>
            </w:r>
            <w:r w:rsidR="00002231">
              <w:rPr>
                <w:webHidden/>
              </w:rPr>
              <w:tab/>
            </w:r>
            <w:r w:rsidR="00002231">
              <w:rPr>
                <w:webHidden/>
              </w:rPr>
              <w:fldChar w:fldCharType="begin"/>
            </w:r>
            <w:r w:rsidR="00002231">
              <w:rPr>
                <w:webHidden/>
              </w:rPr>
              <w:instrText xml:space="preserve"> PAGEREF _Toc523238955 \h </w:instrText>
            </w:r>
            <w:r w:rsidR="00002231">
              <w:rPr>
                <w:webHidden/>
              </w:rPr>
            </w:r>
            <w:r w:rsidR="00002231">
              <w:rPr>
                <w:webHidden/>
              </w:rPr>
              <w:fldChar w:fldCharType="separate"/>
            </w:r>
            <w:r w:rsidR="00002231">
              <w:rPr>
                <w:webHidden/>
              </w:rPr>
              <w:t>22</w:t>
            </w:r>
            <w:r w:rsidR="00002231">
              <w:rPr>
                <w:webHidden/>
              </w:rPr>
              <w:fldChar w:fldCharType="end"/>
            </w:r>
          </w:hyperlink>
        </w:p>
        <w:p w:rsidR="00002231" w:rsidRDefault="00130D4F">
          <w:pPr>
            <w:pStyle w:val="TOC1"/>
            <w:rPr>
              <w:rFonts w:eastAsiaTheme="minorEastAsia" w:cstheme="minorBidi"/>
              <w:b w:val="0"/>
              <w:color w:val="auto"/>
              <w:sz w:val="22"/>
              <w:szCs w:val="22"/>
            </w:rPr>
          </w:pPr>
          <w:hyperlink w:anchor="_Toc523238956" w:history="1">
            <w:r w:rsidR="00002231" w:rsidRPr="005F2323">
              <w:rPr>
                <w:rStyle w:val="Hyperlink"/>
              </w:rPr>
              <w:t>Priority 1: 100 per cent renewable energy</w:t>
            </w:r>
            <w:r w:rsidR="00002231">
              <w:rPr>
                <w:webHidden/>
              </w:rPr>
              <w:tab/>
            </w:r>
            <w:r w:rsidR="00002231">
              <w:rPr>
                <w:webHidden/>
              </w:rPr>
              <w:fldChar w:fldCharType="begin"/>
            </w:r>
            <w:r w:rsidR="00002231">
              <w:rPr>
                <w:webHidden/>
              </w:rPr>
              <w:instrText xml:space="preserve"> PAGEREF _Toc523238956 \h </w:instrText>
            </w:r>
            <w:r w:rsidR="00002231">
              <w:rPr>
                <w:webHidden/>
              </w:rPr>
            </w:r>
            <w:r w:rsidR="00002231">
              <w:rPr>
                <w:webHidden/>
              </w:rPr>
              <w:fldChar w:fldCharType="separate"/>
            </w:r>
            <w:r w:rsidR="00002231">
              <w:rPr>
                <w:webHidden/>
              </w:rPr>
              <w:t>24</w:t>
            </w:r>
            <w:r w:rsidR="00002231">
              <w:rPr>
                <w:webHidden/>
              </w:rPr>
              <w:fldChar w:fldCharType="end"/>
            </w:r>
          </w:hyperlink>
        </w:p>
        <w:p w:rsidR="00002231" w:rsidRDefault="00130D4F">
          <w:pPr>
            <w:pStyle w:val="TOC2"/>
            <w:rPr>
              <w:rFonts w:eastAsiaTheme="minorEastAsia" w:cstheme="minorBidi"/>
              <w:color w:val="auto"/>
              <w:sz w:val="22"/>
              <w:szCs w:val="22"/>
            </w:rPr>
          </w:pPr>
          <w:hyperlink w:anchor="_Toc523238957" w:history="1">
            <w:r w:rsidR="00002231" w:rsidRPr="005F2323">
              <w:rPr>
                <w:rStyle w:val="Hyperlink"/>
              </w:rPr>
              <w:t>The story so far</w:t>
            </w:r>
            <w:r w:rsidR="00002231">
              <w:rPr>
                <w:webHidden/>
              </w:rPr>
              <w:tab/>
            </w:r>
            <w:r w:rsidR="00002231">
              <w:rPr>
                <w:webHidden/>
              </w:rPr>
              <w:fldChar w:fldCharType="begin"/>
            </w:r>
            <w:r w:rsidR="00002231">
              <w:rPr>
                <w:webHidden/>
              </w:rPr>
              <w:instrText xml:space="preserve"> PAGEREF _Toc523238957 \h </w:instrText>
            </w:r>
            <w:r w:rsidR="00002231">
              <w:rPr>
                <w:webHidden/>
              </w:rPr>
            </w:r>
            <w:r w:rsidR="00002231">
              <w:rPr>
                <w:webHidden/>
              </w:rPr>
              <w:fldChar w:fldCharType="separate"/>
            </w:r>
            <w:r w:rsidR="00002231">
              <w:rPr>
                <w:webHidden/>
              </w:rPr>
              <w:t>24</w:t>
            </w:r>
            <w:r w:rsidR="00002231">
              <w:rPr>
                <w:webHidden/>
              </w:rPr>
              <w:fldChar w:fldCharType="end"/>
            </w:r>
          </w:hyperlink>
        </w:p>
        <w:p w:rsidR="00002231" w:rsidRDefault="00130D4F">
          <w:pPr>
            <w:pStyle w:val="TOC2"/>
            <w:rPr>
              <w:rFonts w:eastAsiaTheme="minorEastAsia" w:cstheme="minorBidi"/>
              <w:color w:val="auto"/>
              <w:sz w:val="22"/>
              <w:szCs w:val="22"/>
            </w:rPr>
          </w:pPr>
          <w:hyperlink w:anchor="_Toc523238958" w:history="1">
            <w:r w:rsidR="00002231" w:rsidRPr="005F2323">
              <w:rPr>
                <w:rStyle w:val="Hyperlink"/>
              </w:rPr>
              <w:t>Challenges</w:t>
            </w:r>
            <w:r w:rsidR="00002231">
              <w:rPr>
                <w:webHidden/>
              </w:rPr>
              <w:tab/>
            </w:r>
            <w:r w:rsidR="00002231">
              <w:rPr>
                <w:webHidden/>
              </w:rPr>
              <w:fldChar w:fldCharType="begin"/>
            </w:r>
            <w:r w:rsidR="00002231">
              <w:rPr>
                <w:webHidden/>
              </w:rPr>
              <w:instrText xml:space="preserve"> PAGEREF _Toc523238958 \h </w:instrText>
            </w:r>
            <w:r w:rsidR="00002231">
              <w:rPr>
                <w:webHidden/>
              </w:rPr>
            </w:r>
            <w:r w:rsidR="00002231">
              <w:rPr>
                <w:webHidden/>
              </w:rPr>
              <w:fldChar w:fldCharType="separate"/>
            </w:r>
            <w:r w:rsidR="00002231">
              <w:rPr>
                <w:webHidden/>
              </w:rPr>
              <w:t>24</w:t>
            </w:r>
            <w:r w:rsidR="00002231">
              <w:rPr>
                <w:webHidden/>
              </w:rPr>
              <w:fldChar w:fldCharType="end"/>
            </w:r>
          </w:hyperlink>
        </w:p>
        <w:p w:rsidR="00002231" w:rsidRDefault="00130D4F">
          <w:pPr>
            <w:pStyle w:val="TOC2"/>
            <w:rPr>
              <w:rFonts w:eastAsiaTheme="minorEastAsia" w:cstheme="minorBidi"/>
              <w:color w:val="auto"/>
              <w:sz w:val="22"/>
              <w:szCs w:val="22"/>
            </w:rPr>
          </w:pPr>
          <w:hyperlink w:anchor="_Toc523238959" w:history="1">
            <w:r w:rsidR="00002231" w:rsidRPr="005F2323">
              <w:rPr>
                <w:rStyle w:val="Hyperlink"/>
              </w:rPr>
              <w:t>Strategic opportunities</w:t>
            </w:r>
            <w:r w:rsidR="00002231">
              <w:rPr>
                <w:webHidden/>
              </w:rPr>
              <w:tab/>
            </w:r>
            <w:r w:rsidR="00002231">
              <w:rPr>
                <w:webHidden/>
              </w:rPr>
              <w:fldChar w:fldCharType="begin"/>
            </w:r>
            <w:r w:rsidR="00002231">
              <w:rPr>
                <w:webHidden/>
              </w:rPr>
              <w:instrText xml:space="preserve"> PAGEREF _Toc523238959 \h </w:instrText>
            </w:r>
            <w:r w:rsidR="00002231">
              <w:rPr>
                <w:webHidden/>
              </w:rPr>
            </w:r>
            <w:r w:rsidR="00002231">
              <w:rPr>
                <w:webHidden/>
              </w:rPr>
              <w:fldChar w:fldCharType="separate"/>
            </w:r>
            <w:r w:rsidR="00002231">
              <w:rPr>
                <w:webHidden/>
              </w:rPr>
              <w:t>24</w:t>
            </w:r>
            <w:r w:rsidR="00002231">
              <w:rPr>
                <w:webHidden/>
              </w:rPr>
              <w:fldChar w:fldCharType="end"/>
            </w:r>
          </w:hyperlink>
        </w:p>
        <w:p w:rsidR="00002231" w:rsidRDefault="00130D4F">
          <w:pPr>
            <w:pStyle w:val="TOC2"/>
            <w:rPr>
              <w:rFonts w:eastAsiaTheme="minorEastAsia" w:cstheme="minorBidi"/>
              <w:color w:val="auto"/>
              <w:sz w:val="22"/>
              <w:szCs w:val="22"/>
            </w:rPr>
          </w:pPr>
          <w:hyperlink w:anchor="_Toc523238960" w:history="1">
            <w:r w:rsidR="00002231" w:rsidRPr="005F2323">
              <w:rPr>
                <w:rStyle w:val="Hyperlink"/>
              </w:rPr>
              <w:t>The environmental, social and economic benefits of taking action</w:t>
            </w:r>
            <w:r w:rsidR="00002231">
              <w:rPr>
                <w:webHidden/>
              </w:rPr>
              <w:tab/>
            </w:r>
            <w:r w:rsidR="00002231">
              <w:rPr>
                <w:webHidden/>
              </w:rPr>
              <w:fldChar w:fldCharType="begin"/>
            </w:r>
            <w:r w:rsidR="00002231">
              <w:rPr>
                <w:webHidden/>
              </w:rPr>
              <w:instrText xml:space="preserve"> PAGEREF _Toc523238960 \h </w:instrText>
            </w:r>
            <w:r w:rsidR="00002231">
              <w:rPr>
                <w:webHidden/>
              </w:rPr>
            </w:r>
            <w:r w:rsidR="00002231">
              <w:rPr>
                <w:webHidden/>
              </w:rPr>
              <w:fldChar w:fldCharType="separate"/>
            </w:r>
            <w:r w:rsidR="00002231">
              <w:rPr>
                <w:webHidden/>
              </w:rPr>
              <w:t>25</w:t>
            </w:r>
            <w:r w:rsidR="00002231">
              <w:rPr>
                <w:webHidden/>
              </w:rPr>
              <w:fldChar w:fldCharType="end"/>
            </w:r>
          </w:hyperlink>
        </w:p>
        <w:p w:rsidR="00002231" w:rsidRDefault="00130D4F">
          <w:pPr>
            <w:pStyle w:val="TOC2"/>
            <w:rPr>
              <w:rFonts w:eastAsiaTheme="minorEastAsia" w:cstheme="minorBidi"/>
              <w:color w:val="auto"/>
              <w:sz w:val="22"/>
              <w:szCs w:val="22"/>
            </w:rPr>
          </w:pPr>
          <w:hyperlink w:anchor="_Toc523238961" w:history="1">
            <w:r w:rsidR="00002231" w:rsidRPr="005F2323">
              <w:rPr>
                <w:rStyle w:val="Hyperlink"/>
              </w:rPr>
              <w:t>Proposed actions</w:t>
            </w:r>
            <w:r w:rsidR="00002231">
              <w:rPr>
                <w:webHidden/>
              </w:rPr>
              <w:tab/>
            </w:r>
            <w:r w:rsidR="00002231">
              <w:rPr>
                <w:webHidden/>
              </w:rPr>
              <w:fldChar w:fldCharType="begin"/>
            </w:r>
            <w:r w:rsidR="00002231">
              <w:rPr>
                <w:webHidden/>
              </w:rPr>
              <w:instrText xml:space="preserve"> PAGEREF _Toc523238961 \h </w:instrText>
            </w:r>
            <w:r w:rsidR="00002231">
              <w:rPr>
                <w:webHidden/>
              </w:rPr>
            </w:r>
            <w:r w:rsidR="00002231">
              <w:rPr>
                <w:webHidden/>
              </w:rPr>
              <w:fldChar w:fldCharType="separate"/>
            </w:r>
            <w:r w:rsidR="00002231">
              <w:rPr>
                <w:webHidden/>
              </w:rPr>
              <w:t>26</w:t>
            </w:r>
            <w:r w:rsidR="00002231">
              <w:rPr>
                <w:webHidden/>
              </w:rPr>
              <w:fldChar w:fldCharType="end"/>
            </w:r>
          </w:hyperlink>
        </w:p>
        <w:p w:rsidR="00002231" w:rsidRDefault="00130D4F">
          <w:pPr>
            <w:pStyle w:val="TOC1"/>
            <w:rPr>
              <w:rFonts w:eastAsiaTheme="minorEastAsia" w:cstheme="minorBidi"/>
              <w:b w:val="0"/>
              <w:color w:val="auto"/>
              <w:sz w:val="22"/>
              <w:szCs w:val="22"/>
            </w:rPr>
          </w:pPr>
          <w:hyperlink w:anchor="_Toc523238962" w:history="1">
            <w:r w:rsidR="00002231" w:rsidRPr="005F2323">
              <w:rPr>
                <w:rStyle w:val="Hyperlink"/>
              </w:rPr>
              <w:t>Priority 2: Zero emissions buildings and precincts</w:t>
            </w:r>
            <w:r w:rsidR="00002231">
              <w:rPr>
                <w:webHidden/>
              </w:rPr>
              <w:tab/>
            </w:r>
            <w:r w:rsidR="00002231">
              <w:rPr>
                <w:webHidden/>
              </w:rPr>
              <w:fldChar w:fldCharType="begin"/>
            </w:r>
            <w:r w:rsidR="00002231">
              <w:rPr>
                <w:webHidden/>
              </w:rPr>
              <w:instrText xml:space="preserve"> PAGEREF _Toc523238962 \h </w:instrText>
            </w:r>
            <w:r w:rsidR="00002231">
              <w:rPr>
                <w:webHidden/>
              </w:rPr>
            </w:r>
            <w:r w:rsidR="00002231">
              <w:rPr>
                <w:webHidden/>
              </w:rPr>
              <w:fldChar w:fldCharType="separate"/>
            </w:r>
            <w:r w:rsidR="00002231">
              <w:rPr>
                <w:webHidden/>
              </w:rPr>
              <w:t>28</w:t>
            </w:r>
            <w:r w:rsidR="00002231">
              <w:rPr>
                <w:webHidden/>
              </w:rPr>
              <w:fldChar w:fldCharType="end"/>
            </w:r>
          </w:hyperlink>
        </w:p>
        <w:p w:rsidR="00002231" w:rsidRDefault="00130D4F">
          <w:pPr>
            <w:pStyle w:val="TOC2"/>
            <w:rPr>
              <w:rFonts w:eastAsiaTheme="minorEastAsia" w:cstheme="minorBidi"/>
              <w:color w:val="auto"/>
              <w:sz w:val="22"/>
              <w:szCs w:val="22"/>
            </w:rPr>
          </w:pPr>
          <w:hyperlink w:anchor="_Toc523238963" w:history="1">
            <w:r w:rsidR="00002231" w:rsidRPr="005F2323">
              <w:rPr>
                <w:rStyle w:val="Hyperlink"/>
              </w:rPr>
              <w:t>The story so far</w:t>
            </w:r>
            <w:r w:rsidR="00002231">
              <w:rPr>
                <w:webHidden/>
              </w:rPr>
              <w:tab/>
            </w:r>
            <w:r w:rsidR="00002231">
              <w:rPr>
                <w:webHidden/>
              </w:rPr>
              <w:fldChar w:fldCharType="begin"/>
            </w:r>
            <w:r w:rsidR="00002231">
              <w:rPr>
                <w:webHidden/>
              </w:rPr>
              <w:instrText xml:space="preserve"> PAGEREF _Toc523238963 \h </w:instrText>
            </w:r>
            <w:r w:rsidR="00002231">
              <w:rPr>
                <w:webHidden/>
              </w:rPr>
            </w:r>
            <w:r w:rsidR="00002231">
              <w:rPr>
                <w:webHidden/>
              </w:rPr>
              <w:fldChar w:fldCharType="separate"/>
            </w:r>
            <w:r w:rsidR="00002231">
              <w:rPr>
                <w:webHidden/>
              </w:rPr>
              <w:t>28</w:t>
            </w:r>
            <w:r w:rsidR="00002231">
              <w:rPr>
                <w:webHidden/>
              </w:rPr>
              <w:fldChar w:fldCharType="end"/>
            </w:r>
          </w:hyperlink>
        </w:p>
        <w:p w:rsidR="00002231" w:rsidRDefault="00130D4F">
          <w:pPr>
            <w:pStyle w:val="TOC2"/>
            <w:rPr>
              <w:rFonts w:eastAsiaTheme="minorEastAsia" w:cstheme="minorBidi"/>
              <w:color w:val="auto"/>
              <w:sz w:val="22"/>
              <w:szCs w:val="22"/>
            </w:rPr>
          </w:pPr>
          <w:hyperlink w:anchor="_Toc523238964" w:history="1">
            <w:r w:rsidR="00002231" w:rsidRPr="005F2323">
              <w:rPr>
                <w:rStyle w:val="Hyperlink"/>
              </w:rPr>
              <w:t>Challenges</w:t>
            </w:r>
            <w:r w:rsidR="00002231">
              <w:rPr>
                <w:webHidden/>
              </w:rPr>
              <w:tab/>
            </w:r>
            <w:r w:rsidR="00002231">
              <w:rPr>
                <w:webHidden/>
              </w:rPr>
              <w:fldChar w:fldCharType="begin"/>
            </w:r>
            <w:r w:rsidR="00002231">
              <w:rPr>
                <w:webHidden/>
              </w:rPr>
              <w:instrText xml:space="preserve"> PAGEREF _Toc523238964 \h </w:instrText>
            </w:r>
            <w:r w:rsidR="00002231">
              <w:rPr>
                <w:webHidden/>
              </w:rPr>
            </w:r>
            <w:r w:rsidR="00002231">
              <w:rPr>
                <w:webHidden/>
              </w:rPr>
              <w:fldChar w:fldCharType="separate"/>
            </w:r>
            <w:r w:rsidR="00002231">
              <w:rPr>
                <w:webHidden/>
              </w:rPr>
              <w:t>28</w:t>
            </w:r>
            <w:r w:rsidR="00002231">
              <w:rPr>
                <w:webHidden/>
              </w:rPr>
              <w:fldChar w:fldCharType="end"/>
            </w:r>
          </w:hyperlink>
        </w:p>
        <w:p w:rsidR="00002231" w:rsidRDefault="00130D4F">
          <w:pPr>
            <w:pStyle w:val="TOC2"/>
            <w:rPr>
              <w:rFonts w:eastAsiaTheme="minorEastAsia" w:cstheme="minorBidi"/>
              <w:color w:val="auto"/>
              <w:sz w:val="22"/>
              <w:szCs w:val="22"/>
            </w:rPr>
          </w:pPr>
          <w:hyperlink w:anchor="_Toc523238965" w:history="1">
            <w:r w:rsidR="00002231" w:rsidRPr="005F2323">
              <w:rPr>
                <w:rStyle w:val="Hyperlink"/>
              </w:rPr>
              <w:t>Strategic opportunities</w:t>
            </w:r>
            <w:r w:rsidR="00002231">
              <w:rPr>
                <w:webHidden/>
              </w:rPr>
              <w:tab/>
            </w:r>
            <w:r w:rsidR="00002231">
              <w:rPr>
                <w:webHidden/>
              </w:rPr>
              <w:fldChar w:fldCharType="begin"/>
            </w:r>
            <w:r w:rsidR="00002231">
              <w:rPr>
                <w:webHidden/>
              </w:rPr>
              <w:instrText xml:space="preserve"> PAGEREF _Toc523238965 \h </w:instrText>
            </w:r>
            <w:r w:rsidR="00002231">
              <w:rPr>
                <w:webHidden/>
              </w:rPr>
            </w:r>
            <w:r w:rsidR="00002231">
              <w:rPr>
                <w:webHidden/>
              </w:rPr>
              <w:fldChar w:fldCharType="separate"/>
            </w:r>
            <w:r w:rsidR="00002231">
              <w:rPr>
                <w:webHidden/>
              </w:rPr>
              <w:t>28</w:t>
            </w:r>
            <w:r w:rsidR="00002231">
              <w:rPr>
                <w:webHidden/>
              </w:rPr>
              <w:fldChar w:fldCharType="end"/>
            </w:r>
          </w:hyperlink>
        </w:p>
        <w:p w:rsidR="00002231" w:rsidRDefault="00130D4F">
          <w:pPr>
            <w:pStyle w:val="TOC2"/>
            <w:rPr>
              <w:rFonts w:eastAsiaTheme="minorEastAsia" w:cstheme="minorBidi"/>
              <w:color w:val="auto"/>
              <w:sz w:val="22"/>
              <w:szCs w:val="22"/>
            </w:rPr>
          </w:pPr>
          <w:hyperlink w:anchor="_Toc523238966" w:history="1">
            <w:r w:rsidR="00002231" w:rsidRPr="005F2323">
              <w:rPr>
                <w:rStyle w:val="Hyperlink"/>
              </w:rPr>
              <w:t>The environmental, social and economic benefits of taking action</w:t>
            </w:r>
            <w:r w:rsidR="00002231">
              <w:rPr>
                <w:webHidden/>
              </w:rPr>
              <w:tab/>
            </w:r>
            <w:r w:rsidR="00002231">
              <w:rPr>
                <w:webHidden/>
              </w:rPr>
              <w:fldChar w:fldCharType="begin"/>
            </w:r>
            <w:r w:rsidR="00002231">
              <w:rPr>
                <w:webHidden/>
              </w:rPr>
              <w:instrText xml:space="preserve"> PAGEREF _Toc523238966 \h </w:instrText>
            </w:r>
            <w:r w:rsidR="00002231">
              <w:rPr>
                <w:webHidden/>
              </w:rPr>
            </w:r>
            <w:r w:rsidR="00002231">
              <w:rPr>
                <w:webHidden/>
              </w:rPr>
              <w:fldChar w:fldCharType="separate"/>
            </w:r>
            <w:r w:rsidR="00002231">
              <w:rPr>
                <w:webHidden/>
              </w:rPr>
              <w:t>29</w:t>
            </w:r>
            <w:r w:rsidR="00002231">
              <w:rPr>
                <w:webHidden/>
              </w:rPr>
              <w:fldChar w:fldCharType="end"/>
            </w:r>
          </w:hyperlink>
        </w:p>
        <w:p w:rsidR="00002231" w:rsidRDefault="00130D4F">
          <w:pPr>
            <w:pStyle w:val="TOC2"/>
            <w:rPr>
              <w:rFonts w:eastAsiaTheme="minorEastAsia" w:cstheme="minorBidi"/>
              <w:color w:val="auto"/>
              <w:sz w:val="22"/>
              <w:szCs w:val="22"/>
            </w:rPr>
          </w:pPr>
          <w:hyperlink w:anchor="_Toc523238967" w:history="1">
            <w:r w:rsidR="00002231" w:rsidRPr="005F2323">
              <w:rPr>
                <w:rStyle w:val="Hyperlink"/>
              </w:rPr>
              <w:t>Proposed actions</w:t>
            </w:r>
            <w:r w:rsidR="00002231">
              <w:rPr>
                <w:webHidden/>
              </w:rPr>
              <w:tab/>
            </w:r>
            <w:r w:rsidR="00002231">
              <w:rPr>
                <w:webHidden/>
              </w:rPr>
              <w:fldChar w:fldCharType="begin"/>
            </w:r>
            <w:r w:rsidR="00002231">
              <w:rPr>
                <w:webHidden/>
              </w:rPr>
              <w:instrText xml:space="preserve"> PAGEREF _Toc523238967 \h </w:instrText>
            </w:r>
            <w:r w:rsidR="00002231">
              <w:rPr>
                <w:webHidden/>
              </w:rPr>
            </w:r>
            <w:r w:rsidR="00002231">
              <w:rPr>
                <w:webHidden/>
              </w:rPr>
              <w:fldChar w:fldCharType="separate"/>
            </w:r>
            <w:r w:rsidR="00002231">
              <w:rPr>
                <w:webHidden/>
              </w:rPr>
              <w:t>31</w:t>
            </w:r>
            <w:r w:rsidR="00002231">
              <w:rPr>
                <w:webHidden/>
              </w:rPr>
              <w:fldChar w:fldCharType="end"/>
            </w:r>
          </w:hyperlink>
        </w:p>
        <w:p w:rsidR="00002231" w:rsidRDefault="00130D4F">
          <w:pPr>
            <w:pStyle w:val="TOC1"/>
            <w:rPr>
              <w:rFonts w:eastAsiaTheme="minorEastAsia" w:cstheme="minorBidi"/>
              <w:b w:val="0"/>
              <w:color w:val="auto"/>
              <w:sz w:val="22"/>
              <w:szCs w:val="22"/>
            </w:rPr>
          </w:pPr>
          <w:hyperlink w:anchor="_Toc523238968" w:history="1">
            <w:r w:rsidR="00002231" w:rsidRPr="005F2323">
              <w:rPr>
                <w:rStyle w:val="Hyperlink"/>
              </w:rPr>
              <w:t>Priority 3: Zero emissions transport</w:t>
            </w:r>
            <w:r w:rsidR="00002231">
              <w:rPr>
                <w:webHidden/>
              </w:rPr>
              <w:tab/>
            </w:r>
            <w:r w:rsidR="00002231">
              <w:rPr>
                <w:webHidden/>
              </w:rPr>
              <w:fldChar w:fldCharType="begin"/>
            </w:r>
            <w:r w:rsidR="00002231">
              <w:rPr>
                <w:webHidden/>
              </w:rPr>
              <w:instrText xml:space="preserve"> PAGEREF _Toc523238968 \h </w:instrText>
            </w:r>
            <w:r w:rsidR="00002231">
              <w:rPr>
                <w:webHidden/>
              </w:rPr>
            </w:r>
            <w:r w:rsidR="00002231">
              <w:rPr>
                <w:webHidden/>
              </w:rPr>
              <w:fldChar w:fldCharType="separate"/>
            </w:r>
            <w:r w:rsidR="00002231">
              <w:rPr>
                <w:webHidden/>
              </w:rPr>
              <w:t>32</w:t>
            </w:r>
            <w:r w:rsidR="00002231">
              <w:rPr>
                <w:webHidden/>
              </w:rPr>
              <w:fldChar w:fldCharType="end"/>
            </w:r>
          </w:hyperlink>
        </w:p>
        <w:p w:rsidR="00002231" w:rsidRDefault="00130D4F">
          <w:pPr>
            <w:pStyle w:val="TOC2"/>
            <w:rPr>
              <w:rFonts w:eastAsiaTheme="minorEastAsia" w:cstheme="minorBidi"/>
              <w:color w:val="auto"/>
              <w:sz w:val="22"/>
              <w:szCs w:val="22"/>
            </w:rPr>
          </w:pPr>
          <w:hyperlink w:anchor="_Toc523238969" w:history="1">
            <w:r w:rsidR="00002231" w:rsidRPr="005F2323">
              <w:rPr>
                <w:rStyle w:val="Hyperlink"/>
              </w:rPr>
              <w:t>The story so far</w:t>
            </w:r>
            <w:r w:rsidR="00002231">
              <w:rPr>
                <w:webHidden/>
              </w:rPr>
              <w:tab/>
            </w:r>
            <w:r w:rsidR="00002231">
              <w:rPr>
                <w:webHidden/>
              </w:rPr>
              <w:fldChar w:fldCharType="begin"/>
            </w:r>
            <w:r w:rsidR="00002231">
              <w:rPr>
                <w:webHidden/>
              </w:rPr>
              <w:instrText xml:space="preserve"> PAGEREF _Toc523238969 \h </w:instrText>
            </w:r>
            <w:r w:rsidR="00002231">
              <w:rPr>
                <w:webHidden/>
              </w:rPr>
            </w:r>
            <w:r w:rsidR="00002231">
              <w:rPr>
                <w:webHidden/>
              </w:rPr>
              <w:fldChar w:fldCharType="separate"/>
            </w:r>
            <w:r w:rsidR="00002231">
              <w:rPr>
                <w:webHidden/>
              </w:rPr>
              <w:t>32</w:t>
            </w:r>
            <w:r w:rsidR="00002231">
              <w:rPr>
                <w:webHidden/>
              </w:rPr>
              <w:fldChar w:fldCharType="end"/>
            </w:r>
          </w:hyperlink>
        </w:p>
        <w:p w:rsidR="00002231" w:rsidRDefault="00130D4F">
          <w:pPr>
            <w:pStyle w:val="TOC2"/>
            <w:rPr>
              <w:rFonts w:eastAsiaTheme="minorEastAsia" w:cstheme="minorBidi"/>
              <w:color w:val="auto"/>
              <w:sz w:val="22"/>
              <w:szCs w:val="22"/>
            </w:rPr>
          </w:pPr>
          <w:hyperlink w:anchor="_Toc523238970" w:history="1">
            <w:r w:rsidR="00002231" w:rsidRPr="005F2323">
              <w:rPr>
                <w:rStyle w:val="Hyperlink"/>
              </w:rPr>
              <w:t>Challenges</w:t>
            </w:r>
            <w:r w:rsidR="00002231">
              <w:rPr>
                <w:webHidden/>
              </w:rPr>
              <w:tab/>
            </w:r>
            <w:r w:rsidR="00002231">
              <w:rPr>
                <w:webHidden/>
              </w:rPr>
              <w:fldChar w:fldCharType="begin"/>
            </w:r>
            <w:r w:rsidR="00002231">
              <w:rPr>
                <w:webHidden/>
              </w:rPr>
              <w:instrText xml:space="preserve"> PAGEREF _Toc523238970 \h </w:instrText>
            </w:r>
            <w:r w:rsidR="00002231">
              <w:rPr>
                <w:webHidden/>
              </w:rPr>
            </w:r>
            <w:r w:rsidR="00002231">
              <w:rPr>
                <w:webHidden/>
              </w:rPr>
              <w:fldChar w:fldCharType="separate"/>
            </w:r>
            <w:r w:rsidR="00002231">
              <w:rPr>
                <w:webHidden/>
              </w:rPr>
              <w:t>32</w:t>
            </w:r>
            <w:r w:rsidR="00002231">
              <w:rPr>
                <w:webHidden/>
              </w:rPr>
              <w:fldChar w:fldCharType="end"/>
            </w:r>
          </w:hyperlink>
        </w:p>
        <w:p w:rsidR="00002231" w:rsidRDefault="00130D4F">
          <w:pPr>
            <w:pStyle w:val="TOC2"/>
            <w:rPr>
              <w:rFonts w:eastAsiaTheme="minorEastAsia" w:cstheme="minorBidi"/>
              <w:color w:val="auto"/>
              <w:sz w:val="22"/>
              <w:szCs w:val="22"/>
            </w:rPr>
          </w:pPr>
          <w:hyperlink w:anchor="_Toc523238971" w:history="1">
            <w:r w:rsidR="00002231" w:rsidRPr="005F2323">
              <w:rPr>
                <w:rStyle w:val="Hyperlink"/>
              </w:rPr>
              <w:t>Strategic opportunities</w:t>
            </w:r>
            <w:r w:rsidR="00002231">
              <w:rPr>
                <w:webHidden/>
              </w:rPr>
              <w:tab/>
            </w:r>
            <w:r w:rsidR="00002231">
              <w:rPr>
                <w:webHidden/>
              </w:rPr>
              <w:fldChar w:fldCharType="begin"/>
            </w:r>
            <w:r w:rsidR="00002231">
              <w:rPr>
                <w:webHidden/>
              </w:rPr>
              <w:instrText xml:space="preserve"> PAGEREF _Toc523238971 \h </w:instrText>
            </w:r>
            <w:r w:rsidR="00002231">
              <w:rPr>
                <w:webHidden/>
              </w:rPr>
            </w:r>
            <w:r w:rsidR="00002231">
              <w:rPr>
                <w:webHidden/>
              </w:rPr>
              <w:fldChar w:fldCharType="separate"/>
            </w:r>
            <w:r w:rsidR="00002231">
              <w:rPr>
                <w:webHidden/>
              </w:rPr>
              <w:t>32</w:t>
            </w:r>
            <w:r w:rsidR="00002231">
              <w:rPr>
                <w:webHidden/>
              </w:rPr>
              <w:fldChar w:fldCharType="end"/>
            </w:r>
          </w:hyperlink>
        </w:p>
        <w:p w:rsidR="00002231" w:rsidRDefault="00130D4F">
          <w:pPr>
            <w:pStyle w:val="TOC2"/>
            <w:rPr>
              <w:rFonts w:eastAsiaTheme="minorEastAsia" w:cstheme="minorBidi"/>
              <w:color w:val="auto"/>
              <w:sz w:val="22"/>
              <w:szCs w:val="22"/>
            </w:rPr>
          </w:pPr>
          <w:hyperlink w:anchor="_Toc523238972" w:history="1">
            <w:r w:rsidR="00002231" w:rsidRPr="005F2323">
              <w:rPr>
                <w:rStyle w:val="Hyperlink"/>
              </w:rPr>
              <w:t>The environmental, social and economic benefits of taking action</w:t>
            </w:r>
            <w:r w:rsidR="00002231">
              <w:rPr>
                <w:webHidden/>
              </w:rPr>
              <w:tab/>
            </w:r>
            <w:r w:rsidR="00002231">
              <w:rPr>
                <w:webHidden/>
              </w:rPr>
              <w:fldChar w:fldCharType="begin"/>
            </w:r>
            <w:r w:rsidR="00002231">
              <w:rPr>
                <w:webHidden/>
              </w:rPr>
              <w:instrText xml:space="preserve"> PAGEREF _Toc523238972 \h </w:instrText>
            </w:r>
            <w:r w:rsidR="00002231">
              <w:rPr>
                <w:webHidden/>
              </w:rPr>
            </w:r>
            <w:r w:rsidR="00002231">
              <w:rPr>
                <w:webHidden/>
              </w:rPr>
              <w:fldChar w:fldCharType="separate"/>
            </w:r>
            <w:r w:rsidR="00002231">
              <w:rPr>
                <w:webHidden/>
              </w:rPr>
              <w:t>33</w:t>
            </w:r>
            <w:r w:rsidR="00002231">
              <w:rPr>
                <w:webHidden/>
              </w:rPr>
              <w:fldChar w:fldCharType="end"/>
            </w:r>
          </w:hyperlink>
        </w:p>
        <w:p w:rsidR="00002231" w:rsidRDefault="00130D4F">
          <w:pPr>
            <w:pStyle w:val="TOC2"/>
            <w:rPr>
              <w:rFonts w:eastAsiaTheme="minorEastAsia" w:cstheme="minorBidi"/>
              <w:color w:val="auto"/>
              <w:sz w:val="22"/>
              <w:szCs w:val="22"/>
            </w:rPr>
          </w:pPr>
          <w:hyperlink w:anchor="_Toc523238973" w:history="1">
            <w:r w:rsidR="00002231" w:rsidRPr="005F2323">
              <w:rPr>
                <w:rStyle w:val="Hyperlink"/>
              </w:rPr>
              <w:t>Proposed actions</w:t>
            </w:r>
            <w:r w:rsidR="00002231">
              <w:rPr>
                <w:webHidden/>
              </w:rPr>
              <w:tab/>
            </w:r>
            <w:r w:rsidR="00002231">
              <w:rPr>
                <w:webHidden/>
              </w:rPr>
              <w:fldChar w:fldCharType="begin"/>
            </w:r>
            <w:r w:rsidR="00002231">
              <w:rPr>
                <w:webHidden/>
              </w:rPr>
              <w:instrText xml:space="preserve"> PAGEREF _Toc523238973 \h </w:instrText>
            </w:r>
            <w:r w:rsidR="00002231">
              <w:rPr>
                <w:webHidden/>
              </w:rPr>
            </w:r>
            <w:r w:rsidR="00002231">
              <w:rPr>
                <w:webHidden/>
              </w:rPr>
              <w:fldChar w:fldCharType="separate"/>
            </w:r>
            <w:r w:rsidR="00002231">
              <w:rPr>
                <w:webHidden/>
              </w:rPr>
              <w:t>34</w:t>
            </w:r>
            <w:r w:rsidR="00002231">
              <w:rPr>
                <w:webHidden/>
              </w:rPr>
              <w:fldChar w:fldCharType="end"/>
            </w:r>
          </w:hyperlink>
        </w:p>
        <w:p w:rsidR="00002231" w:rsidRDefault="00130D4F">
          <w:pPr>
            <w:pStyle w:val="TOC1"/>
            <w:rPr>
              <w:rFonts w:eastAsiaTheme="minorEastAsia" w:cstheme="minorBidi"/>
              <w:b w:val="0"/>
              <w:color w:val="auto"/>
              <w:sz w:val="22"/>
              <w:szCs w:val="22"/>
            </w:rPr>
          </w:pPr>
          <w:hyperlink w:anchor="_Toc523238974" w:history="1">
            <w:r w:rsidR="00002231" w:rsidRPr="005F2323">
              <w:rPr>
                <w:rStyle w:val="Hyperlink"/>
              </w:rPr>
              <w:t>Priority 4:  Reducing the impact of waste</w:t>
            </w:r>
            <w:r w:rsidR="00002231">
              <w:rPr>
                <w:webHidden/>
              </w:rPr>
              <w:tab/>
            </w:r>
            <w:r w:rsidR="00002231">
              <w:rPr>
                <w:webHidden/>
              </w:rPr>
              <w:fldChar w:fldCharType="begin"/>
            </w:r>
            <w:r w:rsidR="00002231">
              <w:rPr>
                <w:webHidden/>
              </w:rPr>
              <w:instrText xml:space="preserve"> PAGEREF _Toc523238974 \h </w:instrText>
            </w:r>
            <w:r w:rsidR="00002231">
              <w:rPr>
                <w:webHidden/>
              </w:rPr>
            </w:r>
            <w:r w:rsidR="00002231">
              <w:rPr>
                <w:webHidden/>
              </w:rPr>
              <w:fldChar w:fldCharType="separate"/>
            </w:r>
            <w:r w:rsidR="00002231">
              <w:rPr>
                <w:webHidden/>
              </w:rPr>
              <w:t>36</w:t>
            </w:r>
            <w:r w:rsidR="00002231">
              <w:rPr>
                <w:webHidden/>
              </w:rPr>
              <w:fldChar w:fldCharType="end"/>
            </w:r>
          </w:hyperlink>
        </w:p>
        <w:p w:rsidR="00002231" w:rsidRDefault="00130D4F">
          <w:pPr>
            <w:pStyle w:val="TOC2"/>
            <w:rPr>
              <w:rFonts w:eastAsiaTheme="minorEastAsia" w:cstheme="minorBidi"/>
              <w:color w:val="auto"/>
              <w:sz w:val="22"/>
              <w:szCs w:val="22"/>
            </w:rPr>
          </w:pPr>
          <w:hyperlink w:anchor="_Toc523238975" w:history="1">
            <w:r w:rsidR="00002231" w:rsidRPr="005F2323">
              <w:rPr>
                <w:rStyle w:val="Hyperlink"/>
              </w:rPr>
              <w:t>The story so far</w:t>
            </w:r>
            <w:r w:rsidR="00002231">
              <w:rPr>
                <w:webHidden/>
              </w:rPr>
              <w:tab/>
            </w:r>
            <w:r w:rsidR="00002231">
              <w:rPr>
                <w:webHidden/>
              </w:rPr>
              <w:fldChar w:fldCharType="begin"/>
            </w:r>
            <w:r w:rsidR="00002231">
              <w:rPr>
                <w:webHidden/>
              </w:rPr>
              <w:instrText xml:space="preserve"> PAGEREF _Toc523238975 \h </w:instrText>
            </w:r>
            <w:r w:rsidR="00002231">
              <w:rPr>
                <w:webHidden/>
              </w:rPr>
            </w:r>
            <w:r w:rsidR="00002231">
              <w:rPr>
                <w:webHidden/>
              </w:rPr>
              <w:fldChar w:fldCharType="separate"/>
            </w:r>
            <w:r w:rsidR="00002231">
              <w:rPr>
                <w:webHidden/>
              </w:rPr>
              <w:t>36</w:t>
            </w:r>
            <w:r w:rsidR="00002231">
              <w:rPr>
                <w:webHidden/>
              </w:rPr>
              <w:fldChar w:fldCharType="end"/>
            </w:r>
          </w:hyperlink>
        </w:p>
        <w:p w:rsidR="00002231" w:rsidRDefault="00130D4F">
          <w:pPr>
            <w:pStyle w:val="TOC2"/>
            <w:rPr>
              <w:rFonts w:eastAsiaTheme="minorEastAsia" w:cstheme="minorBidi"/>
              <w:color w:val="auto"/>
              <w:sz w:val="22"/>
              <w:szCs w:val="22"/>
            </w:rPr>
          </w:pPr>
          <w:hyperlink w:anchor="_Toc523238976" w:history="1">
            <w:r w:rsidR="00002231" w:rsidRPr="005F2323">
              <w:rPr>
                <w:rStyle w:val="Hyperlink"/>
              </w:rPr>
              <w:t>Challenges</w:t>
            </w:r>
            <w:r w:rsidR="00002231">
              <w:rPr>
                <w:webHidden/>
              </w:rPr>
              <w:tab/>
            </w:r>
            <w:r w:rsidR="00002231">
              <w:rPr>
                <w:webHidden/>
              </w:rPr>
              <w:fldChar w:fldCharType="begin"/>
            </w:r>
            <w:r w:rsidR="00002231">
              <w:rPr>
                <w:webHidden/>
              </w:rPr>
              <w:instrText xml:space="preserve"> PAGEREF _Toc523238976 \h </w:instrText>
            </w:r>
            <w:r w:rsidR="00002231">
              <w:rPr>
                <w:webHidden/>
              </w:rPr>
            </w:r>
            <w:r w:rsidR="00002231">
              <w:rPr>
                <w:webHidden/>
              </w:rPr>
              <w:fldChar w:fldCharType="separate"/>
            </w:r>
            <w:r w:rsidR="00002231">
              <w:rPr>
                <w:webHidden/>
              </w:rPr>
              <w:t>36</w:t>
            </w:r>
            <w:r w:rsidR="00002231">
              <w:rPr>
                <w:webHidden/>
              </w:rPr>
              <w:fldChar w:fldCharType="end"/>
            </w:r>
          </w:hyperlink>
        </w:p>
        <w:p w:rsidR="00002231" w:rsidRDefault="00130D4F">
          <w:pPr>
            <w:pStyle w:val="TOC2"/>
            <w:rPr>
              <w:rFonts w:eastAsiaTheme="minorEastAsia" w:cstheme="minorBidi"/>
              <w:color w:val="auto"/>
              <w:sz w:val="22"/>
              <w:szCs w:val="22"/>
            </w:rPr>
          </w:pPr>
          <w:hyperlink w:anchor="_Toc523238977" w:history="1">
            <w:r w:rsidR="00002231" w:rsidRPr="005F2323">
              <w:rPr>
                <w:rStyle w:val="Hyperlink"/>
              </w:rPr>
              <w:t>Strategic opportunities</w:t>
            </w:r>
            <w:r w:rsidR="00002231">
              <w:rPr>
                <w:webHidden/>
              </w:rPr>
              <w:tab/>
            </w:r>
            <w:r w:rsidR="00002231">
              <w:rPr>
                <w:webHidden/>
              </w:rPr>
              <w:fldChar w:fldCharType="begin"/>
            </w:r>
            <w:r w:rsidR="00002231">
              <w:rPr>
                <w:webHidden/>
              </w:rPr>
              <w:instrText xml:space="preserve"> PAGEREF _Toc523238977 \h </w:instrText>
            </w:r>
            <w:r w:rsidR="00002231">
              <w:rPr>
                <w:webHidden/>
              </w:rPr>
            </w:r>
            <w:r w:rsidR="00002231">
              <w:rPr>
                <w:webHidden/>
              </w:rPr>
              <w:fldChar w:fldCharType="separate"/>
            </w:r>
            <w:r w:rsidR="00002231">
              <w:rPr>
                <w:webHidden/>
              </w:rPr>
              <w:t>36</w:t>
            </w:r>
            <w:r w:rsidR="00002231">
              <w:rPr>
                <w:webHidden/>
              </w:rPr>
              <w:fldChar w:fldCharType="end"/>
            </w:r>
          </w:hyperlink>
        </w:p>
        <w:p w:rsidR="00002231" w:rsidRDefault="00130D4F">
          <w:pPr>
            <w:pStyle w:val="TOC2"/>
            <w:rPr>
              <w:rFonts w:eastAsiaTheme="minorEastAsia" w:cstheme="minorBidi"/>
              <w:color w:val="auto"/>
              <w:sz w:val="22"/>
              <w:szCs w:val="22"/>
            </w:rPr>
          </w:pPr>
          <w:hyperlink w:anchor="_Toc523238978" w:history="1">
            <w:r w:rsidR="00002231" w:rsidRPr="005F2323">
              <w:rPr>
                <w:rStyle w:val="Hyperlink"/>
              </w:rPr>
              <w:t>The environmental, social and economic benefits of taking action</w:t>
            </w:r>
            <w:r w:rsidR="00002231">
              <w:rPr>
                <w:webHidden/>
              </w:rPr>
              <w:tab/>
            </w:r>
            <w:r w:rsidR="00002231">
              <w:rPr>
                <w:webHidden/>
              </w:rPr>
              <w:fldChar w:fldCharType="begin"/>
            </w:r>
            <w:r w:rsidR="00002231">
              <w:rPr>
                <w:webHidden/>
              </w:rPr>
              <w:instrText xml:space="preserve"> PAGEREF _Toc523238978 \h </w:instrText>
            </w:r>
            <w:r w:rsidR="00002231">
              <w:rPr>
                <w:webHidden/>
              </w:rPr>
            </w:r>
            <w:r w:rsidR="00002231">
              <w:rPr>
                <w:webHidden/>
              </w:rPr>
              <w:fldChar w:fldCharType="separate"/>
            </w:r>
            <w:r w:rsidR="00002231">
              <w:rPr>
                <w:webHidden/>
              </w:rPr>
              <w:t>37</w:t>
            </w:r>
            <w:r w:rsidR="00002231">
              <w:rPr>
                <w:webHidden/>
              </w:rPr>
              <w:fldChar w:fldCharType="end"/>
            </w:r>
          </w:hyperlink>
        </w:p>
        <w:p w:rsidR="00002231" w:rsidRDefault="00130D4F">
          <w:pPr>
            <w:pStyle w:val="TOC2"/>
            <w:rPr>
              <w:rFonts w:eastAsiaTheme="minorEastAsia" w:cstheme="minorBidi"/>
              <w:color w:val="auto"/>
              <w:sz w:val="22"/>
              <w:szCs w:val="22"/>
            </w:rPr>
          </w:pPr>
          <w:hyperlink w:anchor="_Toc523238979" w:history="1">
            <w:r w:rsidR="00002231" w:rsidRPr="005F2323">
              <w:rPr>
                <w:rStyle w:val="Hyperlink"/>
              </w:rPr>
              <w:t>Proposed actions</w:t>
            </w:r>
            <w:r w:rsidR="00002231">
              <w:rPr>
                <w:webHidden/>
              </w:rPr>
              <w:tab/>
            </w:r>
            <w:r w:rsidR="00002231">
              <w:rPr>
                <w:webHidden/>
              </w:rPr>
              <w:fldChar w:fldCharType="begin"/>
            </w:r>
            <w:r w:rsidR="00002231">
              <w:rPr>
                <w:webHidden/>
              </w:rPr>
              <w:instrText xml:space="preserve"> PAGEREF _Toc523238979 \h </w:instrText>
            </w:r>
            <w:r w:rsidR="00002231">
              <w:rPr>
                <w:webHidden/>
              </w:rPr>
            </w:r>
            <w:r w:rsidR="00002231">
              <w:rPr>
                <w:webHidden/>
              </w:rPr>
              <w:fldChar w:fldCharType="separate"/>
            </w:r>
            <w:r w:rsidR="00002231">
              <w:rPr>
                <w:webHidden/>
              </w:rPr>
              <w:t>38</w:t>
            </w:r>
            <w:r w:rsidR="00002231">
              <w:rPr>
                <w:webHidden/>
              </w:rPr>
              <w:fldChar w:fldCharType="end"/>
            </w:r>
          </w:hyperlink>
        </w:p>
        <w:p w:rsidR="00002231" w:rsidRDefault="00130D4F">
          <w:pPr>
            <w:pStyle w:val="TOC1"/>
            <w:rPr>
              <w:rFonts w:eastAsiaTheme="minorEastAsia" w:cstheme="minorBidi"/>
              <w:b w:val="0"/>
              <w:color w:val="auto"/>
              <w:sz w:val="22"/>
              <w:szCs w:val="22"/>
            </w:rPr>
          </w:pPr>
          <w:hyperlink w:anchor="_Toc523238980" w:history="1">
            <w:r w:rsidR="00002231" w:rsidRPr="005F2323">
              <w:rPr>
                <w:rStyle w:val="Hyperlink"/>
              </w:rPr>
              <w:t>4.</w:t>
            </w:r>
            <w:r w:rsidR="00002231">
              <w:rPr>
                <w:rFonts w:eastAsiaTheme="minorEastAsia" w:cstheme="minorBidi"/>
                <w:b w:val="0"/>
                <w:color w:val="auto"/>
                <w:sz w:val="22"/>
                <w:szCs w:val="22"/>
              </w:rPr>
              <w:tab/>
            </w:r>
            <w:r w:rsidR="00002231" w:rsidRPr="005F2323">
              <w:rPr>
                <w:rStyle w:val="Hyperlink"/>
              </w:rPr>
              <w:t>How we will implement the strategy</w:t>
            </w:r>
            <w:r w:rsidR="00002231">
              <w:rPr>
                <w:webHidden/>
              </w:rPr>
              <w:tab/>
            </w:r>
            <w:r w:rsidR="00002231">
              <w:rPr>
                <w:webHidden/>
              </w:rPr>
              <w:fldChar w:fldCharType="begin"/>
            </w:r>
            <w:r w:rsidR="00002231">
              <w:rPr>
                <w:webHidden/>
              </w:rPr>
              <w:instrText xml:space="preserve"> PAGEREF _Toc523238980 \h </w:instrText>
            </w:r>
            <w:r w:rsidR="00002231">
              <w:rPr>
                <w:webHidden/>
              </w:rPr>
            </w:r>
            <w:r w:rsidR="00002231">
              <w:rPr>
                <w:webHidden/>
              </w:rPr>
              <w:fldChar w:fldCharType="separate"/>
            </w:r>
            <w:r w:rsidR="00002231">
              <w:rPr>
                <w:webHidden/>
              </w:rPr>
              <w:t>39</w:t>
            </w:r>
            <w:r w:rsidR="00002231">
              <w:rPr>
                <w:webHidden/>
              </w:rPr>
              <w:fldChar w:fldCharType="end"/>
            </w:r>
          </w:hyperlink>
        </w:p>
        <w:p w:rsidR="00002231" w:rsidRDefault="00130D4F">
          <w:pPr>
            <w:pStyle w:val="TOC2"/>
            <w:rPr>
              <w:rFonts w:eastAsiaTheme="minorEastAsia" w:cstheme="minorBidi"/>
              <w:color w:val="auto"/>
              <w:sz w:val="22"/>
              <w:szCs w:val="22"/>
            </w:rPr>
          </w:pPr>
          <w:hyperlink w:anchor="_Toc523238981" w:history="1">
            <w:r w:rsidR="00002231" w:rsidRPr="005F2323">
              <w:rPr>
                <w:rStyle w:val="Hyperlink"/>
              </w:rPr>
              <w:t>4.1 Consider climate adaptation and mitigation in an integrated way</w:t>
            </w:r>
            <w:r w:rsidR="00002231">
              <w:rPr>
                <w:webHidden/>
              </w:rPr>
              <w:tab/>
            </w:r>
            <w:r w:rsidR="00002231">
              <w:rPr>
                <w:webHidden/>
              </w:rPr>
              <w:fldChar w:fldCharType="begin"/>
            </w:r>
            <w:r w:rsidR="00002231">
              <w:rPr>
                <w:webHidden/>
              </w:rPr>
              <w:instrText xml:space="preserve"> PAGEREF _Toc523238981 \h </w:instrText>
            </w:r>
            <w:r w:rsidR="00002231">
              <w:rPr>
                <w:webHidden/>
              </w:rPr>
            </w:r>
            <w:r w:rsidR="00002231">
              <w:rPr>
                <w:webHidden/>
              </w:rPr>
              <w:fldChar w:fldCharType="separate"/>
            </w:r>
            <w:r w:rsidR="00002231">
              <w:rPr>
                <w:webHidden/>
              </w:rPr>
              <w:t>39</w:t>
            </w:r>
            <w:r w:rsidR="00002231">
              <w:rPr>
                <w:webHidden/>
              </w:rPr>
              <w:fldChar w:fldCharType="end"/>
            </w:r>
          </w:hyperlink>
        </w:p>
        <w:p w:rsidR="00002231" w:rsidRDefault="00130D4F">
          <w:pPr>
            <w:pStyle w:val="TOC2"/>
            <w:rPr>
              <w:rFonts w:eastAsiaTheme="minorEastAsia" w:cstheme="minorBidi"/>
              <w:color w:val="auto"/>
              <w:sz w:val="22"/>
              <w:szCs w:val="22"/>
            </w:rPr>
          </w:pPr>
          <w:hyperlink w:anchor="_Toc523238982" w:history="1">
            <w:r w:rsidR="00002231" w:rsidRPr="005F2323">
              <w:rPr>
                <w:rStyle w:val="Hyperlink"/>
              </w:rPr>
              <w:t>4.2 Social inclusion and community participation</w:t>
            </w:r>
            <w:r w:rsidR="00002231">
              <w:rPr>
                <w:webHidden/>
              </w:rPr>
              <w:tab/>
            </w:r>
            <w:r w:rsidR="00002231">
              <w:rPr>
                <w:webHidden/>
              </w:rPr>
              <w:fldChar w:fldCharType="begin"/>
            </w:r>
            <w:r w:rsidR="00002231">
              <w:rPr>
                <w:webHidden/>
              </w:rPr>
              <w:instrText xml:space="preserve"> PAGEREF _Toc523238982 \h </w:instrText>
            </w:r>
            <w:r w:rsidR="00002231">
              <w:rPr>
                <w:webHidden/>
              </w:rPr>
            </w:r>
            <w:r w:rsidR="00002231">
              <w:rPr>
                <w:webHidden/>
              </w:rPr>
              <w:fldChar w:fldCharType="separate"/>
            </w:r>
            <w:r w:rsidR="00002231">
              <w:rPr>
                <w:webHidden/>
              </w:rPr>
              <w:t>40</w:t>
            </w:r>
            <w:r w:rsidR="00002231">
              <w:rPr>
                <w:webHidden/>
              </w:rPr>
              <w:fldChar w:fldCharType="end"/>
            </w:r>
          </w:hyperlink>
        </w:p>
        <w:p w:rsidR="00002231" w:rsidRDefault="00130D4F">
          <w:pPr>
            <w:pStyle w:val="TOC3"/>
            <w:rPr>
              <w:rFonts w:eastAsiaTheme="minorEastAsia" w:cstheme="minorBidi"/>
              <w:color w:val="auto"/>
              <w:sz w:val="22"/>
              <w:szCs w:val="22"/>
            </w:rPr>
          </w:pPr>
          <w:hyperlink w:anchor="_Toc523238983" w:history="1">
            <w:r w:rsidR="00002231" w:rsidRPr="005F2323">
              <w:rPr>
                <w:rStyle w:val="Hyperlink"/>
              </w:rPr>
              <w:t>Health benefits</w:t>
            </w:r>
            <w:r w:rsidR="00002231">
              <w:rPr>
                <w:webHidden/>
              </w:rPr>
              <w:tab/>
            </w:r>
            <w:r w:rsidR="00002231">
              <w:rPr>
                <w:webHidden/>
              </w:rPr>
              <w:fldChar w:fldCharType="begin"/>
            </w:r>
            <w:r w:rsidR="00002231">
              <w:rPr>
                <w:webHidden/>
              </w:rPr>
              <w:instrText xml:space="preserve"> PAGEREF _Toc523238983 \h </w:instrText>
            </w:r>
            <w:r w:rsidR="00002231">
              <w:rPr>
                <w:webHidden/>
              </w:rPr>
            </w:r>
            <w:r w:rsidR="00002231">
              <w:rPr>
                <w:webHidden/>
              </w:rPr>
              <w:fldChar w:fldCharType="separate"/>
            </w:r>
            <w:r w:rsidR="00002231">
              <w:rPr>
                <w:webHidden/>
              </w:rPr>
              <w:t>40</w:t>
            </w:r>
            <w:r w:rsidR="00002231">
              <w:rPr>
                <w:webHidden/>
              </w:rPr>
              <w:fldChar w:fldCharType="end"/>
            </w:r>
          </w:hyperlink>
        </w:p>
        <w:p w:rsidR="00002231" w:rsidRDefault="00130D4F">
          <w:pPr>
            <w:pStyle w:val="TOC2"/>
            <w:rPr>
              <w:rFonts w:eastAsiaTheme="minorEastAsia" w:cstheme="minorBidi"/>
              <w:color w:val="auto"/>
              <w:sz w:val="22"/>
              <w:szCs w:val="22"/>
            </w:rPr>
          </w:pPr>
          <w:hyperlink w:anchor="_Toc523238984" w:history="1">
            <w:r w:rsidR="00002231" w:rsidRPr="005F2323">
              <w:rPr>
                <w:rStyle w:val="Hyperlink"/>
              </w:rPr>
              <w:t>4.3 Innovation, knowledge and transparency</w:t>
            </w:r>
            <w:r w:rsidR="00002231">
              <w:rPr>
                <w:webHidden/>
              </w:rPr>
              <w:tab/>
            </w:r>
            <w:r w:rsidR="00002231">
              <w:rPr>
                <w:webHidden/>
              </w:rPr>
              <w:fldChar w:fldCharType="begin"/>
            </w:r>
            <w:r w:rsidR="00002231">
              <w:rPr>
                <w:webHidden/>
              </w:rPr>
              <w:instrText xml:space="preserve"> PAGEREF _Toc523238984 \h </w:instrText>
            </w:r>
            <w:r w:rsidR="00002231">
              <w:rPr>
                <w:webHidden/>
              </w:rPr>
            </w:r>
            <w:r w:rsidR="00002231">
              <w:rPr>
                <w:webHidden/>
              </w:rPr>
              <w:fldChar w:fldCharType="separate"/>
            </w:r>
            <w:r w:rsidR="00002231">
              <w:rPr>
                <w:webHidden/>
              </w:rPr>
              <w:t>42</w:t>
            </w:r>
            <w:r w:rsidR="00002231">
              <w:rPr>
                <w:webHidden/>
              </w:rPr>
              <w:fldChar w:fldCharType="end"/>
            </w:r>
          </w:hyperlink>
        </w:p>
        <w:p w:rsidR="00002231" w:rsidRDefault="00130D4F">
          <w:pPr>
            <w:pStyle w:val="TOC3"/>
            <w:rPr>
              <w:rFonts w:eastAsiaTheme="minorEastAsia" w:cstheme="minorBidi"/>
              <w:color w:val="auto"/>
              <w:sz w:val="22"/>
              <w:szCs w:val="22"/>
            </w:rPr>
          </w:pPr>
          <w:hyperlink w:anchor="_Toc523238985" w:history="1">
            <w:r w:rsidR="00002231" w:rsidRPr="005F2323">
              <w:rPr>
                <w:rStyle w:val="Hyperlink"/>
              </w:rPr>
              <w:t>Developing and sharing new solutions</w:t>
            </w:r>
            <w:r w:rsidR="00002231">
              <w:rPr>
                <w:webHidden/>
              </w:rPr>
              <w:tab/>
            </w:r>
            <w:r w:rsidR="00002231">
              <w:rPr>
                <w:webHidden/>
              </w:rPr>
              <w:fldChar w:fldCharType="begin"/>
            </w:r>
            <w:r w:rsidR="00002231">
              <w:rPr>
                <w:webHidden/>
              </w:rPr>
              <w:instrText xml:space="preserve"> PAGEREF _Toc523238985 \h </w:instrText>
            </w:r>
            <w:r w:rsidR="00002231">
              <w:rPr>
                <w:webHidden/>
              </w:rPr>
            </w:r>
            <w:r w:rsidR="00002231">
              <w:rPr>
                <w:webHidden/>
              </w:rPr>
              <w:fldChar w:fldCharType="separate"/>
            </w:r>
            <w:r w:rsidR="00002231">
              <w:rPr>
                <w:webHidden/>
              </w:rPr>
              <w:t>42</w:t>
            </w:r>
            <w:r w:rsidR="00002231">
              <w:rPr>
                <w:webHidden/>
              </w:rPr>
              <w:fldChar w:fldCharType="end"/>
            </w:r>
          </w:hyperlink>
        </w:p>
        <w:p w:rsidR="00002231" w:rsidRDefault="00130D4F">
          <w:pPr>
            <w:pStyle w:val="TOC2"/>
            <w:rPr>
              <w:rFonts w:eastAsiaTheme="minorEastAsia" w:cstheme="minorBidi"/>
              <w:color w:val="auto"/>
              <w:sz w:val="22"/>
              <w:szCs w:val="22"/>
            </w:rPr>
          </w:pPr>
          <w:hyperlink w:anchor="_Toc523238986" w:history="1">
            <w:r w:rsidR="00002231" w:rsidRPr="005F2323">
              <w:rPr>
                <w:rStyle w:val="Hyperlink"/>
              </w:rPr>
              <w:t>4.4 Measuring, reporting and evaluating progress</w:t>
            </w:r>
            <w:r w:rsidR="00002231">
              <w:rPr>
                <w:webHidden/>
              </w:rPr>
              <w:tab/>
            </w:r>
            <w:r w:rsidR="00002231">
              <w:rPr>
                <w:webHidden/>
              </w:rPr>
              <w:fldChar w:fldCharType="begin"/>
            </w:r>
            <w:r w:rsidR="00002231">
              <w:rPr>
                <w:webHidden/>
              </w:rPr>
              <w:instrText xml:space="preserve"> PAGEREF _Toc523238986 \h </w:instrText>
            </w:r>
            <w:r w:rsidR="00002231">
              <w:rPr>
                <w:webHidden/>
              </w:rPr>
            </w:r>
            <w:r w:rsidR="00002231">
              <w:rPr>
                <w:webHidden/>
              </w:rPr>
              <w:fldChar w:fldCharType="separate"/>
            </w:r>
            <w:r w:rsidR="00002231">
              <w:rPr>
                <w:webHidden/>
              </w:rPr>
              <w:t>42</w:t>
            </w:r>
            <w:r w:rsidR="00002231">
              <w:rPr>
                <w:webHidden/>
              </w:rPr>
              <w:fldChar w:fldCharType="end"/>
            </w:r>
          </w:hyperlink>
        </w:p>
        <w:p w:rsidR="00002231" w:rsidRDefault="00130D4F">
          <w:pPr>
            <w:pStyle w:val="TOC1"/>
            <w:rPr>
              <w:rFonts w:eastAsiaTheme="minorEastAsia" w:cstheme="minorBidi"/>
              <w:b w:val="0"/>
              <w:color w:val="auto"/>
              <w:sz w:val="22"/>
              <w:szCs w:val="22"/>
            </w:rPr>
          </w:pPr>
          <w:hyperlink w:anchor="_Toc523238987" w:history="1">
            <w:r w:rsidR="00002231" w:rsidRPr="005F2323">
              <w:rPr>
                <w:rStyle w:val="Hyperlink"/>
              </w:rPr>
              <w:t>List of proposed actions</w:t>
            </w:r>
            <w:r w:rsidR="00002231">
              <w:rPr>
                <w:webHidden/>
              </w:rPr>
              <w:tab/>
            </w:r>
            <w:r w:rsidR="00002231">
              <w:rPr>
                <w:webHidden/>
              </w:rPr>
              <w:fldChar w:fldCharType="begin"/>
            </w:r>
            <w:r w:rsidR="00002231">
              <w:rPr>
                <w:webHidden/>
              </w:rPr>
              <w:instrText xml:space="preserve"> PAGEREF _Toc523238987 \h </w:instrText>
            </w:r>
            <w:r w:rsidR="00002231">
              <w:rPr>
                <w:webHidden/>
              </w:rPr>
            </w:r>
            <w:r w:rsidR="00002231">
              <w:rPr>
                <w:webHidden/>
              </w:rPr>
              <w:fldChar w:fldCharType="separate"/>
            </w:r>
            <w:r w:rsidR="00002231">
              <w:rPr>
                <w:webHidden/>
              </w:rPr>
              <w:t>43</w:t>
            </w:r>
            <w:r w:rsidR="00002231">
              <w:rPr>
                <w:webHidden/>
              </w:rPr>
              <w:fldChar w:fldCharType="end"/>
            </w:r>
          </w:hyperlink>
        </w:p>
        <w:p w:rsidR="00002231" w:rsidRDefault="00130D4F">
          <w:pPr>
            <w:pStyle w:val="TOC1"/>
            <w:rPr>
              <w:rFonts w:eastAsiaTheme="minorEastAsia" w:cstheme="minorBidi"/>
              <w:b w:val="0"/>
              <w:color w:val="auto"/>
              <w:sz w:val="22"/>
              <w:szCs w:val="22"/>
            </w:rPr>
          </w:pPr>
          <w:hyperlink w:anchor="_Toc523238988" w:history="1">
            <w:r w:rsidR="00002231" w:rsidRPr="005F2323">
              <w:rPr>
                <w:rStyle w:val="Hyperlink"/>
              </w:rPr>
              <w:t>Appendix A: Technical notes</w:t>
            </w:r>
            <w:r w:rsidR="00002231">
              <w:rPr>
                <w:webHidden/>
              </w:rPr>
              <w:tab/>
            </w:r>
            <w:r w:rsidR="00002231">
              <w:rPr>
                <w:webHidden/>
              </w:rPr>
              <w:fldChar w:fldCharType="begin"/>
            </w:r>
            <w:r w:rsidR="00002231">
              <w:rPr>
                <w:webHidden/>
              </w:rPr>
              <w:instrText xml:space="preserve"> PAGEREF _Toc523238988 \h </w:instrText>
            </w:r>
            <w:r w:rsidR="00002231">
              <w:rPr>
                <w:webHidden/>
              </w:rPr>
            </w:r>
            <w:r w:rsidR="00002231">
              <w:rPr>
                <w:webHidden/>
              </w:rPr>
              <w:fldChar w:fldCharType="separate"/>
            </w:r>
            <w:r w:rsidR="00002231">
              <w:rPr>
                <w:webHidden/>
              </w:rPr>
              <w:t>45</w:t>
            </w:r>
            <w:r w:rsidR="00002231">
              <w:rPr>
                <w:webHidden/>
              </w:rPr>
              <w:fldChar w:fldCharType="end"/>
            </w:r>
          </w:hyperlink>
        </w:p>
        <w:p w:rsidR="00002231" w:rsidRDefault="00130D4F">
          <w:pPr>
            <w:pStyle w:val="TOC2"/>
            <w:rPr>
              <w:rFonts w:eastAsiaTheme="minorEastAsia" w:cstheme="minorBidi"/>
              <w:color w:val="auto"/>
              <w:sz w:val="22"/>
              <w:szCs w:val="22"/>
            </w:rPr>
          </w:pPr>
          <w:hyperlink w:anchor="_Toc523238989" w:history="1">
            <w:r w:rsidR="00002231" w:rsidRPr="005F2323">
              <w:rPr>
                <w:rStyle w:val="Hyperlink"/>
              </w:rPr>
              <w:t>Melbourne’s greenhouse gas emissions profile</w:t>
            </w:r>
            <w:r w:rsidR="00002231">
              <w:rPr>
                <w:webHidden/>
              </w:rPr>
              <w:tab/>
            </w:r>
            <w:r w:rsidR="00002231">
              <w:rPr>
                <w:webHidden/>
              </w:rPr>
              <w:fldChar w:fldCharType="begin"/>
            </w:r>
            <w:r w:rsidR="00002231">
              <w:rPr>
                <w:webHidden/>
              </w:rPr>
              <w:instrText xml:space="preserve"> PAGEREF _Toc523238989 \h </w:instrText>
            </w:r>
            <w:r w:rsidR="00002231">
              <w:rPr>
                <w:webHidden/>
              </w:rPr>
            </w:r>
            <w:r w:rsidR="00002231">
              <w:rPr>
                <w:webHidden/>
              </w:rPr>
              <w:fldChar w:fldCharType="separate"/>
            </w:r>
            <w:r w:rsidR="00002231">
              <w:rPr>
                <w:webHidden/>
              </w:rPr>
              <w:t>45</w:t>
            </w:r>
            <w:r w:rsidR="00002231">
              <w:rPr>
                <w:webHidden/>
              </w:rPr>
              <w:fldChar w:fldCharType="end"/>
            </w:r>
          </w:hyperlink>
        </w:p>
        <w:p w:rsidR="00002231" w:rsidRDefault="00130D4F">
          <w:pPr>
            <w:pStyle w:val="TOC2"/>
            <w:rPr>
              <w:rFonts w:eastAsiaTheme="minorEastAsia" w:cstheme="minorBidi"/>
              <w:color w:val="auto"/>
              <w:sz w:val="22"/>
              <w:szCs w:val="22"/>
            </w:rPr>
          </w:pPr>
          <w:hyperlink w:anchor="_Toc523238990" w:history="1">
            <w:r w:rsidR="00002231" w:rsidRPr="005F2323">
              <w:rPr>
                <w:rStyle w:val="Hyperlink"/>
                <w:lang w:val="en-GB"/>
              </w:rPr>
              <w:t>Calculating costs and benefits</w:t>
            </w:r>
            <w:r w:rsidR="00002231">
              <w:rPr>
                <w:webHidden/>
              </w:rPr>
              <w:tab/>
            </w:r>
            <w:r w:rsidR="00002231">
              <w:rPr>
                <w:webHidden/>
              </w:rPr>
              <w:fldChar w:fldCharType="begin"/>
            </w:r>
            <w:r w:rsidR="00002231">
              <w:rPr>
                <w:webHidden/>
              </w:rPr>
              <w:instrText xml:space="preserve"> PAGEREF _Toc523238990 \h </w:instrText>
            </w:r>
            <w:r w:rsidR="00002231">
              <w:rPr>
                <w:webHidden/>
              </w:rPr>
            </w:r>
            <w:r w:rsidR="00002231">
              <w:rPr>
                <w:webHidden/>
              </w:rPr>
              <w:fldChar w:fldCharType="separate"/>
            </w:r>
            <w:r w:rsidR="00002231">
              <w:rPr>
                <w:webHidden/>
              </w:rPr>
              <w:t>45</w:t>
            </w:r>
            <w:r w:rsidR="00002231">
              <w:rPr>
                <w:webHidden/>
              </w:rPr>
              <w:fldChar w:fldCharType="end"/>
            </w:r>
          </w:hyperlink>
        </w:p>
        <w:p w:rsidR="00002231" w:rsidRDefault="00130D4F">
          <w:pPr>
            <w:pStyle w:val="TOC1"/>
            <w:rPr>
              <w:rFonts w:eastAsiaTheme="minorEastAsia" w:cstheme="minorBidi"/>
              <w:b w:val="0"/>
              <w:color w:val="auto"/>
              <w:sz w:val="22"/>
              <w:szCs w:val="22"/>
            </w:rPr>
          </w:pPr>
          <w:hyperlink w:anchor="_Toc523238991" w:history="1">
            <w:r w:rsidR="00002231" w:rsidRPr="005F2323">
              <w:rPr>
                <w:rStyle w:val="Hyperlink"/>
              </w:rPr>
              <w:t>References</w:t>
            </w:r>
            <w:r w:rsidR="00002231">
              <w:rPr>
                <w:webHidden/>
              </w:rPr>
              <w:tab/>
            </w:r>
            <w:r w:rsidR="00002231">
              <w:rPr>
                <w:webHidden/>
              </w:rPr>
              <w:fldChar w:fldCharType="begin"/>
            </w:r>
            <w:r w:rsidR="00002231">
              <w:rPr>
                <w:webHidden/>
              </w:rPr>
              <w:instrText xml:space="preserve"> PAGEREF _Toc523238991 \h </w:instrText>
            </w:r>
            <w:r w:rsidR="00002231">
              <w:rPr>
                <w:webHidden/>
              </w:rPr>
            </w:r>
            <w:r w:rsidR="00002231">
              <w:rPr>
                <w:webHidden/>
              </w:rPr>
              <w:fldChar w:fldCharType="separate"/>
            </w:r>
            <w:r w:rsidR="00002231">
              <w:rPr>
                <w:webHidden/>
              </w:rPr>
              <w:t>47</w:t>
            </w:r>
            <w:r w:rsidR="00002231">
              <w:rPr>
                <w:webHidden/>
              </w:rPr>
              <w:fldChar w:fldCharType="end"/>
            </w:r>
          </w:hyperlink>
        </w:p>
        <w:p w:rsidR="00F07312" w:rsidRPr="00851AAA" w:rsidRDefault="00F07312" w:rsidP="00212389">
          <w:r w:rsidRPr="00851AAA">
            <w:fldChar w:fldCharType="end"/>
          </w:r>
        </w:p>
      </w:sdtContent>
    </w:sdt>
    <w:p w:rsidR="00397F7A" w:rsidRDefault="00397F7A" w:rsidP="00E214FC">
      <w:pPr>
        <w:pStyle w:val="TableofFiguresHeading"/>
        <w:outlineLvl w:val="1"/>
        <w:rPr>
          <w:noProof w:val="0"/>
        </w:rPr>
      </w:pPr>
      <w:r w:rsidRPr="00851AAA">
        <w:rPr>
          <w:noProof w:val="0"/>
        </w:rPr>
        <w:t>List of Tables</w:t>
      </w:r>
    </w:p>
    <w:p w:rsidR="00001DF1" w:rsidRDefault="00001DF1">
      <w:pPr>
        <w:pStyle w:val="TableofFigures"/>
        <w:rPr>
          <w:noProof w:val="0"/>
        </w:rPr>
      </w:pPr>
      <w:r w:rsidRPr="00001DF1">
        <w:rPr>
          <w:noProof w:val="0"/>
        </w:rPr>
        <w:t>Table 1 Economic costs and benefits of each scenario compared to business as usual</w:t>
      </w:r>
      <w:r>
        <w:rPr>
          <w:noProof w:val="0"/>
        </w:rPr>
        <w:tab/>
        <w:t>ix</w:t>
      </w:r>
    </w:p>
    <w:p w:rsidR="004050BA" w:rsidRDefault="00A04B46">
      <w:pPr>
        <w:pStyle w:val="TableofFigures"/>
        <w:rPr>
          <w:rFonts w:eastAsiaTheme="minorEastAsia" w:cstheme="minorBidi"/>
          <w:color w:val="auto"/>
          <w:sz w:val="22"/>
          <w:szCs w:val="22"/>
        </w:rPr>
      </w:pPr>
      <w:r>
        <w:rPr>
          <w:noProof w:val="0"/>
        </w:rPr>
        <w:fldChar w:fldCharType="begin"/>
      </w:r>
      <w:r>
        <w:rPr>
          <w:noProof w:val="0"/>
        </w:rPr>
        <w:instrText xml:space="preserve"> TOC \h \z \c "Table" </w:instrText>
      </w:r>
      <w:r>
        <w:rPr>
          <w:noProof w:val="0"/>
        </w:rPr>
        <w:fldChar w:fldCharType="separate"/>
      </w:r>
      <w:hyperlink w:anchor="_Toc522633209" w:history="1">
        <w:r w:rsidR="00001DF1">
          <w:rPr>
            <w:rStyle w:val="Hyperlink"/>
          </w:rPr>
          <w:t>Table 2</w:t>
        </w:r>
        <w:r w:rsidR="004050BA" w:rsidRPr="000E25E6">
          <w:rPr>
            <w:rStyle w:val="Hyperlink"/>
          </w:rPr>
          <w:t xml:space="preserve"> Proposed targets: significant action scenario</w:t>
        </w:r>
        <w:r w:rsidR="004050BA">
          <w:rPr>
            <w:webHidden/>
          </w:rPr>
          <w:tab/>
        </w:r>
        <w:r w:rsidR="004050BA">
          <w:rPr>
            <w:webHidden/>
          </w:rPr>
          <w:fldChar w:fldCharType="begin"/>
        </w:r>
        <w:r w:rsidR="004050BA">
          <w:rPr>
            <w:webHidden/>
          </w:rPr>
          <w:instrText xml:space="preserve"> PAGEREF _Toc522633209 \h </w:instrText>
        </w:r>
        <w:r w:rsidR="004050BA">
          <w:rPr>
            <w:webHidden/>
          </w:rPr>
        </w:r>
        <w:r w:rsidR="004050BA">
          <w:rPr>
            <w:webHidden/>
          </w:rPr>
          <w:fldChar w:fldCharType="separate"/>
        </w:r>
        <w:r w:rsidR="00001DF1">
          <w:rPr>
            <w:webHidden/>
          </w:rPr>
          <w:t>x</w:t>
        </w:r>
        <w:r w:rsidR="004050BA">
          <w:rPr>
            <w:webHidden/>
          </w:rPr>
          <w:fldChar w:fldCharType="end"/>
        </w:r>
      </w:hyperlink>
    </w:p>
    <w:p w:rsidR="004050BA" w:rsidRDefault="00130D4F">
      <w:pPr>
        <w:pStyle w:val="TableofFigures"/>
        <w:rPr>
          <w:rFonts w:eastAsiaTheme="minorEastAsia" w:cstheme="minorBidi"/>
          <w:color w:val="auto"/>
          <w:sz w:val="22"/>
          <w:szCs w:val="22"/>
        </w:rPr>
      </w:pPr>
      <w:hyperlink w:anchor="_Toc522633210" w:history="1">
        <w:r w:rsidR="00001DF1">
          <w:rPr>
            <w:rStyle w:val="Hyperlink"/>
          </w:rPr>
          <w:t>Table 3</w:t>
        </w:r>
        <w:r w:rsidR="004050BA" w:rsidRPr="000E25E6">
          <w:rPr>
            <w:rStyle w:val="Hyperlink"/>
          </w:rPr>
          <w:t xml:space="preserve"> Proposed targets: accelerated action scenario</w:t>
        </w:r>
        <w:r w:rsidR="004050BA">
          <w:rPr>
            <w:webHidden/>
          </w:rPr>
          <w:tab/>
        </w:r>
        <w:r w:rsidR="004050BA">
          <w:rPr>
            <w:webHidden/>
          </w:rPr>
          <w:fldChar w:fldCharType="begin"/>
        </w:r>
        <w:r w:rsidR="004050BA">
          <w:rPr>
            <w:webHidden/>
          </w:rPr>
          <w:instrText xml:space="preserve"> PAGEREF _Toc522633210 \h </w:instrText>
        </w:r>
        <w:r w:rsidR="004050BA">
          <w:rPr>
            <w:webHidden/>
          </w:rPr>
        </w:r>
        <w:r w:rsidR="004050BA">
          <w:rPr>
            <w:webHidden/>
          </w:rPr>
          <w:fldChar w:fldCharType="separate"/>
        </w:r>
        <w:r w:rsidR="00001DF1">
          <w:rPr>
            <w:webHidden/>
          </w:rPr>
          <w:t>x</w:t>
        </w:r>
        <w:r w:rsidR="004050BA">
          <w:rPr>
            <w:webHidden/>
          </w:rPr>
          <w:fldChar w:fldCharType="end"/>
        </w:r>
      </w:hyperlink>
    </w:p>
    <w:p w:rsidR="004050BA" w:rsidRDefault="00130D4F">
      <w:pPr>
        <w:pStyle w:val="TableofFigures"/>
        <w:rPr>
          <w:rFonts w:eastAsiaTheme="minorEastAsia" w:cstheme="minorBidi"/>
          <w:color w:val="auto"/>
          <w:sz w:val="22"/>
          <w:szCs w:val="22"/>
        </w:rPr>
      </w:pPr>
      <w:hyperlink w:anchor="_Toc522633211" w:history="1">
        <w:r w:rsidR="00001DF1">
          <w:rPr>
            <w:rStyle w:val="Hyperlink"/>
          </w:rPr>
          <w:t>Table 4</w:t>
        </w:r>
        <w:r w:rsidR="004050BA" w:rsidRPr="000E25E6">
          <w:rPr>
            <w:rStyle w:val="Hyperlink"/>
          </w:rPr>
          <w:t xml:space="preserve"> Proposed targets: significant action scenario</w:t>
        </w:r>
        <w:r w:rsidR="004050BA">
          <w:rPr>
            <w:webHidden/>
          </w:rPr>
          <w:tab/>
        </w:r>
        <w:r w:rsidR="004050BA">
          <w:rPr>
            <w:webHidden/>
          </w:rPr>
          <w:fldChar w:fldCharType="begin"/>
        </w:r>
        <w:r w:rsidR="004050BA">
          <w:rPr>
            <w:webHidden/>
          </w:rPr>
          <w:instrText xml:space="preserve"> PAGEREF _Toc522633211 \h </w:instrText>
        </w:r>
        <w:r w:rsidR="004050BA">
          <w:rPr>
            <w:webHidden/>
          </w:rPr>
        </w:r>
        <w:r w:rsidR="004050BA">
          <w:rPr>
            <w:webHidden/>
          </w:rPr>
          <w:fldChar w:fldCharType="separate"/>
        </w:r>
        <w:r w:rsidR="00001DF1">
          <w:rPr>
            <w:webHidden/>
          </w:rPr>
          <w:t>20</w:t>
        </w:r>
        <w:r w:rsidR="004050BA">
          <w:rPr>
            <w:webHidden/>
          </w:rPr>
          <w:fldChar w:fldCharType="end"/>
        </w:r>
      </w:hyperlink>
    </w:p>
    <w:p w:rsidR="004050BA" w:rsidRDefault="00130D4F">
      <w:pPr>
        <w:pStyle w:val="TableofFigures"/>
        <w:rPr>
          <w:rFonts w:eastAsiaTheme="minorEastAsia" w:cstheme="minorBidi"/>
          <w:color w:val="auto"/>
          <w:sz w:val="22"/>
          <w:szCs w:val="22"/>
        </w:rPr>
      </w:pPr>
      <w:hyperlink w:anchor="_Toc522633212" w:history="1">
        <w:r w:rsidR="00001DF1">
          <w:rPr>
            <w:rStyle w:val="Hyperlink"/>
          </w:rPr>
          <w:t>Table 5</w:t>
        </w:r>
        <w:r w:rsidR="004050BA" w:rsidRPr="000E25E6">
          <w:rPr>
            <w:rStyle w:val="Hyperlink"/>
          </w:rPr>
          <w:t xml:space="preserve"> Proposed targets: accelerated action scenario</w:t>
        </w:r>
        <w:r w:rsidR="004050BA">
          <w:rPr>
            <w:webHidden/>
          </w:rPr>
          <w:tab/>
        </w:r>
        <w:r w:rsidR="004050BA">
          <w:rPr>
            <w:webHidden/>
          </w:rPr>
          <w:fldChar w:fldCharType="begin"/>
        </w:r>
        <w:r w:rsidR="004050BA">
          <w:rPr>
            <w:webHidden/>
          </w:rPr>
          <w:instrText xml:space="preserve"> PAGEREF _Toc522633212 \h </w:instrText>
        </w:r>
        <w:r w:rsidR="004050BA">
          <w:rPr>
            <w:webHidden/>
          </w:rPr>
        </w:r>
        <w:r w:rsidR="004050BA">
          <w:rPr>
            <w:webHidden/>
          </w:rPr>
          <w:fldChar w:fldCharType="separate"/>
        </w:r>
        <w:r w:rsidR="00001DF1">
          <w:rPr>
            <w:webHidden/>
          </w:rPr>
          <w:t>20</w:t>
        </w:r>
        <w:r w:rsidR="004050BA">
          <w:rPr>
            <w:webHidden/>
          </w:rPr>
          <w:fldChar w:fldCharType="end"/>
        </w:r>
      </w:hyperlink>
    </w:p>
    <w:p w:rsidR="00397F7A" w:rsidRPr="00851AAA" w:rsidRDefault="00A04B46" w:rsidP="00E214FC">
      <w:pPr>
        <w:pStyle w:val="TableofFiguresHeading"/>
        <w:outlineLvl w:val="1"/>
        <w:rPr>
          <w:noProof w:val="0"/>
        </w:rPr>
      </w:pPr>
      <w:r>
        <w:rPr>
          <w:b w:val="0"/>
          <w:bCs w:val="0"/>
        </w:rPr>
        <w:fldChar w:fldCharType="end"/>
      </w:r>
      <w:r w:rsidR="00397F7A" w:rsidRPr="00851AAA">
        <w:rPr>
          <w:noProof w:val="0"/>
        </w:rPr>
        <w:t>List of Figures</w:t>
      </w:r>
    </w:p>
    <w:p w:rsidR="004050BA" w:rsidRDefault="000A5379">
      <w:pPr>
        <w:pStyle w:val="TableofFigures"/>
        <w:rPr>
          <w:rFonts w:eastAsiaTheme="minorEastAsia" w:cstheme="minorBidi"/>
          <w:color w:val="auto"/>
          <w:sz w:val="22"/>
          <w:szCs w:val="22"/>
        </w:rPr>
      </w:pPr>
      <w:r>
        <w:rPr>
          <w:sz w:val="19"/>
          <w:szCs w:val="19"/>
        </w:rPr>
        <w:fldChar w:fldCharType="begin"/>
      </w:r>
      <w:r>
        <w:rPr>
          <w:sz w:val="19"/>
          <w:szCs w:val="19"/>
        </w:rPr>
        <w:instrText xml:space="preserve"> TOC \h \z \c "Figure" </w:instrText>
      </w:r>
      <w:r>
        <w:rPr>
          <w:sz w:val="19"/>
          <w:szCs w:val="19"/>
        </w:rPr>
        <w:fldChar w:fldCharType="separate"/>
      </w:r>
      <w:hyperlink w:anchor="_Toc522633196" w:history="1">
        <w:r w:rsidR="004050BA" w:rsidRPr="00D90930">
          <w:rPr>
            <w:rStyle w:val="Hyperlink"/>
          </w:rPr>
          <w:t>Figure 1 Emissions reductions needed under each scenario</w:t>
        </w:r>
        <w:r w:rsidR="004050BA">
          <w:rPr>
            <w:webHidden/>
          </w:rPr>
          <w:tab/>
        </w:r>
        <w:r w:rsidR="004050BA">
          <w:rPr>
            <w:webHidden/>
          </w:rPr>
          <w:fldChar w:fldCharType="begin"/>
        </w:r>
        <w:r w:rsidR="004050BA">
          <w:rPr>
            <w:webHidden/>
          </w:rPr>
          <w:instrText xml:space="preserve"> PAGEREF _Toc522633196 \h </w:instrText>
        </w:r>
        <w:r w:rsidR="004050BA">
          <w:rPr>
            <w:webHidden/>
          </w:rPr>
        </w:r>
        <w:r w:rsidR="004050BA">
          <w:rPr>
            <w:webHidden/>
          </w:rPr>
          <w:fldChar w:fldCharType="separate"/>
        </w:r>
        <w:r w:rsidR="008E420D">
          <w:rPr>
            <w:webHidden/>
          </w:rPr>
          <w:t>viii</w:t>
        </w:r>
        <w:r w:rsidR="004050BA">
          <w:rPr>
            <w:webHidden/>
          </w:rPr>
          <w:fldChar w:fldCharType="end"/>
        </w:r>
      </w:hyperlink>
    </w:p>
    <w:p w:rsidR="004050BA" w:rsidRDefault="00130D4F">
      <w:pPr>
        <w:pStyle w:val="TableofFigures"/>
        <w:rPr>
          <w:rFonts w:eastAsiaTheme="minorEastAsia" w:cstheme="minorBidi"/>
          <w:color w:val="auto"/>
          <w:sz w:val="22"/>
          <w:szCs w:val="22"/>
        </w:rPr>
      </w:pPr>
      <w:hyperlink w:anchor="_Toc522633197" w:history="1">
        <w:r w:rsidR="004050BA" w:rsidRPr="00D90930">
          <w:rPr>
            <w:rStyle w:val="Hyperlink"/>
          </w:rPr>
          <w:t>Figure 2 Emissions reductions needed under each scenario</w:t>
        </w:r>
        <w:r w:rsidR="004050BA">
          <w:rPr>
            <w:webHidden/>
          </w:rPr>
          <w:tab/>
        </w:r>
        <w:r w:rsidR="004050BA">
          <w:rPr>
            <w:webHidden/>
          </w:rPr>
          <w:fldChar w:fldCharType="begin"/>
        </w:r>
        <w:r w:rsidR="004050BA">
          <w:rPr>
            <w:webHidden/>
          </w:rPr>
          <w:instrText xml:space="preserve"> PAGEREF _Toc522633197 \h </w:instrText>
        </w:r>
        <w:r w:rsidR="004050BA">
          <w:rPr>
            <w:webHidden/>
          </w:rPr>
        </w:r>
        <w:r w:rsidR="004050BA">
          <w:rPr>
            <w:webHidden/>
          </w:rPr>
          <w:fldChar w:fldCharType="separate"/>
        </w:r>
        <w:r w:rsidR="008E420D">
          <w:rPr>
            <w:webHidden/>
          </w:rPr>
          <w:t>xi</w:t>
        </w:r>
        <w:r w:rsidR="004050BA">
          <w:rPr>
            <w:webHidden/>
          </w:rPr>
          <w:fldChar w:fldCharType="end"/>
        </w:r>
      </w:hyperlink>
    </w:p>
    <w:p w:rsidR="004050BA" w:rsidRDefault="00130D4F">
      <w:pPr>
        <w:pStyle w:val="TableofFigures"/>
        <w:rPr>
          <w:rFonts w:eastAsiaTheme="minorEastAsia" w:cstheme="minorBidi"/>
          <w:color w:val="auto"/>
          <w:sz w:val="22"/>
          <w:szCs w:val="22"/>
        </w:rPr>
      </w:pPr>
      <w:hyperlink w:anchor="_Toc522633198" w:history="1">
        <w:r w:rsidR="004050BA" w:rsidRPr="00D90930">
          <w:rPr>
            <w:rStyle w:val="Hyperlink"/>
          </w:rPr>
          <w:t xml:space="preserve">Figure 3 Potential contribution of Australian and Victorian Government policies to Melbourne’s </w:t>
        </w:r>
        <w:r w:rsidR="00B727F2">
          <w:rPr>
            <w:rStyle w:val="Hyperlink"/>
          </w:rPr>
          <w:t xml:space="preserve">municipal </w:t>
        </w:r>
        <w:r w:rsidR="004050BA" w:rsidRPr="00D90930">
          <w:rPr>
            <w:rStyle w:val="Hyperlink"/>
          </w:rPr>
          <w:t>emission reductions 2020–2050</w:t>
        </w:r>
        <w:r w:rsidR="004050BA">
          <w:rPr>
            <w:webHidden/>
          </w:rPr>
          <w:tab/>
        </w:r>
        <w:r w:rsidR="004050BA">
          <w:rPr>
            <w:webHidden/>
          </w:rPr>
          <w:fldChar w:fldCharType="begin"/>
        </w:r>
        <w:r w:rsidR="004050BA">
          <w:rPr>
            <w:webHidden/>
          </w:rPr>
          <w:instrText xml:space="preserve"> PAGEREF _Toc522633198 \h </w:instrText>
        </w:r>
        <w:r w:rsidR="004050BA">
          <w:rPr>
            <w:webHidden/>
          </w:rPr>
        </w:r>
        <w:r w:rsidR="004050BA">
          <w:rPr>
            <w:webHidden/>
          </w:rPr>
          <w:fldChar w:fldCharType="separate"/>
        </w:r>
        <w:r w:rsidR="008E420D">
          <w:rPr>
            <w:webHidden/>
          </w:rPr>
          <w:t>xii</w:t>
        </w:r>
        <w:r w:rsidR="004050BA">
          <w:rPr>
            <w:webHidden/>
          </w:rPr>
          <w:fldChar w:fldCharType="end"/>
        </w:r>
      </w:hyperlink>
    </w:p>
    <w:p w:rsidR="004050BA" w:rsidRDefault="00130D4F">
      <w:pPr>
        <w:pStyle w:val="TableofFigures"/>
        <w:rPr>
          <w:rFonts w:eastAsiaTheme="minorEastAsia" w:cstheme="minorBidi"/>
          <w:color w:val="auto"/>
          <w:sz w:val="22"/>
          <w:szCs w:val="22"/>
        </w:rPr>
      </w:pPr>
      <w:hyperlink w:anchor="_Toc522633199" w:history="1">
        <w:r w:rsidR="004050BA" w:rsidRPr="00D90930">
          <w:rPr>
            <w:rStyle w:val="Hyperlink"/>
          </w:rPr>
          <w:t>Figure 4 Sources of municipal emissions in 2015</w:t>
        </w:r>
        <w:r w:rsidR="004050BA">
          <w:rPr>
            <w:webHidden/>
          </w:rPr>
          <w:tab/>
        </w:r>
        <w:r w:rsidR="004050BA">
          <w:rPr>
            <w:webHidden/>
          </w:rPr>
          <w:fldChar w:fldCharType="begin"/>
        </w:r>
        <w:r w:rsidR="004050BA">
          <w:rPr>
            <w:webHidden/>
          </w:rPr>
          <w:instrText xml:space="preserve"> PAGEREF _Toc522633199 \h </w:instrText>
        </w:r>
        <w:r w:rsidR="004050BA">
          <w:rPr>
            <w:webHidden/>
          </w:rPr>
        </w:r>
        <w:r w:rsidR="004050BA">
          <w:rPr>
            <w:webHidden/>
          </w:rPr>
          <w:fldChar w:fldCharType="separate"/>
        </w:r>
        <w:r w:rsidR="008E420D">
          <w:rPr>
            <w:webHidden/>
          </w:rPr>
          <w:t>14</w:t>
        </w:r>
        <w:r w:rsidR="004050BA">
          <w:rPr>
            <w:webHidden/>
          </w:rPr>
          <w:fldChar w:fldCharType="end"/>
        </w:r>
      </w:hyperlink>
    </w:p>
    <w:p w:rsidR="004050BA" w:rsidRDefault="00130D4F">
      <w:pPr>
        <w:pStyle w:val="TableofFigures"/>
        <w:rPr>
          <w:rFonts w:eastAsiaTheme="minorEastAsia" w:cstheme="minorBidi"/>
          <w:color w:val="auto"/>
          <w:sz w:val="22"/>
          <w:szCs w:val="22"/>
        </w:rPr>
      </w:pPr>
      <w:hyperlink w:anchor="_Toc522633200" w:history="1">
        <w:r w:rsidR="004050BA" w:rsidRPr="00D90930">
          <w:rPr>
            <w:rStyle w:val="Hyperlink"/>
          </w:rPr>
          <w:t>Figure 5 Potential contribution of Australian and Victorian Government policies to Melbourne’s emission reductions 2020–2050</w:t>
        </w:r>
        <w:r w:rsidR="004050BA">
          <w:rPr>
            <w:webHidden/>
          </w:rPr>
          <w:tab/>
        </w:r>
        <w:r w:rsidR="004050BA">
          <w:rPr>
            <w:webHidden/>
          </w:rPr>
          <w:fldChar w:fldCharType="begin"/>
        </w:r>
        <w:r w:rsidR="004050BA">
          <w:rPr>
            <w:webHidden/>
          </w:rPr>
          <w:instrText xml:space="preserve"> PAGEREF _Toc522633200 \h </w:instrText>
        </w:r>
        <w:r w:rsidR="004050BA">
          <w:rPr>
            <w:webHidden/>
          </w:rPr>
        </w:r>
        <w:r w:rsidR="004050BA">
          <w:rPr>
            <w:webHidden/>
          </w:rPr>
          <w:fldChar w:fldCharType="separate"/>
        </w:r>
        <w:r w:rsidR="008E420D">
          <w:rPr>
            <w:webHidden/>
          </w:rPr>
          <w:t>18</w:t>
        </w:r>
        <w:r w:rsidR="004050BA">
          <w:rPr>
            <w:webHidden/>
          </w:rPr>
          <w:fldChar w:fldCharType="end"/>
        </w:r>
      </w:hyperlink>
    </w:p>
    <w:p w:rsidR="004050BA" w:rsidRDefault="00130D4F">
      <w:pPr>
        <w:pStyle w:val="TableofFigures"/>
        <w:rPr>
          <w:rFonts w:eastAsiaTheme="minorEastAsia" w:cstheme="minorBidi"/>
          <w:color w:val="auto"/>
          <w:sz w:val="22"/>
          <w:szCs w:val="22"/>
        </w:rPr>
      </w:pPr>
      <w:hyperlink w:anchor="_Toc522633201" w:history="1">
        <w:r w:rsidR="004050BA" w:rsidRPr="00D90930">
          <w:rPr>
            <w:rStyle w:val="Hyperlink"/>
          </w:rPr>
          <w:t>Figure 6 Scenarios for emission reduction targets</w:t>
        </w:r>
        <w:r w:rsidR="004050BA">
          <w:rPr>
            <w:webHidden/>
          </w:rPr>
          <w:tab/>
        </w:r>
        <w:r w:rsidR="004050BA">
          <w:rPr>
            <w:webHidden/>
          </w:rPr>
          <w:fldChar w:fldCharType="begin"/>
        </w:r>
        <w:r w:rsidR="004050BA">
          <w:rPr>
            <w:webHidden/>
          </w:rPr>
          <w:instrText xml:space="preserve"> PAGEREF _Toc522633201 \h </w:instrText>
        </w:r>
        <w:r w:rsidR="004050BA">
          <w:rPr>
            <w:webHidden/>
          </w:rPr>
        </w:r>
        <w:r w:rsidR="004050BA">
          <w:rPr>
            <w:webHidden/>
          </w:rPr>
          <w:fldChar w:fldCharType="separate"/>
        </w:r>
        <w:r w:rsidR="008E420D">
          <w:rPr>
            <w:webHidden/>
          </w:rPr>
          <w:t>19</w:t>
        </w:r>
        <w:r w:rsidR="004050BA">
          <w:rPr>
            <w:webHidden/>
          </w:rPr>
          <w:fldChar w:fldCharType="end"/>
        </w:r>
      </w:hyperlink>
    </w:p>
    <w:p w:rsidR="004050BA" w:rsidRDefault="00130D4F">
      <w:pPr>
        <w:pStyle w:val="TableofFigures"/>
        <w:rPr>
          <w:rFonts w:eastAsiaTheme="minorEastAsia" w:cstheme="minorBidi"/>
          <w:color w:val="auto"/>
          <w:sz w:val="22"/>
          <w:szCs w:val="22"/>
        </w:rPr>
      </w:pPr>
      <w:hyperlink w:anchor="_Toc522633202" w:history="1">
        <w:r w:rsidR="004050BA" w:rsidRPr="00D90930">
          <w:rPr>
            <w:rStyle w:val="Hyperlink"/>
          </w:rPr>
          <w:t>Figure 7 Significant emission reduction scenario 2020–2050</w:t>
        </w:r>
        <w:r w:rsidR="004050BA">
          <w:rPr>
            <w:webHidden/>
          </w:rPr>
          <w:tab/>
        </w:r>
        <w:r w:rsidR="004050BA">
          <w:rPr>
            <w:webHidden/>
          </w:rPr>
          <w:fldChar w:fldCharType="begin"/>
        </w:r>
        <w:r w:rsidR="004050BA">
          <w:rPr>
            <w:webHidden/>
          </w:rPr>
          <w:instrText xml:space="preserve"> PAGEREF _Toc522633202 \h </w:instrText>
        </w:r>
        <w:r w:rsidR="004050BA">
          <w:rPr>
            <w:webHidden/>
          </w:rPr>
        </w:r>
        <w:r w:rsidR="004050BA">
          <w:rPr>
            <w:webHidden/>
          </w:rPr>
          <w:fldChar w:fldCharType="separate"/>
        </w:r>
        <w:r w:rsidR="008E420D">
          <w:rPr>
            <w:webHidden/>
          </w:rPr>
          <w:t>21</w:t>
        </w:r>
        <w:r w:rsidR="004050BA">
          <w:rPr>
            <w:webHidden/>
          </w:rPr>
          <w:fldChar w:fldCharType="end"/>
        </w:r>
      </w:hyperlink>
    </w:p>
    <w:p w:rsidR="004050BA" w:rsidRDefault="00130D4F">
      <w:pPr>
        <w:pStyle w:val="TableofFigures"/>
        <w:rPr>
          <w:rFonts w:eastAsiaTheme="minorEastAsia" w:cstheme="minorBidi"/>
          <w:color w:val="auto"/>
          <w:sz w:val="22"/>
          <w:szCs w:val="22"/>
        </w:rPr>
      </w:pPr>
      <w:hyperlink w:anchor="_Toc522633203" w:history="1">
        <w:r w:rsidR="004050BA" w:rsidRPr="00D90930">
          <w:rPr>
            <w:rStyle w:val="Hyperlink"/>
          </w:rPr>
          <w:t>Figure 8 Accelerated emission reduction scenario 2020–2050</w:t>
        </w:r>
        <w:r w:rsidR="004050BA">
          <w:rPr>
            <w:webHidden/>
          </w:rPr>
          <w:tab/>
        </w:r>
        <w:r w:rsidR="004050BA">
          <w:rPr>
            <w:webHidden/>
          </w:rPr>
          <w:fldChar w:fldCharType="begin"/>
        </w:r>
        <w:r w:rsidR="004050BA">
          <w:rPr>
            <w:webHidden/>
          </w:rPr>
          <w:instrText xml:space="preserve"> PAGEREF _Toc522633203 \h </w:instrText>
        </w:r>
        <w:r w:rsidR="004050BA">
          <w:rPr>
            <w:webHidden/>
          </w:rPr>
        </w:r>
        <w:r w:rsidR="004050BA">
          <w:rPr>
            <w:webHidden/>
          </w:rPr>
          <w:fldChar w:fldCharType="separate"/>
        </w:r>
        <w:r w:rsidR="008E420D">
          <w:rPr>
            <w:webHidden/>
          </w:rPr>
          <w:t>21</w:t>
        </w:r>
        <w:r w:rsidR="004050BA">
          <w:rPr>
            <w:webHidden/>
          </w:rPr>
          <w:fldChar w:fldCharType="end"/>
        </w:r>
      </w:hyperlink>
    </w:p>
    <w:p w:rsidR="004050BA" w:rsidRDefault="00130D4F">
      <w:pPr>
        <w:pStyle w:val="TableofFigures"/>
        <w:rPr>
          <w:rFonts w:eastAsiaTheme="minorEastAsia" w:cstheme="minorBidi"/>
          <w:color w:val="auto"/>
          <w:sz w:val="22"/>
          <w:szCs w:val="22"/>
        </w:rPr>
      </w:pPr>
      <w:hyperlink w:anchor="_Toc522633204" w:history="1">
        <w:r w:rsidR="004050BA" w:rsidRPr="00D90930">
          <w:rPr>
            <w:rStyle w:val="Hyperlink"/>
          </w:rPr>
          <w:t>Figure 9 Emission reductions potential of energy supply actions</w:t>
        </w:r>
        <w:r w:rsidR="004050BA">
          <w:rPr>
            <w:webHidden/>
          </w:rPr>
          <w:tab/>
        </w:r>
        <w:r w:rsidR="004050BA">
          <w:rPr>
            <w:webHidden/>
          </w:rPr>
          <w:fldChar w:fldCharType="begin"/>
        </w:r>
        <w:r w:rsidR="004050BA">
          <w:rPr>
            <w:webHidden/>
          </w:rPr>
          <w:instrText xml:space="preserve"> PAGEREF _Toc522633204 \h </w:instrText>
        </w:r>
        <w:r w:rsidR="004050BA">
          <w:rPr>
            <w:webHidden/>
          </w:rPr>
        </w:r>
        <w:r w:rsidR="004050BA">
          <w:rPr>
            <w:webHidden/>
          </w:rPr>
          <w:fldChar w:fldCharType="separate"/>
        </w:r>
        <w:r w:rsidR="008E420D">
          <w:rPr>
            <w:webHidden/>
          </w:rPr>
          <w:t>26</w:t>
        </w:r>
        <w:r w:rsidR="004050BA">
          <w:rPr>
            <w:webHidden/>
          </w:rPr>
          <w:fldChar w:fldCharType="end"/>
        </w:r>
      </w:hyperlink>
    </w:p>
    <w:p w:rsidR="004050BA" w:rsidRDefault="00130D4F">
      <w:pPr>
        <w:pStyle w:val="TableofFigures"/>
        <w:rPr>
          <w:rFonts w:eastAsiaTheme="minorEastAsia" w:cstheme="minorBidi"/>
          <w:color w:val="auto"/>
          <w:sz w:val="22"/>
          <w:szCs w:val="22"/>
        </w:rPr>
      </w:pPr>
      <w:hyperlink w:anchor="_Toc522633205" w:history="1">
        <w:r w:rsidR="004050BA" w:rsidRPr="00D90930">
          <w:rPr>
            <w:rStyle w:val="Hyperlink"/>
          </w:rPr>
          <w:t>Figure 10 Zero emissions buildings and precincts</w:t>
        </w:r>
        <w:r w:rsidR="004050BA">
          <w:rPr>
            <w:webHidden/>
          </w:rPr>
          <w:tab/>
        </w:r>
        <w:r w:rsidR="004050BA">
          <w:rPr>
            <w:webHidden/>
          </w:rPr>
          <w:fldChar w:fldCharType="begin"/>
        </w:r>
        <w:r w:rsidR="004050BA">
          <w:rPr>
            <w:webHidden/>
          </w:rPr>
          <w:instrText xml:space="preserve"> PAGEREF _Toc522633205 \h </w:instrText>
        </w:r>
        <w:r w:rsidR="004050BA">
          <w:rPr>
            <w:webHidden/>
          </w:rPr>
        </w:r>
        <w:r w:rsidR="004050BA">
          <w:rPr>
            <w:webHidden/>
          </w:rPr>
          <w:fldChar w:fldCharType="separate"/>
        </w:r>
        <w:r w:rsidR="008E420D">
          <w:rPr>
            <w:webHidden/>
          </w:rPr>
          <w:t>30</w:t>
        </w:r>
        <w:r w:rsidR="004050BA">
          <w:rPr>
            <w:webHidden/>
          </w:rPr>
          <w:fldChar w:fldCharType="end"/>
        </w:r>
      </w:hyperlink>
    </w:p>
    <w:p w:rsidR="004050BA" w:rsidRDefault="00130D4F">
      <w:pPr>
        <w:pStyle w:val="TableofFigures"/>
        <w:rPr>
          <w:rFonts w:eastAsiaTheme="minorEastAsia" w:cstheme="minorBidi"/>
          <w:color w:val="auto"/>
          <w:sz w:val="22"/>
          <w:szCs w:val="22"/>
        </w:rPr>
      </w:pPr>
      <w:hyperlink w:anchor="_Toc522633206" w:history="1">
        <w:r w:rsidR="004050BA" w:rsidRPr="00D90930">
          <w:rPr>
            <w:rStyle w:val="Hyperlink"/>
          </w:rPr>
          <w:t>Figure 11 Transport accelerated action scenario</w:t>
        </w:r>
        <w:r w:rsidR="004050BA">
          <w:rPr>
            <w:webHidden/>
          </w:rPr>
          <w:tab/>
        </w:r>
        <w:r w:rsidR="004050BA">
          <w:rPr>
            <w:webHidden/>
          </w:rPr>
          <w:fldChar w:fldCharType="begin"/>
        </w:r>
        <w:r w:rsidR="004050BA">
          <w:rPr>
            <w:webHidden/>
          </w:rPr>
          <w:instrText xml:space="preserve"> PAGEREF _Toc522633206 \h </w:instrText>
        </w:r>
        <w:r w:rsidR="004050BA">
          <w:rPr>
            <w:webHidden/>
          </w:rPr>
        </w:r>
        <w:r w:rsidR="004050BA">
          <w:rPr>
            <w:webHidden/>
          </w:rPr>
          <w:fldChar w:fldCharType="separate"/>
        </w:r>
        <w:r w:rsidR="008E420D">
          <w:rPr>
            <w:webHidden/>
          </w:rPr>
          <w:t>34</w:t>
        </w:r>
        <w:r w:rsidR="004050BA">
          <w:rPr>
            <w:webHidden/>
          </w:rPr>
          <w:fldChar w:fldCharType="end"/>
        </w:r>
      </w:hyperlink>
    </w:p>
    <w:p w:rsidR="004050BA" w:rsidRDefault="00130D4F">
      <w:pPr>
        <w:pStyle w:val="TableofFigures"/>
        <w:rPr>
          <w:rFonts w:eastAsiaTheme="minorEastAsia" w:cstheme="minorBidi"/>
          <w:color w:val="auto"/>
          <w:sz w:val="22"/>
          <w:szCs w:val="22"/>
        </w:rPr>
      </w:pPr>
      <w:hyperlink w:anchor="_Toc522633207" w:history="1">
        <w:r w:rsidR="004050BA" w:rsidRPr="00D90930">
          <w:rPr>
            <w:rStyle w:val="Hyperlink"/>
          </w:rPr>
          <w:t>Figure 12 Waste emissions reduction potential</w:t>
        </w:r>
        <w:r w:rsidR="004050BA">
          <w:rPr>
            <w:webHidden/>
          </w:rPr>
          <w:tab/>
        </w:r>
        <w:r w:rsidR="004050BA">
          <w:rPr>
            <w:webHidden/>
          </w:rPr>
          <w:fldChar w:fldCharType="begin"/>
        </w:r>
        <w:r w:rsidR="004050BA">
          <w:rPr>
            <w:webHidden/>
          </w:rPr>
          <w:instrText xml:space="preserve"> PAGEREF _Toc522633207 \h </w:instrText>
        </w:r>
        <w:r w:rsidR="004050BA">
          <w:rPr>
            <w:webHidden/>
          </w:rPr>
        </w:r>
        <w:r w:rsidR="004050BA">
          <w:rPr>
            <w:webHidden/>
          </w:rPr>
          <w:fldChar w:fldCharType="separate"/>
        </w:r>
        <w:r w:rsidR="008E420D">
          <w:rPr>
            <w:webHidden/>
          </w:rPr>
          <w:t>38</w:t>
        </w:r>
        <w:r w:rsidR="004050BA">
          <w:rPr>
            <w:webHidden/>
          </w:rPr>
          <w:fldChar w:fldCharType="end"/>
        </w:r>
      </w:hyperlink>
    </w:p>
    <w:p w:rsidR="004050BA" w:rsidRDefault="00130D4F">
      <w:pPr>
        <w:pStyle w:val="TableofFigures"/>
        <w:rPr>
          <w:rFonts w:eastAsiaTheme="minorEastAsia" w:cstheme="minorBidi"/>
          <w:color w:val="auto"/>
          <w:sz w:val="22"/>
          <w:szCs w:val="22"/>
        </w:rPr>
      </w:pPr>
      <w:hyperlink w:anchor="_Toc522633208" w:history="1">
        <w:r w:rsidR="004050BA" w:rsidRPr="00D90930">
          <w:rPr>
            <w:rStyle w:val="Hyperlink"/>
          </w:rPr>
          <w:t>Figure 13 Greenhouse protocol for community’s emissions boundary</w:t>
        </w:r>
        <w:r w:rsidR="004050BA">
          <w:rPr>
            <w:webHidden/>
          </w:rPr>
          <w:tab/>
        </w:r>
        <w:r w:rsidR="004050BA">
          <w:rPr>
            <w:webHidden/>
          </w:rPr>
          <w:fldChar w:fldCharType="begin"/>
        </w:r>
        <w:r w:rsidR="004050BA">
          <w:rPr>
            <w:webHidden/>
          </w:rPr>
          <w:instrText xml:space="preserve"> PAGEREF _Toc522633208 \h </w:instrText>
        </w:r>
        <w:r w:rsidR="004050BA">
          <w:rPr>
            <w:webHidden/>
          </w:rPr>
        </w:r>
        <w:r w:rsidR="004050BA">
          <w:rPr>
            <w:webHidden/>
          </w:rPr>
          <w:fldChar w:fldCharType="separate"/>
        </w:r>
        <w:r w:rsidR="008E420D">
          <w:rPr>
            <w:webHidden/>
          </w:rPr>
          <w:t>45</w:t>
        </w:r>
        <w:r w:rsidR="004050BA">
          <w:rPr>
            <w:webHidden/>
          </w:rPr>
          <w:fldChar w:fldCharType="end"/>
        </w:r>
      </w:hyperlink>
    </w:p>
    <w:p w:rsidR="000A5379" w:rsidRPr="00851AAA" w:rsidRDefault="000A5379" w:rsidP="00E664BF">
      <w:pPr>
        <w:rPr>
          <w:sz w:val="19"/>
          <w:szCs w:val="19"/>
        </w:rPr>
        <w:sectPr w:rsidR="000A5379" w:rsidRPr="00851AAA" w:rsidSect="00932663">
          <w:pgSz w:w="11907" w:h="16839" w:code="9"/>
          <w:pgMar w:top="1440" w:right="992" w:bottom="1440" w:left="709" w:header="454" w:footer="510" w:gutter="0"/>
          <w:pgNumType w:fmt="lowerRoman"/>
          <w:cols w:space="708"/>
          <w:docGrid w:linePitch="360"/>
        </w:sectPr>
      </w:pPr>
      <w:r>
        <w:rPr>
          <w:sz w:val="19"/>
          <w:szCs w:val="19"/>
        </w:rPr>
        <w:fldChar w:fldCharType="end"/>
      </w:r>
    </w:p>
    <w:p w:rsidR="00944D57" w:rsidRPr="00255756" w:rsidRDefault="006956B4" w:rsidP="00255756">
      <w:pPr>
        <w:pStyle w:val="Heading1"/>
        <w:pageBreakBefore w:val="0"/>
        <w:numPr>
          <w:ilvl w:val="0"/>
          <w:numId w:val="0"/>
        </w:numPr>
      </w:pPr>
      <w:bookmarkStart w:id="0" w:name="_Toc412402247"/>
      <w:bookmarkStart w:id="1" w:name="_Toc520749094"/>
      <w:bookmarkStart w:id="2" w:name="_Toc523238941"/>
      <w:r w:rsidRPr="00851AAA">
        <w:t>Abbreviations</w:t>
      </w:r>
      <w:bookmarkEnd w:id="0"/>
      <w:bookmarkEnd w:id="1"/>
      <w:bookmarkEnd w:id="2"/>
    </w:p>
    <w:tbl>
      <w:tblPr>
        <w:tblStyle w:val="TableAMinimalLines"/>
        <w:tblW w:w="0" w:type="auto"/>
        <w:tblLook w:val="04A0" w:firstRow="1" w:lastRow="0" w:firstColumn="1" w:lastColumn="0" w:noHBand="0" w:noVBand="1"/>
        <w:tblCaption w:val="List of Abbreviations"/>
        <w:tblDescription w:val="List of Abbreviations"/>
      </w:tblPr>
      <w:tblGrid>
        <w:gridCol w:w="1643"/>
        <w:gridCol w:w="7428"/>
      </w:tblGrid>
      <w:tr w:rsidR="006956B4" w:rsidRPr="00851AAA" w:rsidTr="00555A78">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0" w:type="dxa"/>
          </w:tcPr>
          <w:p w:rsidR="006956B4" w:rsidRPr="00C84E56" w:rsidRDefault="006956B4" w:rsidP="002D5A8E">
            <w:pPr>
              <w:pStyle w:val="TableHeading"/>
              <w:rPr>
                <w:sz w:val="20"/>
              </w:rPr>
            </w:pPr>
            <w:bookmarkStart w:id="3" w:name="ColumnTitle_1"/>
            <w:r w:rsidRPr="00C84E56">
              <w:rPr>
                <w:sz w:val="20"/>
              </w:rPr>
              <w:t>Term</w:t>
            </w:r>
          </w:p>
        </w:tc>
        <w:tc>
          <w:tcPr>
            <w:tcW w:w="0" w:type="dxa"/>
          </w:tcPr>
          <w:p w:rsidR="006956B4" w:rsidRPr="00C84E56" w:rsidRDefault="006956B4" w:rsidP="002D5A8E">
            <w:pPr>
              <w:pStyle w:val="TableHeading"/>
              <w:cnfStyle w:val="100000000000" w:firstRow="1" w:lastRow="0" w:firstColumn="0" w:lastColumn="0" w:oddVBand="0" w:evenVBand="0" w:oddHBand="0" w:evenHBand="0" w:firstRowFirstColumn="0" w:firstRowLastColumn="0" w:lastRowFirstColumn="0" w:lastRowLastColumn="0"/>
              <w:rPr>
                <w:sz w:val="20"/>
              </w:rPr>
            </w:pPr>
            <w:r w:rsidRPr="00C84E56">
              <w:rPr>
                <w:sz w:val="20"/>
              </w:rPr>
              <w:t>Definition</w:t>
            </w:r>
          </w:p>
        </w:tc>
      </w:tr>
      <w:bookmarkEnd w:id="3"/>
      <w:tr w:rsidR="006956B4" w:rsidRPr="00851AAA" w:rsidTr="00944D57">
        <w:tc>
          <w:tcPr>
            <w:cnfStyle w:val="001000000000" w:firstRow="0" w:lastRow="0" w:firstColumn="1" w:lastColumn="0" w:oddVBand="0" w:evenVBand="0" w:oddHBand="0" w:evenHBand="0" w:firstRowFirstColumn="0" w:firstRowLastColumn="0" w:lastRowFirstColumn="0" w:lastRowLastColumn="0"/>
            <w:tcW w:w="1643" w:type="dxa"/>
          </w:tcPr>
          <w:p w:rsidR="00BD0419" w:rsidRPr="00555A78" w:rsidRDefault="00A85743" w:rsidP="00A85743">
            <w:pPr>
              <w:ind w:left="0"/>
              <w:rPr>
                <w:szCs w:val="18"/>
              </w:rPr>
            </w:pPr>
            <w:r w:rsidRPr="00F84B42">
              <w:rPr>
                <w:szCs w:val="18"/>
              </w:rPr>
              <w:t>C40</w:t>
            </w:r>
          </w:p>
        </w:tc>
        <w:tc>
          <w:tcPr>
            <w:tcW w:w="7428" w:type="dxa"/>
          </w:tcPr>
          <w:p w:rsidR="006956B4" w:rsidRPr="00555A78" w:rsidRDefault="00926725" w:rsidP="006E6DDD">
            <w:pPr>
              <w:cnfStyle w:val="000000000000" w:firstRow="0" w:lastRow="0" w:firstColumn="0" w:lastColumn="0" w:oddVBand="0" w:evenVBand="0" w:oddHBand="0" w:evenHBand="0" w:firstRowFirstColumn="0" w:firstRowLastColumn="0" w:lastRowFirstColumn="0" w:lastRowLastColumn="0"/>
              <w:rPr>
                <w:szCs w:val="18"/>
              </w:rPr>
            </w:pPr>
            <w:r w:rsidRPr="00F84B42">
              <w:rPr>
                <w:szCs w:val="18"/>
              </w:rPr>
              <w:t xml:space="preserve">C40 </w:t>
            </w:r>
            <w:r w:rsidR="00EF384C" w:rsidRPr="00EB2242">
              <w:rPr>
                <w:szCs w:val="18"/>
              </w:rPr>
              <w:t xml:space="preserve">is a network of the world’s megacities committed to addressing climate change. C40 supports cities to collaborate effectively, share knowledge and drive meaningful, measurable and sustainable action on climate change.  </w:t>
            </w:r>
          </w:p>
        </w:tc>
      </w:tr>
      <w:tr w:rsidR="00BD0419" w:rsidRPr="00851AAA" w:rsidTr="00944D57">
        <w:tc>
          <w:tcPr>
            <w:cnfStyle w:val="001000000000" w:firstRow="0" w:lastRow="0" w:firstColumn="1" w:lastColumn="0" w:oddVBand="0" w:evenVBand="0" w:oddHBand="0" w:evenHBand="0" w:firstRowFirstColumn="0" w:firstRowLastColumn="0" w:lastRowFirstColumn="0" w:lastRowLastColumn="0"/>
            <w:tcW w:w="1643" w:type="dxa"/>
          </w:tcPr>
          <w:p w:rsidR="00BD0419" w:rsidRPr="00C84E56" w:rsidRDefault="00BD0419" w:rsidP="00A85743">
            <w:pPr>
              <w:rPr>
                <w:sz w:val="20"/>
              </w:rPr>
            </w:pPr>
            <w:r w:rsidRPr="003B7172">
              <w:t>GBCA</w:t>
            </w:r>
          </w:p>
        </w:tc>
        <w:tc>
          <w:tcPr>
            <w:tcW w:w="7428" w:type="dxa"/>
          </w:tcPr>
          <w:p w:rsidR="00BD0419" w:rsidRPr="00C84E56" w:rsidRDefault="00BD0419" w:rsidP="006E6DDD">
            <w:pPr>
              <w:cnfStyle w:val="000000000000" w:firstRow="0" w:lastRow="0" w:firstColumn="0" w:lastColumn="0" w:oddVBand="0" w:evenVBand="0" w:oddHBand="0" w:evenHBand="0" w:firstRowFirstColumn="0" w:firstRowLastColumn="0" w:lastRowFirstColumn="0" w:lastRowLastColumn="0"/>
              <w:rPr>
                <w:sz w:val="20"/>
              </w:rPr>
            </w:pPr>
            <w:r w:rsidRPr="003B7172">
              <w:t>Green Building Council of Australia</w:t>
            </w:r>
          </w:p>
        </w:tc>
      </w:tr>
      <w:tr w:rsidR="006E6DDD" w:rsidRPr="00851AAA" w:rsidTr="00944D57">
        <w:tc>
          <w:tcPr>
            <w:cnfStyle w:val="001000000000" w:firstRow="0" w:lastRow="0" w:firstColumn="1" w:lastColumn="0" w:oddVBand="0" w:evenVBand="0" w:oddHBand="0" w:evenHBand="0" w:firstRowFirstColumn="0" w:firstRowLastColumn="0" w:lastRowFirstColumn="0" w:lastRowLastColumn="0"/>
            <w:tcW w:w="1643" w:type="dxa"/>
          </w:tcPr>
          <w:p w:rsidR="006E6DDD" w:rsidRPr="00C84E56" w:rsidRDefault="00A85743" w:rsidP="006E6DDD">
            <w:pPr>
              <w:rPr>
                <w:sz w:val="20"/>
              </w:rPr>
            </w:pPr>
            <w:r w:rsidRPr="003B7172">
              <w:t>ICLEI</w:t>
            </w:r>
          </w:p>
        </w:tc>
        <w:tc>
          <w:tcPr>
            <w:tcW w:w="7428" w:type="dxa"/>
          </w:tcPr>
          <w:p w:rsidR="006E6DDD" w:rsidRPr="00C84E56" w:rsidRDefault="00BD0419" w:rsidP="00BD0419">
            <w:pPr>
              <w:ind w:left="0"/>
              <w:cnfStyle w:val="000000000000" w:firstRow="0" w:lastRow="0" w:firstColumn="0" w:lastColumn="0" w:oddVBand="0" w:evenVBand="0" w:oddHBand="0" w:evenHBand="0" w:firstRowFirstColumn="0" w:firstRowLastColumn="0" w:lastRowFirstColumn="0" w:lastRowLastColumn="0"/>
              <w:rPr>
                <w:sz w:val="20"/>
              </w:rPr>
            </w:pPr>
            <w:r w:rsidRPr="003B7172">
              <w:t>International Council for Local Environment Initiatives</w:t>
            </w:r>
          </w:p>
        </w:tc>
      </w:tr>
      <w:tr w:rsidR="00B94E3F" w:rsidRPr="00851AAA" w:rsidTr="00944D57">
        <w:tc>
          <w:tcPr>
            <w:cnfStyle w:val="001000000000" w:firstRow="0" w:lastRow="0" w:firstColumn="1" w:lastColumn="0" w:oddVBand="0" w:evenVBand="0" w:oddHBand="0" w:evenHBand="0" w:firstRowFirstColumn="0" w:firstRowLastColumn="0" w:lastRowFirstColumn="0" w:lastRowLastColumn="0"/>
            <w:tcW w:w="1643" w:type="dxa"/>
          </w:tcPr>
          <w:p w:rsidR="00B94E3F" w:rsidRPr="003B7172" w:rsidRDefault="00B94E3F" w:rsidP="006E6DDD">
            <w:r>
              <w:t>IPCC</w:t>
            </w:r>
          </w:p>
        </w:tc>
        <w:tc>
          <w:tcPr>
            <w:tcW w:w="7428" w:type="dxa"/>
          </w:tcPr>
          <w:p w:rsidR="00B94E3F" w:rsidRPr="003B7172" w:rsidRDefault="00B94E3F" w:rsidP="00BD0419">
            <w:pPr>
              <w:cnfStyle w:val="000000000000" w:firstRow="0" w:lastRow="0" w:firstColumn="0" w:lastColumn="0" w:oddVBand="0" w:evenVBand="0" w:oddHBand="0" w:evenHBand="0" w:firstRowFirstColumn="0" w:firstRowLastColumn="0" w:lastRowFirstColumn="0" w:lastRowLastColumn="0"/>
            </w:pPr>
            <w:r>
              <w:t>Intergovernmental Panel on Climate Change</w:t>
            </w:r>
          </w:p>
        </w:tc>
      </w:tr>
      <w:tr w:rsidR="00BD0419" w:rsidRPr="00851AAA" w:rsidTr="00944D57">
        <w:tc>
          <w:tcPr>
            <w:cnfStyle w:val="001000000000" w:firstRow="0" w:lastRow="0" w:firstColumn="1" w:lastColumn="0" w:oddVBand="0" w:evenVBand="0" w:oddHBand="0" w:evenHBand="0" w:firstRowFirstColumn="0" w:firstRowLastColumn="0" w:lastRowFirstColumn="0" w:lastRowLastColumn="0"/>
            <w:tcW w:w="1643" w:type="dxa"/>
          </w:tcPr>
          <w:p w:rsidR="00BD0419" w:rsidRPr="00C84E56" w:rsidRDefault="00BD0419" w:rsidP="006E6DDD">
            <w:pPr>
              <w:rPr>
                <w:sz w:val="20"/>
              </w:rPr>
            </w:pPr>
            <w:r w:rsidRPr="003B7172">
              <w:t>NABERS</w:t>
            </w:r>
          </w:p>
        </w:tc>
        <w:tc>
          <w:tcPr>
            <w:tcW w:w="7428" w:type="dxa"/>
          </w:tcPr>
          <w:p w:rsidR="00BD0419" w:rsidRPr="00C84E56" w:rsidRDefault="00BD0419" w:rsidP="006E6DDD">
            <w:pPr>
              <w:cnfStyle w:val="000000000000" w:firstRow="0" w:lastRow="0" w:firstColumn="0" w:lastColumn="0" w:oddVBand="0" w:evenVBand="0" w:oddHBand="0" w:evenHBand="0" w:firstRowFirstColumn="0" w:firstRowLastColumn="0" w:lastRowFirstColumn="0" w:lastRowLastColumn="0"/>
              <w:rPr>
                <w:sz w:val="20"/>
              </w:rPr>
            </w:pPr>
            <w:r w:rsidRPr="003B7172">
              <w:t>National Australian Built Environment Rating System</w:t>
            </w:r>
          </w:p>
        </w:tc>
      </w:tr>
      <w:tr w:rsidR="006E6DDD" w:rsidRPr="00851AAA" w:rsidTr="00944D57">
        <w:tc>
          <w:tcPr>
            <w:cnfStyle w:val="001000000000" w:firstRow="0" w:lastRow="0" w:firstColumn="1" w:lastColumn="0" w:oddVBand="0" w:evenVBand="0" w:oddHBand="0" w:evenHBand="0" w:firstRowFirstColumn="0" w:firstRowLastColumn="0" w:lastRowFirstColumn="0" w:lastRowLastColumn="0"/>
            <w:tcW w:w="1643" w:type="dxa"/>
          </w:tcPr>
          <w:p w:rsidR="006E6DDD" w:rsidRPr="00C84E56" w:rsidRDefault="00BD0419" w:rsidP="00BD0419">
            <w:pPr>
              <w:ind w:left="0"/>
              <w:rPr>
                <w:sz w:val="20"/>
              </w:rPr>
            </w:pPr>
            <w:r w:rsidRPr="003B7172">
              <w:t>UNFCCC</w:t>
            </w:r>
          </w:p>
        </w:tc>
        <w:tc>
          <w:tcPr>
            <w:tcW w:w="7428" w:type="dxa"/>
          </w:tcPr>
          <w:p w:rsidR="006E6DDD" w:rsidRPr="00C84E56" w:rsidRDefault="00BD0419" w:rsidP="00BD0419">
            <w:pPr>
              <w:ind w:left="0"/>
              <w:cnfStyle w:val="000000000000" w:firstRow="0" w:lastRow="0" w:firstColumn="0" w:lastColumn="0" w:oddVBand="0" w:evenVBand="0" w:oddHBand="0" w:evenHBand="0" w:firstRowFirstColumn="0" w:firstRowLastColumn="0" w:lastRowFirstColumn="0" w:lastRowLastColumn="0"/>
              <w:rPr>
                <w:sz w:val="20"/>
              </w:rPr>
            </w:pPr>
            <w:r w:rsidRPr="003B7172">
              <w:t>United Nations Framework Convention on Climate Change</w:t>
            </w:r>
          </w:p>
        </w:tc>
      </w:tr>
      <w:tr w:rsidR="009702B9" w:rsidRPr="00851AAA" w:rsidTr="00944D57">
        <w:tc>
          <w:tcPr>
            <w:cnfStyle w:val="001000000000" w:firstRow="0" w:lastRow="0" w:firstColumn="1" w:lastColumn="0" w:oddVBand="0" w:evenVBand="0" w:oddHBand="0" w:evenHBand="0" w:firstRowFirstColumn="0" w:firstRowLastColumn="0" w:lastRowFirstColumn="0" w:lastRowLastColumn="0"/>
            <w:tcW w:w="1643" w:type="dxa"/>
          </w:tcPr>
          <w:p w:rsidR="009702B9" w:rsidRPr="00C84E56" w:rsidRDefault="009702B9" w:rsidP="00BD0419">
            <w:pPr>
              <w:rPr>
                <w:sz w:val="20"/>
              </w:rPr>
            </w:pPr>
            <w:r w:rsidRPr="003B7172">
              <w:t>ZNE</w:t>
            </w:r>
          </w:p>
        </w:tc>
        <w:tc>
          <w:tcPr>
            <w:tcW w:w="7428" w:type="dxa"/>
          </w:tcPr>
          <w:p w:rsidR="009702B9" w:rsidRPr="00C84E56" w:rsidRDefault="009702B9" w:rsidP="00BD0419">
            <w:pPr>
              <w:cnfStyle w:val="000000000000" w:firstRow="0" w:lastRow="0" w:firstColumn="0" w:lastColumn="0" w:oddVBand="0" w:evenVBand="0" w:oddHBand="0" w:evenHBand="0" w:firstRowFirstColumn="0" w:firstRowLastColumn="0" w:lastRowFirstColumn="0" w:lastRowLastColumn="0"/>
              <w:rPr>
                <w:sz w:val="20"/>
              </w:rPr>
            </w:pPr>
            <w:r w:rsidRPr="003B7172">
              <w:t>Zero Net Emissions</w:t>
            </w:r>
          </w:p>
        </w:tc>
      </w:tr>
    </w:tbl>
    <w:p w:rsidR="00A85743" w:rsidRDefault="00A85743" w:rsidP="00A85743">
      <w:pPr>
        <w:pStyle w:val="Heading1"/>
        <w:pageBreakBefore w:val="0"/>
        <w:numPr>
          <w:ilvl w:val="0"/>
          <w:numId w:val="0"/>
        </w:numPr>
      </w:pPr>
    </w:p>
    <w:p w:rsidR="00A85743" w:rsidRPr="00255756" w:rsidRDefault="00A85743" w:rsidP="00A85743">
      <w:pPr>
        <w:pStyle w:val="Heading1"/>
        <w:pageBreakBefore w:val="0"/>
        <w:numPr>
          <w:ilvl w:val="0"/>
          <w:numId w:val="0"/>
        </w:numPr>
      </w:pPr>
      <w:bookmarkStart w:id="4" w:name="_Toc520749095"/>
      <w:bookmarkStart w:id="5" w:name="_Toc523238942"/>
      <w:r>
        <w:t>Glossary</w:t>
      </w:r>
      <w:bookmarkEnd w:id="4"/>
      <w:bookmarkEnd w:id="5"/>
    </w:p>
    <w:tbl>
      <w:tblPr>
        <w:tblStyle w:val="TableAMinimalLines"/>
        <w:tblW w:w="0" w:type="auto"/>
        <w:tblLook w:val="04A0" w:firstRow="1" w:lastRow="0" w:firstColumn="1" w:lastColumn="0" w:noHBand="0" w:noVBand="1"/>
        <w:tblCaption w:val="List of Abbreviations"/>
        <w:tblDescription w:val="List of Abbreviations"/>
      </w:tblPr>
      <w:tblGrid>
        <w:gridCol w:w="1643"/>
        <w:gridCol w:w="7428"/>
      </w:tblGrid>
      <w:tr w:rsidR="00C84E56" w:rsidRPr="00851AAA" w:rsidTr="00C84E5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643" w:type="dxa"/>
          </w:tcPr>
          <w:p w:rsidR="00C84E56" w:rsidRPr="00C84E56" w:rsidRDefault="00C84E56" w:rsidP="00A85743">
            <w:pPr>
              <w:pStyle w:val="TableHeading"/>
              <w:rPr>
                <w:sz w:val="20"/>
              </w:rPr>
            </w:pPr>
            <w:r w:rsidRPr="00605218">
              <w:t>Term</w:t>
            </w:r>
          </w:p>
        </w:tc>
        <w:tc>
          <w:tcPr>
            <w:tcW w:w="7428" w:type="dxa"/>
          </w:tcPr>
          <w:p w:rsidR="00C84E56" w:rsidRPr="00C84E56" w:rsidRDefault="00C84E56" w:rsidP="00A85743">
            <w:pPr>
              <w:pStyle w:val="TableHeading"/>
              <w:cnfStyle w:val="100000000000" w:firstRow="1" w:lastRow="0" w:firstColumn="0" w:lastColumn="0" w:oddVBand="0" w:evenVBand="0" w:oddHBand="0" w:evenHBand="0" w:firstRowFirstColumn="0" w:firstRowLastColumn="0" w:lastRowFirstColumn="0" w:lastRowLastColumn="0"/>
              <w:rPr>
                <w:sz w:val="20"/>
              </w:rPr>
            </w:pPr>
            <w:r w:rsidRPr="00605218">
              <w:t>Definition</w:t>
            </w:r>
          </w:p>
        </w:tc>
      </w:tr>
      <w:tr w:rsidR="007E5348" w:rsidRPr="00CF7C5E" w:rsidTr="007E5348">
        <w:tc>
          <w:tcPr>
            <w:cnfStyle w:val="001000000000" w:firstRow="0" w:lastRow="0" w:firstColumn="1" w:lastColumn="0" w:oddVBand="0" w:evenVBand="0" w:oddHBand="0" w:evenHBand="0" w:firstRowFirstColumn="0" w:firstRowLastColumn="0" w:lastRowFirstColumn="0" w:lastRowLastColumn="0"/>
            <w:tcW w:w="1643" w:type="dxa"/>
          </w:tcPr>
          <w:p w:rsidR="007E5348" w:rsidRPr="00555A78" w:rsidRDefault="007E5348" w:rsidP="007E5348">
            <w:pPr>
              <w:pStyle w:val="TableHeading"/>
              <w:rPr>
                <w:rFonts w:asciiTheme="minorHAnsi" w:hAnsiTheme="minorHAnsi" w:cstheme="minorHAnsi"/>
                <w:b w:val="0"/>
                <w:szCs w:val="18"/>
              </w:rPr>
            </w:pPr>
            <w:r w:rsidRPr="00555A78">
              <w:rPr>
                <w:rFonts w:asciiTheme="minorHAnsi" w:hAnsiTheme="minorHAnsi" w:cstheme="minorHAnsi"/>
                <w:b w:val="0"/>
                <w:szCs w:val="18"/>
              </w:rPr>
              <w:t>Carbon offsets</w:t>
            </w:r>
          </w:p>
        </w:tc>
        <w:tc>
          <w:tcPr>
            <w:tcW w:w="7428" w:type="dxa"/>
          </w:tcPr>
          <w:p w:rsidR="007E5348" w:rsidRPr="00555A78" w:rsidRDefault="007E5348" w:rsidP="007E5348">
            <w:pPr>
              <w:autoSpaceDE w:val="0"/>
              <w:autoSpaceDN w:val="0"/>
              <w:adjustRightInd w:val="0"/>
              <w:spacing w:line="240" w:lineRule="auto"/>
              <w:ind w:left="0"/>
              <w:cnfStyle w:val="000000000000" w:firstRow="0" w:lastRow="0" w:firstColumn="0" w:lastColumn="0" w:oddVBand="0" w:evenVBand="0" w:oddHBand="0" w:evenHBand="0" w:firstRowFirstColumn="0" w:firstRowLastColumn="0" w:lastRowFirstColumn="0" w:lastRowLastColumn="0"/>
              <w:rPr>
                <w:rFonts w:cstheme="minorHAnsi"/>
                <w:bCs/>
                <w:color w:val="auto"/>
                <w:sz w:val="20"/>
              </w:rPr>
            </w:pPr>
            <w:r w:rsidRPr="00555A78">
              <w:rPr>
                <w:rFonts w:cstheme="minorHAnsi"/>
                <w:bCs/>
                <w:color w:val="auto"/>
              </w:rPr>
              <w:t xml:space="preserve">Carbon offsets are tradeable units that represent abatement of greenhouse gas emissions. Offsets represent the rights to a greenhouse gas reduction, and the carbon offsets purchased are retired through a registered third party so they cannot be counted twice. </w:t>
            </w:r>
          </w:p>
        </w:tc>
      </w:tr>
      <w:tr w:rsidR="007E5348" w:rsidRPr="00CF7C5E" w:rsidTr="007E5348">
        <w:tc>
          <w:tcPr>
            <w:cnfStyle w:val="001000000000" w:firstRow="0" w:lastRow="0" w:firstColumn="1" w:lastColumn="0" w:oddVBand="0" w:evenVBand="0" w:oddHBand="0" w:evenHBand="0" w:firstRowFirstColumn="0" w:firstRowLastColumn="0" w:lastRowFirstColumn="0" w:lastRowLastColumn="0"/>
            <w:tcW w:w="1643" w:type="dxa"/>
          </w:tcPr>
          <w:p w:rsidR="007E5348" w:rsidRPr="00555A78" w:rsidRDefault="007E5348" w:rsidP="007E5348">
            <w:pPr>
              <w:pStyle w:val="TableHeading"/>
              <w:rPr>
                <w:rFonts w:asciiTheme="minorHAnsi" w:hAnsiTheme="minorHAnsi" w:cstheme="minorHAnsi"/>
                <w:b w:val="0"/>
                <w:szCs w:val="18"/>
              </w:rPr>
            </w:pPr>
            <w:r w:rsidRPr="00555A78">
              <w:rPr>
                <w:rFonts w:asciiTheme="minorHAnsi" w:hAnsiTheme="minorHAnsi" w:cstheme="minorHAnsi"/>
                <w:b w:val="0"/>
                <w:szCs w:val="18"/>
              </w:rPr>
              <w:t>Carbon neutral</w:t>
            </w:r>
          </w:p>
        </w:tc>
        <w:tc>
          <w:tcPr>
            <w:tcW w:w="7428" w:type="dxa"/>
          </w:tcPr>
          <w:p w:rsidR="007E5348" w:rsidRPr="00555A78" w:rsidRDefault="007E5348" w:rsidP="007E5348">
            <w:pPr>
              <w:autoSpaceDE w:val="0"/>
              <w:autoSpaceDN w:val="0"/>
              <w:adjustRightInd w:val="0"/>
              <w:spacing w:line="240" w:lineRule="auto"/>
              <w:cnfStyle w:val="000000000000" w:firstRow="0" w:lastRow="0" w:firstColumn="0" w:lastColumn="0" w:oddVBand="0" w:evenVBand="0" w:oddHBand="0" w:evenHBand="0" w:firstRowFirstColumn="0" w:firstRowLastColumn="0" w:lastRowFirstColumn="0" w:lastRowLastColumn="0"/>
              <w:rPr>
                <w:rFonts w:cstheme="minorHAnsi"/>
                <w:bCs/>
                <w:color w:val="auto"/>
                <w:szCs w:val="18"/>
              </w:rPr>
            </w:pPr>
            <w:r w:rsidRPr="00555A78">
              <w:rPr>
                <w:rFonts w:cstheme="minorHAnsi"/>
                <w:bCs/>
                <w:color w:val="auto"/>
                <w:szCs w:val="18"/>
              </w:rPr>
              <w:t xml:space="preserve">Being carbon neutral means that the net greenhouse gas emissions associated with an organisation’s or </w:t>
            </w:r>
            <w:proofErr w:type="gramStart"/>
            <w:r w:rsidRPr="00555A78">
              <w:rPr>
                <w:rFonts w:cstheme="minorHAnsi"/>
                <w:bCs/>
                <w:color w:val="auto"/>
                <w:szCs w:val="18"/>
              </w:rPr>
              <w:t>city’s</w:t>
            </w:r>
            <w:proofErr w:type="gramEnd"/>
            <w:r w:rsidRPr="00555A78">
              <w:rPr>
                <w:rFonts w:cstheme="minorHAnsi"/>
                <w:bCs/>
                <w:color w:val="auto"/>
                <w:szCs w:val="18"/>
              </w:rPr>
              <w:t>, activities are equal to zero. It is achieved through a combination of measuring and reducing greenhouse gas emissions and purchasing of carbon offsets. The terms zero net emissions and carbon neutral can be used interchangeably.</w:t>
            </w:r>
          </w:p>
        </w:tc>
      </w:tr>
      <w:tr w:rsidR="007E5348" w:rsidRPr="00CF7C5E" w:rsidTr="007E5348">
        <w:tc>
          <w:tcPr>
            <w:cnfStyle w:val="001000000000" w:firstRow="0" w:lastRow="0" w:firstColumn="1" w:lastColumn="0" w:oddVBand="0" w:evenVBand="0" w:oddHBand="0" w:evenHBand="0" w:firstRowFirstColumn="0" w:firstRowLastColumn="0" w:lastRowFirstColumn="0" w:lastRowLastColumn="0"/>
            <w:tcW w:w="1643" w:type="dxa"/>
          </w:tcPr>
          <w:p w:rsidR="007E5348" w:rsidRPr="00555A78" w:rsidRDefault="007E5348" w:rsidP="007E5348">
            <w:pPr>
              <w:rPr>
                <w:rFonts w:cstheme="minorHAnsi"/>
                <w:szCs w:val="18"/>
              </w:rPr>
            </w:pPr>
            <w:r w:rsidRPr="00EB2242">
              <w:rPr>
                <w:rFonts w:cstheme="minorHAnsi"/>
                <w:szCs w:val="18"/>
              </w:rPr>
              <w:t>Emissions</w:t>
            </w:r>
          </w:p>
        </w:tc>
        <w:tc>
          <w:tcPr>
            <w:tcW w:w="7428" w:type="dxa"/>
          </w:tcPr>
          <w:p w:rsidR="007E5348" w:rsidRPr="00555A78" w:rsidRDefault="007E5348" w:rsidP="007E5348">
            <w:pPr>
              <w:cnfStyle w:val="000000000000" w:firstRow="0" w:lastRow="0" w:firstColumn="0" w:lastColumn="0" w:oddVBand="0" w:evenVBand="0" w:oddHBand="0" w:evenHBand="0" w:firstRowFirstColumn="0" w:firstRowLastColumn="0" w:lastRowFirstColumn="0" w:lastRowLastColumn="0"/>
              <w:rPr>
                <w:rFonts w:cstheme="minorHAnsi"/>
                <w:szCs w:val="18"/>
              </w:rPr>
            </w:pPr>
            <w:r w:rsidRPr="00EB2242">
              <w:rPr>
                <w:rFonts w:cstheme="minorHAnsi"/>
                <w:szCs w:val="18"/>
              </w:rPr>
              <w:t>This term is used interchangeably with greenhouse gas emissions in this context unless specifically stated that it relates to air quality pollutants</w:t>
            </w:r>
          </w:p>
        </w:tc>
      </w:tr>
      <w:tr w:rsidR="007E5348" w:rsidRPr="00CF7C5E" w:rsidTr="007E5348">
        <w:tc>
          <w:tcPr>
            <w:cnfStyle w:val="001000000000" w:firstRow="0" w:lastRow="0" w:firstColumn="1" w:lastColumn="0" w:oddVBand="0" w:evenVBand="0" w:oddHBand="0" w:evenHBand="0" w:firstRowFirstColumn="0" w:firstRowLastColumn="0" w:lastRowFirstColumn="0" w:lastRowLastColumn="0"/>
            <w:tcW w:w="1643" w:type="dxa"/>
          </w:tcPr>
          <w:p w:rsidR="007E5348" w:rsidRPr="00555A78" w:rsidRDefault="007E5348" w:rsidP="007E5348">
            <w:pPr>
              <w:rPr>
                <w:rFonts w:cstheme="minorHAnsi"/>
                <w:szCs w:val="18"/>
              </w:rPr>
            </w:pPr>
            <w:r w:rsidRPr="00EB2242">
              <w:rPr>
                <w:rFonts w:cstheme="minorHAnsi"/>
                <w:szCs w:val="18"/>
              </w:rPr>
              <w:t>Greenhouse gas emissions</w:t>
            </w:r>
          </w:p>
        </w:tc>
        <w:tc>
          <w:tcPr>
            <w:tcW w:w="7428" w:type="dxa"/>
          </w:tcPr>
          <w:p w:rsidR="007E5348" w:rsidRPr="00555A78" w:rsidRDefault="007E5348" w:rsidP="00286ED2">
            <w:pPr>
              <w:cnfStyle w:val="000000000000" w:firstRow="0" w:lastRow="0" w:firstColumn="0" w:lastColumn="0" w:oddVBand="0" w:evenVBand="0" w:oddHBand="0" w:evenHBand="0" w:firstRowFirstColumn="0" w:firstRowLastColumn="0" w:lastRowFirstColumn="0" w:lastRowLastColumn="0"/>
              <w:rPr>
                <w:rFonts w:cstheme="minorHAnsi"/>
                <w:szCs w:val="18"/>
              </w:rPr>
            </w:pPr>
            <w:r w:rsidRPr="00EB2242">
              <w:rPr>
                <w:rFonts w:cstheme="minorHAnsi"/>
                <w:szCs w:val="18"/>
              </w:rPr>
              <w:t xml:space="preserve">The greenhouse gas emissions </w:t>
            </w:r>
            <w:r w:rsidR="00286ED2">
              <w:rPr>
                <w:rFonts w:cstheme="minorHAnsi"/>
                <w:szCs w:val="18"/>
              </w:rPr>
              <w:t xml:space="preserve">from human activities </w:t>
            </w:r>
            <w:r w:rsidRPr="00EB2242">
              <w:rPr>
                <w:rFonts w:cstheme="minorHAnsi"/>
                <w:szCs w:val="18"/>
              </w:rPr>
              <w:t>that cause climate c</w:t>
            </w:r>
            <w:r w:rsidR="00286ED2">
              <w:rPr>
                <w:rFonts w:cstheme="minorHAnsi"/>
                <w:szCs w:val="18"/>
              </w:rPr>
              <w:t xml:space="preserve">hange: </w:t>
            </w:r>
            <w:r w:rsidR="00286ED2">
              <w:rPr>
                <w:lang w:val="en"/>
              </w:rPr>
              <w:t>carbon dioxide (CO</w:t>
            </w:r>
            <w:r w:rsidR="00286ED2">
              <w:rPr>
                <w:vertAlign w:val="subscript"/>
                <w:lang w:val="en"/>
              </w:rPr>
              <w:t>2</w:t>
            </w:r>
            <w:r w:rsidR="00286ED2">
              <w:rPr>
                <w:lang w:val="en"/>
              </w:rPr>
              <w:t>), methane (CH</w:t>
            </w:r>
            <w:r w:rsidR="00286ED2">
              <w:rPr>
                <w:vertAlign w:val="subscript"/>
                <w:lang w:val="en"/>
              </w:rPr>
              <w:t>4</w:t>
            </w:r>
            <w:r w:rsidR="00286ED2">
              <w:rPr>
                <w:lang w:val="en"/>
              </w:rPr>
              <w:t>), nitrous oxide (N</w:t>
            </w:r>
            <w:r w:rsidR="00286ED2">
              <w:rPr>
                <w:vertAlign w:val="subscript"/>
                <w:lang w:val="en"/>
              </w:rPr>
              <w:t>2</w:t>
            </w:r>
            <w:r w:rsidR="00286ED2">
              <w:rPr>
                <w:lang w:val="en"/>
              </w:rPr>
              <w:t>O), ozone (O</w:t>
            </w:r>
            <w:r w:rsidR="00286ED2">
              <w:rPr>
                <w:vertAlign w:val="subscript"/>
                <w:lang w:val="en"/>
              </w:rPr>
              <w:t>3</w:t>
            </w:r>
            <w:r w:rsidR="00286ED2">
              <w:rPr>
                <w:lang w:val="en"/>
              </w:rPr>
              <w:t>), and synthetic gases, such as chlorofluorocarbons (CFCs) and hydrofluorocarbons (HFCs).</w:t>
            </w:r>
          </w:p>
        </w:tc>
      </w:tr>
      <w:tr w:rsidR="007E5348" w:rsidRPr="00CF7C5E" w:rsidTr="007E5348">
        <w:tc>
          <w:tcPr>
            <w:cnfStyle w:val="001000000000" w:firstRow="0" w:lastRow="0" w:firstColumn="1" w:lastColumn="0" w:oddVBand="0" w:evenVBand="0" w:oddHBand="0" w:evenHBand="0" w:firstRowFirstColumn="0" w:firstRowLastColumn="0" w:lastRowFirstColumn="0" w:lastRowLastColumn="0"/>
            <w:tcW w:w="1643" w:type="dxa"/>
          </w:tcPr>
          <w:p w:rsidR="007E5348" w:rsidRPr="00555A78" w:rsidRDefault="007E5348" w:rsidP="007E5348">
            <w:pPr>
              <w:rPr>
                <w:rFonts w:cstheme="minorHAnsi"/>
                <w:szCs w:val="18"/>
              </w:rPr>
            </w:pPr>
            <w:r w:rsidRPr="00EB2242">
              <w:rPr>
                <w:rFonts w:cstheme="minorHAnsi"/>
                <w:szCs w:val="18"/>
              </w:rPr>
              <w:t>Paris Climate Agreement</w:t>
            </w:r>
          </w:p>
        </w:tc>
        <w:tc>
          <w:tcPr>
            <w:tcW w:w="7428" w:type="dxa"/>
          </w:tcPr>
          <w:p w:rsidR="007E5348" w:rsidRPr="00555A78" w:rsidRDefault="007E5348" w:rsidP="00555A78">
            <w:pPr>
              <w:ind w:left="0"/>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18"/>
                <w:lang w:val="en"/>
              </w:rPr>
            </w:pPr>
            <w:r w:rsidRPr="00555A78">
              <w:rPr>
                <w:rFonts w:cstheme="minorHAnsi"/>
                <w:color w:val="auto"/>
                <w:szCs w:val="18"/>
                <w:lang w:val="en"/>
              </w:rPr>
              <w:t xml:space="preserve">The </w:t>
            </w:r>
            <w:hyperlink r:id="rId14" w:history="1">
              <w:r w:rsidRPr="00555A78">
                <w:rPr>
                  <w:rFonts w:cstheme="minorHAnsi"/>
                  <w:color w:val="auto"/>
                  <w:szCs w:val="18"/>
                  <w:u w:val="single"/>
                  <w:lang w:val="en"/>
                </w:rPr>
                <w:t>Paris Climate Agreement</w:t>
              </w:r>
            </w:hyperlink>
            <w:r w:rsidRPr="00555A78">
              <w:rPr>
                <w:rFonts w:cstheme="minorHAnsi"/>
                <w:color w:val="auto"/>
                <w:szCs w:val="18"/>
                <w:lang w:val="en"/>
              </w:rPr>
              <w:t xml:space="preserve"> entered into force on 4 November 2016. The </w:t>
            </w:r>
            <w:r w:rsidRPr="00555A78">
              <w:rPr>
                <w:rFonts w:cstheme="minorHAnsi"/>
                <w:i/>
                <w:iCs/>
                <w:color w:val="auto"/>
                <w:szCs w:val="18"/>
                <w:lang w:val="en"/>
              </w:rPr>
              <w:t>Paris Agreement</w:t>
            </w:r>
            <w:r w:rsidRPr="00555A78">
              <w:rPr>
                <w:rFonts w:cstheme="minorHAnsi"/>
                <w:color w:val="auto"/>
                <w:szCs w:val="18"/>
                <w:lang w:val="en"/>
              </w:rPr>
              <w:t xml:space="preserve"> is made under the </w:t>
            </w:r>
            <w:hyperlink r:id="rId15" w:history="1">
              <w:r w:rsidRPr="00555A78">
                <w:rPr>
                  <w:rFonts w:cstheme="minorHAnsi"/>
                  <w:i/>
                  <w:iCs/>
                  <w:color w:val="auto"/>
                  <w:szCs w:val="18"/>
                  <w:u w:val="single"/>
                  <w:lang w:val="en"/>
                </w:rPr>
                <w:t>United Nations Framework Convention on Climate Change</w:t>
              </w:r>
            </w:hyperlink>
            <w:r w:rsidRPr="00555A78">
              <w:rPr>
                <w:rFonts w:cstheme="minorHAnsi"/>
                <w:color w:val="auto"/>
                <w:szCs w:val="18"/>
                <w:lang w:val="en"/>
              </w:rPr>
              <w:t xml:space="preserve"> (</w:t>
            </w:r>
            <w:r w:rsidRPr="00555A78">
              <w:rPr>
                <w:rFonts w:cstheme="minorHAnsi"/>
                <w:i/>
                <w:iCs/>
                <w:color w:val="auto"/>
                <w:szCs w:val="18"/>
                <w:lang w:val="en"/>
              </w:rPr>
              <w:t>Climate Change Convention</w:t>
            </w:r>
            <w:r w:rsidRPr="00555A78">
              <w:rPr>
                <w:rFonts w:cstheme="minorHAnsi"/>
                <w:color w:val="auto"/>
                <w:szCs w:val="18"/>
                <w:lang w:val="en"/>
              </w:rPr>
              <w:t xml:space="preserve">, also referred to as the </w:t>
            </w:r>
            <w:r w:rsidRPr="00555A78">
              <w:rPr>
                <w:rFonts w:cstheme="minorHAnsi"/>
                <w:i/>
                <w:iCs/>
                <w:color w:val="auto"/>
                <w:szCs w:val="18"/>
                <w:lang w:val="en"/>
              </w:rPr>
              <w:t>UNFCCC</w:t>
            </w:r>
            <w:r w:rsidRPr="00555A78">
              <w:rPr>
                <w:rFonts w:cstheme="minorHAnsi"/>
                <w:color w:val="auto"/>
                <w:szCs w:val="18"/>
                <w:lang w:val="en"/>
              </w:rPr>
              <w:t xml:space="preserve">). Australia </w:t>
            </w:r>
            <w:hyperlink r:id="rId16" w:history="1">
              <w:r w:rsidRPr="00555A78">
                <w:rPr>
                  <w:rFonts w:cstheme="minorHAnsi"/>
                  <w:color w:val="auto"/>
                  <w:szCs w:val="18"/>
                  <w:u w:val="single"/>
                  <w:lang w:val="en"/>
                </w:rPr>
                <w:t>announced</w:t>
              </w:r>
            </w:hyperlink>
            <w:r w:rsidRPr="00555A78">
              <w:rPr>
                <w:rFonts w:cstheme="minorHAnsi"/>
                <w:color w:val="auto"/>
                <w:szCs w:val="18"/>
                <w:lang w:val="en"/>
              </w:rPr>
              <w:t xml:space="preserve"> its ratification of the </w:t>
            </w:r>
            <w:r w:rsidRPr="00555A78">
              <w:rPr>
                <w:rFonts w:cstheme="minorHAnsi"/>
                <w:i/>
                <w:iCs/>
                <w:color w:val="auto"/>
                <w:szCs w:val="18"/>
                <w:lang w:val="en"/>
              </w:rPr>
              <w:t>Paris Agreement</w:t>
            </w:r>
            <w:r w:rsidRPr="00555A78">
              <w:rPr>
                <w:rFonts w:cstheme="minorHAnsi"/>
                <w:color w:val="auto"/>
                <w:szCs w:val="18"/>
                <w:lang w:val="en"/>
              </w:rPr>
              <w:t xml:space="preserve"> on 10 November 2016.</w:t>
            </w:r>
            <w:r w:rsidR="00F84B42">
              <w:rPr>
                <w:rFonts w:cstheme="minorHAnsi"/>
                <w:color w:val="auto"/>
                <w:szCs w:val="18"/>
                <w:lang w:val="en"/>
              </w:rPr>
              <w:t xml:space="preserve"> </w:t>
            </w:r>
            <w:r w:rsidRPr="00EB2242">
              <w:rPr>
                <w:rFonts w:cstheme="minorHAnsi"/>
                <w:color w:val="auto"/>
                <w:szCs w:val="18"/>
                <w:lang w:val="en"/>
              </w:rPr>
              <w:t>Its stated goal is to limit the increase in the global average temperature to ‘well below 2°C’ above pre</w:t>
            </w:r>
            <w:r w:rsidRPr="00EB2242">
              <w:rPr>
                <w:rFonts w:cstheme="minorHAnsi"/>
                <w:color w:val="auto"/>
                <w:szCs w:val="18"/>
                <w:lang w:val="en"/>
              </w:rPr>
              <w:noBreakHyphen/>
              <w:t>industrial levels, that we should ‘pursue efforts’ to limit the temperature increase to 1.5</w:t>
            </w:r>
            <w:r w:rsidRPr="00EB1B9D">
              <w:rPr>
                <w:rFonts w:cstheme="minorHAnsi"/>
                <w:color w:val="auto"/>
                <w:szCs w:val="18"/>
                <w:lang w:val="en"/>
              </w:rPr>
              <w:t xml:space="preserve">°C (Article 2). In addition, parties are aiming to peak global greenhouse gas emissions ‘as soon as possible’ (Article 4). According to the </w:t>
            </w:r>
            <w:hyperlink r:id="rId17" w:history="1">
              <w:r w:rsidRPr="00555A78">
                <w:rPr>
                  <w:rFonts w:cstheme="minorHAnsi"/>
                  <w:color w:val="auto"/>
                  <w:szCs w:val="18"/>
                  <w:u w:val="single"/>
                  <w:lang w:val="en"/>
                </w:rPr>
                <w:t>Intergovernmental Panel on Climate Change</w:t>
              </w:r>
            </w:hyperlink>
            <w:r w:rsidRPr="00EB2242">
              <w:rPr>
                <w:rFonts w:cstheme="minorHAnsi"/>
                <w:color w:val="auto"/>
                <w:szCs w:val="18"/>
                <w:lang w:val="en"/>
              </w:rPr>
              <w:t xml:space="preserve"> (IPCC), global warming of more than 2°C would have serious consequences, such as an increase in the number of extreme weather events.</w:t>
            </w:r>
            <w:r w:rsidRPr="00555A78">
              <w:rPr>
                <w:rFonts w:ascii="Times New Roman" w:hAnsi="Times New Roman"/>
                <w:color w:val="auto"/>
                <w:sz w:val="20"/>
                <w:szCs w:val="18"/>
                <w:lang w:val="en"/>
              </w:rPr>
              <w:t xml:space="preserve"> </w:t>
            </w:r>
          </w:p>
        </w:tc>
      </w:tr>
      <w:tr w:rsidR="007E5348" w:rsidRPr="00CF7C5E" w:rsidTr="007E5348">
        <w:tc>
          <w:tcPr>
            <w:cnfStyle w:val="001000000000" w:firstRow="0" w:lastRow="0" w:firstColumn="1" w:lastColumn="0" w:oddVBand="0" w:evenVBand="0" w:oddHBand="0" w:evenHBand="0" w:firstRowFirstColumn="0" w:firstRowLastColumn="0" w:lastRowFirstColumn="0" w:lastRowLastColumn="0"/>
            <w:tcW w:w="1643" w:type="dxa"/>
          </w:tcPr>
          <w:p w:rsidR="007E5348" w:rsidRPr="00F84B42" w:rsidRDefault="007E5348" w:rsidP="007E5348">
            <w:pPr>
              <w:rPr>
                <w:rFonts w:cstheme="minorHAnsi"/>
                <w:szCs w:val="18"/>
              </w:rPr>
            </w:pPr>
            <w:r w:rsidRPr="00F84B42">
              <w:rPr>
                <w:rFonts w:cstheme="minorHAnsi"/>
                <w:szCs w:val="18"/>
              </w:rPr>
              <w:t>Science-based targets</w:t>
            </w:r>
          </w:p>
        </w:tc>
        <w:tc>
          <w:tcPr>
            <w:tcW w:w="7428" w:type="dxa"/>
          </w:tcPr>
          <w:p w:rsidR="007E5348" w:rsidRPr="00F84B42" w:rsidRDefault="007E5348" w:rsidP="007E5348">
            <w:pPr>
              <w:cnfStyle w:val="000000000000" w:firstRow="0" w:lastRow="0" w:firstColumn="0" w:lastColumn="0" w:oddVBand="0" w:evenVBand="0" w:oddHBand="0" w:evenHBand="0" w:firstRowFirstColumn="0" w:firstRowLastColumn="0" w:lastRowFirstColumn="0" w:lastRowLastColumn="0"/>
              <w:rPr>
                <w:rFonts w:cstheme="minorHAnsi"/>
                <w:szCs w:val="18"/>
                <w:lang w:val="en"/>
              </w:rPr>
            </w:pPr>
            <w:r w:rsidRPr="00F84B42">
              <w:rPr>
                <w:rFonts w:cstheme="minorHAnsi"/>
                <w:szCs w:val="18"/>
                <w:lang w:val="en"/>
              </w:rPr>
              <w:t xml:space="preserve">The amount of emissions that need to be reduced to avoid the </w:t>
            </w:r>
            <w:r w:rsidRPr="00EB2242">
              <w:rPr>
                <w:rFonts w:cstheme="minorHAnsi"/>
                <w:color w:val="auto"/>
                <w:szCs w:val="18"/>
                <w:lang w:val="en"/>
              </w:rPr>
              <w:t>1.5°C</w:t>
            </w:r>
            <w:r w:rsidRPr="00F84B42">
              <w:rPr>
                <w:rFonts w:cstheme="minorHAnsi"/>
                <w:szCs w:val="18"/>
                <w:lang w:val="en"/>
              </w:rPr>
              <w:t xml:space="preserve"> increase in global average temperatures as recommended by the IPCC and referred to in the Paris Climate Agreement.</w:t>
            </w:r>
          </w:p>
        </w:tc>
      </w:tr>
      <w:tr w:rsidR="007E5348" w:rsidRPr="00CF7C5E" w:rsidTr="007E5348">
        <w:tc>
          <w:tcPr>
            <w:cnfStyle w:val="001000000000" w:firstRow="0" w:lastRow="0" w:firstColumn="1" w:lastColumn="0" w:oddVBand="0" w:evenVBand="0" w:oddHBand="0" w:evenHBand="0" w:firstRowFirstColumn="0" w:firstRowLastColumn="0" w:lastRowFirstColumn="0" w:lastRowLastColumn="0"/>
            <w:tcW w:w="1643" w:type="dxa"/>
          </w:tcPr>
          <w:p w:rsidR="00F84B42" w:rsidRDefault="00F84B42" w:rsidP="007E5348">
            <w:pPr>
              <w:rPr>
                <w:rFonts w:cstheme="minorHAnsi"/>
                <w:szCs w:val="18"/>
              </w:rPr>
            </w:pPr>
          </w:p>
          <w:p w:rsidR="007E5348" w:rsidRPr="00961C41" w:rsidRDefault="007E5348" w:rsidP="007E5348">
            <w:pPr>
              <w:rPr>
                <w:rFonts w:cstheme="minorHAnsi"/>
                <w:szCs w:val="18"/>
              </w:rPr>
            </w:pPr>
            <w:r w:rsidRPr="00EB2242">
              <w:rPr>
                <w:rFonts w:cstheme="minorHAnsi"/>
                <w:szCs w:val="18"/>
              </w:rPr>
              <w:t>Zero emissions</w:t>
            </w:r>
            <w:r w:rsidR="00F84B42">
              <w:rPr>
                <w:rFonts w:cstheme="minorHAnsi"/>
                <w:szCs w:val="18"/>
              </w:rPr>
              <w:t xml:space="preserve"> or Zero net emissions</w:t>
            </w:r>
          </w:p>
        </w:tc>
        <w:tc>
          <w:tcPr>
            <w:tcW w:w="7428" w:type="dxa"/>
          </w:tcPr>
          <w:p w:rsidR="007E5348" w:rsidRPr="00961C41" w:rsidRDefault="007E5348" w:rsidP="00555A78">
            <w:pPr>
              <w:pStyle w:val="BodyTextBold"/>
              <w:ind w:left="0"/>
              <w:cnfStyle w:val="000000000000" w:firstRow="0" w:lastRow="0" w:firstColumn="0" w:lastColumn="0" w:oddVBand="0" w:evenVBand="0" w:oddHBand="0" w:evenHBand="0" w:firstRowFirstColumn="0" w:firstRowLastColumn="0" w:lastRowFirstColumn="0" w:lastRowLastColumn="0"/>
              <w:rPr>
                <w:rFonts w:cstheme="minorHAnsi"/>
                <w:b w:val="0"/>
              </w:rPr>
            </w:pPr>
            <w:r w:rsidRPr="00C84E56">
              <w:rPr>
                <w:rFonts w:cstheme="minorHAnsi"/>
                <w:b w:val="0"/>
              </w:rPr>
              <w:t>The net greenhouse gas emissions associated with an organisation’s or city’s activities are equal to zero.</w:t>
            </w:r>
          </w:p>
        </w:tc>
      </w:tr>
    </w:tbl>
    <w:p w:rsidR="006956B4" w:rsidRPr="00851AAA" w:rsidRDefault="006956B4" w:rsidP="006956B4">
      <w:pPr>
        <w:pStyle w:val="BodyText"/>
        <w:sectPr w:rsidR="006956B4" w:rsidRPr="00851AAA" w:rsidSect="00932663">
          <w:pgSz w:w="11907" w:h="16839" w:code="9"/>
          <w:pgMar w:top="1440" w:right="992" w:bottom="1440" w:left="709" w:header="454" w:footer="510" w:gutter="0"/>
          <w:pgNumType w:fmt="lowerRoman"/>
          <w:cols w:space="708"/>
          <w:docGrid w:linePitch="360"/>
        </w:sectPr>
      </w:pPr>
    </w:p>
    <w:p w:rsidR="006956B4" w:rsidRPr="00491BCA" w:rsidRDefault="006956B4" w:rsidP="00944D57">
      <w:pPr>
        <w:pStyle w:val="Heading1"/>
        <w:pageBreakBefore w:val="0"/>
        <w:numPr>
          <w:ilvl w:val="0"/>
          <w:numId w:val="0"/>
        </w:numPr>
        <w:rPr>
          <w:szCs w:val="38"/>
        </w:rPr>
      </w:pPr>
      <w:bookmarkStart w:id="6" w:name="_Toc412402248"/>
      <w:bookmarkStart w:id="7" w:name="_Toc520749096"/>
      <w:bookmarkStart w:id="8" w:name="_Toc523238943"/>
      <w:r w:rsidRPr="00491BCA">
        <w:rPr>
          <w:szCs w:val="38"/>
        </w:rPr>
        <w:t>Executive Summary</w:t>
      </w:r>
      <w:bookmarkEnd w:id="6"/>
      <w:bookmarkEnd w:id="7"/>
      <w:bookmarkEnd w:id="8"/>
    </w:p>
    <w:p w:rsidR="00AD4C7F" w:rsidRDefault="00020A25" w:rsidP="00555A78">
      <w:pPr>
        <w:pStyle w:val="BoldHeading"/>
        <w:spacing w:before="200"/>
      </w:pPr>
      <w:r>
        <w:t xml:space="preserve">1. </w:t>
      </w:r>
      <w:r w:rsidR="00AD4C7F">
        <w:t>Local action, global leadership</w:t>
      </w:r>
    </w:p>
    <w:p w:rsidR="007F24AD" w:rsidRDefault="00AD4C7F" w:rsidP="00555A78">
      <w:pPr>
        <w:spacing w:before="200" w:after="200"/>
      </w:pPr>
      <w:r>
        <w:t xml:space="preserve">The </w:t>
      </w:r>
      <w:r w:rsidR="009D24A1">
        <w:t xml:space="preserve">global </w:t>
      </w:r>
      <w:r>
        <w:t>ro</w:t>
      </w:r>
      <w:r w:rsidR="009D24A1">
        <w:t>le of cities in</w:t>
      </w:r>
      <w:r>
        <w:t xml:space="preserve"> </w:t>
      </w:r>
      <w:r w:rsidR="009D24A1">
        <w:t xml:space="preserve">stepping up to act on </w:t>
      </w:r>
      <w:r>
        <w:t xml:space="preserve">climate change was recognised in the </w:t>
      </w:r>
      <w:r w:rsidR="009B5562" w:rsidRPr="00E8706D">
        <w:t xml:space="preserve">2015 </w:t>
      </w:r>
      <w:r w:rsidRPr="00E8706D">
        <w:t>Paris Climate Agreement</w:t>
      </w:r>
      <w:r w:rsidRPr="0060028E">
        <w:t>.</w:t>
      </w:r>
      <w:r w:rsidR="00675D0D" w:rsidRPr="0060028E">
        <w:t xml:space="preserve"> </w:t>
      </w:r>
      <w:r w:rsidR="007C56A5">
        <w:t>Since that time</w:t>
      </w:r>
      <w:r w:rsidR="00EF384C">
        <w:t>,</w:t>
      </w:r>
      <w:r w:rsidR="00E8706D">
        <w:t xml:space="preserve"> national and state governments, cities, investors, businesses and communities have begun to take action</w:t>
      </w:r>
      <w:r w:rsidR="00EF384C">
        <w:t xml:space="preserve"> </w:t>
      </w:r>
      <w:r w:rsidR="00EF384C" w:rsidRPr="00EF384C">
        <w:t xml:space="preserve">to reduce greenhouse gas emissions to </w:t>
      </w:r>
      <w:r w:rsidR="00EF384C" w:rsidRPr="00845353">
        <w:t>help avoid a global average temperature rise of 1.5</w:t>
      </w:r>
      <w:r w:rsidR="00EF384C" w:rsidRPr="00845353">
        <w:rPr>
          <w:rFonts w:ascii="Arial" w:hAnsi="Arial" w:cs="Arial"/>
        </w:rPr>
        <w:t>ºC</w:t>
      </w:r>
      <w:r w:rsidR="00EF384C" w:rsidRPr="00845353">
        <w:t>.</w:t>
      </w:r>
      <w:r w:rsidR="00E8706D">
        <w:t xml:space="preserve"> </w:t>
      </w:r>
    </w:p>
    <w:p w:rsidR="00500469" w:rsidRDefault="00500469" w:rsidP="00555A78">
      <w:pPr>
        <w:spacing w:before="200" w:after="200"/>
      </w:pPr>
      <w:r>
        <w:t>In 2016, the City of Melbourne hosted the Future Melbourne deliberative democracy process to develop a community vision and set priorities for the city. Reducing greenhouse gas emissions from the municipality was identified as a top priority and this is reflected in our Council Plan 2017</w:t>
      </w:r>
      <w:r w:rsidR="0099601E">
        <w:t>–</w:t>
      </w:r>
      <w:r>
        <w:t>2021. This view is shared across Victoria: 80 per cent of people are willing to act on climate change and 87 per cent think local government should be taking action.</w:t>
      </w:r>
      <w:r>
        <w:rPr>
          <w:rStyle w:val="FootnoteReference"/>
        </w:rPr>
        <w:footnoteReference w:id="2"/>
      </w:r>
    </w:p>
    <w:p w:rsidR="003001F2" w:rsidRDefault="00780BC2" w:rsidP="00555A78">
      <w:pPr>
        <w:spacing w:before="200" w:after="200"/>
      </w:pPr>
      <w:r>
        <w:t>We will</w:t>
      </w:r>
      <w:r w:rsidR="00CB52A7">
        <w:t xml:space="preserve"> deliver on our commitment to the </w:t>
      </w:r>
      <w:r>
        <w:t xml:space="preserve">science-based targets in the </w:t>
      </w:r>
      <w:r w:rsidR="00CB52A7" w:rsidRPr="00BC4B9A">
        <w:t>Paris Climate Agreement</w:t>
      </w:r>
      <w:r w:rsidR="00CB52A7">
        <w:t xml:space="preserve"> by working with others to reduce emissions from the municipality. </w:t>
      </w:r>
      <w:r>
        <w:t>W</w:t>
      </w:r>
      <w:r w:rsidR="001D0BEA">
        <w:t>e</w:t>
      </w:r>
      <w:r w:rsidR="008216BB">
        <w:t xml:space="preserve"> </w:t>
      </w:r>
      <w:r w:rsidR="00EF384C">
        <w:t xml:space="preserve">have also </w:t>
      </w:r>
      <w:r w:rsidR="00782EA8">
        <w:t xml:space="preserve">joined seven cities </w:t>
      </w:r>
      <w:r w:rsidR="008216BB">
        <w:t xml:space="preserve">in a </w:t>
      </w:r>
      <w:r w:rsidR="00454A41">
        <w:t xml:space="preserve">C40 </w:t>
      </w:r>
      <w:r w:rsidR="008216BB">
        <w:t xml:space="preserve">Climate Action </w:t>
      </w:r>
      <w:r w:rsidR="0095600F">
        <w:t xml:space="preserve">Planning </w:t>
      </w:r>
      <w:r w:rsidR="008216BB">
        <w:t>Pilot Program: Boston, Durban, Los Angeles, London, Mexico City, New York, and Paris.</w:t>
      </w:r>
      <w:r w:rsidR="00AE1F33">
        <w:t xml:space="preserve"> </w:t>
      </w:r>
    </w:p>
    <w:p w:rsidR="00C11B7F" w:rsidRPr="005B4438" w:rsidRDefault="00C11B7F" w:rsidP="00C11B7F">
      <w:pPr>
        <w:pStyle w:val="BodyText"/>
        <w:rPr>
          <w:rFonts w:ascii="Arial" w:hAnsi="Arial" w:cs="Arial"/>
        </w:rPr>
      </w:pPr>
      <w:r>
        <w:rPr>
          <w:rFonts w:ascii="Arial" w:hAnsi="Arial" w:cs="Arial"/>
        </w:rPr>
        <w:t>This strategy is a draft for public comment. We</w:t>
      </w:r>
      <w:r w:rsidRPr="005B4438">
        <w:rPr>
          <w:rFonts w:ascii="Arial" w:hAnsi="Arial" w:cs="Arial"/>
        </w:rPr>
        <w:t xml:space="preserve"> will consult widely </w:t>
      </w:r>
      <w:r>
        <w:rPr>
          <w:rFonts w:ascii="Arial" w:hAnsi="Arial" w:cs="Arial"/>
        </w:rPr>
        <w:t xml:space="preserve">with the community, </w:t>
      </w:r>
      <w:r w:rsidRPr="005B4438">
        <w:rPr>
          <w:rFonts w:ascii="Arial" w:hAnsi="Arial" w:cs="Arial"/>
        </w:rPr>
        <w:t>to support community participation and the fair distribution of benefits.</w:t>
      </w:r>
    </w:p>
    <w:p w:rsidR="00954E23" w:rsidRDefault="00020A25" w:rsidP="00555A78">
      <w:pPr>
        <w:pStyle w:val="BoldHeading"/>
        <w:spacing w:before="200"/>
      </w:pPr>
      <w:r>
        <w:t xml:space="preserve">2. </w:t>
      </w:r>
      <w:r w:rsidR="00954E23" w:rsidRPr="00954E23">
        <w:t>Raising our ambition</w:t>
      </w:r>
    </w:p>
    <w:p w:rsidR="000F04AC" w:rsidRDefault="00E929C1" w:rsidP="00555A78">
      <w:pPr>
        <w:spacing w:before="200" w:after="200"/>
      </w:pPr>
      <w:r w:rsidRPr="00C17555">
        <w:t xml:space="preserve">In 2003, </w:t>
      </w:r>
      <w:r>
        <w:t>the City of Melbourne</w:t>
      </w:r>
      <w:r w:rsidRPr="00C17555">
        <w:t xml:space="preserve"> set an ambitious target of zero net emissions </w:t>
      </w:r>
      <w:r w:rsidR="00E42FB3">
        <w:t xml:space="preserve">from the municipality </w:t>
      </w:r>
      <w:r w:rsidRPr="00C17555">
        <w:t>by 2020</w:t>
      </w:r>
      <w:r>
        <w:t xml:space="preserve">. We were </w:t>
      </w:r>
      <w:r w:rsidRPr="00C17555">
        <w:t xml:space="preserve">one of the first cities </w:t>
      </w:r>
      <w:r>
        <w:t xml:space="preserve">to set such an ambitious target and many other cities followed our lead. </w:t>
      </w:r>
      <w:r w:rsidR="0060028E">
        <w:t>We are</w:t>
      </w:r>
      <w:r w:rsidR="00E10E36">
        <w:t xml:space="preserve"> </w:t>
      </w:r>
      <w:r>
        <w:t xml:space="preserve">now </w:t>
      </w:r>
      <w:r w:rsidR="00E11416">
        <w:t xml:space="preserve">part of </w:t>
      </w:r>
      <w:r w:rsidR="00E71D3E">
        <w:t xml:space="preserve">a </w:t>
      </w:r>
      <w:r w:rsidR="00E11416">
        <w:t>movement of cities around the world taking bold action for the benefit of our communities and for future generations.</w:t>
      </w:r>
    </w:p>
    <w:p w:rsidR="000F04AC" w:rsidRDefault="000F04AC" w:rsidP="00961C41">
      <w:pPr>
        <w:spacing w:before="200" w:after="200"/>
      </w:pPr>
      <w:r w:rsidRPr="003001F2">
        <w:t xml:space="preserve">To align with the </w:t>
      </w:r>
      <w:r w:rsidRPr="00BC4B9A">
        <w:t>Paris Climate Agreement</w:t>
      </w:r>
      <w:r w:rsidRPr="0060028E">
        <w:t>,</w:t>
      </w:r>
      <w:r w:rsidRPr="003001F2">
        <w:t xml:space="preserve"> </w:t>
      </w:r>
      <w:r>
        <w:t>we</w:t>
      </w:r>
      <w:r w:rsidRPr="003001F2">
        <w:t xml:space="preserve"> need to set ambitious </w:t>
      </w:r>
      <w:r w:rsidR="00EF384C">
        <w:t xml:space="preserve">emission reduction </w:t>
      </w:r>
      <w:r w:rsidRPr="003001F2">
        <w:t>targets for 2030</w:t>
      </w:r>
      <w:r w:rsidR="00780BC2">
        <w:t>,</w:t>
      </w:r>
      <w:r w:rsidR="00780BC2">
        <w:rPr>
          <w:rStyle w:val="FootnoteReference"/>
        </w:rPr>
        <w:footnoteReference w:id="3"/>
      </w:r>
      <w:r w:rsidR="00780BC2" w:rsidRPr="003001F2" w:rsidDel="00780BC2">
        <w:rPr>
          <w:rStyle w:val="FootnoteReference"/>
          <w:rFonts w:ascii="Arial" w:hAnsi="Arial" w:cs="Arial"/>
        </w:rPr>
        <w:t xml:space="preserve"> </w:t>
      </w:r>
      <w:r w:rsidRPr="003001F2">
        <w:t xml:space="preserve"> achieve net zero emissions before 2050 and align our strategy to the C40 Climate Action Plan Framework.</w:t>
      </w:r>
      <w:r w:rsidR="00EB2242">
        <w:rPr>
          <w:rStyle w:val="FootnoteReference"/>
        </w:rPr>
        <w:footnoteReference w:id="4"/>
      </w:r>
      <w:r w:rsidR="00FA3A8A">
        <w:t xml:space="preserve"> </w:t>
      </w:r>
    </w:p>
    <w:p w:rsidR="00105DA9" w:rsidRDefault="0099601E" w:rsidP="00961C41">
      <w:pPr>
        <w:spacing w:before="200" w:after="200"/>
      </w:pPr>
      <w:r>
        <w:t>T</w:t>
      </w:r>
      <w:r w:rsidR="00C158A6">
        <w:t xml:space="preserve">he Australian Government has </w:t>
      </w:r>
      <w:r>
        <w:t xml:space="preserve">now </w:t>
      </w:r>
      <w:r w:rsidR="00C158A6">
        <w:t xml:space="preserve">ratified the </w:t>
      </w:r>
      <w:r w:rsidR="00C158A6" w:rsidRPr="003D25CD">
        <w:t>Paris Climate Agreement</w:t>
      </w:r>
      <w:r w:rsidR="00C158A6">
        <w:t xml:space="preserve"> and the Victorian Government has introduced the </w:t>
      </w:r>
      <w:r w:rsidR="00C158A6" w:rsidRPr="00E23FC6">
        <w:rPr>
          <w:i/>
        </w:rPr>
        <w:t>Climate Change Act 2017</w:t>
      </w:r>
      <w:r>
        <w:rPr>
          <w:i/>
        </w:rPr>
        <w:t>.</w:t>
      </w:r>
      <w:r w:rsidR="00C158A6">
        <w:t xml:space="preserve"> </w:t>
      </w:r>
      <w:r>
        <w:t xml:space="preserve">This provides </w:t>
      </w:r>
      <w:r w:rsidR="00C158A6">
        <w:t>a fresh opportunity for the City of Melbourne to act on the emissions that cause climate change.</w:t>
      </w:r>
      <w:r w:rsidR="00105DA9">
        <w:t xml:space="preserve"> </w:t>
      </w:r>
      <w:r>
        <w:t xml:space="preserve">This draft </w:t>
      </w:r>
      <w:r w:rsidR="006D1185">
        <w:t xml:space="preserve">strategy identifies the actions that we can take to leverage systemic change. </w:t>
      </w:r>
    </w:p>
    <w:p w:rsidR="0060794D" w:rsidRPr="00BC4B9A" w:rsidRDefault="006D1185" w:rsidP="00961C41">
      <w:pPr>
        <w:spacing w:before="200" w:after="200"/>
        <w:rPr>
          <w:rFonts w:ascii="Arial" w:hAnsi="Arial" w:cs="Arial"/>
        </w:rPr>
      </w:pPr>
      <w:r>
        <w:t>For example</w:t>
      </w:r>
      <w:r w:rsidR="00105DA9">
        <w:t xml:space="preserve">, </w:t>
      </w:r>
      <w:r w:rsidR="00F31036">
        <w:t xml:space="preserve">we want </w:t>
      </w:r>
      <w:r w:rsidR="00F31036" w:rsidRPr="00BC4B9A">
        <w:rPr>
          <w:rFonts w:ascii="Arial" w:hAnsi="Arial" w:cs="Arial"/>
        </w:rPr>
        <w:t xml:space="preserve">to pilot a virtual power plant powered by renewables </w:t>
      </w:r>
      <w:r w:rsidR="00F31036">
        <w:rPr>
          <w:rFonts w:ascii="Arial" w:hAnsi="Arial" w:cs="Arial"/>
        </w:rPr>
        <w:t>in the city</w:t>
      </w:r>
      <w:r w:rsidR="00F31036" w:rsidRPr="00BC4B9A">
        <w:rPr>
          <w:rFonts w:ascii="Arial" w:hAnsi="Arial" w:cs="Arial"/>
        </w:rPr>
        <w:t xml:space="preserve">. </w:t>
      </w:r>
      <w:r w:rsidR="00F31036">
        <w:rPr>
          <w:rFonts w:ascii="Arial" w:hAnsi="Arial" w:cs="Arial"/>
        </w:rPr>
        <w:t>W</w:t>
      </w:r>
      <w:r>
        <w:rPr>
          <w:rFonts w:ascii="Arial" w:hAnsi="Arial" w:cs="Arial"/>
        </w:rPr>
        <w:t xml:space="preserve">e </w:t>
      </w:r>
      <w:r w:rsidR="00C158A6" w:rsidRPr="006C2696">
        <w:rPr>
          <w:rFonts w:ascii="Arial" w:hAnsi="Arial" w:cs="Arial"/>
        </w:rPr>
        <w:t>will expand the ground</w:t>
      </w:r>
      <w:r w:rsidR="00C158A6">
        <w:rPr>
          <w:rFonts w:ascii="Arial" w:hAnsi="Arial" w:cs="Arial"/>
        </w:rPr>
        <w:t>-</w:t>
      </w:r>
      <w:r w:rsidR="00C158A6" w:rsidRPr="006C2696">
        <w:rPr>
          <w:rFonts w:ascii="Arial" w:hAnsi="Arial" w:cs="Arial"/>
        </w:rPr>
        <w:t xml:space="preserve">breaking Melbourne Renewable Energy Project (MREP) to </w:t>
      </w:r>
      <w:r w:rsidR="00C158A6">
        <w:rPr>
          <w:rFonts w:ascii="Arial" w:hAnsi="Arial" w:cs="Arial"/>
        </w:rPr>
        <w:t xml:space="preserve">facilitate </w:t>
      </w:r>
      <w:r w:rsidR="00C158A6" w:rsidRPr="006C2696">
        <w:rPr>
          <w:rFonts w:ascii="Arial" w:hAnsi="Arial" w:cs="Arial"/>
        </w:rPr>
        <w:t>power purchase agreements for businesses across the city</w:t>
      </w:r>
      <w:r w:rsidR="00806AE3">
        <w:rPr>
          <w:rFonts w:ascii="Arial" w:hAnsi="Arial" w:cs="Arial"/>
        </w:rPr>
        <w:t xml:space="preserve">. This will </w:t>
      </w:r>
      <w:r w:rsidR="00705336">
        <w:rPr>
          <w:rFonts w:ascii="Arial" w:hAnsi="Arial" w:cs="Arial"/>
        </w:rPr>
        <w:t>generat</w:t>
      </w:r>
      <w:r w:rsidR="00806AE3">
        <w:rPr>
          <w:rFonts w:ascii="Arial" w:hAnsi="Arial" w:cs="Arial"/>
        </w:rPr>
        <w:t>e</w:t>
      </w:r>
      <w:r w:rsidR="00C158A6" w:rsidRPr="006C2696">
        <w:rPr>
          <w:rFonts w:ascii="Arial" w:hAnsi="Arial" w:cs="Arial"/>
        </w:rPr>
        <w:t xml:space="preserve"> </w:t>
      </w:r>
      <w:r w:rsidR="00705336">
        <w:rPr>
          <w:rFonts w:ascii="Arial" w:hAnsi="Arial" w:cs="Arial"/>
        </w:rPr>
        <w:t>investment in</w:t>
      </w:r>
      <w:r w:rsidR="00C158A6" w:rsidRPr="006C2696">
        <w:rPr>
          <w:rFonts w:ascii="Arial" w:hAnsi="Arial" w:cs="Arial"/>
        </w:rPr>
        <w:t xml:space="preserve"> new </w:t>
      </w:r>
      <w:r w:rsidR="00C158A6" w:rsidRPr="00BC4B9A">
        <w:rPr>
          <w:rFonts w:ascii="Arial" w:hAnsi="Arial" w:cs="Arial"/>
        </w:rPr>
        <w:t xml:space="preserve">renewable energy. </w:t>
      </w:r>
      <w:r w:rsidR="006B4093" w:rsidRPr="00BC4B9A">
        <w:rPr>
          <w:rFonts w:ascii="Arial" w:hAnsi="Arial" w:cs="Arial"/>
        </w:rPr>
        <w:t xml:space="preserve">We will also advocate for </w:t>
      </w:r>
      <w:r w:rsidR="00C11B7F">
        <w:rPr>
          <w:rFonts w:ascii="Arial" w:hAnsi="Arial" w:cs="Arial"/>
        </w:rPr>
        <w:t xml:space="preserve">Victorian and Australian Government action </w:t>
      </w:r>
      <w:r w:rsidR="0017371D" w:rsidRPr="00BC4B9A">
        <w:rPr>
          <w:rFonts w:ascii="Arial" w:hAnsi="Arial" w:cs="Arial"/>
        </w:rPr>
        <w:t>to deliver 100 per cent r</w:t>
      </w:r>
      <w:r w:rsidR="00FC2252" w:rsidRPr="00BC4B9A">
        <w:rPr>
          <w:rFonts w:ascii="Arial" w:hAnsi="Arial" w:cs="Arial"/>
        </w:rPr>
        <w:t>enewable energy to our city and to increase the ambition of Australia’s climate policy</w:t>
      </w:r>
      <w:r w:rsidR="0017371D" w:rsidRPr="00BC4B9A">
        <w:rPr>
          <w:rFonts w:ascii="Arial" w:hAnsi="Arial" w:cs="Arial"/>
        </w:rPr>
        <w:t>.</w:t>
      </w:r>
    </w:p>
    <w:p w:rsidR="006D1185" w:rsidRDefault="00806AE3" w:rsidP="00961C41">
      <w:pPr>
        <w:spacing w:before="200" w:after="200"/>
        <w:rPr>
          <w:rFonts w:ascii="Arial" w:hAnsi="Arial" w:cs="Arial"/>
        </w:rPr>
      </w:pPr>
      <w:r>
        <w:rPr>
          <w:rFonts w:ascii="Arial" w:hAnsi="Arial" w:cs="Arial"/>
        </w:rPr>
        <w:t xml:space="preserve">The City of Melbourne </w:t>
      </w:r>
      <w:r w:rsidR="0017371D" w:rsidRPr="00BC4B9A">
        <w:rPr>
          <w:rFonts w:ascii="Arial" w:hAnsi="Arial" w:cs="Arial"/>
        </w:rPr>
        <w:t xml:space="preserve">will partner with industry and the Victorian and </w:t>
      </w:r>
      <w:r w:rsidR="0099601E">
        <w:rPr>
          <w:rFonts w:ascii="Arial" w:hAnsi="Arial" w:cs="Arial"/>
        </w:rPr>
        <w:t xml:space="preserve">Australian </w:t>
      </w:r>
      <w:r w:rsidR="0017371D" w:rsidRPr="00BC4B9A">
        <w:rPr>
          <w:rFonts w:ascii="Arial" w:hAnsi="Arial" w:cs="Arial"/>
        </w:rPr>
        <w:t xml:space="preserve">Governments to demonstrate zero emissions for the </w:t>
      </w:r>
      <w:proofErr w:type="spellStart"/>
      <w:r w:rsidR="0017371D" w:rsidRPr="00BC4B9A">
        <w:rPr>
          <w:rFonts w:ascii="Arial" w:hAnsi="Arial" w:cs="Arial"/>
        </w:rPr>
        <w:t>Fishermans</w:t>
      </w:r>
      <w:proofErr w:type="spellEnd"/>
      <w:r w:rsidR="0017371D" w:rsidRPr="00BC4B9A">
        <w:rPr>
          <w:rFonts w:ascii="Arial" w:hAnsi="Arial" w:cs="Arial"/>
        </w:rPr>
        <w:t xml:space="preserve"> Bend </w:t>
      </w:r>
      <w:r w:rsidR="00650543" w:rsidRPr="00BC4B9A">
        <w:rPr>
          <w:rFonts w:ascii="Arial" w:hAnsi="Arial" w:cs="Arial"/>
        </w:rPr>
        <w:t xml:space="preserve">and Arden </w:t>
      </w:r>
      <w:r w:rsidR="0017371D" w:rsidRPr="00BC4B9A">
        <w:rPr>
          <w:rFonts w:ascii="Arial" w:hAnsi="Arial" w:cs="Arial"/>
        </w:rPr>
        <w:t>precinct</w:t>
      </w:r>
      <w:r w:rsidR="00650543" w:rsidRPr="00BC4B9A">
        <w:rPr>
          <w:rFonts w:ascii="Arial" w:hAnsi="Arial" w:cs="Arial"/>
        </w:rPr>
        <w:t>s</w:t>
      </w:r>
      <w:r>
        <w:rPr>
          <w:rFonts w:ascii="Arial" w:hAnsi="Arial" w:cs="Arial"/>
        </w:rPr>
        <w:t xml:space="preserve"> and</w:t>
      </w:r>
      <w:r w:rsidR="0017371D" w:rsidRPr="00BC4B9A">
        <w:rPr>
          <w:rFonts w:ascii="Arial" w:hAnsi="Arial" w:cs="Arial"/>
        </w:rPr>
        <w:t xml:space="preserve"> remove barriers</w:t>
      </w:r>
      <w:r w:rsidR="00105DA9" w:rsidRPr="00BC4B9A">
        <w:rPr>
          <w:rFonts w:ascii="Arial" w:hAnsi="Arial" w:cs="Arial"/>
        </w:rPr>
        <w:t xml:space="preserve"> to zero emissions buildings</w:t>
      </w:r>
      <w:r>
        <w:rPr>
          <w:rFonts w:ascii="Arial" w:hAnsi="Arial" w:cs="Arial"/>
        </w:rPr>
        <w:t>. We will</w:t>
      </w:r>
      <w:r w:rsidR="0020137D" w:rsidRPr="00BC4B9A">
        <w:rPr>
          <w:rFonts w:ascii="Arial" w:hAnsi="Arial" w:cs="Arial"/>
        </w:rPr>
        <w:t xml:space="preserve"> advocate for effective building standards to reduce emissions</w:t>
      </w:r>
      <w:r w:rsidR="00FC2252" w:rsidRPr="00BC4B9A">
        <w:rPr>
          <w:rFonts w:ascii="Arial" w:hAnsi="Arial" w:cs="Arial"/>
        </w:rPr>
        <w:t>.</w:t>
      </w:r>
    </w:p>
    <w:p w:rsidR="00FC2252" w:rsidRPr="00BC4B9A" w:rsidRDefault="00FC2252" w:rsidP="00961C41">
      <w:pPr>
        <w:spacing w:before="200" w:after="200"/>
        <w:rPr>
          <w:rFonts w:ascii="Arial" w:hAnsi="Arial" w:cs="Arial"/>
        </w:rPr>
      </w:pPr>
      <w:r w:rsidRPr="00BC4B9A">
        <w:rPr>
          <w:rFonts w:ascii="Arial" w:hAnsi="Arial" w:cs="Arial"/>
        </w:rPr>
        <w:t xml:space="preserve">We will </w:t>
      </w:r>
      <w:r w:rsidR="0020137D" w:rsidRPr="00BC4B9A">
        <w:rPr>
          <w:rFonts w:ascii="Arial" w:hAnsi="Arial" w:cs="Arial"/>
        </w:rPr>
        <w:t xml:space="preserve">invest in better </w:t>
      </w:r>
      <w:r w:rsidR="0099601E">
        <w:rPr>
          <w:rFonts w:ascii="Arial" w:hAnsi="Arial" w:cs="Arial"/>
        </w:rPr>
        <w:t xml:space="preserve">walking and cycling </w:t>
      </w:r>
      <w:r w:rsidR="0020137D" w:rsidRPr="00BC4B9A">
        <w:rPr>
          <w:rFonts w:ascii="Arial" w:hAnsi="Arial" w:cs="Arial"/>
        </w:rPr>
        <w:t xml:space="preserve">infrastructure and </w:t>
      </w:r>
      <w:r w:rsidRPr="00BC4B9A">
        <w:rPr>
          <w:rFonts w:ascii="Arial" w:hAnsi="Arial" w:cs="Arial"/>
        </w:rPr>
        <w:t>advocate for Melbourne’s public transport to be powered by 100 per cent renewable energy</w:t>
      </w:r>
      <w:r w:rsidR="00500469" w:rsidRPr="00BC4B9A">
        <w:rPr>
          <w:rFonts w:ascii="Arial" w:hAnsi="Arial" w:cs="Arial"/>
        </w:rPr>
        <w:t>.</w:t>
      </w:r>
      <w:r w:rsidR="0020137D" w:rsidRPr="00BC4B9A">
        <w:rPr>
          <w:rFonts w:ascii="Arial" w:hAnsi="Arial" w:cs="Arial"/>
        </w:rPr>
        <w:t xml:space="preserve"> We will apply a circula</w:t>
      </w:r>
      <w:r w:rsidR="00500469" w:rsidRPr="00BC4B9A">
        <w:rPr>
          <w:rFonts w:ascii="Arial" w:hAnsi="Arial" w:cs="Arial"/>
        </w:rPr>
        <w:t>r economy approach to</w:t>
      </w:r>
      <w:r w:rsidR="0020137D" w:rsidRPr="00BC4B9A">
        <w:rPr>
          <w:rFonts w:ascii="Arial" w:hAnsi="Arial" w:cs="Arial"/>
        </w:rPr>
        <w:t xml:space="preserve"> </w:t>
      </w:r>
      <w:r w:rsidR="00EF322A">
        <w:rPr>
          <w:rFonts w:ascii="Arial" w:hAnsi="Arial" w:cs="Arial"/>
        </w:rPr>
        <w:t>reduce emissions from buildings and precincts</w:t>
      </w:r>
      <w:r w:rsidR="0020137D" w:rsidRPr="00BC4B9A">
        <w:rPr>
          <w:rFonts w:ascii="Arial" w:hAnsi="Arial" w:cs="Arial"/>
        </w:rPr>
        <w:t>.</w:t>
      </w:r>
    </w:p>
    <w:p w:rsidR="00500469" w:rsidRPr="008611AB" w:rsidRDefault="00500469" w:rsidP="00961C41">
      <w:pPr>
        <w:spacing w:before="200" w:after="200"/>
        <w:rPr>
          <w:rFonts w:ascii="Arial" w:hAnsi="Arial" w:cs="Arial"/>
        </w:rPr>
      </w:pPr>
      <w:r w:rsidRPr="008611AB">
        <w:rPr>
          <w:rFonts w:ascii="Arial" w:hAnsi="Arial" w:cs="Arial"/>
        </w:rPr>
        <w:t xml:space="preserve">And we will collaborate with community organisations, businesses, cities, and government agencies to reduce climate risk </w:t>
      </w:r>
      <w:r w:rsidR="008611AB" w:rsidRPr="008611AB">
        <w:rPr>
          <w:rFonts w:ascii="Arial" w:hAnsi="Arial" w:cs="Arial"/>
        </w:rPr>
        <w:t xml:space="preserve">to fulfil our </w:t>
      </w:r>
      <w:r w:rsidR="004515B4">
        <w:rPr>
          <w:rFonts w:ascii="Arial" w:hAnsi="Arial" w:cs="Arial"/>
        </w:rPr>
        <w:t xml:space="preserve">future </w:t>
      </w:r>
      <w:r w:rsidR="008611AB" w:rsidRPr="008611AB">
        <w:rPr>
          <w:rFonts w:ascii="Arial" w:hAnsi="Arial" w:cs="Arial"/>
        </w:rPr>
        <w:t xml:space="preserve">responsibilities under the </w:t>
      </w:r>
      <w:r w:rsidR="004515B4">
        <w:rPr>
          <w:rFonts w:ascii="Arial" w:hAnsi="Arial" w:cs="Arial"/>
          <w:i/>
        </w:rPr>
        <w:t>Local Government Bill</w:t>
      </w:r>
      <w:r w:rsidR="008611AB" w:rsidRPr="000F4B1A">
        <w:rPr>
          <w:rFonts w:ascii="Arial" w:hAnsi="Arial" w:cs="Arial"/>
          <w:i/>
        </w:rPr>
        <w:t xml:space="preserve"> 2018</w:t>
      </w:r>
      <w:r w:rsidR="008611AB" w:rsidRPr="008611AB">
        <w:rPr>
          <w:rFonts w:ascii="Arial" w:hAnsi="Arial" w:cs="Arial"/>
        </w:rPr>
        <w:t>.</w:t>
      </w:r>
    </w:p>
    <w:p w:rsidR="00500469" w:rsidRDefault="00C5547A" w:rsidP="000F4B1A">
      <w:pPr>
        <w:pStyle w:val="BodyText"/>
      </w:pPr>
      <w:r w:rsidRPr="005B4438">
        <w:rPr>
          <w:rFonts w:ascii="Arial" w:hAnsi="Arial" w:cs="Arial"/>
          <w:color w:val="auto"/>
        </w:rPr>
        <w:t xml:space="preserve">The Victorian </w:t>
      </w:r>
      <w:r w:rsidRPr="005B4438">
        <w:rPr>
          <w:rFonts w:ascii="Arial" w:hAnsi="Arial" w:cs="Arial"/>
          <w:i/>
          <w:color w:val="auto"/>
        </w:rPr>
        <w:t>Climate Change Act 2017</w:t>
      </w:r>
      <w:r w:rsidRPr="005B4438">
        <w:rPr>
          <w:rFonts w:ascii="Arial" w:hAnsi="Arial" w:cs="Arial"/>
          <w:color w:val="auto"/>
        </w:rPr>
        <w:t xml:space="preserve"> provides a framework for local governments to make a voluntary Council Pledge to implement five-year Emission Reduction Plans for the municipality from 1 January 2021. </w:t>
      </w:r>
      <w:r w:rsidR="00500469">
        <w:t>Th</w:t>
      </w:r>
      <w:r w:rsidR="00806AE3">
        <w:t>is</w:t>
      </w:r>
      <w:r w:rsidR="00500469">
        <w:t xml:space="preserve"> strategy will be supported by a </w:t>
      </w:r>
      <w:r w:rsidR="00D76C43">
        <w:t xml:space="preserve">rolling </w:t>
      </w:r>
      <w:r w:rsidR="0099601E">
        <w:t>five</w:t>
      </w:r>
      <w:r w:rsidR="00500469">
        <w:t xml:space="preserve">-year implementation plan that will be our first Council Pledge under the </w:t>
      </w:r>
      <w:r w:rsidR="00500469" w:rsidRPr="000F4B1A">
        <w:rPr>
          <w:i/>
        </w:rPr>
        <w:t>Vict</w:t>
      </w:r>
      <w:r w:rsidR="0013099A" w:rsidRPr="000F4B1A">
        <w:rPr>
          <w:i/>
        </w:rPr>
        <w:t>orian Climate Change Act 2017</w:t>
      </w:r>
      <w:r w:rsidR="0013099A">
        <w:t xml:space="preserve">. </w:t>
      </w:r>
    </w:p>
    <w:p w:rsidR="00F021B8" w:rsidRDefault="008611AB" w:rsidP="000F4B1A">
      <w:pPr>
        <w:pStyle w:val="BoldHeading"/>
        <w:spacing w:before="200"/>
      </w:pPr>
      <w:r w:rsidRPr="00C16E6F">
        <w:t xml:space="preserve">3. </w:t>
      </w:r>
      <w:r>
        <w:t>We need to take bold action together</w:t>
      </w:r>
      <w:r w:rsidR="00F021B8">
        <w:t xml:space="preserve"> </w:t>
      </w:r>
    </w:p>
    <w:p w:rsidR="00951BB5" w:rsidRPr="001A3A5D" w:rsidRDefault="00951BB5" w:rsidP="00757528">
      <w:pPr>
        <w:spacing w:before="200" w:after="200"/>
        <w:rPr>
          <w:rFonts w:ascii="Arial" w:hAnsi="Arial" w:cs="Arial"/>
          <w:highlight w:val="yellow"/>
        </w:rPr>
      </w:pPr>
      <w:r w:rsidRPr="008050CC">
        <w:rPr>
          <w:rFonts w:ascii="Arial" w:hAnsi="Arial" w:cs="Arial"/>
        </w:rPr>
        <w:t xml:space="preserve">Aligning to the </w:t>
      </w:r>
      <w:r w:rsidRPr="00AD3ECD">
        <w:rPr>
          <w:rFonts w:ascii="Arial" w:hAnsi="Arial"/>
        </w:rPr>
        <w:t>Paris Climate Change Agreement</w:t>
      </w:r>
      <w:r w:rsidRPr="008050CC">
        <w:rPr>
          <w:rFonts w:ascii="Arial" w:hAnsi="Arial" w:cs="Arial"/>
        </w:rPr>
        <w:t xml:space="preserve"> </w:t>
      </w:r>
      <w:r w:rsidR="00806AE3">
        <w:rPr>
          <w:rFonts w:ascii="Arial" w:hAnsi="Arial" w:cs="Arial"/>
        </w:rPr>
        <w:t xml:space="preserve">requires </w:t>
      </w:r>
      <w:r w:rsidRPr="008050CC">
        <w:rPr>
          <w:rFonts w:ascii="Arial" w:hAnsi="Arial" w:cs="Arial"/>
        </w:rPr>
        <w:t>a mix of delivery mechanisms</w:t>
      </w:r>
      <w:r w:rsidR="00F13262">
        <w:rPr>
          <w:rFonts w:ascii="Arial" w:hAnsi="Arial" w:cs="Arial"/>
        </w:rPr>
        <w:t>:</w:t>
      </w:r>
      <w:r w:rsidRPr="008050CC">
        <w:rPr>
          <w:rFonts w:ascii="Arial" w:hAnsi="Arial" w:cs="Arial"/>
        </w:rPr>
        <w:t xml:space="preserve"> </w:t>
      </w:r>
      <w:r>
        <w:rPr>
          <w:rFonts w:ascii="Arial" w:hAnsi="Arial" w:cs="Arial"/>
        </w:rPr>
        <w:t xml:space="preserve">engaging, facilitating, </w:t>
      </w:r>
      <w:r w:rsidRPr="008050CC">
        <w:rPr>
          <w:rFonts w:ascii="Arial" w:hAnsi="Arial" w:cs="Arial"/>
        </w:rPr>
        <w:t>collaborating and partnering</w:t>
      </w:r>
      <w:r w:rsidR="00806AE3">
        <w:rPr>
          <w:rFonts w:ascii="Arial" w:hAnsi="Arial" w:cs="Arial"/>
        </w:rPr>
        <w:t xml:space="preserve">. We will lead the delivery of </w:t>
      </w:r>
      <w:r w:rsidRPr="008050CC">
        <w:rPr>
          <w:rFonts w:ascii="Arial" w:hAnsi="Arial" w:cs="Arial"/>
        </w:rPr>
        <w:t xml:space="preserve">actions </w:t>
      </w:r>
      <w:r w:rsidR="00F13262">
        <w:rPr>
          <w:rFonts w:ascii="Arial" w:hAnsi="Arial" w:cs="Arial"/>
        </w:rPr>
        <w:t xml:space="preserve">within our powers </w:t>
      </w:r>
      <w:r w:rsidRPr="008050CC">
        <w:rPr>
          <w:rFonts w:ascii="Arial" w:hAnsi="Arial" w:cs="Arial"/>
        </w:rPr>
        <w:t xml:space="preserve">and </w:t>
      </w:r>
      <w:r w:rsidR="00806AE3" w:rsidRPr="008050CC">
        <w:rPr>
          <w:rFonts w:ascii="Arial" w:hAnsi="Arial" w:cs="Arial"/>
        </w:rPr>
        <w:t>advocat</w:t>
      </w:r>
      <w:r w:rsidR="00806AE3">
        <w:rPr>
          <w:rFonts w:ascii="Arial" w:hAnsi="Arial" w:cs="Arial"/>
        </w:rPr>
        <w:t>e</w:t>
      </w:r>
      <w:r w:rsidR="00806AE3" w:rsidRPr="008050CC">
        <w:rPr>
          <w:rFonts w:ascii="Arial" w:hAnsi="Arial" w:cs="Arial"/>
        </w:rPr>
        <w:t xml:space="preserve"> </w:t>
      </w:r>
      <w:r w:rsidRPr="008050CC">
        <w:rPr>
          <w:rFonts w:ascii="Arial" w:hAnsi="Arial" w:cs="Arial"/>
        </w:rPr>
        <w:t>for policy change</w:t>
      </w:r>
      <w:r>
        <w:rPr>
          <w:rFonts w:ascii="Arial" w:hAnsi="Arial" w:cs="Arial"/>
        </w:rPr>
        <w:t xml:space="preserve"> and action</w:t>
      </w:r>
      <w:r w:rsidRPr="008050CC">
        <w:rPr>
          <w:rFonts w:ascii="Arial" w:hAnsi="Arial" w:cs="Arial"/>
        </w:rPr>
        <w:t xml:space="preserve"> </w:t>
      </w:r>
      <w:r>
        <w:rPr>
          <w:rFonts w:ascii="Arial" w:hAnsi="Arial" w:cs="Arial"/>
        </w:rPr>
        <w:t xml:space="preserve">from others. </w:t>
      </w:r>
    </w:p>
    <w:p w:rsidR="007052E7" w:rsidRDefault="007052E7" w:rsidP="00757528">
      <w:pPr>
        <w:spacing w:before="200" w:after="200"/>
      </w:pPr>
      <w:r>
        <w:t xml:space="preserve">To inform the development of the </w:t>
      </w:r>
      <w:r w:rsidR="00630DEA">
        <w:t>Climate Change Mitigation Strategy</w:t>
      </w:r>
      <w:r w:rsidR="00D76C43">
        <w:t xml:space="preserve"> to </w:t>
      </w:r>
      <w:r>
        <w:t>2050</w:t>
      </w:r>
      <w:r w:rsidRPr="00DD543F">
        <w:t xml:space="preserve"> </w:t>
      </w:r>
      <w:r w:rsidR="002B646F">
        <w:t>we analysed four</w:t>
      </w:r>
      <w:r>
        <w:t xml:space="preserve"> scenarios:</w:t>
      </w:r>
    </w:p>
    <w:p w:rsidR="007052E7" w:rsidRDefault="007052E7" w:rsidP="00757528">
      <w:pPr>
        <w:pStyle w:val="ListNumber"/>
        <w:numPr>
          <w:ilvl w:val="0"/>
          <w:numId w:val="82"/>
        </w:numPr>
        <w:spacing w:before="60" w:after="60"/>
      </w:pPr>
      <w:r>
        <w:t>business as usual</w:t>
      </w:r>
      <w:r w:rsidR="00806AE3">
        <w:t xml:space="preserve"> (BAU)</w:t>
      </w:r>
    </w:p>
    <w:p w:rsidR="007052E7" w:rsidRDefault="007052E7" w:rsidP="00757528">
      <w:pPr>
        <w:pStyle w:val="ListNumber"/>
        <w:spacing w:before="60" w:after="60"/>
      </w:pPr>
      <w:r>
        <w:t>offsetting all remaining emissions from 2020</w:t>
      </w:r>
    </w:p>
    <w:p w:rsidR="007052E7" w:rsidRDefault="007052E7" w:rsidP="00757528">
      <w:pPr>
        <w:pStyle w:val="ListNumber"/>
        <w:spacing w:before="60" w:after="60"/>
      </w:pPr>
      <w:r>
        <w:t xml:space="preserve">a </w:t>
      </w:r>
      <w:r w:rsidR="009D1DFE">
        <w:t>significant</w:t>
      </w:r>
      <w:r>
        <w:t xml:space="preserve"> action program to reduce emissions </w:t>
      </w:r>
    </w:p>
    <w:p w:rsidR="007052E7" w:rsidRDefault="007052E7" w:rsidP="00757528">
      <w:pPr>
        <w:pStyle w:val="ListNumber"/>
        <w:spacing w:before="60" w:after="60"/>
      </w:pPr>
      <w:proofErr w:type="gramStart"/>
      <w:r>
        <w:t>an</w:t>
      </w:r>
      <w:proofErr w:type="gramEnd"/>
      <w:r>
        <w:t xml:space="preserve"> accelerated action program</w:t>
      </w:r>
      <w:r w:rsidR="0099601E">
        <w:t>.</w:t>
      </w:r>
    </w:p>
    <w:p w:rsidR="00E929C1" w:rsidRDefault="00806AE3" w:rsidP="00F23AC3">
      <w:pPr>
        <w:spacing w:before="200" w:after="200"/>
      </w:pPr>
      <w:r>
        <w:t>B</w:t>
      </w:r>
      <w:r w:rsidR="008D232B">
        <w:t xml:space="preserve">oth the </w:t>
      </w:r>
      <w:r w:rsidR="009D1DFE">
        <w:t>significant</w:t>
      </w:r>
      <w:r w:rsidR="008D232B">
        <w:t xml:space="preserve"> and accelerated action scenarios require investors, businesses and the Victorian and Australian Governments to </w:t>
      </w:r>
      <w:r>
        <w:t xml:space="preserve">also </w:t>
      </w:r>
      <w:r w:rsidR="008D232B">
        <w:t>take action</w:t>
      </w:r>
      <w:r>
        <w:t>.</w:t>
      </w:r>
    </w:p>
    <w:p w:rsidR="003A3836" w:rsidRDefault="003A3836" w:rsidP="00F23AC3">
      <w:pPr>
        <w:spacing w:before="200" w:after="200"/>
      </w:pPr>
      <w:r>
        <w:t xml:space="preserve">The chart below summarises the </w:t>
      </w:r>
      <w:r w:rsidR="00806AE3">
        <w:t xml:space="preserve">four </w:t>
      </w:r>
      <w:r>
        <w:t xml:space="preserve">scenarios. It illustrates the </w:t>
      </w:r>
      <w:r w:rsidR="00806AE3">
        <w:t xml:space="preserve">reduction in </w:t>
      </w:r>
      <w:r>
        <w:t>emissions need</w:t>
      </w:r>
      <w:r w:rsidR="00806AE3">
        <w:t>ed</w:t>
      </w:r>
      <w:r>
        <w:t xml:space="preserve"> as part of the international effort to stay below </w:t>
      </w:r>
      <w:r w:rsidR="00806AE3">
        <w:t xml:space="preserve">a </w:t>
      </w:r>
      <w:r>
        <w:t>1.5</w:t>
      </w:r>
      <w:r>
        <w:rPr>
          <w:rFonts w:ascii="Arial" w:hAnsi="Arial" w:cs="Arial"/>
        </w:rPr>
        <w:t>ºC</w:t>
      </w:r>
      <w:r w:rsidRPr="00B809F4">
        <w:t xml:space="preserve"> </w:t>
      </w:r>
      <w:r>
        <w:t>rise in global average temperatures.</w:t>
      </w:r>
    </w:p>
    <w:p w:rsidR="000A5379" w:rsidRDefault="000A5379" w:rsidP="000A5379">
      <w:pPr>
        <w:pStyle w:val="Caption"/>
        <w:rPr>
          <w:noProof/>
        </w:rPr>
      </w:pPr>
      <w:bookmarkStart w:id="9" w:name="_Toc522633196"/>
      <w:r>
        <w:t xml:space="preserve">Figure </w:t>
      </w:r>
      <w:fldSimple w:instr=" SEQ Figure \* ARABIC ">
        <w:r w:rsidR="0039200A">
          <w:rPr>
            <w:noProof/>
          </w:rPr>
          <w:t>1</w:t>
        </w:r>
      </w:fldSimple>
      <w:r>
        <w:t xml:space="preserve"> Emissions reductions needed under each scen</w:t>
      </w:r>
      <w:r>
        <w:rPr>
          <w:noProof/>
        </w:rPr>
        <w:t>ario</w:t>
      </w:r>
      <w:bookmarkEnd w:id="9"/>
    </w:p>
    <w:p w:rsidR="00B75FD4" w:rsidRPr="00B75FD4" w:rsidRDefault="008D6BCD" w:rsidP="00B75FD4">
      <w:pPr>
        <w:pStyle w:val="BodyText"/>
      </w:pPr>
      <w:r>
        <w:rPr>
          <w:noProof/>
        </w:rPr>
        <mc:AlternateContent>
          <mc:Choice Requires="wps">
            <w:drawing>
              <wp:anchor distT="0" distB="0" distL="114300" distR="114300" simplePos="0" relativeHeight="251675136" behindDoc="0" locked="0" layoutInCell="1" allowOverlap="1" wp14:anchorId="7BA0CE9E" wp14:editId="429FAA4F">
                <wp:simplePos x="0" y="0"/>
                <wp:positionH relativeFrom="column">
                  <wp:posOffset>-297000</wp:posOffset>
                </wp:positionH>
                <wp:positionV relativeFrom="paragraph">
                  <wp:posOffset>771664</wp:posOffset>
                </wp:positionV>
                <wp:extent cx="1454785" cy="1403985"/>
                <wp:effectExtent l="7938" t="0" r="952" b="953"/>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454785" cy="1403985"/>
                        </a:xfrm>
                        <a:prstGeom prst="rect">
                          <a:avLst/>
                        </a:prstGeom>
                        <a:solidFill>
                          <a:srgbClr val="FFFFFF"/>
                        </a:solidFill>
                        <a:ln w="9525">
                          <a:noFill/>
                          <a:miter lim="800000"/>
                          <a:headEnd/>
                          <a:tailEnd/>
                        </a:ln>
                      </wps:spPr>
                      <wps:txbx>
                        <w:txbxContent>
                          <w:p w:rsidR="00B75FD4" w:rsidRPr="008D6BCD" w:rsidRDefault="00B75FD4">
                            <w:pPr>
                              <w:rPr>
                                <w:sz w:val="18"/>
                                <w:szCs w:val="18"/>
                              </w:rPr>
                            </w:pPr>
                            <w:r w:rsidRPr="008D6BCD">
                              <w:rPr>
                                <w:sz w:val="18"/>
                                <w:szCs w:val="18"/>
                              </w:rPr>
                              <w:t xml:space="preserve">Emissions </w:t>
                            </w:r>
                            <w:proofErr w:type="gramStart"/>
                            <w:r w:rsidRPr="008D6BCD">
                              <w:rPr>
                                <w:sz w:val="18"/>
                                <w:szCs w:val="18"/>
                              </w:rPr>
                              <w:t>(</w:t>
                            </w:r>
                            <w:r w:rsidR="008D6BCD" w:rsidRPr="008D6BCD">
                              <w:rPr>
                                <w:sz w:val="18"/>
                                <w:szCs w:val="18"/>
                              </w:rPr>
                              <w:t xml:space="preserve"> </w:t>
                            </w:r>
                            <w:r w:rsidRPr="008D6BCD">
                              <w:rPr>
                                <w:sz w:val="18"/>
                                <w:szCs w:val="18"/>
                              </w:rPr>
                              <w:t>tCO</w:t>
                            </w:r>
                            <w:r w:rsidRPr="008D6BCD">
                              <w:rPr>
                                <w:sz w:val="18"/>
                                <w:szCs w:val="18"/>
                                <w:vertAlign w:val="subscript"/>
                              </w:rPr>
                              <w:t>2</w:t>
                            </w:r>
                            <w:proofErr w:type="gramEnd"/>
                            <w:r w:rsidR="008D6BCD" w:rsidRPr="008D6BCD">
                              <w:rPr>
                                <w:sz w:val="18"/>
                                <w:szCs w:val="18"/>
                              </w:rPr>
                              <w:t xml:space="preserve"> -e)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23.4pt;margin-top:60.75pt;width:114.55pt;height:110.55pt;rotation:-90;z-index:2516751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szgzKgIAAC0EAAAOAAAAZHJzL2Uyb0RvYy54bWysU9uO2yAQfa/Uf0C8N3ayziax4qy22aaq&#10;tL1Iu/0AjHGMCgwFEjv9+g44zabtW1UeEMMMhzNnZtZ3g1bkKJyXYCo6neSUCMOhkWZf0a/PuzdL&#10;SnxgpmEKjKjoSXh6t3n9at3bUsygA9UIRxDE+LK3Fe1CsGWWed4JzfwErDDobMFpFtB0+6xxrEd0&#10;rbJZnt9mPbjGOuDCe7x9GJ10k/DbVvDwuW29CERVFLmFtLu013HPNmtW7h2zneRnGuwfWGgmDX56&#10;gXpggZGDk39BackdeGjDhIPOoG0lFykHzGaa/5HNU8esSLmgON5eZPL/D5Z/On5xRDYVvckXlBim&#10;sUjPYgjkLQxkFvXprS8x7MliYBjwGuuccvX2Efg3TwxsO2b24t456DvBGuQ3jS+zq6cjjo8gdf8R&#10;GvyGHQIkoKF1mjjA4kxvsai40jWqQ/AzLNvpUqrIjEcGxbxYLOeUcPRNi/xmhUb8kpURLZbCOh/e&#10;C9AkHirqsBcSLDs++jCG/gqJ4R6UbHZSqWS4fb1VjhwZ9s0urTP6b2HKkL6iq/lsnpANxPcIzUot&#10;A/a1krqiyzGjdB3VeWeadA5MqvGMpJU5yxUVGrUKQz1gYNSwhuaEwiWJUA6cN0yoA/eDkh57t6L+&#10;+4E5QYn6YFD81bQoYrMno5gvZmi4a0997WGGI1RFAyXjcRvSgCQd7D0WaSeTXi9MzlyxJ5Pi5/mJ&#10;TX9tp6iXKd/8BAAA//8DAFBLAwQUAAYACAAAACEAGezHH+IAAAALAQAADwAAAGRycy9kb3ducmV2&#10;LnhtbEyPQU/CQBSE7yb+h80z8WJgC62F1G4JSjx4IGrVcH10n21j923TXaD+e5aTHiczmfkmX42m&#10;E0caXGtZwWwagSCurG65VvD58TxZgnAeWWNnmRT8koNVcX2VY6btid/pWPpahBJ2GSpovO8zKV3V&#10;kEE3tT1x8L7tYNAHOdRSD3gK5aaT8yhKpcGWw0KDPT01VP2UB6Ngu97sXnZfWuMbJ6935WO82Y6x&#10;Urc34/oBhKfR/4Xhgh/QoQhMe3tg7USnYJLMA7oPxmxxD+KSWCxjEHsFcZKmIItc/v9QnAEAAP//&#10;AwBQSwECLQAUAAYACAAAACEAtoM4kv4AAADhAQAAEwAAAAAAAAAAAAAAAAAAAAAAW0NvbnRlbnRf&#10;VHlwZXNdLnhtbFBLAQItABQABgAIAAAAIQA4/SH/1gAAAJQBAAALAAAAAAAAAAAAAAAAAC8BAABf&#10;cmVscy8ucmVsc1BLAQItABQABgAIAAAAIQB1szgzKgIAAC0EAAAOAAAAAAAAAAAAAAAAAC4CAABk&#10;cnMvZTJvRG9jLnhtbFBLAQItABQABgAIAAAAIQAZ7Mcf4gAAAAsBAAAPAAAAAAAAAAAAAAAAAIQE&#10;AABkcnMvZG93bnJldi54bWxQSwUGAAAAAAQABADzAAAAkwUAAAAA&#10;" stroked="f">
                <v:textbox style="mso-fit-shape-to-text:t">
                  <w:txbxContent>
                    <w:p w:rsidR="00B75FD4" w:rsidRPr="008D6BCD" w:rsidRDefault="00B75FD4">
                      <w:pPr>
                        <w:rPr>
                          <w:sz w:val="18"/>
                          <w:szCs w:val="18"/>
                        </w:rPr>
                      </w:pPr>
                      <w:r w:rsidRPr="008D6BCD">
                        <w:rPr>
                          <w:sz w:val="18"/>
                          <w:szCs w:val="18"/>
                        </w:rPr>
                        <w:t xml:space="preserve">Emissions </w:t>
                      </w:r>
                      <w:proofErr w:type="gramStart"/>
                      <w:r w:rsidRPr="008D6BCD">
                        <w:rPr>
                          <w:sz w:val="18"/>
                          <w:szCs w:val="18"/>
                        </w:rPr>
                        <w:t>(</w:t>
                      </w:r>
                      <w:r w:rsidR="008D6BCD" w:rsidRPr="008D6BCD">
                        <w:rPr>
                          <w:sz w:val="18"/>
                          <w:szCs w:val="18"/>
                        </w:rPr>
                        <w:t xml:space="preserve"> </w:t>
                      </w:r>
                      <w:r w:rsidRPr="008D6BCD">
                        <w:rPr>
                          <w:sz w:val="18"/>
                          <w:szCs w:val="18"/>
                        </w:rPr>
                        <w:t>tCO</w:t>
                      </w:r>
                      <w:r w:rsidRPr="008D6BCD">
                        <w:rPr>
                          <w:sz w:val="18"/>
                          <w:szCs w:val="18"/>
                          <w:vertAlign w:val="subscript"/>
                        </w:rPr>
                        <w:t>2</w:t>
                      </w:r>
                      <w:proofErr w:type="gramEnd"/>
                      <w:r w:rsidR="008D6BCD" w:rsidRPr="008D6BCD">
                        <w:rPr>
                          <w:sz w:val="18"/>
                          <w:szCs w:val="18"/>
                        </w:rPr>
                        <w:t xml:space="preserve"> -e)</w:t>
                      </w:r>
                    </w:p>
                  </w:txbxContent>
                </v:textbox>
              </v:shape>
            </w:pict>
          </mc:Fallback>
        </mc:AlternateContent>
      </w:r>
      <w:r w:rsidR="00B75FD4">
        <w:rPr>
          <w:noProof/>
        </w:rPr>
        <w:drawing>
          <wp:inline distT="0" distB="0" distL="0" distR="0" wp14:anchorId="6053D0E7" wp14:editId="487FB0B2">
            <wp:extent cx="5017273" cy="2759102"/>
            <wp:effectExtent l="0" t="0" r="0" b="0"/>
            <wp:docPr id="11"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0D41C7" w:rsidRDefault="000D41C7" w:rsidP="008300E5"/>
    <w:p w:rsidR="008D6BCD" w:rsidRDefault="008D6BCD" w:rsidP="008300E5"/>
    <w:p w:rsidR="00ED2F67" w:rsidRDefault="0099601E" w:rsidP="00905100">
      <w:pPr>
        <w:spacing w:before="200" w:after="200"/>
      </w:pPr>
      <w:r>
        <w:t xml:space="preserve">The </w:t>
      </w:r>
      <w:r w:rsidR="008300E5" w:rsidRPr="006C2696">
        <w:t xml:space="preserve">City of Melbourne’s preferred approach is to deliver the actions needed to achieve the </w:t>
      </w:r>
      <w:r w:rsidR="009D1DFE">
        <w:rPr>
          <w:b/>
        </w:rPr>
        <w:t>significant</w:t>
      </w:r>
      <w:r w:rsidR="008300E5" w:rsidRPr="00E8706D">
        <w:rPr>
          <w:b/>
        </w:rPr>
        <w:t xml:space="preserve"> </w:t>
      </w:r>
      <w:r w:rsidR="00491BCA">
        <w:rPr>
          <w:b/>
        </w:rPr>
        <w:t>a</w:t>
      </w:r>
      <w:r w:rsidR="008300E5" w:rsidRPr="00D63288">
        <w:rPr>
          <w:b/>
        </w:rPr>
        <w:t xml:space="preserve">ction </w:t>
      </w:r>
      <w:r w:rsidR="008300E5" w:rsidRPr="00E8706D">
        <w:rPr>
          <w:b/>
        </w:rPr>
        <w:t>scenario</w:t>
      </w:r>
      <w:r w:rsidR="008300E5">
        <w:rPr>
          <w:b/>
        </w:rPr>
        <w:t xml:space="preserve"> </w:t>
      </w:r>
      <w:r w:rsidR="008300E5">
        <w:t xml:space="preserve">and pursue actions for the </w:t>
      </w:r>
      <w:r w:rsidR="00491BCA">
        <w:t>a</w:t>
      </w:r>
      <w:r w:rsidR="008300E5">
        <w:t xml:space="preserve">ccelerated </w:t>
      </w:r>
      <w:r w:rsidR="00491BCA">
        <w:t>a</w:t>
      </w:r>
      <w:r w:rsidR="008300E5">
        <w:t>ction scenario whe</w:t>
      </w:r>
      <w:r>
        <w:t>re</w:t>
      </w:r>
      <w:r w:rsidR="008300E5">
        <w:t xml:space="preserve"> there is the opportunity to go further. </w:t>
      </w:r>
    </w:p>
    <w:p w:rsidR="008300E5" w:rsidRDefault="00ED2F67" w:rsidP="00905100">
      <w:pPr>
        <w:spacing w:before="200" w:after="200"/>
      </w:pPr>
      <w:r>
        <w:t xml:space="preserve">This will </w:t>
      </w:r>
      <w:r w:rsidR="008300E5">
        <w:t xml:space="preserve">require us to take bold action within our powers, collaborate and advocate for policy change from the Victorian and </w:t>
      </w:r>
      <w:r w:rsidR="0099601E">
        <w:t xml:space="preserve">Australian </w:t>
      </w:r>
      <w:r w:rsidR="008300E5">
        <w:t xml:space="preserve">Governments. </w:t>
      </w:r>
      <w:r w:rsidR="0099601E">
        <w:t xml:space="preserve">Our approach aligns with </w:t>
      </w:r>
      <w:r w:rsidR="008300E5">
        <w:t>the Paris Climate Agreement while acknowledging our limited powers and financial resources.</w:t>
      </w:r>
    </w:p>
    <w:p w:rsidR="009F79BB" w:rsidRDefault="009F79BB" w:rsidP="009F79BB">
      <w:pPr>
        <w:pStyle w:val="Caption"/>
      </w:pPr>
      <w:r>
        <w:t>Table 1 Economic costs and benefits of each scenario compared to business as usual</w:t>
      </w:r>
    </w:p>
    <w:tbl>
      <w:tblPr>
        <w:tblW w:w="0" w:type="auto"/>
        <w:tblCellMar>
          <w:left w:w="0" w:type="dxa"/>
          <w:right w:w="0" w:type="dxa"/>
        </w:tblCellMar>
        <w:tblLook w:val="04A0" w:firstRow="1" w:lastRow="0" w:firstColumn="1" w:lastColumn="0" w:noHBand="0" w:noVBand="1"/>
      </w:tblPr>
      <w:tblGrid>
        <w:gridCol w:w="1716"/>
        <w:gridCol w:w="1418"/>
        <w:gridCol w:w="1175"/>
        <w:gridCol w:w="1417"/>
        <w:gridCol w:w="4395"/>
      </w:tblGrid>
      <w:tr w:rsidR="00AB0981" w:rsidRPr="00AB0981" w:rsidTr="00D76C43">
        <w:trPr>
          <w:trHeight w:val="1034"/>
        </w:trPr>
        <w:tc>
          <w:tcPr>
            <w:tcW w:w="1716" w:type="dxa"/>
            <w:tcBorders>
              <w:top w:val="single" w:sz="8" w:space="0" w:color="FFFFFF"/>
              <w:left w:val="single" w:sz="8" w:space="0" w:color="FFFFFF"/>
              <w:bottom w:val="single" w:sz="24" w:space="0" w:color="FFFFFF"/>
              <w:right w:val="single" w:sz="8" w:space="0" w:color="FFFFFF"/>
            </w:tcBorders>
            <w:shd w:val="clear" w:color="auto" w:fill="4F81BD"/>
            <w:tcMar>
              <w:top w:w="57" w:type="dxa"/>
              <w:left w:w="15" w:type="dxa"/>
              <w:bottom w:w="28" w:type="dxa"/>
              <w:right w:w="15" w:type="dxa"/>
            </w:tcMar>
            <w:vAlign w:val="bottom"/>
            <w:hideMark/>
          </w:tcPr>
          <w:p w:rsidR="00AB0981" w:rsidRPr="00701EA8" w:rsidRDefault="00AB0981" w:rsidP="00AB0981">
            <w:pPr>
              <w:spacing w:before="40"/>
              <w:ind w:left="29" w:right="115"/>
              <w:rPr>
                <w:rFonts w:ascii="Arial" w:hAnsi="Arial" w:cs="Arial"/>
                <w:color w:val="auto"/>
              </w:rPr>
            </w:pPr>
            <w:r w:rsidRPr="00701EA8">
              <w:rPr>
                <w:rFonts w:ascii="Arial" w:hAnsi="Arial" w:cs="Arial"/>
                <w:b/>
                <w:bCs/>
                <w:color w:val="FFFFFF" w:themeColor="light1"/>
                <w:kern w:val="24"/>
              </w:rPr>
              <w:t>Scenario</w:t>
            </w:r>
          </w:p>
        </w:tc>
        <w:tc>
          <w:tcPr>
            <w:tcW w:w="1418" w:type="dxa"/>
            <w:tcBorders>
              <w:top w:val="single" w:sz="8" w:space="0" w:color="FFFFFF"/>
              <w:left w:val="single" w:sz="8" w:space="0" w:color="FFFFFF"/>
              <w:bottom w:val="single" w:sz="24" w:space="0" w:color="FFFFFF"/>
              <w:right w:val="single" w:sz="8" w:space="0" w:color="FFFFFF"/>
            </w:tcBorders>
            <w:shd w:val="clear" w:color="auto" w:fill="4F81BD"/>
            <w:tcMar>
              <w:top w:w="57" w:type="dxa"/>
              <w:left w:w="15" w:type="dxa"/>
              <w:bottom w:w="28" w:type="dxa"/>
              <w:right w:w="15" w:type="dxa"/>
            </w:tcMar>
            <w:vAlign w:val="bottom"/>
            <w:hideMark/>
          </w:tcPr>
          <w:p w:rsidR="00AB0981" w:rsidRPr="00701EA8" w:rsidRDefault="00AB0981" w:rsidP="00701EA8">
            <w:pPr>
              <w:spacing w:before="40"/>
              <w:ind w:left="29" w:right="115"/>
              <w:jc w:val="center"/>
              <w:rPr>
                <w:rFonts w:ascii="Arial" w:hAnsi="Arial" w:cs="Arial"/>
                <w:color w:val="auto"/>
              </w:rPr>
            </w:pPr>
            <w:r w:rsidRPr="00701EA8">
              <w:rPr>
                <w:rFonts w:ascii="Arial" w:hAnsi="Arial" w:cs="Arial"/>
                <w:b/>
                <w:bCs/>
                <w:color w:val="FFFFFF" w:themeColor="light1"/>
                <w:kern w:val="24"/>
              </w:rPr>
              <w:t>Target per person in 2030</w:t>
            </w:r>
          </w:p>
        </w:tc>
        <w:tc>
          <w:tcPr>
            <w:tcW w:w="1175" w:type="dxa"/>
            <w:tcBorders>
              <w:top w:val="single" w:sz="8" w:space="0" w:color="FFFFFF"/>
              <w:left w:val="single" w:sz="8" w:space="0" w:color="FFFFFF"/>
              <w:bottom w:val="single" w:sz="24" w:space="0" w:color="FFFFFF"/>
              <w:right w:val="single" w:sz="8" w:space="0" w:color="FFFFFF"/>
            </w:tcBorders>
            <w:shd w:val="clear" w:color="auto" w:fill="4F81BD"/>
            <w:tcMar>
              <w:top w:w="57" w:type="dxa"/>
              <w:left w:w="15" w:type="dxa"/>
              <w:bottom w:w="28" w:type="dxa"/>
              <w:right w:w="15" w:type="dxa"/>
            </w:tcMar>
            <w:vAlign w:val="bottom"/>
            <w:hideMark/>
          </w:tcPr>
          <w:p w:rsidR="00AB0981" w:rsidRPr="00701EA8" w:rsidRDefault="00AB0981" w:rsidP="00701EA8">
            <w:pPr>
              <w:spacing w:before="40"/>
              <w:ind w:left="29" w:right="115"/>
              <w:jc w:val="center"/>
              <w:rPr>
                <w:rFonts w:ascii="Arial" w:hAnsi="Arial" w:cs="Arial"/>
                <w:color w:val="auto"/>
              </w:rPr>
            </w:pPr>
            <w:r w:rsidRPr="00701EA8">
              <w:rPr>
                <w:rFonts w:ascii="Arial" w:hAnsi="Arial" w:cs="Arial"/>
                <w:b/>
                <w:bCs/>
                <w:color w:val="FFFFFF" w:themeColor="light1"/>
                <w:kern w:val="24"/>
              </w:rPr>
              <w:t>Net Zero Emissions</w:t>
            </w:r>
          </w:p>
        </w:tc>
        <w:tc>
          <w:tcPr>
            <w:tcW w:w="1417" w:type="dxa"/>
            <w:tcBorders>
              <w:top w:val="single" w:sz="8" w:space="0" w:color="FFFFFF"/>
              <w:left w:val="single" w:sz="8" w:space="0" w:color="FFFFFF"/>
              <w:bottom w:val="single" w:sz="24" w:space="0" w:color="FFFFFF"/>
              <w:right w:val="single" w:sz="8" w:space="0" w:color="FFFFFF"/>
            </w:tcBorders>
            <w:shd w:val="clear" w:color="auto" w:fill="4F81BD"/>
            <w:tcMar>
              <w:top w:w="57" w:type="dxa"/>
              <w:left w:w="15" w:type="dxa"/>
              <w:bottom w:w="28" w:type="dxa"/>
              <w:right w:w="15" w:type="dxa"/>
            </w:tcMar>
            <w:vAlign w:val="bottom"/>
            <w:hideMark/>
          </w:tcPr>
          <w:p w:rsidR="00AB0981" w:rsidRPr="00701EA8" w:rsidRDefault="00AB0981" w:rsidP="00701EA8">
            <w:pPr>
              <w:spacing w:before="40"/>
              <w:ind w:left="29" w:right="115"/>
              <w:jc w:val="center"/>
              <w:rPr>
                <w:rFonts w:ascii="Arial" w:hAnsi="Arial" w:cs="Arial"/>
                <w:color w:val="auto"/>
              </w:rPr>
            </w:pPr>
            <w:r w:rsidRPr="00701EA8">
              <w:rPr>
                <w:rFonts w:ascii="Arial" w:hAnsi="Arial" w:cs="Arial"/>
                <w:b/>
                <w:bCs/>
                <w:color w:val="FFFFFF" w:themeColor="light1"/>
                <w:kern w:val="24"/>
              </w:rPr>
              <w:t>Aligned to Paris Climate Agreement</w:t>
            </w:r>
          </w:p>
        </w:tc>
        <w:tc>
          <w:tcPr>
            <w:tcW w:w="4395" w:type="dxa"/>
            <w:tcBorders>
              <w:top w:val="single" w:sz="8" w:space="0" w:color="FFFFFF"/>
              <w:left w:val="single" w:sz="8" w:space="0" w:color="FFFFFF"/>
              <w:bottom w:val="single" w:sz="24" w:space="0" w:color="FFFFFF"/>
              <w:right w:val="single" w:sz="8" w:space="0" w:color="FFFFFF"/>
            </w:tcBorders>
            <w:shd w:val="clear" w:color="auto" w:fill="4F81BD"/>
            <w:tcMar>
              <w:top w:w="57" w:type="dxa"/>
              <w:left w:w="15" w:type="dxa"/>
              <w:bottom w:w="28" w:type="dxa"/>
              <w:right w:w="15" w:type="dxa"/>
            </w:tcMar>
            <w:vAlign w:val="bottom"/>
            <w:hideMark/>
          </w:tcPr>
          <w:p w:rsidR="00AB0981" w:rsidRPr="00701EA8" w:rsidRDefault="00AB0981" w:rsidP="00AB0981">
            <w:pPr>
              <w:spacing w:before="40"/>
              <w:ind w:left="29" w:right="115"/>
              <w:jc w:val="center"/>
              <w:rPr>
                <w:rFonts w:ascii="Arial" w:hAnsi="Arial" w:cs="Arial"/>
                <w:color w:val="auto"/>
              </w:rPr>
            </w:pPr>
            <w:r w:rsidRPr="00701EA8">
              <w:rPr>
                <w:rFonts w:ascii="Arial" w:hAnsi="Arial" w:cs="Arial"/>
                <w:b/>
                <w:bCs/>
                <w:color w:val="FFFFFF" w:themeColor="light1"/>
                <w:kern w:val="24"/>
              </w:rPr>
              <w:t>Economic Estimate</w:t>
            </w:r>
          </w:p>
        </w:tc>
      </w:tr>
      <w:tr w:rsidR="00AB0981" w:rsidRPr="00AB0981" w:rsidTr="00D76C43">
        <w:trPr>
          <w:trHeight w:val="1034"/>
        </w:trPr>
        <w:tc>
          <w:tcPr>
            <w:tcW w:w="1716" w:type="dxa"/>
            <w:tcBorders>
              <w:top w:val="single" w:sz="24" w:space="0" w:color="FFFFFF"/>
              <w:left w:val="single" w:sz="8" w:space="0" w:color="FFFFFF"/>
              <w:bottom w:val="single" w:sz="8" w:space="0" w:color="FFFFFF"/>
              <w:right w:val="single" w:sz="8" w:space="0" w:color="FFFFFF"/>
            </w:tcBorders>
            <w:shd w:val="clear" w:color="auto" w:fill="4F81BD"/>
            <w:tcMar>
              <w:top w:w="57" w:type="dxa"/>
              <w:left w:w="15" w:type="dxa"/>
              <w:bottom w:w="28" w:type="dxa"/>
              <w:right w:w="15" w:type="dxa"/>
            </w:tcMar>
            <w:hideMark/>
          </w:tcPr>
          <w:p w:rsidR="00AB0981" w:rsidRPr="00701EA8" w:rsidRDefault="00AB0981" w:rsidP="00AB0981">
            <w:pPr>
              <w:spacing w:before="40"/>
              <w:ind w:left="29" w:right="115"/>
              <w:rPr>
                <w:rFonts w:ascii="Arial" w:hAnsi="Arial" w:cs="Arial"/>
                <w:color w:val="auto"/>
              </w:rPr>
            </w:pPr>
            <w:r w:rsidRPr="00701EA8">
              <w:rPr>
                <w:rFonts w:ascii="Arial" w:hAnsi="Arial" w:cs="Arial"/>
                <w:b/>
                <w:bCs/>
                <w:color w:val="FFFFFF" w:themeColor="light1"/>
                <w:kern w:val="24"/>
              </w:rPr>
              <w:t>Business as usual</w:t>
            </w:r>
          </w:p>
        </w:tc>
        <w:tc>
          <w:tcPr>
            <w:tcW w:w="1418" w:type="dxa"/>
            <w:tcBorders>
              <w:top w:val="single" w:sz="24" w:space="0" w:color="FFFFFF"/>
              <w:left w:val="single" w:sz="8" w:space="0" w:color="FFFFFF"/>
              <w:bottom w:val="single" w:sz="8" w:space="0" w:color="FFFFFF"/>
              <w:right w:val="single" w:sz="8" w:space="0" w:color="FFFFFF"/>
            </w:tcBorders>
            <w:shd w:val="clear" w:color="auto" w:fill="D0D8E8"/>
            <w:tcMar>
              <w:top w:w="57" w:type="dxa"/>
              <w:left w:w="15" w:type="dxa"/>
              <w:bottom w:w="28" w:type="dxa"/>
              <w:right w:w="15" w:type="dxa"/>
            </w:tcMar>
            <w:hideMark/>
          </w:tcPr>
          <w:p w:rsidR="00AB0981" w:rsidRPr="00AB0981" w:rsidRDefault="00AB0981" w:rsidP="00701EA8">
            <w:pPr>
              <w:spacing w:before="40"/>
              <w:ind w:left="29" w:right="115"/>
              <w:jc w:val="center"/>
              <w:rPr>
                <w:rFonts w:ascii="Arial" w:hAnsi="Arial" w:cs="Arial"/>
                <w:color w:val="auto"/>
                <w:sz w:val="18"/>
                <w:szCs w:val="18"/>
              </w:rPr>
            </w:pPr>
            <w:r w:rsidRPr="00AB0981">
              <w:rPr>
                <w:rFonts w:ascii="Arial" w:hAnsi="Arial" w:cs="Arial"/>
                <w:color w:val="000000" w:themeColor="dark1"/>
                <w:kern w:val="24"/>
                <w:sz w:val="18"/>
                <w:szCs w:val="18"/>
              </w:rPr>
              <w:t xml:space="preserve">22.1 </w:t>
            </w:r>
            <w:r w:rsidR="00701EA8" w:rsidRPr="00D44FCF">
              <w:rPr>
                <w:lang w:val="en-US" w:eastAsia="en-US"/>
              </w:rPr>
              <w:t>tCO</w:t>
            </w:r>
            <w:r w:rsidR="00701EA8" w:rsidRPr="00D44FCF">
              <w:rPr>
                <w:vertAlign w:val="subscript"/>
                <w:lang w:val="en-US" w:eastAsia="en-US"/>
              </w:rPr>
              <w:t>2</w:t>
            </w:r>
            <w:r w:rsidR="00701EA8" w:rsidRPr="00D44FCF">
              <w:rPr>
                <w:lang w:val="en-US" w:eastAsia="en-US"/>
              </w:rPr>
              <w:t>-e</w:t>
            </w:r>
          </w:p>
        </w:tc>
        <w:tc>
          <w:tcPr>
            <w:tcW w:w="1175" w:type="dxa"/>
            <w:tcBorders>
              <w:top w:val="single" w:sz="24" w:space="0" w:color="FFFFFF"/>
              <w:left w:val="single" w:sz="8" w:space="0" w:color="FFFFFF"/>
              <w:bottom w:val="single" w:sz="8" w:space="0" w:color="FFFFFF"/>
              <w:right w:val="single" w:sz="8" w:space="0" w:color="FFFFFF"/>
            </w:tcBorders>
            <w:shd w:val="clear" w:color="auto" w:fill="D0D8E8"/>
            <w:tcMar>
              <w:top w:w="57" w:type="dxa"/>
              <w:left w:w="15" w:type="dxa"/>
              <w:bottom w:w="28" w:type="dxa"/>
              <w:right w:w="15" w:type="dxa"/>
            </w:tcMar>
            <w:hideMark/>
          </w:tcPr>
          <w:p w:rsidR="00AB0981" w:rsidRPr="00AB0981" w:rsidRDefault="00AB0981" w:rsidP="00701EA8">
            <w:pPr>
              <w:spacing w:before="40"/>
              <w:ind w:left="29" w:right="115"/>
              <w:jc w:val="center"/>
              <w:rPr>
                <w:rFonts w:ascii="Arial" w:hAnsi="Arial" w:cs="Arial"/>
                <w:color w:val="auto"/>
                <w:sz w:val="18"/>
                <w:szCs w:val="18"/>
              </w:rPr>
            </w:pPr>
            <w:r w:rsidRPr="00AB0981">
              <w:rPr>
                <w:rFonts w:ascii="Arial" w:hAnsi="Arial" w:cs="Arial"/>
                <w:color w:val="000000" w:themeColor="dark1"/>
                <w:kern w:val="24"/>
                <w:sz w:val="18"/>
                <w:szCs w:val="18"/>
              </w:rPr>
              <w:t>never</w:t>
            </w:r>
          </w:p>
        </w:tc>
        <w:tc>
          <w:tcPr>
            <w:tcW w:w="1417" w:type="dxa"/>
            <w:tcBorders>
              <w:top w:val="single" w:sz="24" w:space="0" w:color="FFFFFF"/>
              <w:left w:val="single" w:sz="8" w:space="0" w:color="FFFFFF"/>
              <w:bottom w:val="single" w:sz="8" w:space="0" w:color="FFFFFF"/>
              <w:right w:val="single" w:sz="8" w:space="0" w:color="FFFFFF"/>
            </w:tcBorders>
            <w:shd w:val="clear" w:color="auto" w:fill="D0D8E8"/>
            <w:tcMar>
              <w:top w:w="57" w:type="dxa"/>
              <w:left w:w="15" w:type="dxa"/>
              <w:bottom w:w="28" w:type="dxa"/>
              <w:right w:w="15" w:type="dxa"/>
            </w:tcMar>
            <w:hideMark/>
          </w:tcPr>
          <w:p w:rsidR="00AB0981" w:rsidRPr="00AB0981" w:rsidRDefault="00AB0981" w:rsidP="00701EA8">
            <w:pPr>
              <w:spacing w:before="40"/>
              <w:ind w:left="29" w:right="115"/>
              <w:jc w:val="center"/>
              <w:rPr>
                <w:rFonts w:ascii="Arial" w:hAnsi="Arial" w:cs="Arial"/>
                <w:color w:val="auto"/>
                <w:sz w:val="18"/>
                <w:szCs w:val="18"/>
              </w:rPr>
            </w:pPr>
            <w:r w:rsidRPr="00AB0981">
              <w:rPr>
                <w:rFonts w:ascii="Arial" w:hAnsi="Arial" w:cs="Arial"/>
                <w:color w:val="000000" w:themeColor="dark1"/>
                <w:kern w:val="24"/>
                <w:sz w:val="18"/>
                <w:szCs w:val="18"/>
              </w:rPr>
              <w:t>no</w:t>
            </w:r>
          </w:p>
        </w:tc>
        <w:tc>
          <w:tcPr>
            <w:tcW w:w="4395" w:type="dxa"/>
            <w:tcBorders>
              <w:top w:val="single" w:sz="24" w:space="0" w:color="FFFFFF"/>
              <w:left w:val="single" w:sz="8" w:space="0" w:color="FFFFFF"/>
              <w:bottom w:val="single" w:sz="8" w:space="0" w:color="FFFFFF"/>
              <w:right w:val="single" w:sz="8" w:space="0" w:color="FFFFFF"/>
            </w:tcBorders>
            <w:shd w:val="clear" w:color="auto" w:fill="D0D8E8"/>
            <w:tcMar>
              <w:top w:w="57" w:type="dxa"/>
              <w:left w:w="15" w:type="dxa"/>
              <w:bottom w:w="28" w:type="dxa"/>
              <w:right w:w="15" w:type="dxa"/>
            </w:tcMar>
            <w:hideMark/>
          </w:tcPr>
          <w:p w:rsidR="00AB0981" w:rsidRPr="00AB0981" w:rsidRDefault="00AB0981" w:rsidP="00AB0981">
            <w:pPr>
              <w:spacing w:before="40"/>
              <w:ind w:left="29" w:right="115"/>
              <w:rPr>
                <w:rFonts w:ascii="Arial" w:hAnsi="Arial" w:cs="Arial"/>
                <w:color w:val="auto"/>
                <w:sz w:val="18"/>
                <w:szCs w:val="18"/>
              </w:rPr>
            </w:pPr>
            <w:r w:rsidRPr="00AB0981">
              <w:rPr>
                <w:rFonts w:ascii="Arial" w:hAnsi="Arial" w:cs="Arial"/>
                <w:color w:val="000000" w:themeColor="dark1"/>
                <w:kern w:val="24"/>
                <w:sz w:val="18"/>
                <w:szCs w:val="18"/>
              </w:rPr>
              <w:t xml:space="preserve">Cost to the municipality economy (burden) would be $12.6 billion from increased maintenance, healthcare, business failure </w:t>
            </w:r>
            <w:proofErr w:type="spellStart"/>
            <w:r w:rsidRPr="00AB0981">
              <w:rPr>
                <w:rFonts w:ascii="Arial" w:hAnsi="Arial" w:cs="Arial"/>
                <w:color w:val="000000" w:themeColor="dark1"/>
                <w:kern w:val="24"/>
                <w:sz w:val="18"/>
                <w:szCs w:val="18"/>
              </w:rPr>
              <w:t>etc</w:t>
            </w:r>
            <w:proofErr w:type="spellEnd"/>
            <w:r w:rsidRPr="00AB0981">
              <w:rPr>
                <w:rFonts w:ascii="Arial" w:hAnsi="Arial" w:cs="Arial"/>
                <w:color w:val="000000" w:themeColor="dark1"/>
                <w:kern w:val="24"/>
                <w:sz w:val="18"/>
                <w:szCs w:val="18"/>
              </w:rPr>
              <w:t xml:space="preserve"> from the impacts of climate change </w:t>
            </w:r>
          </w:p>
        </w:tc>
      </w:tr>
      <w:tr w:rsidR="00D76C43" w:rsidRPr="00AB0981" w:rsidTr="00D76C43">
        <w:trPr>
          <w:trHeight w:val="1034"/>
        </w:trPr>
        <w:tc>
          <w:tcPr>
            <w:tcW w:w="1716" w:type="dxa"/>
            <w:tcBorders>
              <w:top w:val="single" w:sz="24" w:space="0" w:color="FFFFFF"/>
              <w:left w:val="single" w:sz="8" w:space="0" w:color="FFFFFF"/>
              <w:bottom w:val="single" w:sz="8" w:space="0" w:color="FFFFFF"/>
              <w:right w:val="single" w:sz="8" w:space="0" w:color="FFFFFF"/>
            </w:tcBorders>
            <w:shd w:val="clear" w:color="auto" w:fill="4F81BD"/>
            <w:tcMar>
              <w:top w:w="57" w:type="dxa"/>
              <w:left w:w="15" w:type="dxa"/>
              <w:bottom w:w="28" w:type="dxa"/>
              <w:right w:w="15" w:type="dxa"/>
            </w:tcMar>
          </w:tcPr>
          <w:p w:rsidR="00D76C43" w:rsidRPr="00701EA8" w:rsidRDefault="00D76C43" w:rsidP="00AB0981">
            <w:pPr>
              <w:spacing w:before="40"/>
              <w:ind w:left="29" w:right="115"/>
              <w:rPr>
                <w:rFonts w:ascii="Arial" w:hAnsi="Arial" w:cs="Arial"/>
                <w:b/>
                <w:bCs/>
                <w:color w:val="FFFFFF" w:themeColor="light1"/>
                <w:kern w:val="24"/>
              </w:rPr>
            </w:pPr>
            <w:r w:rsidRPr="00701EA8">
              <w:rPr>
                <w:rFonts w:ascii="Arial" w:hAnsi="Arial" w:cs="Arial"/>
                <w:b/>
                <w:bCs/>
                <w:color w:val="FFFFFF" w:themeColor="light1"/>
                <w:kern w:val="24"/>
              </w:rPr>
              <w:t>Purchasing offsets</w:t>
            </w:r>
          </w:p>
        </w:tc>
        <w:tc>
          <w:tcPr>
            <w:tcW w:w="1418" w:type="dxa"/>
            <w:tcBorders>
              <w:top w:val="single" w:sz="24" w:space="0" w:color="FFFFFF"/>
              <w:left w:val="single" w:sz="8" w:space="0" w:color="FFFFFF"/>
              <w:bottom w:val="single" w:sz="8" w:space="0" w:color="FFFFFF"/>
              <w:right w:val="single" w:sz="8" w:space="0" w:color="FFFFFF"/>
            </w:tcBorders>
            <w:shd w:val="clear" w:color="auto" w:fill="D0D8E8"/>
            <w:tcMar>
              <w:top w:w="57" w:type="dxa"/>
              <w:left w:w="15" w:type="dxa"/>
              <w:bottom w:w="28" w:type="dxa"/>
              <w:right w:w="15" w:type="dxa"/>
            </w:tcMar>
          </w:tcPr>
          <w:p w:rsidR="00D76C43" w:rsidRPr="00AB0981" w:rsidRDefault="00D76C43" w:rsidP="00701EA8">
            <w:pPr>
              <w:spacing w:before="40"/>
              <w:ind w:left="29" w:right="115"/>
              <w:jc w:val="center"/>
              <w:rPr>
                <w:rFonts w:ascii="Arial" w:hAnsi="Arial" w:cs="Arial"/>
                <w:color w:val="000000" w:themeColor="dark1"/>
                <w:kern w:val="24"/>
                <w:sz w:val="18"/>
                <w:szCs w:val="18"/>
              </w:rPr>
            </w:pPr>
            <w:r w:rsidRPr="00AB0981">
              <w:rPr>
                <w:rFonts w:ascii="Arial" w:hAnsi="Arial" w:cs="Arial"/>
                <w:color w:val="000000" w:themeColor="dark1"/>
                <w:kern w:val="24"/>
                <w:sz w:val="18"/>
                <w:szCs w:val="18"/>
              </w:rPr>
              <w:t xml:space="preserve">22.1 </w:t>
            </w:r>
            <w:r w:rsidRPr="00D44FCF">
              <w:rPr>
                <w:lang w:val="en-US" w:eastAsia="en-US"/>
              </w:rPr>
              <w:t>tCO</w:t>
            </w:r>
            <w:r w:rsidRPr="00D44FCF">
              <w:rPr>
                <w:vertAlign w:val="subscript"/>
                <w:lang w:val="en-US" w:eastAsia="en-US"/>
              </w:rPr>
              <w:t>2</w:t>
            </w:r>
            <w:r w:rsidRPr="00D44FCF">
              <w:rPr>
                <w:lang w:val="en-US" w:eastAsia="en-US"/>
              </w:rPr>
              <w:t>-e</w:t>
            </w:r>
          </w:p>
        </w:tc>
        <w:tc>
          <w:tcPr>
            <w:tcW w:w="1175" w:type="dxa"/>
            <w:tcBorders>
              <w:top w:val="single" w:sz="24" w:space="0" w:color="FFFFFF"/>
              <w:left w:val="single" w:sz="8" w:space="0" w:color="FFFFFF"/>
              <w:bottom w:val="single" w:sz="8" w:space="0" w:color="FFFFFF"/>
              <w:right w:val="single" w:sz="8" w:space="0" w:color="FFFFFF"/>
            </w:tcBorders>
            <w:shd w:val="clear" w:color="auto" w:fill="D0D8E8"/>
            <w:tcMar>
              <w:top w:w="57" w:type="dxa"/>
              <w:left w:w="15" w:type="dxa"/>
              <w:bottom w:w="28" w:type="dxa"/>
              <w:right w:w="15" w:type="dxa"/>
            </w:tcMar>
          </w:tcPr>
          <w:p w:rsidR="00D76C43" w:rsidRPr="00AB0981" w:rsidRDefault="00D76C43" w:rsidP="00701EA8">
            <w:pPr>
              <w:spacing w:before="40"/>
              <w:ind w:left="29" w:right="115"/>
              <w:jc w:val="center"/>
              <w:rPr>
                <w:rFonts w:ascii="Arial" w:hAnsi="Arial" w:cs="Arial"/>
                <w:color w:val="000000" w:themeColor="dark1"/>
                <w:kern w:val="24"/>
                <w:sz w:val="18"/>
                <w:szCs w:val="18"/>
              </w:rPr>
            </w:pPr>
            <w:r w:rsidRPr="00AB0981">
              <w:rPr>
                <w:rFonts w:ascii="Arial" w:hAnsi="Arial" w:cs="Arial"/>
                <w:color w:val="000000" w:themeColor="dark1"/>
                <w:kern w:val="24"/>
                <w:sz w:val="18"/>
                <w:szCs w:val="18"/>
              </w:rPr>
              <w:t>2020</w:t>
            </w:r>
          </w:p>
        </w:tc>
        <w:tc>
          <w:tcPr>
            <w:tcW w:w="1417" w:type="dxa"/>
            <w:tcBorders>
              <w:top w:val="single" w:sz="24" w:space="0" w:color="FFFFFF"/>
              <w:left w:val="single" w:sz="8" w:space="0" w:color="FFFFFF"/>
              <w:bottom w:val="single" w:sz="8" w:space="0" w:color="FFFFFF"/>
              <w:right w:val="single" w:sz="8" w:space="0" w:color="FFFFFF"/>
            </w:tcBorders>
            <w:shd w:val="clear" w:color="auto" w:fill="D0D8E8"/>
            <w:tcMar>
              <w:top w:w="57" w:type="dxa"/>
              <w:left w:w="15" w:type="dxa"/>
              <w:bottom w:w="28" w:type="dxa"/>
              <w:right w:w="15" w:type="dxa"/>
            </w:tcMar>
          </w:tcPr>
          <w:p w:rsidR="00D76C43" w:rsidRPr="00AB0981" w:rsidRDefault="00D76C43" w:rsidP="00701EA8">
            <w:pPr>
              <w:spacing w:before="40"/>
              <w:ind w:left="29" w:right="115"/>
              <w:jc w:val="center"/>
              <w:rPr>
                <w:rFonts w:ascii="Arial" w:hAnsi="Arial" w:cs="Arial"/>
                <w:color w:val="000000" w:themeColor="dark1"/>
                <w:kern w:val="24"/>
                <w:sz w:val="18"/>
                <w:szCs w:val="18"/>
              </w:rPr>
            </w:pPr>
            <w:r w:rsidRPr="00AB0981">
              <w:rPr>
                <w:rFonts w:ascii="Arial" w:hAnsi="Arial" w:cs="Arial"/>
                <w:color w:val="000000" w:themeColor="dark1"/>
                <w:kern w:val="24"/>
                <w:sz w:val="18"/>
                <w:szCs w:val="18"/>
              </w:rPr>
              <w:t>no</w:t>
            </w:r>
          </w:p>
        </w:tc>
        <w:tc>
          <w:tcPr>
            <w:tcW w:w="4395" w:type="dxa"/>
            <w:tcBorders>
              <w:top w:val="single" w:sz="24" w:space="0" w:color="FFFFFF"/>
              <w:left w:val="single" w:sz="8" w:space="0" w:color="FFFFFF"/>
              <w:bottom w:val="single" w:sz="8" w:space="0" w:color="FFFFFF"/>
              <w:right w:val="single" w:sz="8" w:space="0" w:color="FFFFFF"/>
            </w:tcBorders>
            <w:shd w:val="clear" w:color="auto" w:fill="D0D8E8"/>
            <w:tcMar>
              <w:top w:w="57" w:type="dxa"/>
              <w:left w:w="15" w:type="dxa"/>
              <w:bottom w:w="28" w:type="dxa"/>
              <w:right w:w="15" w:type="dxa"/>
            </w:tcMar>
          </w:tcPr>
          <w:p w:rsidR="00D76C43" w:rsidRPr="00AB0981" w:rsidRDefault="00D76C43" w:rsidP="00AB0981">
            <w:pPr>
              <w:spacing w:before="40"/>
              <w:ind w:left="29" w:right="115"/>
              <w:rPr>
                <w:rFonts w:ascii="Arial" w:hAnsi="Arial" w:cs="Arial"/>
                <w:color w:val="000000" w:themeColor="dark1"/>
                <w:kern w:val="24"/>
                <w:sz w:val="18"/>
                <w:szCs w:val="18"/>
              </w:rPr>
            </w:pPr>
            <w:r w:rsidRPr="00AB0981">
              <w:rPr>
                <w:rFonts w:ascii="Arial" w:hAnsi="Arial" w:cs="Arial"/>
                <w:color w:val="000000" w:themeColor="dark1"/>
                <w:kern w:val="24"/>
                <w:sz w:val="18"/>
                <w:szCs w:val="18"/>
              </w:rPr>
              <w:t xml:space="preserve">Cost </w:t>
            </w:r>
            <w:r>
              <w:rPr>
                <w:rFonts w:ascii="Arial" w:hAnsi="Arial" w:cs="Arial"/>
                <w:color w:val="000000" w:themeColor="dark1"/>
                <w:kern w:val="24"/>
                <w:sz w:val="18"/>
                <w:szCs w:val="18"/>
              </w:rPr>
              <w:t xml:space="preserve">to the City of Melbourne </w:t>
            </w:r>
            <w:r w:rsidRPr="00AB0981">
              <w:rPr>
                <w:rFonts w:ascii="Arial" w:hAnsi="Arial" w:cs="Arial"/>
                <w:color w:val="000000" w:themeColor="dark1"/>
                <w:kern w:val="24"/>
                <w:sz w:val="18"/>
                <w:szCs w:val="18"/>
              </w:rPr>
              <w:t>of $30</w:t>
            </w:r>
            <w:r>
              <w:rPr>
                <w:rFonts w:ascii="Arial" w:hAnsi="Arial" w:cs="Arial"/>
                <w:color w:val="000000" w:themeColor="dark1"/>
                <w:kern w:val="24"/>
                <w:sz w:val="18"/>
                <w:szCs w:val="18"/>
              </w:rPr>
              <w:t xml:space="preserve"> </w:t>
            </w:r>
            <w:r w:rsidRPr="00AB0981">
              <w:rPr>
                <w:rFonts w:ascii="Arial" w:hAnsi="Arial" w:cs="Arial"/>
                <w:color w:val="000000" w:themeColor="dark1"/>
                <w:kern w:val="24"/>
                <w:sz w:val="18"/>
                <w:szCs w:val="18"/>
              </w:rPr>
              <w:t>million p</w:t>
            </w:r>
            <w:r>
              <w:rPr>
                <w:rFonts w:ascii="Arial" w:hAnsi="Arial" w:cs="Arial"/>
                <w:color w:val="000000" w:themeColor="dark1"/>
                <w:kern w:val="24"/>
                <w:sz w:val="18"/>
                <w:szCs w:val="18"/>
              </w:rPr>
              <w:t>er year</w:t>
            </w:r>
            <w:r w:rsidRPr="00AB0981">
              <w:rPr>
                <w:rFonts w:ascii="Arial" w:hAnsi="Arial" w:cs="Arial"/>
                <w:color w:val="000000" w:themeColor="dark1"/>
                <w:kern w:val="24"/>
                <w:sz w:val="18"/>
                <w:szCs w:val="18"/>
              </w:rPr>
              <w:t xml:space="preserve">. </w:t>
            </w:r>
            <w:proofErr w:type="gramStart"/>
            <w:r w:rsidRPr="00AB0981">
              <w:rPr>
                <w:rFonts w:ascii="Arial" w:hAnsi="Arial" w:cs="Arial"/>
                <w:color w:val="000000" w:themeColor="dark1"/>
                <w:kern w:val="24"/>
                <w:sz w:val="18"/>
                <w:szCs w:val="18"/>
              </w:rPr>
              <w:t>increasing</w:t>
            </w:r>
            <w:proofErr w:type="gramEnd"/>
            <w:r w:rsidRPr="00AB0981">
              <w:rPr>
                <w:rFonts w:ascii="Arial" w:hAnsi="Arial" w:cs="Arial"/>
                <w:color w:val="000000" w:themeColor="dark1"/>
                <w:kern w:val="24"/>
                <w:sz w:val="18"/>
                <w:szCs w:val="18"/>
              </w:rPr>
              <w:t xml:space="preserve"> due to supply demand pressures.  No reduction to municipality economic burden.</w:t>
            </w:r>
          </w:p>
        </w:tc>
      </w:tr>
      <w:tr w:rsidR="00D76C43" w:rsidRPr="00AB0981" w:rsidTr="00D76C43">
        <w:trPr>
          <w:trHeight w:val="1034"/>
        </w:trPr>
        <w:tc>
          <w:tcPr>
            <w:tcW w:w="1716" w:type="dxa"/>
            <w:tcBorders>
              <w:top w:val="single" w:sz="24" w:space="0" w:color="FFFFFF"/>
              <w:left w:val="single" w:sz="8" w:space="0" w:color="FFFFFF"/>
              <w:bottom w:val="single" w:sz="8" w:space="0" w:color="FFFFFF"/>
              <w:right w:val="single" w:sz="8" w:space="0" w:color="FFFFFF"/>
            </w:tcBorders>
            <w:shd w:val="clear" w:color="auto" w:fill="4F81BD"/>
            <w:tcMar>
              <w:top w:w="57" w:type="dxa"/>
              <w:left w:w="15" w:type="dxa"/>
              <w:bottom w:w="28" w:type="dxa"/>
              <w:right w:w="15" w:type="dxa"/>
            </w:tcMar>
          </w:tcPr>
          <w:p w:rsidR="00D76C43" w:rsidRPr="00701EA8" w:rsidRDefault="00D76C43" w:rsidP="00AB0981">
            <w:pPr>
              <w:spacing w:before="40"/>
              <w:ind w:left="29" w:right="115"/>
              <w:rPr>
                <w:rFonts w:ascii="Arial" w:hAnsi="Arial" w:cs="Arial"/>
                <w:b/>
                <w:bCs/>
                <w:color w:val="FFFFFF" w:themeColor="light1"/>
                <w:kern w:val="24"/>
              </w:rPr>
            </w:pPr>
            <w:r>
              <w:rPr>
                <w:rFonts w:ascii="Arial" w:hAnsi="Arial" w:cs="Arial"/>
                <w:b/>
                <w:bCs/>
                <w:color w:val="FFFFFF" w:themeColor="light1"/>
                <w:kern w:val="24"/>
              </w:rPr>
              <w:t>Significant</w:t>
            </w:r>
            <w:r w:rsidRPr="00701EA8">
              <w:rPr>
                <w:rFonts w:ascii="Arial" w:hAnsi="Arial" w:cs="Arial"/>
                <w:b/>
                <w:bCs/>
                <w:color w:val="FFFFFF" w:themeColor="light1"/>
                <w:kern w:val="24"/>
              </w:rPr>
              <w:t xml:space="preserve"> action</w:t>
            </w:r>
          </w:p>
        </w:tc>
        <w:tc>
          <w:tcPr>
            <w:tcW w:w="1418" w:type="dxa"/>
            <w:tcBorders>
              <w:top w:val="single" w:sz="24" w:space="0" w:color="FFFFFF"/>
              <w:left w:val="single" w:sz="8" w:space="0" w:color="FFFFFF"/>
              <w:bottom w:val="single" w:sz="8" w:space="0" w:color="FFFFFF"/>
              <w:right w:val="single" w:sz="8" w:space="0" w:color="FFFFFF"/>
            </w:tcBorders>
            <w:shd w:val="clear" w:color="auto" w:fill="D0D8E8"/>
            <w:tcMar>
              <w:top w:w="57" w:type="dxa"/>
              <w:left w:w="15" w:type="dxa"/>
              <w:bottom w:w="28" w:type="dxa"/>
              <w:right w:w="15" w:type="dxa"/>
            </w:tcMar>
          </w:tcPr>
          <w:p w:rsidR="00D76C43" w:rsidRPr="00AB0981" w:rsidRDefault="00D76C43" w:rsidP="00701EA8">
            <w:pPr>
              <w:spacing w:before="40"/>
              <w:ind w:left="29" w:right="115"/>
              <w:jc w:val="center"/>
              <w:rPr>
                <w:rFonts w:ascii="Arial" w:hAnsi="Arial" w:cs="Arial"/>
                <w:color w:val="000000" w:themeColor="dark1"/>
                <w:kern w:val="24"/>
                <w:sz w:val="18"/>
                <w:szCs w:val="18"/>
              </w:rPr>
            </w:pPr>
            <w:r w:rsidRPr="00AB0981">
              <w:rPr>
                <w:rFonts w:ascii="Arial" w:hAnsi="Arial" w:cs="Arial"/>
                <w:color w:val="000000" w:themeColor="dark1"/>
                <w:kern w:val="24"/>
                <w:sz w:val="18"/>
                <w:szCs w:val="18"/>
              </w:rPr>
              <w:t>14.4</w:t>
            </w:r>
            <w:r>
              <w:rPr>
                <w:rFonts w:ascii="Arial" w:hAnsi="Arial" w:cs="Arial"/>
                <w:color w:val="000000" w:themeColor="dark1"/>
                <w:kern w:val="24"/>
                <w:sz w:val="18"/>
                <w:szCs w:val="18"/>
              </w:rPr>
              <w:t xml:space="preserve"> </w:t>
            </w:r>
            <w:r w:rsidRPr="00D44FCF">
              <w:rPr>
                <w:lang w:val="en-US" w:eastAsia="en-US"/>
              </w:rPr>
              <w:t>tCO</w:t>
            </w:r>
            <w:r w:rsidRPr="00D44FCF">
              <w:rPr>
                <w:vertAlign w:val="subscript"/>
                <w:lang w:val="en-US" w:eastAsia="en-US"/>
              </w:rPr>
              <w:t>2</w:t>
            </w:r>
            <w:r w:rsidRPr="00D44FCF">
              <w:rPr>
                <w:lang w:val="en-US" w:eastAsia="en-US"/>
              </w:rPr>
              <w:t>-e</w:t>
            </w:r>
          </w:p>
        </w:tc>
        <w:tc>
          <w:tcPr>
            <w:tcW w:w="1175" w:type="dxa"/>
            <w:tcBorders>
              <w:top w:val="single" w:sz="24" w:space="0" w:color="FFFFFF"/>
              <w:left w:val="single" w:sz="8" w:space="0" w:color="FFFFFF"/>
              <w:bottom w:val="single" w:sz="8" w:space="0" w:color="FFFFFF"/>
              <w:right w:val="single" w:sz="8" w:space="0" w:color="FFFFFF"/>
            </w:tcBorders>
            <w:shd w:val="clear" w:color="auto" w:fill="D0D8E8"/>
            <w:tcMar>
              <w:top w:w="57" w:type="dxa"/>
              <w:left w:w="15" w:type="dxa"/>
              <w:bottom w:w="28" w:type="dxa"/>
              <w:right w:w="15" w:type="dxa"/>
            </w:tcMar>
          </w:tcPr>
          <w:p w:rsidR="00D76C43" w:rsidRPr="00AB0981" w:rsidRDefault="00D76C43" w:rsidP="00701EA8">
            <w:pPr>
              <w:spacing w:before="40"/>
              <w:ind w:left="29" w:right="115"/>
              <w:jc w:val="center"/>
              <w:rPr>
                <w:rFonts w:ascii="Arial" w:hAnsi="Arial" w:cs="Arial"/>
                <w:color w:val="000000" w:themeColor="dark1"/>
                <w:kern w:val="24"/>
                <w:sz w:val="18"/>
                <w:szCs w:val="18"/>
              </w:rPr>
            </w:pPr>
            <w:r w:rsidRPr="00AB0981">
              <w:rPr>
                <w:rFonts w:ascii="Arial" w:hAnsi="Arial" w:cs="Arial"/>
                <w:color w:val="000000" w:themeColor="dark1"/>
                <w:kern w:val="24"/>
                <w:sz w:val="18"/>
                <w:szCs w:val="18"/>
              </w:rPr>
              <w:t>2050</w:t>
            </w:r>
          </w:p>
        </w:tc>
        <w:tc>
          <w:tcPr>
            <w:tcW w:w="1417" w:type="dxa"/>
            <w:tcBorders>
              <w:top w:val="single" w:sz="24" w:space="0" w:color="FFFFFF"/>
              <w:left w:val="single" w:sz="8" w:space="0" w:color="FFFFFF"/>
              <w:bottom w:val="single" w:sz="8" w:space="0" w:color="FFFFFF"/>
              <w:right w:val="single" w:sz="8" w:space="0" w:color="FFFFFF"/>
            </w:tcBorders>
            <w:shd w:val="clear" w:color="auto" w:fill="D0D8E8"/>
            <w:tcMar>
              <w:top w:w="57" w:type="dxa"/>
              <w:left w:w="15" w:type="dxa"/>
              <w:bottom w:w="28" w:type="dxa"/>
              <w:right w:w="15" w:type="dxa"/>
            </w:tcMar>
          </w:tcPr>
          <w:p w:rsidR="00D76C43" w:rsidRPr="00AB0981" w:rsidRDefault="00D76C43" w:rsidP="00701EA8">
            <w:pPr>
              <w:spacing w:before="40"/>
              <w:ind w:left="29" w:right="115"/>
              <w:jc w:val="center"/>
              <w:rPr>
                <w:rFonts w:ascii="Arial" w:hAnsi="Arial" w:cs="Arial"/>
                <w:color w:val="000000" w:themeColor="dark1"/>
                <w:kern w:val="24"/>
                <w:sz w:val="18"/>
                <w:szCs w:val="18"/>
              </w:rPr>
            </w:pPr>
            <w:r w:rsidRPr="00AB0981">
              <w:rPr>
                <w:rFonts w:ascii="Arial" w:hAnsi="Arial" w:cs="Arial"/>
                <w:color w:val="000000" w:themeColor="dark1"/>
                <w:kern w:val="24"/>
                <w:sz w:val="18"/>
                <w:szCs w:val="18"/>
              </w:rPr>
              <w:t>yes</w:t>
            </w:r>
          </w:p>
        </w:tc>
        <w:tc>
          <w:tcPr>
            <w:tcW w:w="4395" w:type="dxa"/>
            <w:tcBorders>
              <w:top w:val="single" w:sz="24" w:space="0" w:color="FFFFFF"/>
              <w:left w:val="single" w:sz="8" w:space="0" w:color="FFFFFF"/>
              <w:bottom w:val="single" w:sz="8" w:space="0" w:color="FFFFFF"/>
              <w:right w:val="single" w:sz="8" w:space="0" w:color="FFFFFF"/>
            </w:tcBorders>
            <w:shd w:val="clear" w:color="auto" w:fill="D0D8E8"/>
            <w:tcMar>
              <w:top w:w="57" w:type="dxa"/>
              <w:left w:w="15" w:type="dxa"/>
              <w:bottom w:w="28" w:type="dxa"/>
              <w:right w:w="15" w:type="dxa"/>
            </w:tcMar>
          </w:tcPr>
          <w:p w:rsidR="00D76C43" w:rsidRPr="00AB0981" w:rsidRDefault="00D76C43" w:rsidP="00AB0981">
            <w:pPr>
              <w:spacing w:before="40"/>
              <w:ind w:left="29" w:right="115"/>
              <w:rPr>
                <w:rFonts w:ascii="Arial" w:hAnsi="Arial" w:cs="Arial"/>
                <w:color w:val="000000" w:themeColor="dark1"/>
                <w:kern w:val="24"/>
                <w:sz w:val="18"/>
                <w:szCs w:val="18"/>
              </w:rPr>
            </w:pPr>
            <w:r w:rsidRPr="00AB0981">
              <w:rPr>
                <w:rFonts w:ascii="Arial" w:hAnsi="Arial" w:cs="Arial"/>
                <w:color w:val="000000" w:themeColor="dark1"/>
                <w:kern w:val="24"/>
                <w:sz w:val="18"/>
                <w:szCs w:val="18"/>
              </w:rPr>
              <w:t xml:space="preserve">Investment of $2.3 billion to implement, however reduces the municipality economic burden by </w:t>
            </w:r>
            <w:r>
              <w:rPr>
                <w:rFonts w:ascii="Arial" w:hAnsi="Arial" w:cs="Arial"/>
                <w:color w:val="000000" w:themeColor="dark1"/>
                <w:kern w:val="24"/>
                <w:sz w:val="18"/>
                <w:szCs w:val="18"/>
              </w:rPr>
              <w:t xml:space="preserve">      </w:t>
            </w:r>
            <w:r w:rsidRPr="00AB0981">
              <w:rPr>
                <w:rFonts w:ascii="Arial" w:hAnsi="Arial" w:cs="Arial"/>
                <w:color w:val="000000" w:themeColor="dark1"/>
                <w:kern w:val="24"/>
                <w:sz w:val="18"/>
                <w:szCs w:val="18"/>
              </w:rPr>
              <w:t>$3.1 billion</w:t>
            </w:r>
          </w:p>
        </w:tc>
      </w:tr>
      <w:tr w:rsidR="00D76C43" w:rsidRPr="00AB0981" w:rsidTr="00D76C43">
        <w:trPr>
          <w:trHeight w:val="1034"/>
        </w:trPr>
        <w:tc>
          <w:tcPr>
            <w:tcW w:w="1716" w:type="dxa"/>
            <w:tcBorders>
              <w:top w:val="single" w:sz="8" w:space="0" w:color="FFFFFF"/>
              <w:left w:val="single" w:sz="8" w:space="0" w:color="FFFFFF"/>
              <w:bottom w:val="single" w:sz="8" w:space="0" w:color="FFFFFF"/>
              <w:right w:val="single" w:sz="8" w:space="0" w:color="FFFFFF"/>
            </w:tcBorders>
            <w:shd w:val="clear" w:color="auto" w:fill="4F81BD"/>
            <w:tcMar>
              <w:top w:w="57" w:type="dxa"/>
              <w:left w:w="15" w:type="dxa"/>
              <w:bottom w:w="28" w:type="dxa"/>
              <w:right w:w="15" w:type="dxa"/>
            </w:tcMar>
            <w:hideMark/>
          </w:tcPr>
          <w:p w:rsidR="00D76C43" w:rsidRPr="00701EA8" w:rsidRDefault="00D76C43" w:rsidP="00AB0981">
            <w:pPr>
              <w:spacing w:before="40"/>
              <w:ind w:left="29" w:right="115"/>
              <w:rPr>
                <w:rFonts w:ascii="Arial" w:hAnsi="Arial" w:cs="Arial"/>
                <w:color w:val="auto"/>
              </w:rPr>
            </w:pPr>
            <w:r w:rsidRPr="00701EA8">
              <w:rPr>
                <w:rFonts w:ascii="Arial" w:hAnsi="Arial" w:cs="Arial"/>
                <w:b/>
                <w:bCs/>
                <w:color w:val="FFFFFF" w:themeColor="light1"/>
                <w:kern w:val="24"/>
              </w:rPr>
              <w:t>Accelerated action</w:t>
            </w:r>
          </w:p>
        </w:tc>
        <w:tc>
          <w:tcPr>
            <w:tcW w:w="1418" w:type="dxa"/>
            <w:tcBorders>
              <w:top w:val="single" w:sz="8" w:space="0" w:color="FFFFFF"/>
              <w:left w:val="single" w:sz="8" w:space="0" w:color="FFFFFF"/>
              <w:bottom w:val="single" w:sz="8" w:space="0" w:color="FFFFFF"/>
              <w:right w:val="single" w:sz="8" w:space="0" w:color="FFFFFF"/>
            </w:tcBorders>
            <w:shd w:val="clear" w:color="auto" w:fill="E9EDF4"/>
            <w:tcMar>
              <w:top w:w="57" w:type="dxa"/>
              <w:left w:w="15" w:type="dxa"/>
              <w:bottom w:w="28" w:type="dxa"/>
              <w:right w:w="15" w:type="dxa"/>
            </w:tcMar>
            <w:hideMark/>
          </w:tcPr>
          <w:p w:rsidR="00D76C43" w:rsidRPr="00AB0981" w:rsidRDefault="00D76C43" w:rsidP="00701EA8">
            <w:pPr>
              <w:spacing w:before="40"/>
              <w:ind w:left="29" w:right="115"/>
              <w:jc w:val="center"/>
              <w:rPr>
                <w:rFonts w:ascii="Arial" w:hAnsi="Arial" w:cs="Arial"/>
                <w:color w:val="auto"/>
                <w:sz w:val="18"/>
                <w:szCs w:val="18"/>
              </w:rPr>
            </w:pPr>
            <w:r w:rsidRPr="00AB0981">
              <w:rPr>
                <w:rFonts w:ascii="Arial" w:hAnsi="Arial" w:cs="Arial"/>
                <w:color w:val="000000" w:themeColor="dark1"/>
                <w:kern w:val="24"/>
                <w:sz w:val="18"/>
                <w:szCs w:val="18"/>
              </w:rPr>
              <w:t>10.2</w:t>
            </w:r>
            <w:r>
              <w:rPr>
                <w:rFonts w:ascii="Arial" w:hAnsi="Arial" w:cs="Arial"/>
                <w:color w:val="000000" w:themeColor="dark1"/>
                <w:kern w:val="24"/>
                <w:sz w:val="18"/>
                <w:szCs w:val="18"/>
              </w:rPr>
              <w:t xml:space="preserve"> </w:t>
            </w:r>
            <w:r w:rsidRPr="00D44FCF">
              <w:rPr>
                <w:lang w:val="en-US" w:eastAsia="en-US"/>
              </w:rPr>
              <w:t>tCO</w:t>
            </w:r>
            <w:r w:rsidRPr="00D44FCF">
              <w:rPr>
                <w:vertAlign w:val="subscript"/>
                <w:lang w:val="en-US" w:eastAsia="en-US"/>
              </w:rPr>
              <w:t>2</w:t>
            </w:r>
            <w:r w:rsidRPr="00D44FCF">
              <w:rPr>
                <w:lang w:val="en-US" w:eastAsia="en-US"/>
              </w:rPr>
              <w:t>-e</w:t>
            </w:r>
          </w:p>
        </w:tc>
        <w:tc>
          <w:tcPr>
            <w:tcW w:w="1175" w:type="dxa"/>
            <w:tcBorders>
              <w:top w:val="single" w:sz="8" w:space="0" w:color="FFFFFF"/>
              <w:left w:val="single" w:sz="8" w:space="0" w:color="FFFFFF"/>
              <w:bottom w:val="single" w:sz="8" w:space="0" w:color="FFFFFF"/>
              <w:right w:val="single" w:sz="8" w:space="0" w:color="FFFFFF"/>
            </w:tcBorders>
            <w:shd w:val="clear" w:color="auto" w:fill="E9EDF4"/>
            <w:tcMar>
              <w:top w:w="57" w:type="dxa"/>
              <w:left w:w="15" w:type="dxa"/>
              <w:bottom w:w="28" w:type="dxa"/>
              <w:right w:w="15" w:type="dxa"/>
            </w:tcMar>
            <w:hideMark/>
          </w:tcPr>
          <w:p w:rsidR="00D76C43" w:rsidRPr="00AB0981" w:rsidRDefault="00D76C43" w:rsidP="00701EA8">
            <w:pPr>
              <w:spacing w:before="40"/>
              <w:ind w:left="29" w:right="115"/>
              <w:jc w:val="center"/>
              <w:rPr>
                <w:rFonts w:ascii="Arial" w:hAnsi="Arial" w:cs="Arial"/>
                <w:color w:val="auto"/>
                <w:sz w:val="18"/>
                <w:szCs w:val="18"/>
              </w:rPr>
            </w:pPr>
            <w:r w:rsidRPr="00AB0981">
              <w:rPr>
                <w:rFonts w:ascii="Arial" w:hAnsi="Arial" w:cs="Arial"/>
                <w:color w:val="000000" w:themeColor="dark1"/>
                <w:kern w:val="24"/>
                <w:sz w:val="18"/>
                <w:szCs w:val="18"/>
              </w:rPr>
              <w:t>2043</w:t>
            </w:r>
          </w:p>
        </w:tc>
        <w:tc>
          <w:tcPr>
            <w:tcW w:w="1417" w:type="dxa"/>
            <w:tcBorders>
              <w:top w:val="single" w:sz="8" w:space="0" w:color="FFFFFF"/>
              <w:left w:val="single" w:sz="8" w:space="0" w:color="FFFFFF"/>
              <w:bottom w:val="single" w:sz="8" w:space="0" w:color="FFFFFF"/>
              <w:right w:val="single" w:sz="8" w:space="0" w:color="FFFFFF"/>
            </w:tcBorders>
            <w:shd w:val="clear" w:color="auto" w:fill="E9EDF4"/>
            <w:tcMar>
              <w:top w:w="57" w:type="dxa"/>
              <w:left w:w="15" w:type="dxa"/>
              <w:bottom w:w="28" w:type="dxa"/>
              <w:right w:w="15" w:type="dxa"/>
            </w:tcMar>
            <w:hideMark/>
          </w:tcPr>
          <w:p w:rsidR="00D76C43" w:rsidRPr="00AB0981" w:rsidRDefault="00D76C43" w:rsidP="00701EA8">
            <w:pPr>
              <w:spacing w:before="40"/>
              <w:ind w:left="29" w:right="115"/>
              <w:jc w:val="center"/>
              <w:rPr>
                <w:rFonts w:ascii="Arial" w:hAnsi="Arial" w:cs="Arial"/>
                <w:color w:val="auto"/>
                <w:sz w:val="18"/>
                <w:szCs w:val="18"/>
              </w:rPr>
            </w:pPr>
            <w:r w:rsidRPr="00AB0981">
              <w:rPr>
                <w:rFonts w:ascii="Arial" w:hAnsi="Arial" w:cs="Arial"/>
                <w:color w:val="000000" w:themeColor="dark1"/>
                <w:kern w:val="24"/>
                <w:sz w:val="18"/>
                <w:szCs w:val="18"/>
              </w:rPr>
              <w:t>yes</w:t>
            </w:r>
          </w:p>
        </w:tc>
        <w:tc>
          <w:tcPr>
            <w:tcW w:w="4395" w:type="dxa"/>
            <w:tcBorders>
              <w:top w:val="single" w:sz="8" w:space="0" w:color="FFFFFF"/>
              <w:left w:val="single" w:sz="8" w:space="0" w:color="FFFFFF"/>
              <w:bottom w:val="single" w:sz="8" w:space="0" w:color="FFFFFF"/>
              <w:right w:val="single" w:sz="8" w:space="0" w:color="FFFFFF"/>
            </w:tcBorders>
            <w:shd w:val="clear" w:color="auto" w:fill="E9EDF4"/>
            <w:tcMar>
              <w:top w:w="57" w:type="dxa"/>
              <w:left w:w="15" w:type="dxa"/>
              <w:bottom w:w="28" w:type="dxa"/>
              <w:right w:w="15" w:type="dxa"/>
            </w:tcMar>
            <w:hideMark/>
          </w:tcPr>
          <w:p w:rsidR="00D76C43" w:rsidRPr="00AB0981" w:rsidRDefault="00D76C43" w:rsidP="00AB0981">
            <w:pPr>
              <w:spacing w:before="40"/>
              <w:ind w:left="29" w:right="115"/>
              <w:rPr>
                <w:rFonts w:ascii="Arial" w:hAnsi="Arial" w:cs="Arial"/>
                <w:color w:val="auto"/>
                <w:sz w:val="18"/>
                <w:szCs w:val="18"/>
              </w:rPr>
            </w:pPr>
            <w:r w:rsidRPr="00AB0981">
              <w:rPr>
                <w:rFonts w:ascii="Arial" w:hAnsi="Arial" w:cs="Arial"/>
                <w:color w:val="000000" w:themeColor="dark1"/>
                <w:kern w:val="24"/>
                <w:sz w:val="18"/>
                <w:szCs w:val="18"/>
              </w:rPr>
              <w:t>Investment of $2.9 billion to implement, however reduces the municipality economic burden (BAU) by $5.6 billion</w:t>
            </w:r>
          </w:p>
        </w:tc>
      </w:tr>
    </w:tbl>
    <w:p w:rsidR="00AC4B59" w:rsidRDefault="00022CDB" w:rsidP="00905100">
      <w:pPr>
        <w:spacing w:before="200" w:after="200"/>
      </w:pPr>
      <w:r>
        <w:t>If we do not act decisively to reduce emissions</w:t>
      </w:r>
      <w:r w:rsidR="00EB1B9D">
        <w:t xml:space="preserve"> as part of the global effort</w:t>
      </w:r>
      <w:r w:rsidR="00ED2F67">
        <w:t>,</w:t>
      </w:r>
      <w:r>
        <w:t xml:space="preserve"> </w:t>
      </w:r>
      <w:r w:rsidR="00EB1B9D">
        <w:t>the impacts of climate change and missed economic opportunities of transitioning to a low carbon economy</w:t>
      </w:r>
      <w:r w:rsidR="004C1399">
        <w:t xml:space="preserve"> will cost the community</w:t>
      </w:r>
      <w:r>
        <w:t xml:space="preserve"> </w:t>
      </w:r>
      <w:r w:rsidRPr="00951BB5">
        <w:t>$12.6 billion</w:t>
      </w:r>
      <w:r>
        <w:t xml:space="preserve"> from 2020 to 2050</w:t>
      </w:r>
      <w:r w:rsidR="002433C8">
        <w:t xml:space="preserve"> (</w:t>
      </w:r>
      <w:r w:rsidR="00967AF5">
        <w:t>business</w:t>
      </w:r>
      <w:r w:rsidR="002433C8">
        <w:t xml:space="preserve"> as usual scenario)</w:t>
      </w:r>
      <w:r>
        <w:t>.</w:t>
      </w:r>
      <w:r w:rsidRPr="009C5846">
        <w:t xml:space="preserve"> </w:t>
      </w:r>
      <w:r>
        <w:t>The second scenario</w:t>
      </w:r>
      <w:r w:rsidR="00ED2F67">
        <w:t xml:space="preserve"> requires purchasing offsets to meet </w:t>
      </w:r>
      <w:r>
        <w:t>the target of zero net emissions</w:t>
      </w:r>
      <w:r w:rsidR="00ED2F67">
        <w:t xml:space="preserve">. This does </w:t>
      </w:r>
      <w:r>
        <w:t>not address the causes of greenhouse gas emissions</w:t>
      </w:r>
      <w:r w:rsidR="00ED2F67">
        <w:t xml:space="preserve"> and </w:t>
      </w:r>
      <w:r>
        <w:t>provides no return on investment to the Melbourne community.</w:t>
      </w:r>
      <w:r w:rsidR="001030B1" w:rsidRPr="001030B1">
        <w:t xml:space="preserve"> </w:t>
      </w:r>
      <w:r w:rsidR="00AC4B59">
        <w:t>For the reasons above</w:t>
      </w:r>
      <w:r w:rsidR="00ED2F67">
        <w:t>,</w:t>
      </w:r>
      <w:r w:rsidR="00AC4B59">
        <w:t xml:space="preserve"> scenarios 1 and 2 do not appear to be in the be</w:t>
      </w:r>
      <w:r w:rsidR="004C1399">
        <w:t>st interests of the community</w:t>
      </w:r>
      <w:r w:rsidR="00AC4B59">
        <w:t>.</w:t>
      </w:r>
    </w:p>
    <w:p w:rsidR="004D6FD4" w:rsidRDefault="004D6FD4" w:rsidP="00905100">
      <w:pPr>
        <w:spacing w:before="200" w:after="200"/>
      </w:pPr>
      <w:r>
        <w:t xml:space="preserve">According to preliminary estimates, we will generate substantial social, economic and environmental benefits for the community by taking decisive action to reduce emissions. The preliminary estimate of the </w:t>
      </w:r>
      <w:r w:rsidRPr="00C23281">
        <w:rPr>
          <w:b/>
        </w:rPr>
        <w:t>net benefits</w:t>
      </w:r>
      <w:r>
        <w:t xml:space="preserve"> to the community is $3.1 billion for the </w:t>
      </w:r>
      <w:r w:rsidR="009D1DFE">
        <w:t>significant</w:t>
      </w:r>
      <w:r>
        <w:t xml:space="preserve"> action scenario and $5.6 billion for the accelerated action scenario</w:t>
      </w:r>
      <w:r w:rsidRPr="00C23281">
        <w:t xml:space="preserve"> </w:t>
      </w:r>
      <w:r w:rsidR="00184211">
        <w:t>when compared to</w:t>
      </w:r>
      <w:r>
        <w:t xml:space="preserve"> business as usual over the 2020–2050 </w:t>
      </w:r>
      <w:proofErr w:type="gramStart"/>
      <w:r>
        <w:t>period</w:t>
      </w:r>
      <w:proofErr w:type="gramEnd"/>
      <w:r>
        <w:t>.</w:t>
      </w:r>
      <w:r w:rsidR="00184211">
        <w:t xml:space="preserve"> The benefits are generated by the reduced burden of climate impact on the economy</w:t>
      </w:r>
      <w:r w:rsidR="00924297">
        <w:t xml:space="preserve"> if the science-based targets in the Paris Climate Agreement are achieved</w:t>
      </w:r>
      <w:r w:rsidR="00184211">
        <w:t>.</w:t>
      </w:r>
    </w:p>
    <w:p w:rsidR="00C966C8" w:rsidRDefault="00C966C8" w:rsidP="00905100">
      <w:pPr>
        <w:spacing w:before="200" w:after="200"/>
      </w:pPr>
      <w:r>
        <w:t xml:space="preserve">The emission reduction targets that </w:t>
      </w:r>
      <w:r w:rsidR="005F5F41">
        <w:t xml:space="preserve">the </w:t>
      </w:r>
      <w:r w:rsidR="009D1DFE">
        <w:t>significant</w:t>
      </w:r>
      <w:r w:rsidR="005F5F41">
        <w:t xml:space="preserve"> and</w:t>
      </w:r>
      <w:r w:rsidR="006C2696">
        <w:t xml:space="preserve"> a</w:t>
      </w:r>
      <w:r w:rsidR="00795FD3">
        <w:t>ccelerated</w:t>
      </w:r>
      <w:r w:rsidR="00F607A1">
        <w:t xml:space="preserve"> </w:t>
      </w:r>
      <w:r w:rsidR="006C2696">
        <w:t xml:space="preserve">action </w:t>
      </w:r>
      <w:r w:rsidR="00F607A1">
        <w:t>scenario</w:t>
      </w:r>
      <w:r w:rsidR="005F5F41">
        <w:t>s</w:t>
      </w:r>
      <w:r>
        <w:t xml:space="preserve"> could achieve in 2025</w:t>
      </w:r>
      <w:r w:rsidR="00317D46">
        <w:t xml:space="preserve">, </w:t>
      </w:r>
      <w:r>
        <w:t xml:space="preserve">2030 </w:t>
      </w:r>
      <w:r w:rsidR="00317D46">
        <w:t xml:space="preserve">and 2050 </w:t>
      </w:r>
      <w:r w:rsidR="005F5F41">
        <w:t>are</w:t>
      </w:r>
      <w:r>
        <w:t xml:space="preserve"> presented in the table</w:t>
      </w:r>
      <w:r w:rsidR="005F5F41">
        <w:t>s</w:t>
      </w:r>
      <w:r>
        <w:t xml:space="preserve"> below. </w:t>
      </w:r>
      <w:r w:rsidR="005F5F41">
        <w:t>Both</w:t>
      </w:r>
      <w:r w:rsidR="00A34EC0">
        <w:t xml:space="preserve"> scenarios align to the science-based targets of the Paris Climate Agreement.</w:t>
      </w:r>
    </w:p>
    <w:p w:rsidR="008803BF" w:rsidRDefault="008803BF" w:rsidP="00905100">
      <w:pPr>
        <w:spacing w:before="200" w:after="200"/>
      </w:pPr>
    </w:p>
    <w:p w:rsidR="008803BF" w:rsidRDefault="008803BF" w:rsidP="00905100">
      <w:pPr>
        <w:spacing w:before="200" w:after="200"/>
      </w:pPr>
    </w:p>
    <w:p w:rsidR="008803BF" w:rsidRDefault="008803BF" w:rsidP="00905100">
      <w:pPr>
        <w:spacing w:before="200" w:after="200"/>
      </w:pPr>
    </w:p>
    <w:p w:rsidR="000A5379" w:rsidRDefault="000A5379" w:rsidP="00B32DF0">
      <w:pPr>
        <w:pStyle w:val="Caption"/>
      </w:pPr>
      <w:bookmarkStart w:id="10" w:name="_Toc522633209"/>
      <w:bookmarkStart w:id="11" w:name="_Toc518496799"/>
      <w:r>
        <w:t xml:space="preserve">Table </w:t>
      </w:r>
      <w:r w:rsidR="00001DF1">
        <w:rPr>
          <w:noProof/>
        </w:rPr>
        <w:t>2</w:t>
      </w:r>
      <w:r>
        <w:t xml:space="preserve"> </w:t>
      </w:r>
      <w:r w:rsidRPr="00663F7D">
        <w:t xml:space="preserve">Proposed targets: </w:t>
      </w:r>
      <w:r w:rsidR="009D1DFE">
        <w:t>significant</w:t>
      </w:r>
      <w:r w:rsidRPr="00663F7D">
        <w:t xml:space="preserve"> action scenario</w:t>
      </w:r>
      <w:bookmarkEnd w:id="10"/>
    </w:p>
    <w:tbl>
      <w:tblPr>
        <w:tblW w:w="0" w:type="auto"/>
        <w:tblCellMar>
          <w:left w:w="0" w:type="dxa"/>
          <w:right w:w="0" w:type="dxa"/>
        </w:tblCellMar>
        <w:tblLook w:val="04A0" w:firstRow="1" w:lastRow="0" w:firstColumn="1" w:lastColumn="0" w:noHBand="0" w:noVBand="1"/>
      </w:tblPr>
      <w:tblGrid>
        <w:gridCol w:w="1555"/>
        <w:gridCol w:w="1417"/>
        <w:gridCol w:w="1418"/>
        <w:gridCol w:w="1842"/>
        <w:gridCol w:w="1843"/>
      </w:tblGrid>
      <w:tr w:rsidR="00F132C6" w:rsidTr="00C35C19">
        <w:tc>
          <w:tcPr>
            <w:tcW w:w="1555" w:type="dxa"/>
            <w:vMerge w:val="restart"/>
            <w:tcBorders>
              <w:top w:val="single" w:sz="8" w:space="0" w:color="FFFFFF"/>
              <w:left w:val="single" w:sz="8" w:space="0" w:color="FFFFFF"/>
              <w:bottom w:val="single" w:sz="8" w:space="0" w:color="7F7F7F"/>
              <w:right w:val="nil"/>
            </w:tcBorders>
            <w:tcMar>
              <w:top w:w="0" w:type="dxa"/>
              <w:left w:w="108" w:type="dxa"/>
              <w:bottom w:w="0" w:type="dxa"/>
              <w:right w:w="108" w:type="dxa"/>
            </w:tcMar>
            <w:hideMark/>
          </w:tcPr>
          <w:p w:rsidR="00F132C6" w:rsidRPr="00D44FCF" w:rsidRDefault="00F132C6">
            <w:pPr>
              <w:spacing w:line="240" w:lineRule="auto"/>
              <w:rPr>
                <w:rFonts w:ascii="Times New Roman" w:hAnsi="Times New Roman"/>
                <w:color w:val="auto"/>
              </w:rPr>
            </w:pPr>
          </w:p>
        </w:tc>
        <w:tc>
          <w:tcPr>
            <w:tcW w:w="1417" w:type="dxa"/>
            <w:tcBorders>
              <w:top w:val="single" w:sz="8" w:space="0" w:color="7F7F7F"/>
              <w:left w:val="nil"/>
              <w:bottom w:val="single" w:sz="8" w:space="0" w:color="7F7F7F"/>
              <w:right w:val="nil"/>
            </w:tcBorders>
            <w:shd w:val="clear" w:color="auto" w:fill="323232"/>
            <w:tcMar>
              <w:top w:w="0" w:type="dxa"/>
              <w:left w:w="108" w:type="dxa"/>
              <w:bottom w:w="0" w:type="dxa"/>
              <w:right w:w="108" w:type="dxa"/>
            </w:tcMar>
            <w:hideMark/>
          </w:tcPr>
          <w:p w:rsidR="00F132C6" w:rsidRPr="00D44FCF" w:rsidRDefault="00F132C6">
            <w:pPr>
              <w:autoSpaceDE w:val="0"/>
              <w:autoSpaceDN w:val="0"/>
              <w:jc w:val="center"/>
              <w:rPr>
                <w:rFonts w:ascii="EYInterstate Light" w:eastAsiaTheme="minorHAnsi" w:hAnsi="EYInterstate Light"/>
                <w:b/>
                <w:bCs/>
                <w:color w:val="FFFFFF" w:themeColor="background1"/>
                <w:lang w:val="en-US" w:eastAsia="en-US"/>
              </w:rPr>
            </w:pPr>
            <w:r w:rsidRPr="00D44FCF">
              <w:rPr>
                <w:b/>
                <w:bCs/>
                <w:color w:val="FFFFFF" w:themeColor="background1"/>
                <w:lang w:val="en-US" w:eastAsia="en-US"/>
              </w:rPr>
              <w:t>Baseline</w:t>
            </w:r>
          </w:p>
        </w:tc>
        <w:tc>
          <w:tcPr>
            <w:tcW w:w="5103" w:type="dxa"/>
            <w:gridSpan w:val="3"/>
            <w:tcBorders>
              <w:top w:val="single" w:sz="8" w:space="0" w:color="7F7F7F"/>
              <w:left w:val="nil"/>
              <w:bottom w:val="single" w:sz="8" w:space="0" w:color="7F7F7F"/>
              <w:right w:val="nil"/>
            </w:tcBorders>
            <w:shd w:val="clear" w:color="auto" w:fill="9FCBEA" w:themeFill="accent1" w:themeFillTint="66"/>
            <w:tcMar>
              <w:top w:w="0" w:type="dxa"/>
              <w:left w:w="108" w:type="dxa"/>
              <w:bottom w:w="0" w:type="dxa"/>
              <w:right w:w="108" w:type="dxa"/>
            </w:tcMar>
            <w:hideMark/>
          </w:tcPr>
          <w:p w:rsidR="00F132C6" w:rsidRPr="00D44FCF" w:rsidRDefault="009D1DFE">
            <w:pPr>
              <w:autoSpaceDE w:val="0"/>
              <w:autoSpaceDN w:val="0"/>
              <w:jc w:val="center"/>
              <w:rPr>
                <w:rFonts w:ascii="EYInterstate Light" w:eastAsiaTheme="minorHAnsi" w:hAnsi="EYInterstate Light"/>
                <w:b/>
                <w:bCs/>
                <w:color w:val="000000"/>
                <w:lang w:val="en-US" w:eastAsia="en-US"/>
              </w:rPr>
            </w:pPr>
            <w:r>
              <w:rPr>
                <w:b/>
                <w:bCs/>
                <w:lang w:val="en-US" w:eastAsia="en-US"/>
              </w:rPr>
              <w:t>significant</w:t>
            </w:r>
            <w:r w:rsidR="00F132C6" w:rsidRPr="00D44FCF">
              <w:rPr>
                <w:b/>
                <w:bCs/>
                <w:lang w:val="en-US" w:eastAsia="en-US"/>
              </w:rPr>
              <w:t xml:space="preserve"> </w:t>
            </w:r>
            <w:r w:rsidR="002F3782">
              <w:rPr>
                <w:b/>
                <w:bCs/>
                <w:lang w:val="en-US" w:eastAsia="en-US"/>
              </w:rPr>
              <w:t>a</w:t>
            </w:r>
            <w:r w:rsidR="00F132C6" w:rsidRPr="00D44FCF">
              <w:rPr>
                <w:b/>
                <w:bCs/>
                <w:lang w:val="en-US" w:eastAsia="en-US"/>
              </w:rPr>
              <w:t>ction</w:t>
            </w:r>
            <w:r w:rsidR="00D44FCF" w:rsidRPr="00D44FCF">
              <w:rPr>
                <w:b/>
                <w:bCs/>
                <w:lang w:val="en-US" w:eastAsia="en-US"/>
              </w:rPr>
              <w:t xml:space="preserve"> </w:t>
            </w:r>
            <w:r w:rsidR="002F3782">
              <w:rPr>
                <w:b/>
                <w:bCs/>
                <w:lang w:val="en-US" w:eastAsia="en-US"/>
              </w:rPr>
              <w:t>s</w:t>
            </w:r>
            <w:r w:rsidR="00D44FCF" w:rsidRPr="00D44FCF">
              <w:rPr>
                <w:b/>
                <w:bCs/>
                <w:lang w:val="en-US" w:eastAsia="en-US"/>
              </w:rPr>
              <w:t>cenario</w:t>
            </w:r>
          </w:p>
        </w:tc>
      </w:tr>
      <w:tr w:rsidR="00F132C6" w:rsidTr="00C35C19">
        <w:tc>
          <w:tcPr>
            <w:tcW w:w="0" w:type="auto"/>
            <w:vMerge/>
            <w:tcBorders>
              <w:top w:val="single" w:sz="8" w:space="0" w:color="FFFFFF"/>
              <w:left w:val="single" w:sz="8" w:space="0" w:color="FFFFFF"/>
              <w:bottom w:val="single" w:sz="8" w:space="0" w:color="7F7F7F"/>
              <w:right w:val="nil"/>
            </w:tcBorders>
            <w:vAlign w:val="center"/>
            <w:hideMark/>
          </w:tcPr>
          <w:p w:rsidR="00F132C6" w:rsidRPr="00D44FCF" w:rsidRDefault="00F132C6">
            <w:pPr>
              <w:spacing w:line="240" w:lineRule="auto"/>
              <w:rPr>
                <w:rFonts w:ascii="Times New Roman" w:hAnsi="Times New Roman"/>
                <w:color w:val="auto"/>
              </w:rPr>
            </w:pPr>
          </w:p>
        </w:tc>
        <w:tc>
          <w:tcPr>
            <w:tcW w:w="1417" w:type="dxa"/>
            <w:tcBorders>
              <w:top w:val="nil"/>
              <w:left w:val="nil"/>
              <w:bottom w:val="single" w:sz="8" w:space="0" w:color="7F7F7F"/>
              <w:right w:val="nil"/>
            </w:tcBorders>
            <w:shd w:val="clear" w:color="auto" w:fill="323232"/>
            <w:tcMar>
              <w:top w:w="0" w:type="dxa"/>
              <w:left w:w="108" w:type="dxa"/>
              <w:bottom w:w="0" w:type="dxa"/>
              <w:right w:w="108" w:type="dxa"/>
            </w:tcMar>
            <w:hideMark/>
          </w:tcPr>
          <w:p w:rsidR="00F132C6" w:rsidRPr="00D44FCF" w:rsidRDefault="00F132C6">
            <w:pPr>
              <w:autoSpaceDE w:val="0"/>
              <w:autoSpaceDN w:val="0"/>
              <w:jc w:val="center"/>
              <w:rPr>
                <w:rFonts w:ascii="EYInterstate Light" w:eastAsiaTheme="minorHAnsi" w:hAnsi="EYInterstate Light"/>
                <w:color w:val="FFFFFF" w:themeColor="background1"/>
                <w:lang w:val="en-US" w:eastAsia="en-US"/>
              </w:rPr>
            </w:pPr>
            <w:r w:rsidRPr="00D44FCF">
              <w:rPr>
                <w:color w:val="FFFFFF" w:themeColor="background1"/>
                <w:lang w:val="en-US" w:eastAsia="en-US"/>
              </w:rPr>
              <w:t>2015</w:t>
            </w:r>
          </w:p>
        </w:tc>
        <w:tc>
          <w:tcPr>
            <w:tcW w:w="1418" w:type="dxa"/>
            <w:tcBorders>
              <w:top w:val="nil"/>
              <w:left w:val="nil"/>
              <w:bottom w:val="single" w:sz="8" w:space="0" w:color="7F7F7F"/>
              <w:right w:val="nil"/>
            </w:tcBorders>
            <w:shd w:val="clear" w:color="auto" w:fill="CFE5F4" w:themeFill="accent1" w:themeFillTint="33"/>
            <w:tcMar>
              <w:top w:w="0" w:type="dxa"/>
              <w:left w:w="108" w:type="dxa"/>
              <w:bottom w:w="0" w:type="dxa"/>
              <w:right w:w="108" w:type="dxa"/>
            </w:tcMar>
            <w:hideMark/>
          </w:tcPr>
          <w:p w:rsidR="00F132C6" w:rsidRPr="00D44FCF" w:rsidRDefault="00F132C6">
            <w:pPr>
              <w:autoSpaceDE w:val="0"/>
              <w:autoSpaceDN w:val="0"/>
              <w:jc w:val="center"/>
              <w:rPr>
                <w:rFonts w:ascii="EYInterstate Light" w:eastAsiaTheme="minorHAnsi" w:hAnsi="EYInterstate Light"/>
                <w:color w:val="000000"/>
                <w:lang w:val="en-US" w:eastAsia="en-US"/>
              </w:rPr>
            </w:pPr>
            <w:r w:rsidRPr="00D44FCF">
              <w:rPr>
                <w:lang w:val="en-US" w:eastAsia="en-US"/>
              </w:rPr>
              <w:t>2025</w:t>
            </w:r>
          </w:p>
        </w:tc>
        <w:tc>
          <w:tcPr>
            <w:tcW w:w="1842" w:type="dxa"/>
            <w:tcBorders>
              <w:top w:val="nil"/>
              <w:left w:val="nil"/>
              <w:bottom w:val="single" w:sz="8" w:space="0" w:color="7F7F7F"/>
              <w:right w:val="nil"/>
            </w:tcBorders>
            <w:shd w:val="clear" w:color="auto" w:fill="CFE5F4" w:themeFill="accent1" w:themeFillTint="33"/>
            <w:tcMar>
              <w:top w:w="0" w:type="dxa"/>
              <w:left w:w="108" w:type="dxa"/>
              <w:bottom w:w="0" w:type="dxa"/>
              <w:right w:w="108" w:type="dxa"/>
            </w:tcMar>
            <w:hideMark/>
          </w:tcPr>
          <w:p w:rsidR="00F132C6" w:rsidRPr="00D44FCF" w:rsidRDefault="00F132C6">
            <w:pPr>
              <w:autoSpaceDE w:val="0"/>
              <w:autoSpaceDN w:val="0"/>
              <w:jc w:val="center"/>
              <w:rPr>
                <w:rFonts w:ascii="EYInterstate Light" w:eastAsiaTheme="minorHAnsi" w:hAnsi="EYInterstate Light"/>
                <w:color w:val="000000"/>
                <w:lang w:val="en-US" w:eastAsia="en-US"/>
              </w:rPr>
            </w:pPr>
            <w:r w:rsidRPr="00D44FCF">
              <w:rPr>
                <w:lang w:val="en-US" w:eastAsia="en-US"/>
              </w:rPr>
              <w:t>2030</w:t>
            </w:r>
          </w:p>
        </w:tc>
        <w:tc>
          <w:tcPr>
            <w:tcW w:w="1843" w:type="dxa"/>
            <w:tcBorders>
              <w:top w:val="nil"/>
              <w:left w:val="nil"/>
              <w:bottom w:val="single" w:sz="8" w:space="0" w:color="7F7F7F"/>
              <w:right w:val="nil"/>
            </w:tcBorders>
            <w:shd w:val="clear" w:color="auto" w:fill="CFE5F4" w:themeFill="accent1" w:themeFillTint="33"/>
            <w:tcMar>
              <w:top w:w="0" w:type="dxa"/>
              <w:left w:w="108" w:type="dxa"/>
              <w:bottom w:w="0" w:type="dxa"/>
              <w:right w:w="108" w:type="dxa"/>
            </w:tcMar>
            <w:hideMark/>
          </w:tcPr>
          <w:p w:rsidR="00F132C6" w:rsidRPr="00D44FCF" w:rsidRDefault="00F132C6">
            <w:pPr>
              <w:autoSpaceDE w:val="0"/>
              <w:autoSpaceDN w:val="0"/>
              <w:jc w:val="center"/>
              <w:rPr>
                <w:rFonts w:ascii="EYInterstate Light" w:eastAsiaTheme="minorHAnsi" w:hAnsi="EYInterstate Light"/>
                <w:color w:val="000000"/>
                <w:lang w:val="en-US" w:eastAsia="en-US"/>
              </w:rPr>
            </w:pPr>
            <w:r w:rsidRPr="00D44FCF">
              <w:rPr>
                <w:lang w:val="en-US" w:eastAsia="en-US"/>
              </w:rPr>
              <w:t>2050</w:t>
            </w:r>
          </w:p>
        </w:tc>
      </w:tr>
      <w:tr w:rsidR="00F132C6" w:rsidTr="00F132C6">
        <w:tc>
          <w:tcPr>
            <w:tcW w:w="1555" w:type="dxa"/>
            <w:tcMar>
              <w:top w:w="0" w:type="dxa"/>
              <w:left w:w="108" w:type="dxa"/>
              <w:bottom w:w="0" w:type="dxa"/>
              <w:right w:w="108" w:type="dxa"/>
            </w:tcMar>
            <w:hideMark/>
          </w:tcPr>
          <w:p w:rsidR="00F132C6" w:rsidRPr="00D44FCF" w:rsidRDefault="00F132C6">
            <w:pPr>
              <w:autoSpaceDE w:val="0"/>
              <w:autoSpaceDN w:val="0"/>
              <w:jc w:val="center"/>
              <w:rPr>
                <w:rFonts w:ascii="EYInterstate Light" w:eastAsiaTheme="minorHAnsi" w:hAnsi="EYInterstate Light"/>
                <w:b/>
                <w:bCs/>
                <w:color w:val="000000"/>
                <w:lang w:val="en-US" w:eastAsia="en-US"/>
              </w:rPr>
            </w:pPr>
            <w:r w:rsidRPr="00D44FCF">
              <w:rPr>
                <w:b/>
                <w:bCs/>
                <w:lang w:val="en-US" w:eastAsia="en-US"/>
              </w:rPr>
              <w:t xml:space="preserve">Absolute </w:t>
            </w:r>
            <w:r w:rsidR="0099601E">
              <w:rPr>
                <w:b/>
                <w:bCs/>
                <w:lang w:val="en-US" w:eastAsia="en-US"/>
              </w:rPr>
              <w:t>e</w:t>
            </w:r>
            <w:r w:rsidRPr="00D44FCF">
              <w:rPr>
                <w:b/>
                <w:bCs/>
                <w:lang w:val="en-US" w:eastAsia="en-US"/>
              </w:rPr>
              <w:t>missions</w:t>
            </w:r>
          </w:p>
        </w:tc>
        <w:tc>
          <w:tcPr>
            <w:tcW w:w="1417" w:type="dxa"/>
            <w:vMerge w:val="restart"/>
            <w:tcBorders>
              <w:top w:val="nil"/>
              <w:left w:val="nil"/>
              <w:bottom w:val="single" w:sz="8" w:space="0" w:color="7F7F7F"/>
              <w:right w:val="nil"/>
            </w:tcBorders>
            <w:shd w:val="clear" w:color="auto" w:fill="323232"/>
            <w:tcMar>
              <w:top w:w="0" w:type="dxa"/>
              <w:left w:w="108" w:type="dxa"/>
              <w:bottom w:w="0" w:type="dxa"/>
              <w:right w:w="108" w:type="dxa"/>
            </w:tcMar>
            <w:hideMark/>
          </w:tcPr>
          <w:p w:rsidR="00F132C6" w:rsidRPr="00D44FCF" w:rsidRDefault="00F132C6">
            <w:pPr>
              <w:jc w:val="center"/>
              <w:rPr>
                <w:rFonts w:ascii="EYInterstate Light" w:eastAsiaTheme="minorHAnsi" w:hAnsi="EYInterstate Light"/>
                <w:color w:val="FFFFFF" w:themeColor="background1"/>
                <w:lang w:val="en-US" w:eastAsia="en-US"/>
              </w:rPr>
            </w:pPr>
            <w:r w:rsidRPr="00D44FCF">
              <w:rPr>
                <w:color w:val="FFFFFF" w:themeColor="background1"/>
                <w:lang w:val="en-US" w:eastAsia="en-US"/>
              </w:rPr>
              <w:t xml:space="preserve">4.7 </w:t>
            </w:r>
          </w:p>
          <w:p w:rsidR="00F132C6" w:rsidRPr="00D44FCF" w:rsidRDefault="00D44FCF">
            <w:pPr>
              <w:autoSpaceDE w:val="0"/>
              <w:autoSpaceDN w:val="0"/>
              <w:jc w:val="center"/>
              <w:rPr>
                <w:rFonts w:ascii="EYInterstate Light" w:eastAsiaTheme="minorHAnsi" w:hAnsi="EYInterstate Light"/>
                <w:color w:val="FFFFFF" w:themeColor="background1"/>
                <w:lang w:val="en-US" w:eastAsia="en-US"/>
              </w:rPr>
            </w:pPr>
            <w:r w:rsidRPr="00D44FCF">
              <w:rPr>
                <w:color w:val="FFFFFF" w:themeColor="background1"/>
                <w:lang w:val="en-US" w:eastAsia="en-US"/>
              </w:rPr>
              <w:t>Mt</w:t>
            </w:r>
            <w:r w:rsidR="00F132C6" w:rsidRPr="00D44FCF">
              <w:rPr>
                <w:color w:val="FFFFFF" w:themeColor="background1"/>
                <w:lang w:val="en-US" w:eastAsia="en-US"/>
              </w:rPr>
              <w:t>CO</w:t>
            </w:r>
            <w:r w:rsidR="00F132C6" w:rsidRPr="00D44FCF">
              <w:rPr>
                <w:color w:val="FFFFFF" w:themeColor="background1"/>
                <w:vertAlign w:val="subscript"/>
                <w:lang w:val="en-US" w:eastAsia="en-US"/>
              </w:rPr>
              <w:t>2</w:t>
            </w:r>
            <w:r w:rsidR="00F132C6" w:rsidRPr="00D44FCF">
              <w:rPr>
                <w:color w:val="FFFFFF" w:themeColor="background1"/>
                <w:lang w:val="en-US" w:eastAsia="en-US"/>
              </w:rPr>
              <w:t>-e</w:t>
            </w:r>
          </w:p>
        </w:tc>
        <w:tc>
          <w:tcPr>
            <w:tcW w:w="1418" w:type="dxa"/>
            <w:tcMar>
              <w:top w:w="0" w:type="dxa"/>
              <w:left w:w="108" w:type="dxa"/>
              <w:bottom w:w="0" w:type="dxa"/>
              <w:right w:w="108" w:type="dxa"/>
            </w:tcMar>
            <w:hideMark/>
          </w:tcPr>
          <w:p w:rsidR="00F132C6" w:rsidRPr="00D44FCF" w:rsidRDefault="00F132C6">
            <w:pPr>
              <w:jc w:val="center"/>
              <w:rPr>
                <w:rFonts w:ascii="EYInterstate Light" w:eastAsiaTheme="minorHAnsi" w:hAnsi="EYInterstate Light"/>
                <w:color w:val="000000"/>
                <w:lang w:val="en-US" w:eastAsia="en-US"/>
              </w:rPr>
            </w:pPr>
            <w:r w:rsidRPr="00D44FCF">
              <w:rPr>
                <w:lang w:val="en-US" w:eastAsia="en-US"/>
              </w:rPr>
              <w:t xml:space="preserve">4.2 </w:t>
            </w:r>
          </w:p>
          <w:p w:rsidR="00F132C6" w:rsidRPr="00D44FCF" w:rsidRDefault="00D44FCF">
            <w:pPr>
              <w:autoSpaceDE w:val="0"/>
              <w:autoSpaceDN w:val="0"/>
              <w:jc w:val="center"/>
              <w:rPr>
                <w:rFonts w:ascii="EYInterstate Light" w:eastAsiaTheme="minorHAnsi" w:hAnsi="EYInterstate Light"/>
                <w:color w:val="000000"/>
                <w:lang w:val="en-US" w:eastAsia="en-US"/>
              </w:rPr>
            </w:pPr>
            <w:r w:rsidRPr="00D44FCF">
              <w:rPr>
                <w:lang w:val="en-US" w:eastAsia="en-US"/>
              </w:rPr>
              <w:t>Mt</w:t>
            </w:r>
            <w:r w:rsidR="00F132C6" w:rsidRPr="00D44FCF">
              <w:rPr>
                <w:lang w:val="en-US" w:eastAsia="en-US"/>
              </w:rPr>
              <w:t>CO</w:t>
            </w:r>
            <w:r w:rsidR="00F132C6" w:rsidRPr="00D44FCF">
              <w:rPr>
                <w:vertAlign w:val="subscript"/>
                <w:lang w:val="en-US" w:eastAsia="en-US"/>
              </w:rPr>
              <w:t>2</w:t>
            </w:r>
            <w:r w:rsidR="00F132C6" w:rsidRPr="00D44FCF">
              <w:rPr>
                <w:lang w:val="en-US" w:eastAsia="en-US"/>
              </w:rPr>
              <w:t>-e</w:t>
            </w:r>
          </w:p>
        </w:tc>
        <w:tc>
          <w:tcPr>
            <w:tcW w:w="1842" w:type="dxa"/>
            <w:tcMar>
              <w:top w:w="0" w:type="dxa"/>
              <w:left w:w="108" w:type="dxa"/>
              <w:bottom w:w="0" w:type="dxa"/>
              <w:right w:w="108" w:type="dxa"/>
            </w:tcMar>
            <w:hideMark/>
          </w:tcPr>
          <w:p w:rsidR="00F132C6" w:rsidRPr="00D44FCF" w:rsidRDefault="00F132C6">
            <w:pPr>
              <w:jc w:val="center"/>
              <w:rPr>
                <w:rFonts w:ascii="EYInterstate Light" w:eastAsiaTheme="minorHAnsi" w:hAnsi="EYInterstate Light"/>
                <w:color w:val="000000"/>
                <w:lang w:val="en-US" w:eastAsia="en-US"/>
              </w:rPr>
            </w:pPr>
            <w:r w:rsidRPr="00D44FCF">
              <w:rPr>
                <w:lang w:val="en-US" w:eastAsia="en-US"/>
              </w:rPr>
              <w:t xml:space="preserve">3.4 </w:t>
            </w:r>
          </w:p>
          <w:p w:rsidR="00F132C6" w:rsidRPr="00D44FCF" w:rsidRDefault="00D44FCF">
            <w:pPr>
              <w:autoSpaceDE w:val="0"/>
              <w:autoSpaceDN w:val="0"/>
              <w:jc w:val="center"/>
              <w:rPr>
                <w:rFonts w:ascii="EYInterstate Light" w:eastAsiaTheme="minorHAnsi" w:hAnsi="EYInterstate Light"/>
                <w:color w:val="000000"/>
                <w:lang w:val="en-US" w:eastAsia="en-US"/>
              </w:rPr>
            </w:pPr>
            <w:r w:rsidRPr="00D44FCF">
              <w:rPr>
                <w:lang w:val="en-US" w:eastAsia="en-US"/>
              </w:rPr>
              <w:t>Mt</w:t>
            </w:r>
            <w:r w:rsidR="00F132C6" w:rsidRPr="00D44FCF">
              <w:rPr>
                <w:lang w:val="en-US" w:eastAsia="en-US"/>
              </w:rPr>
              <w:t>CO</w:t>
            </w:r>
            <w:r w:rsidR="00F132C6" w:rsidRPr="00D44FCF">
              <w:rPr>
                <w:vertAlign w:val="subscript"/>
                <w:lang w:val="en-US" w:eastAsia="en-US"/>
              </w:rPr>
              <w:t>2</w:t>
            </w:r>
            <w:r w:rsidR="00F132C6" w:rsidRPr="00D44FCF">
              <w:rPr>
                <w:lang w:val="en-US" w:eastAsia="en-US"/>
              </w:rPr>
              <w:t>-e</w:t>
            </w:r>
          </w:p>
        </w:tc>
        <w:tc>
          <w:tcPr>
            <w:tcW w:w="1843" w:type="dxa"/>
            <w:tcMar>
              <w:top w:w="0" w:type="dxa"/>
              <w:left w:w="108" w:type="dxa"/>
              <w:bottom w:w="0" w:type="dxa"/>
              <w:right w:w="108" w:type="dxa"/>
            </w:tcMar>
            <w:hideMark/>
          </w:tcPr>
          <w:p w:rsidR="00F132C6" w:rsidRPr="00D44FCF" w:rsidRDefault="00F132C6">
            <w:pPr>
              <w:jc w:val="center"/>
              <w:rPr>
                <w:rFonts w:ascii="EYInterstate Light" w:eastAsiaTheme="minorHAnsi" w:hAnsi="EYInterstate Light"/>
                <w:color w:val="000000"/>
                <w:lang w:val="en-US" w:eastAsia="en-US"/>
              </w:rPr>
            </w:pPr>
            <w:r w:rsidRPr="00D44FCF">
              <w:rPr>
                <w:lang w:val="en-US" w:eastAsia="en-US"/>
              </w:rPr>
              <w:t xml:space="preserve">0.5 </w:t>
            </w:r>
          </w:p>
          <w:p w:rsidR="00F132C6" w:rsidRPr="00D44FCF" w:rsidRDefault="00D44FCF">
            <w:pPr>
              <w:autoSpaceDE w:val="0"/>
              <w:autoSpaceDN w:val="0"/>
              <w:jc w:val="center"/>
              <w:rPr>
                <w:rFonts w:ascii="EYInterstate Light" w:eastAsiaTheme="minorHAnsi" w:hAnsi="EYInterstate Light"/>
                <w:color w:val="000000"/>
                <w:lang w:val="en-US" w:eastAsia="en-US"/>
              </w:rPr>
            </w:pPr>
            <w:r w:rsidRPr="00D44FCF">
              <w:rPr>
                <w:lang w:val="en-US" w:eastAsia="en-US"/>
              </w:rPr>
              <w:t>Mt</w:t>
            </w:r>
            <w:r w:rsidR="00F132C6" w:rsidRPr="00D44FCF">
              <w:rPr>
                <w:lang w:val="en-US" w:eastAsia="en-US"/>
              </w:rPr>
              <w:t>CO</w:t>
            </w:r>
            <w:r w:rsidR="00F132C6" w:rsidRPr="00D44FCF">
              <w:rPr>
                <w:vertAlign w:val="subscript"/>
                <w:lang w:val="en-US" w:eastAsia="en-US"/>
              </w:rPr>
              <w:t>2</w:t>
            </w:r>
            <w:r w:rsidR="00F132C6" w:rsidRPr="00D44FCF">
              <w:rPr>
                <w:lang w:val="en-US" w:eastAsia="en-US"/>
              </w:rPr>
              <w:t>-e</w:t>
            </w:r>
          </w:p>
        </w:tc>
      </w:tr>
      <w:tr w:rsidR="00F132C6" w:rsidTr="00F132C6">
        <w:tc>
          <w:tcPr>
            <w:tcW w:w="1555" w:type="dxa"/>
            <w:tcBorders>
              <w:top w:val="single" w:sz="8" w:space="0" w:color="7F7F7F"/>
              <w:left w:val="nil"/>
              <w:bottom w:val="single" w:sz="8" w:space="0" w:color="7F7F7F"/>
              <w:right w:val="nil"/>
            </w:tcBorders>
            <w:tcMar>
              <w:top w:w="0" w:type="dxa"/>
              <w:left w:w="108" w:type="dxa"/>
              <w:bottom w:w="0" w:type="dxa"/>
              <w:right w:w="108" w:type="dxa"/>
            </w:tcMar>
            <w:hideMark/>
          </w:tcPr>
          <w:p w:rsidR="00F132C6" w:rsidRPr="00D44FCF" w:rsidRDefault="00F132C6">
            <w:pPr>
              <w:autoSpaceDE w:val="0"/>
              <w:autoSpaceDN w:val="0"/>
              <w:jc w:val="center"/>
              <w:rPr>
                <w:rFonts w:ascii="EYInterstate Light" w:eastAsiaTheme="minorHAnsi" w:hAnsi="EYInterstate Light"/>
                <w:b/>
                <w:bCs/>
                <w:color w:val="000000"/>
                <w:lang w:val="en-US" w:eastAsia="en-US"/>
              </w:rPr>
            </w:pPr>
            <w:r w:rsidRPr="00D44FCF">
              <w:rPr>
                <w:b/>
                <w:bCs/>
                <w:lang w:val="en-US" w:eastAsia="en-US"/>
              </w:rPr>
              <w:t>% reduction on 2015</w:t>
            </w:r>
          </w:p>
        </w:tc>
        <w:tc>
          <w:tcPr>
            <w:tcW w:w="0" w:type="auto"/>
            <w:vMerge/>
            <w:tcBorders>
              <w:top w:val="nil"/>
              <w:left w:val="nil"/>
              <w:bottom w:val="single" w:sz="8" w:space="0" w:color="7F7F7F"/>
              <w:right w:val="nil"/>
            </w:tcBorders>
            <w:vAlign w:val="center"/>
            <w:hideMark/>
          </w:tcPr>
          <w:p w:rsidR="00F132C6" w:rsidRPr="00D44FCF" w:rsidRDefault="00F132C6">
            <w:pPr>
              <w:spacing w:line="240" w:lineRule="auto"/>
              <w:rPr>
                <w:rFonts w:ascii="EYInterstate Light" w:eastAsiaTheme="minorHAnsi" w:hAnsi="EYInterstate Light"/>
                <w:color w:val="FFFFFF" w:themeColor="background1"/>
                <w:lang w:val="en-US" w:eastAsia="en-US"/>
              </w:rPr>
            </w:pPr>
          </w:p>
        </w:tc>
        <w:tc>
          <w:tcPr>
            <w:tcW w:w="1418" w:type="dxa"/>
            <w:tcBorders>
              <w:top w:val="single" w:sz="8" w:space="0" w:color="7F7F7F"/>
              <w:left w:val="nil"/>
              <w:bottom w:val="single" w:sz="8" w:space="0" w:color="7F7F7F"/>
              <w:right w:val="nil"/>
            </w:tcBorders>
            <w:tcMar>
              <w:top w:w="0" w:type="dxa"/>
              <w:left w:w="108" w:type="dxa"/>
              <w:bottom w:w="0" w:type="dxa"/>
              <w:right w:w="108" w:type="dxa"/>
            </w:tcMar>
            <w:hideMark/>
          </w:tcPr>
          <w:p w:rsidR="00F132C6" w:rsidRPr="00D44FCF" w:rsidRDefault="00F132C6">
            <w:pPr>
              <w:autoSpaceDE w:val="0"/>
              <w:autoSpaceDN w:val="0"/>
              <w:jc w:val="center"/>
              <w:rPr>
                <w:rFonts w:ascii="EYInterstate Light" w:eastAsiaTheme="minorHAnsi" w:hAnsi="EYInterstate Light"/>
                <w:color w:val="000000"/>
                <w:lang w:val="en-US" w:eastAsia="en-US"/>
              </w:rPr>
            </w:pPr>
            <w:r w:rsidRPr="00D44FCF">
              <w:rPr>
                <w:lang w:val="en-US" w:eastAsia="en-US"/>
              </w:rPr>
              <w:t xml:space="preserve">10% </w:t>
            </w:r>
          </w:p>
        </w:tc>
        <w:tc>
          <w:tcPr>
            <w:tcW w:w="1842" w:type="dxa"/>
            <w:tcBorders>
              <w:top w:val="single" w:sz="8" w:space="0" w:color="7F7F7F"/>
              <w:left w:val="nil"/>
              <w:bottom w:val="single" w:sz="8" w:space="0" w:color="7F7F7F"/>
              <w:right w:val="nil"/>
            </w:tcBorders>
            <w:tcMar>
              <w:top w:w="0" w:type="dxa"/>
              <w:left w:w="108" w:type="dxa"/>
              <w:bottom w:w="0" w:type="dxa"/>
              <w:right w:w="108" w:type="dxa"/>
            </w:tcMar>
            <w:hideMark/>
          </w:tcPr>
          <w:p w:rsidR="00F132C6" w:rsidRPr="00D44FCF" w:rsidRDefault="00F132C6">
            <w:pPr>
              <w:autoSpaceDE w:val="0"/>
              <w:autoSpaceDN w:val="0"/>
              <w:jc w:val="center"/>
              <w:rPr>
                <w:rFonts w:ascii="EYInterstate Light" w:eastAsiaTheme="minorHAnsi" w:hAnsi="EYInterstate Light"/>
                <w:color w:val="000000"/>
                <w:lang w:val="en-US" w:eastAsia="en-US"/>
              </w:rPr>
            </w:pPr>
            <w:r w:rsidRPr="00D44FCF">
              <w:rPr>
                <w:lang w:val="en-US" w:eastAsia="en-US"/>
              </w:rPr>
              <w:t>29%</w:t>
            </w:r>
          </w:p>
        </w:tc>
        <w:tc>
          <w:tcPr>
            <w:tcW w:w="1843" w:type="dxa"/>
            <w:tcBorders>
              <w:top w:val="single" w:sz="8" w:space="0" w:color="7F7F7F"/>
              <w:left w:val="nil"/>
              <w:bottom w:val="single" w:sz="8" w:space="0" w:color="7F7F7F"/>
              <w:right w:val="nil"/>
            </w:tcBorders>
            <w:tcMar>
              <w:top w:w="0" w:type="dxa"/>
              <w:left w:w="108" w:type="dxa"/>
              <w:bottom w:w="0" w:type="dxa"/>
              <w:right w:w="108" w:type="dxa"/>
            </w:tcMar>
            <w:hideMark/>
          </w:tcPr>
          <w:p w:rsidR="00F132C6" w:rsidRPr="00D44FCF" w:rsidRDefault="00F132C6">
            <w:pPr>
              <w:autoSpaceDE w:val="0"/>
              <w:autoSpaceDN w:val="0"/>
              <w:jc w:val="center"/>
              <w:rPr>
                <w:rFonts w:ascii="EYInterstate Light" w:eastAsiaTheme="minorHAnsi" w:hAnsi="EYInterstate Light"/>
                <w:color w:val="000000"/>
                <w:lang w:val="en-US" w:eastAsia="en-US"/>
              </w:rPr>
            </w:pPr>
            <w:r w:rsidRPr="00D44FCF">
              <w:rPr>
                <w:lang w:val="en-US" w:eastAsia="en-US"/>
              </w:rPr>
              <w:t>90%</w:t>
            </w:r>
          </w:p>
        </w:tc>
      </w:tr>
      <w:tr w:rsidR="00F132C6" w:rsidTr="00F132C6">
        <w:tc>
          <w:tcPr>
            <w:tcW w:w="1555" w:type="dxa"/>
            <w:tcBorders>
              <w:top w:val="nil"/>
              <w:left w:val="nil"/>
              <w:bottom w:val="single" w:sz="8" w:space="0" w:color="7F7F7F"/>
              <w:right w:val="nil"/>
            </w:tcBorders>
            <w:tcMar>
              <w:top w:w="0" w:type="dxa"/>
              <w:left w:w="108" w:type="dxa"/>
              <w:bottom w:w="0" w:type="dxa"/>
              <w:right w:w="108" w:type="dxa"/>
            </w:tcMar>
            <w:hideMark/>
          </w:tcPr>
          <w:p w:rsidR="00F132C6" w:rsidRPr="00D44FCF" w:rsidRDefault="00F132C6">
            <w:pPr>
              <w:autoSpaceDE w:val="0"/>
              <w:autoSpaceDN w:val="0"/>
              <w:jc w:val="center"/>
              <w:rPr>
                <w:rFonts w:ascii="EYInterstate Light" w:eastAsiaTheme="minorHAnsi" w:hAnsi="EYInterstate Light"/>
                <w:b/>
                <w:bCs/>
                <w:color w:val="000000"/>
                <w:lang w:val="en-US" w:eastAsia="en-US"/>
              </w:rPr>
            </w:pPr>
            <w:r w:rsidRPr="00D44FCF">
              <w:rPr>
                <w:b/>
                <w:bCs/>
                <w:lang w:val="en-US" w:eastAsia="en-US"/>
              </w:rPr>
              <w:t xml:space="preserve">Per </w:t>
            </w:r>
            <w:r w:rsidR="0099601E">
              <w:rPr>
                <w:b/>
                <w:bCs/>
                <w:lang w:val="en-US" w:eastAsia="en-US"/>
              </w:rPr>
              <w:t>c</w:t>
            </w:r>
            <w:r w:rsidRPr="00D44FCF">
              <w:rPr>
                <w:b/>
                <w:bCs/>
                <w:lang w:val="en-US" w:eastAsia="en-US"/>
              </w:rPr>
              <w:t xml:space="preserve">apita </w:t>
            </w:r>
            <w:r w:rsidR="0099601E">
              <w:rPr>
                <w:b/>
                <w:bCs/>
                <w:lang w:val="en-US" w:eastAsia="en-US"/>
              </w:rPr>
              <w:t>e</w:t>
            </w:r>
            <w:r w:rsidRPr="00D44FCF">
              <w:rPr>
                <w:b/>
                <w:bCs/>
                <w:lang w:val="en-US" w:eastAsia="en-US"/>
              </w:rPr>
              <w:t>missions</w:t>
            </w:r>
          </w:p>
        </w:tc>
        <w:tc>
          <w:tcPr>
            <w:tcW w:w="1417" w:type="dxa"/>
            <w:tcBorders>
              <w:top w:val="nil"/>
              <w:left w:val="nil"/>
              <w:bottom w:val="single" w:sz="8" w:space="0" w:color="7F7F7F"/>
              <w:right w:val="nil"/>
            </w:tcBorders>
            <w:shd w:val="clear" w:color="auto" w:fill="323232"/>
            <w:tcMar>
              <w:top w:w="0" w:type="dxa"/>
              <w:left w:w="108" w:type="dxa"/>
              <w:bottom w:w="0" w:type="dxa"/>
              <w:right w:w="108" w:type="dxa"/>
            </w:tcMar>
            <w:hideMark/>
          </w:tcPr>
          <w:p w:rsidR="00F132C6" w:rsidRPr="00D44FCF" w:rsidRDefault="00F132C6">
            <w:pPr>
              <w:jc w:val="center"/>
              <w:rPr>
                <w:rFonts w:ascii="EYInterstate Light" w:eastAsiaTheme="minorHAnsi" w:hAnsi="EYInterstate Light"/>
                <w:color w:val="FFFFFF" w:themeColor="background1"/>
                <w:lang w:val="en-US" w:eastAsia="en-US"/>
              </w:rPr>
            </w:pPr>
            <w:r w:rsidRPr="00D44FCF">
              <w:rPr>
                <w:color w:val="FFFFFF" w:themeColor="background1"/>
                <w:lang w:val="en-US" w:eastAsia="en-US"/>
              </w:rPr>
              <w:t>33.8</w:t>
            </w:r>
          </w:p>
          <w:p w:rsidR="00F132C6" w:rsidRPr="00D44FCF" w:rsidRDefault="0099601E">
            <w:pPr>
              <w:autoSpaceDE w:val="0"/>
              <w:autoSpaceDN w:val="0"/>
              <w:jc w:val="center"/>
              <w:rPr>
                <w:rFonts w:ascii="EYInterstate Light" w:eastAsiaTheme="minorHAnsi" w:hAnsi="EYInterstate Light"/>
                <w:color w:val="FFFFFF" w:themeColor="background1"/>
                <w:lang w:val="en-US" w:eastAsia="en-US"/>
              </w:rPr>
            </w:pPr>
            <w:r>
              <w:rPr>
                <w:color w:val="FFFFFF" w:themeColor="background1"/>
                <w:lang w:val="en-US" w:eastAsia="en-US"/>
              </w:rPr>
              <w:t>t</w:t>
            </w:r>
            <w:r w:rsidR="00F132C6" w:rsidRPr="00D44FCF">
              <w:rPr>
                <w:color w:val="FFFFFF" w:themeColor="background1"/>
                <w:lang w:val="en-US" w:eastAsia="en-US"/>
              </w:rPr>
              <w:t>CO</w:t>
            </w:r>
            <w:r w:rsidR="00F132C6" w:rsidRPr="00D44FCF">
              <w:rPr>
                <w:color w:val="FFFFFF" w:themeColor="background1"/>
                <w:vertAlign w:val="subscript"/>
                <w:lang w:val="en-US" w:eastAsia="en-US"/>
              </w:rPr>
              <w:t>2</w:t>
            </w:r>
            <w:r w:rsidR="00F132C6" w:rsidRPr="00D44FCF">
              <w:rPr>
                <w:color w:val="FFFFFF" w:themeColor="background1"/>
                <w:lang w:val="en-US" w:eastAsia="en-US"/>
              </w:rPr>
              <w:t>-e</w:t>
            </w:r>
          </w:p>
        </w:tc>
        <w:tc>
          <w:tcPr>
            <w:tcW w:w="1418" w:type="dxa"/>
            <w:tcBorders>
              <w:top w:val="nil"/>
              <w:left w:val="nil"/>
              <w:bottom w:val="single" w:sz="8" w:space="0" w:color="7F7F7F"/>
              <w:right w:val="nil"/>
            </w:tcBorders>
            <w:tcMar>
              <w:top w:w="0" w:type="dxa"/>
              <w:left w:w="108" w:type="dxa"/>
              <w:bottom w:w="0" w:type="dxa"/>
              <w:right w:w="108" w:type="dxa"/>
            </w:tcMar>
            <w:hideMark/>
          </w:tcPr>
          <w:p w:rsidR="00F132C6" w:rsidRPr="00D44FCF" w:rsidRDefault="00F132C6">
            <w:pPr>
              <w:jc w:val="center"/>
              <w:rPr>
                <w:rFonts w:ascii="EYInterstate Light" w:eastAsiaTheme="minorHAnsi" w:hAnsi="EYInterstate Light"/>
                <w:color w:val="000000"/>
                <w:lang w:val="en-US" w:eastAsia="en-US"/>
              </w:rPr>
            </w:pPr>
            <w:r w:rsidRPr="00D44FCF">
              <w:rPr>
                <w:lang w:val="en-US" w:eastAsia="en-US"/>
              </w:rPr>
              <w:t xml:space="preserve">20.2 </w:t>
            </w:r>
          </w:p>
          <w:p w:rsidR="00F132C6" w:rsidRPr="00D44FCF" w:rsidRDefault="0099601E">
            <w:pPr>
              <w:autoSpaceDE w:val="0"/>
              <w:autoSpaceDN w:val="0"/>
              <w:jc w:val="center"/>
              <w:rPr>
                <w:rFonts w:ascii="EYInterstate Light" w:eastAsiaTheme="minorHAnsi" w:hAnsi="EYInterstate Light"/>
                <w:color w:val="000000"/>
                <w:lang w:val="en-US" w:eastAsia="en-US"/>
              </w:rPr>
            </w:pPr>
            <w:r>
              <w:rPr>
                <w:lang w:val="en-US" w:eastAsia="en-US"/>
              </w:rPr>
              <w:t>t</w:t>
            </w:r>
            <w:r w:rsidR="00F132C6" w:rsidRPr="00D44FCF">
              <w:rPr>
                <w:lang w:val="en-US" w:eastAsia="en-US"/>
              </w:rPr>
              <w:t>CO</w:t>
            </w:r>
            <w:r w:rsidR="00F132C6" w:rsidRPr="00D44FCF">
              <w:rPr>
                <w:vertAlign w:val="subscript"/>
                <w:lang w:val="en-US" w:eastAsia="en-US"/>
              </w:rPr>
              <w:t>2</w:t>
            </w:r>
            <w:r w:rsidR="00F132C6" w:rsidRPr="00D44FCF">
              <w:rPr>
                <w:lang w:val="en-US" w:eastAsia="en-US"/>
              </w:rPr>
              <w:t>-e</w:t>
            </w:r>
          </w:p>
        </w:tc>
        <w:tc>
          <w:tcPr>
            <w:tcW w:w="1842" w:type="dxa"/>
            <w:tcBorders>
              <w:top w:val="nil"/>
              <w:left w:val="nil"/>
              <w:bottom w:val="single" w:sz="8" w:space="0" w:color="7F7F7F"/>
              <w:right w:val="nil"/>
            </w:tcBorders>
            <w:tcMar>
              <w:top w:w="0" w:type="dxa"/>
              <w:left w:w="108" w:type="dxa"/>
              <w:bottom w:w="0" w:type="dxa"/>
              <w:right w:w="108" w:type="dxa"/>
            </w:tcMar>
            <w:hideMark/>
          </w:tcPr>
          <w:p w:rsidR="00F132C6" w:rsidRPr="00D44FCF" w:rsidRDefault="00F132C6">
            <w:pPr>
              <w:jc w:val="center"/>
              <w:rPr>
                <w:rFonts w:ascii="EYInterstate Light" w:eastAsiaTheme="minorHAnsi" w:hAnsi="EYInterstate Light"/>
                <w:color w:val="000000"/>
                <w:lang w:val="en-US" w:eastAsia="en-US"/>
              </w:rPr>
            </w:pPr>
            <w:r w:rsidRPr="00D44FCF">
              <w:rPr>
                <w:lang w:val="en-US" w:eastAsia="en-US"/>
              </w:rPr>
              <w:t xml:space="preserve">14.4 </w:t>
            </w:r>
          </w:p>
          <w:p w:rsidR="00F132C6" w:rsidRPr="00D44FCF" w:rsidRDefault="0099601E">
            <w:pPr>
              <w:autoSpaceDE w:val="0"/>
              <w:autoSpaceDN w:val="0"/>
              <w:jc w:val="center"/>
              <w:rPr>
                <w:rFonts w:ascii="EYInterstate Light" w:eastAsiaTheme="minorHAnsi" w:hAnsi="EYInterstate Light"/>
                <w:color w:val="000000"/>
                <w:lang w:val="en-US" w:eastAsia="en-US"/>
              </w:rPr>
            </w:pPr>
            <w:r>
              <w:rPr>
                <w:lang w:val="en-US" w:eastAsia="en-US"/>
              </w:rPr>
              <w:t>t</w:t>
            </w:r>
            <w:r w:rsidR="00F132C6" w:rsidRPr="00D44FCF">
              <w:rPr>
                <w:lang w:val="en-US" w:eastAsia="en-US"/>
              </w:rPr>
              <w:t>CO</w:t>
            </w:r>
            <w:r w:rsidR="00F132C6" w:rsidRPr="00D44FCF">
              <w:rPr>
                <w:vertAlign w:val="subscript"/>
                <w:lang w:val="en-US" w:eastAsia="en-US"/>
              </w:rPr>
              <w:t>2</w:t>
            </w:r>
            <w:r w:rsidR="00F132C6" w:rsidRPr="00D44FCF">
              <w:rPr>
                <w:lang w:val="en-US" w:eastAsia="en-US"/>
              </w:rPr>
              <w:t>-e</w:t>
            </w:r>
          </w:p>
        </w:tc>
        <w:tc>
          <w:tcPr>
            <w:tcW w:w="1843" w:type="dxa"/>
            <w:tcBorders>
              <w:top w:val="nil"/>
              <w:left w:val="nil"/>
              <w:bottom w:val="single" w:sz="8" w:space="0" w:color="7F7F7F"/>
              <w:right w:val="nil"/>
            </w:tcBorders>
            <w:tcMar>
              <w:top w:w="0" w:type="dxa"/>
              <w:left w:w="108" w:type="dxa"/>
              <w:bottom w:w="0" w:type="dxa"/>
              <w:right w:w="108" w:type="dxa"/>
            </w:tcMar>
            <w:hideMark/>
          </w:tcPr>
          <w:p w:rsidR="00F132C6" w:rsidRPr="00D44FCF" w:rsidRDefault="00F132C6">
            <w:pPr>
              <w:jc w:val="center"/>
              <w:rPr>
                <w:rFonts w:ascii="EYInterstate Light" w:eastAsiaTheme="minorHAnsi" w:hAnsi="EYInterstate Light"/>
                <w:color w:val="000000"/>
                <w:lang w:val="en-US" w:eastAsia="en-US"/>
              </w:rPr>
            </w:pPr>
            <w:r w:rsidRPr="00D44FCF">
              <w:rPr>
                <w:lang w:val="en-US" w:eastAsia="en-US"/>
              </w:rPr>
              <w:t>1.3</w:t>
            </w:r>
          </w:p>
          <w:p w:rsidR="00F132C6" w:rsidRPr="00D44FCF" w:rsidRDefault="0099601E">
            <w:pPr>
              <w:autoSpaceDE w:val="0"/>
              <w:autoSpaceDN w:val="0"/>
              <w:jc w:val="center"/>
              <w:rPr>
                <w:rFonts w:ascii="EYInterstate Light" w:eastAsiaTheme="minorHAnsi" w:hAnsi="EYInterstate Light"/>
                <w:color w:val="000000"/>
                <w:lang w:val="en-US" w:eastAsia="en-US"/>
              </w:rPr>
            </w:pPr>
            <w:r>
              <w:rPr>
                <w:lang w:val="en-US" w:eastAsia="en-US"/>
              </w:rPr>
              <w:t>t</w:t>
            </w:r>
            <w:r w:rsidR="00F132C6" w:rsidRPr="00D44FCF">
              <w:rPr>
                <w:lang w:val="en-US" w:eastAsia="en-US"/>
              </w:rPr>
              <w:t>CO</w:t>
            </w:r>
            <w:r w:rsidR="00F132C6" w:rsidRPr="00D44FCF">
              <w:rPr>
                <w:vertAlign w:val="subscript"/>
                <w:lang w:val="en-US" w:eastAsia="en-US"/>
              </w:rPr>
              <w:t>2</w:t>
            </w:r>
            <w:r w:rsidR="00F132C6" w:rsidRPr="00D44FCF">
              <w:rPr>
                <w:lang w:val="en-US" w:eastAsia="en-US"/>
              </w:rPr>
              <w:t>-e</w:t>
            </w:r>
          </w:p>
        </w:tc>
      </w:tr>
      <w:bookmarkEnd w:id="11"/>
    </w:tbl>
    <w:p w:rsidR="005C0723" w:rsidRPr="00B32DF0" w:rsidRDefault="005C0723" w:rsidP="005C0723">
      <w:pPr>
        <w:pStyle w:val="Caption"/>
        <w:rPr>
          <w:b/>
          <w:sz w:val="20"/>
        </w:rPr>
      </w:pPr>
    </w:p>
    <w:p w:rsidR="000A5379" w:rsidRDefault="000A5379" w:rsidP="00B32DF0">
      <w:pPr>
        <w:pStyle w:val="Caption"/>
      </w:pPr>
      <w:bookmarkStart w:id="12" w:name="_Toc522633210"/>
      <w:r>
        <w:t xml:space="preserve">Table </w:t>
      </w:r>
      <w:r w:rsidR="00001DF1">
        <w:rPr>
          <w:noProof/>
        </w:rPr>
        <w:t>3</w:t>
      </w:r>
      <w:r>
        <w:t xml:space="preserve"> </w:t>
      </w:r>
      <w:r w:rsidRPr="009B1250">
        <w:t>Proposed targets: accelerated action scenario</w:t>
      </w:r>
      <w:bookmarkEnd w:id="12"/>
    </w:p>
    <w:tbl>
      <w:tblPr>
        <w:tblStyle w:val="PlainTable21"/>
        <w:tblW w:w="0" w:type="auto"/>
        <w:tblLayout w:type="fixed"/>
        <w:tblLook w:val="04A0" w:firstRow="1" w:lastRow="0" w:firstColumn="1" w:lastColumn="0" w:noHBand="0" w:noVBand="1"/>
      </w:tblPr>
      <w:tblGrid>
        <w:gridCol w:w="1555"/>
        <w:gridCol w:w="1417"/>
        <w:gridCol w:w="1701"/>
        <w:gridCol w:w="1843"/>
        <w:gridCol w:w="1701"/>
      </w:tblGrid>
      <w:tr w:rsidR="004D0F69" w:rsidRPr="00664FF7" w:rsidTr="00F0195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vMerge w:val="restart"/>
            <w:tcBorders>
              <w:top w:val="single" w:sz="4" w:space="0" w:color="FFFFFF"/>
              <w:left w:val="single" w:sz="4" w:space="0" w:color="FFFFFF"/>
              <w:right w:val="nil"/>
            </w:tcBorders>
            <w:hideMark/>
          </w:tcPr>
          <w:p w:rsidR="00664FF7" w:rsidRPr="00664FF7" w:rsidRDefault="00664FF7">
            <w:pPr>
              <w:rPr>
                <w:rFonts w:asciiTheme="minorHAnsi" w:hAnsiTheme="minorHAnsi" w:cstheme="minorHAnsi"/>
              </w:rPr>
            </w:pPr>
          </w:p>
        </w:tc>
        <w:tc>
          <w:tcPr>
            <w:tcW w:w="1417" w:type="dxa"/>
            <w:tcBorders>
              <w:top w:val="single" w:sz="4" w:space="0" w:color="7F7F7F"/>
              <w:left w:val="nil"/>
              <w:right w:val="nil"/>
            </w:tcBorders>
            <w:shd w:val="clear" w:color="auto" w:fill="323232"/>
            <w:hideMark/>
          </w:tcPr>
          <w:p w:rsidR="00664FF7" w:rsidRPr="00664FF7" w:rsidRDefault="00664FF7">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rPr>
            </w:pPr>
            <w:r w:rsidRPr="00664FF7">
              <w:rPr>
                <w:rFonts w:asciiTheme="minorHAnsi" w:hAnsiTheme="minorHAnsi" w:cstheme="minorHAnsi"/>
              </w:rPr>
              <w:t>Baseline</w:t>
            </w:r>
          </w:p>
        </w:tc>
        <w:tc>
          <w:tcPr>
            <w:tcW w:w="5245" w:type="dxa"/>
            <w:gridSpan w:val="3"/>
            <w:tcBorders>
              <w:top w:val="single" w:sz="4" w:space="0" w:color="7F7F7F"/>
              <w:left w:val="nil"/>
              <w:right w:val="nil"/>
            </w:tcBorders>
            <w:shd w:val="clear" w:color="auto" w:fill="9FCBEA" w:themeFill="accent1" w:themeFillTint="66"/>
            <w:hideMark/>
          </w:tcPr>
          <w:p w:rsidR="00664FF7" w:rsidRPr="00664FF7" w:rsidRDefault="002F3782">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hAnsiTheme="minorHAnsi" w:cstheme="minorHAnsi"/>
              </w:rPr>
              <w:t>a</w:t>
            </w:r>
            <w:r w:rsidR="00664FF7" w:rsidRPr="00664FF7">
              <w:rPr>
                <w:rFonts w:asciiTheme="minorHAnsi" w:hAnsiTheme="minorHAnsi" w:cstheme="minorHAnsi"/>
              </w:rPr>
              <w:t xml:space="preserve">ccelerated </w:t>
            </w:r>
            <w:r>
              <w:rPr>
                <w:rFonts w:asciiTheme="minorHAnsi" w:hAnsiTheme="minorHAnsi" w:cstheme="minorHAnsi"/>
              </w:rPr>
              <w:t>a</w:t>
            </w:r>
            <w:r w:rsidR="00664FF7" w:rsidRPr="00664FF7">
              <w:rPr>
                <w:rFonts w:asciiTheme="minorHAnsi" w:hAnsiTheme="minorHAnsi" w:cstheme="minorHAnsi"/>
              </w:rPr>
              <w:t>ction</w:t>
            </w:r>
            <w:r w:rsidR="0086079F">
              <w:rPr>
                <w:rFonts w:asciiTheme="minorHAnsi" w:hAnsiTheme="minorHAnsi" w:cstheme="minorHAnsi"/>
              </w:rPr>
              <w:t xml:space="preserve"> </w:t>
            </w:r>
            <w:r>
              <w:rPr>
                <w:rFonts w:asciiTheme="minorHAnsi" w:hAnsiTheme="minorHAnsi" w:cstheme="minorHAnsi"/>
              </w:rPr>
              <w:t>s</w:t>
            </w:r>
            <w:r w:rsidR="0086079F">
              <w:rPr>
                <w:rFonts w:asciiTheme="minorHAnsi" w:hAnsiTheme="minorHAnsi" w:cstheme="minorHAnsi"/>
              </w:rPr>
              <w:t>cenario</w:t>
            </w:r>
          </w:p>
        </w:tc>
      </w:tr>
      <w:tr w:rsidR="004D0F69" w:rsidRPr="00664FF7" w:rsidTr="00F0195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vMerge/>
            <w:tcBorders>
              <w:top w:val="single" w:sz="4" w:space="0" w:color="FFFFFF"/>
              <w:left w:val="single" w:sz="4" w:space="0" w:color="FFFFFF"/>
              <w:right w:val="nil"/>
            </w:tcBorders>
            <w:vAlign w:val="center"/>
            <w:hideMark/>
          </w:tcPr>
          <w:p w:rsidR="00664FF7" w:rsidRPr="00664FF7" w:rsidRDefault="00664FF7">
            <w:pPr>
              <w:rPr>
                <w:rFonts w:asciiTheme="minorHAnsi" w:hAnsiTheme="minorHAnsi" w:cstheme="minorHAnsi"/>
              </w:rPr>
            </w:pPr>
          </w:p>
        </w:tc>
        <w:tc>
          <w:tcPr>
            <w:tcW w:w="1417" w:type="dxa"/>
            <w:tcBorders>
              <w:left w:val="nil"/>
              <w:right w:val="nil"/>
            </w:tcBorders>
            <w:shd w:val="clear" w:color="auto" w:fill="323232"/>
            <w:hideMark/>
          </w:tcPr>
          <w:p w:rsidR="00664FF7" w:rsidRPr="00664FF7" w:rsidRDefault="00664FF7">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7F7F7F"/>
              </w:rPr>
            </w:pPr>
            <w:r w:rsidRPr="00664FF7">
              <w:rPr>
                <w:rFonts w:asciiTheme="minorHAnsi" w:hAnsiTheme="minorHAnsi" w:cstheme="minorHAnsi"/>
              </w:rPr>
              <w:t>2015</w:t>
            </w:r>
          </w:p>
        </w:tc>
        <w:tc>
          <w:tcPr>
            <w:tcW w:w="1701" w:type="dxa"/>
            <w:tcBorders>
              <w:left w:val="nil"/>
              <w:right w:val="nil"/>
            </w:tcBorders>
            <w:shd w:val="clear" w:color="auto" w:fill="CFE5F4" w:themeFill="accent1" w:themeFillTint="33"/>
            <w:hideMark/>
          </w:tcPr>
          <w:p w:rsidR="00664FF7" w:rsidRPr="00664FF7" w:rsidRDefault="00664FF7">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664FF7">
              <w:rPr>
                <w:rFonts w:asciiTheme="minorHAnsi" w:hAnsiTheme="minorHAnsi" w:cstheme="minorHAnsi"/>
              </w:rPr>
              <w:t>2025</w:t>
            </w:r>
          </w:p>
        </w:tc>
        <w:tc>
          <w:tcPr>
            <w:tcW w:w="1843" w:type="dxa"/>
            <w:tcBorders>
              <w:left w:val="nil"/>
              <w:right w:val="nil"/>
            </w:tcBorders>
            <w:shd w:val="clear" w:color="auto" w:fill="CFE5F4" w:themeFill="accent1" w:themeFillTint="33"/>
            <w:hideMark/>
          </w:tcPr>
          <w:p w:rsidR="00664FF7" w:rsidRPr="00664FF7" w:rsidRDefault="00664FF7">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664FF7">
              <w:rPr>
                <w:rFonts w:asciiTheme="minorHAnsi" w:hAnsiTheme="minorHAnsi" w:cstheme="minorHAnsi"/>
              </w:rPr>
              <w:t>2030</w:t>
            </w:r>
          </w:p>
        </w:tc>
        <w:tc>
          <w:tcPr>
            <w:tcW w:w="1701" w:type="dxa"/>
            <w:tcBorders>
              <w:left w:val="nil"/>
              <w:right w:val="nil"/>
            </w:tcBorders>
            <w:shd w:val="clear" w:color="auto" w:fill="CFE5F4" w:themeFill="accent1" w:themeFillTint="33"/>
            <w:hideMark/>
          </w:tcPr>
          <w:p w:rsidR="00664FF7" w:rsidRPr="00664FF7" w:rsidRDefault="00664FF7">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664FF7">
              <w:rPr>
                <w:rFonts w:asciiTheme="minorHAnsi" w:hAnsiTheme="minorHAnsi" w:cstheme="minorHAnsi"/>
              </w:rPr>
              <w:t>2050</w:t>
            </w:r>
          </w:p>
        </w:tc>
      </w:tr>
      <w:tr w:rsidR="004D0F69" w:rsidRPr="00664FF7" w:rsidTr="0015093F">
        <w:tc>
          <w:tcPr>
            <w:cnfStyle w:val="001000000000" w:firstRow="0" w:lastRow="0" w:firstColumn="1" w:lastColumn="0" w:oddVBand="0" w:evenVBand="0" w:oddHBand="0" w:evenHBand="0" w:firstRowFirstColumn="0" w:firstRowLastColumn="0" w:lastRowFirstColumn="0" w:lastRowLastColumn="0"/>
            <w:tcW w:w="1555" w:type="dxa"/>
            <w:tcBorders>
              <w:top w:val="nil"/>
              <w:left w:val="nil"/>
              <w:bottom w:val="nil"/>
              <w:right w:val="nil"/>
            </w:tcBorders>
            <w:hideMark/>
          </w:tcPr>
          <w:p w:rsidR="00664FF7" w:rsidRPr="00664FF7" w:rsidRDefault="00664FF7">
            <w:pPr>
              <w:autoSpaceDE w:val="0"/>
              <w:autoSpaceDN w:val="0"/>
              <w:adjustRightInd w:val="0"/>
              <w:jc w:val="center"/>
              <w:rPr>
                <w:rFonts w:asciiTheme="minorHAnsi" w:hAnsiTheme="minorHAnsi" w:cstheme="minorHAnsi"/>
              </w:rPr>
            </w:pPr>
            <w:r w:rsidRPr="00664FF7">
              <w:rPr>
                <w:rFonts w:asciiTheme="minorHAnsi" w:hAnsiTheme="minorHAnsi" w:cstheme="minorHAnsi"/>
              </w:rPr>
              <w:t xml:space="preserve">Absolute </w:t>
            </w:r>
            <w:r w:rsidR="0099601E">
              <w:rPr>
                <w:rFonts w:asciiTheme="minorHAnsi" w:hAnsiTheme="minorHAnsi" w:cstheme="minorHAnsi"/>
              </w:rPr>
              <w:t>e</w:t>
            </w:r>
            <w:r w:rsidRPr="00664FF7">
              <w:rPr>
                <w:rFonts w:asciiTheme="minorHAnsi" w:hAnsiTheme="minorHAnsi" w:cstheme="minorHAnsi"/>
              </w:rPr>
              <w:t>missions</w:t>
            </w:r>
          </w:p>
        </w:tc>
        <w:tc>
          <w:tcPr>
            <w:tcW w:w="1417" w:type="dxa"/>
            <w:vMerge w:val="restart"/>
            <w:tcBorders>
              <w:top w:val="nil"/>
              <w:left w:val="nil"/>
              <w:bottom w:val="single" w:sz="4" w:space="0" w:color="7F7F7F"/>
              <w:right w:val="nil"/>
            </w:tcBorders>
            <w:shd w:val="clear" w:color="auto" w:fill="323232"/>
            <w:hideMark/>
          </w:tcPr>
          <w:p w:rsidR="00664FF7" w:rsidRPr="00664FF7" w:rsidRDefault="00664FF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664FF7">
              <w:rPr>
                <w:rFonts w:asciiTheme="minorHAnsi" w:hAnsiTheme="minorHAnsi" w:cstheme="minorHAnsi"/>
              </w:rPr>
              <w:t xml:space="preserve">4.7 </w:t>
            </w:r>
          </w:p>
          <w:p w:rsidR="00664FF7" w:rsidRPr="00664FF7" w:rsidRDefault="00664FF7">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664FF7">
              <w:rPr>
                <w:rFonts w:asciiTheme="minorHAnsi" w:hAnsiTheme="minorHAnsi" w:cstheme="minorHAnsi"/>
              </w:rPr>
              <w:t>M</w:t>
            </w:r>
            <w:r w:rsidR="0015093F">
              <w:rPr>
                <w:rFonts w:asciiTheme="minorHAnsi" w:hAnsiTheme="minorHAnsi" w:cstheme="minorHAnsi"/>
              </w:rPr>
              <w:t>t</w:t>
            </w:r>
            <w:r w:rsidRPr="00664FF7">
              <w:rPr>
                <w:rFonts w:asciiTheme="minorHAnsi" w:hAnsiTheme="minorHAnsi" w:cstheme="minorHAnsi"/>
              </w:rPr>
              <w:t>CO</w:t>
            </w:r>
            <w:r w:rsidRPr="00664FF7">
              <w:rPr>
                <w:rFonts w:asciiTheme="minorHAnsi" w:hAnsiTheme="minorHAnsi" w:cstheme="minorHAnsi"/>
                <w:vertAlign w:val="subscript"/>
              </w:rPr>
              <w:t>2</w:t>
            </w:r>
            <w:r w:rsidRPr="00664FF7">
              <w:rPr>
                <w:rFonts w:asciiTheme="minorHAnsi" w:hAnsiTheme="minorHAnsi" w:cstheme="minorHAnsi"/>
              </w:rPr>
              <w:t>-e</w:t>
            </w:r>
          </w:p>
        </w:tc>
        <w:tc>
          <w:tcPr>
            <w:tcW w:w="1701" w:type="dxa"/>
            <w:tcBorders>
              <w:top w:val="nil"/>
              <w:left w:val="nil"/>
              <w:bottom w:val="nil"/>
              <w:right w:val="nil"/>
            </w:tcBorders>
            <w:hideMark/>
          </w:tcPr>
          <w:p w:rsidR="00664FF7" w:rsidRPr="00664FF7" w:rsidRDefault="00664FF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664FF7">
              <w:rPr>
                <w:rFonts w:asciiTheme="minorHAnsi" w:hAnsiTheme="minorHAnsi" w:cstheme="minorHAnsi"/>
              </w:rPr>
              <w:t xml:space="preserve">3.7 </w:t>
            </w:r>
          </w:p>
          <w:p w:rsidR="00664FF7" w:rsidRPr="00664FF7" w:rsidRDefault="00664FF7">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664FF7">
              <w:rPr>
                <w:rFonts w:asciiTheme="minorHAnsi" w:hAnsiTheme="minorHAnsi" w:cstheme="minorHAnsi"/>
              </w:rPr>
              <w:t>M</w:t>
            </w:r>
            <w:r w:rsidR="0015093F">
              <w:rPr>
                <w:rFonts w:asciiTheme="minorHAnsi" w:hAnsiTheme="minorHAnsi" w:cstheme="minorHAnsi"/>
              </w:rPr>
              <w:t>t</w:t>
            </w:r>
            <w:r w:rsidRPr="00664FF7">
              <w:rPr>
                <w:rFonts w:asciiTheme="minorHAnsi" w:hAnsiTheme="minorHAnsi" w:cstheme="minorHAnsi"/>
              </w:rPr>
              <w:t>CO</w:t>
            </w:r>
            <w:r w:rsidRPr="00664FF7">
              <w:rPr>
                <w:rFonts w:asciiTheme="minorHAnsi" w:hAnsiTheme="minorHAnsi" w:cstheme="minorHAnsi"/>
                <w:vertAlign w:val="subscript"/>
              </w:rPr>
              <w:t>2</w:t>
            </w:r>
            <w:r w:rsidRPr="00664FF7">
              <w:rPr>
                <w:rFonts w:asciiTheme="minorHAnsi" w:hAnsiTheme="minorHAnsi" w:cstheme="minorHAnsi"/>
              </w:rPr>
              <w:t>-e</w:t>
            </w:r>
          </w:p>
        </w:tc>
        <w:tc>
          <w:tcPr>
            <w:tcW w:w="1843" w:type="dxa"/>
            <w:tcBorders>
              <w:top w:val="nil"/>
              <w:left w:val="nil"/>
              <w:bottom w:val="nil"/>
              <w:right w:val="nil"/>
            </w:tcBorders>
            <w:hideMark/>
          </w:tcPr>
          <w:p w:rsidR="00664FF7" w:rsidRPr="00664FF7" w:rsidRDefault="00664FF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664FF7">
              <w:rPr>
                <w:rFonts w:asciiTheme="minorHAnsi" w:hAnsiTheme="minorHAnsi" w:cstheme="minorHAnsi"/>
              </w:rPr>
              <w:t xml:space="preserve">2.4 </w:t>
            </w:r>
          </w:p>
          <w:p w:rsidR="00664FF7" w:rsidRPr="00664FF7" w:rsidRDefault="00664FF7">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664FF7">
              <w:rPr>
                <w:rFonts w:asciiTheme="minorHAnsi" w:hAnsiTheme="minorHAnsi" w:cstheme="minorHAnsi"/>
              </w:rPr>
              <w:t>M</w:t>
            </w:r>
            <w:r w:rsidR="0015093F">
              <w:rPr>
                <w:rFonts w:asciiTheme="minorHAnsi" w:hAnsiTheme="minorHAnsi" w:cstheme="minorHAnsi"/>
              </w:rPr>
              <w:t>t</w:t>
            </w:r>
            <w:r w:rsidRPr="00664FF7">
              <w:rPr>
                <w:rFonts w:asciiTheme="minorHAnsi" w:hAnsiTheme="minorHAnsi" w:cstheme="minorHAnsi"/>
              </w:rPr>
              <w:t>CO</w:t>
            </w:r>
            <w:r w:rsidRPr="00664FF7">
              <w:rPr>
                <w:rFonts w:asciiTheme="minorHAnsi" w:hAnsiTheme="minorHAnsi" w:cstheme="minorHAnsi"/>
                <w:vertAlign w:val="subscript"/>
              </w:rPr>
              <w:t>2</w:t>
            </w:r>
            <w:r w:rsidRPr="00664FF7">
              <w:rPr>
                <w:rFonts w:asciiTheme="minorHAnsi" w:hAnsiTheme="minorHAnsi" w:cstheme="minorHAnsi"/>
              </w:rPr>
              <w:t>-e</w:t>
            </w:r>
          </w:p>
        </w:tc>
        <w:tc>
          <w:tcPr>
            <w:tcW w:w="1701" w:type="dxa"/>
            <w:tcBorders>
              <w:top w:val="nil"/>
              <w:left w:val="nil"/>
              <w:bottom w:val="nil"/>
              <w:right w:val="nil"/>
            </w:tcBorders>
            <w:hideMark/>
          </w:tcPr>
          <w:p w:rsidR="00664FF7" w:rsidRPr="00664FF7" w:rsidRDefault="00664FF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664FF7">
              <w:rPr>
                <w:rFonts w:asciiTheme="minorHAnsi" w:hAnsiTheme="minorHAnsi" w:cstheme="minorHAnsi"/>
              </w:rPr>
              <w:t xml:space="preserve">0.2 </w:t>
            </w:r>
          </w:p>
          <w:p w:rsidR="00664FF7" w:rsidRPr="00664FF7" w:rsidRDefault="00664FF7">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664FF7">
              <w:rPr>
                <w:rFonts w:asciiTheme="minorHAnsi" w:hAnsiTheme="minorHAnsi" w:cstheme="minorHAnsi"/>
              </w:rPr>
              <w:t>M</w:t>
            </w:r>
            <w:r w:rsidR="0015093F">
              <w:rPr>
                <w:rFonts w:asciiTheme="minorHAnsi" w:hAnsiTheme="minorHAnsi" w:cstheme="minorHAnsi"/>
              </w:rPr>
              <w:t>t</w:t>
            </w:r>
            <w:r w:rsidRPr="00664FF7">
              <w:rPr>
                <w:rFonts w:asciiTheme="minorHAnsi" w:hAnsiTheme="minorHAnsi" w:cstheme="minorHAnsi"/>
              </w:rPr>
              <w:t>CO</w:t>
            </w:r>
            <w:r w:rsidRPr="00664FF7">
              <w:rPr>
                <w:rFonts w:asciiTheme="minorHAnsi" w:hAnsiTheme="minorHAnsi" w:cstheme="minorHAnsi"/>
                <w:vertAlign w:val="subscript"/>
              </w:rPr>
              <w:t>2</w:t>
            </w:r>
            <w:r w:rsidRPr="00664FF7">
              <w:rPr>
                <w:rFonts w:asciiTheme="minorHAnsi" w:hAnsiTheme="minorHAnsi" w:cstheme="minorHAnsi"/>
              </w:rPr>
              <w:t>-e</w:t>
            </w:r>
          </w:p>
        </w:tc>
      </w:tr>
      <w:tr w:rsidR="004D0F69" w:rsidRPr="00664FF7" w:rsidTr="0015093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Borders>
              <w:left w:val="nil"/>
              <w:right w:val="nil"/>
            </w:tcBorders>
            <w:hideMark/>
          </w:tcPr>
          <w:p w:rsidR="00664FF7" w:rsidRPr="00664FF7" w:rsidRDefault="00664FF7">
            <w:pPr>
              <w:autoSpaceDE w:val="0"/>
              <w:autoSpaceDN w:val="0"/>
              <w:adjustRightInd w:val="0"/>
              <w:jc w:val="center"/>
              <w:rPr>
                <w:rFonts w:asciiTheme="minorHAnsi" w:hAnsiTheme="minorHAnsi" w:cstheme="minorHAnsi"/>
              </w:rPr>
            </w:pPr>
            <w:r w:rsidRPr="00664FF7">
              <w:rPr>
                <w:rFonts w:asciiTheme="minorHAnsi" w:hAnsiTheme="minorHAnsi" w:cstheme="minorHAnsi"/>
              </w:rPr>
              <w:t>% reduction on 2015</w:t>
            </w:r>
          </w:p>
        </w:tc>
        <w:tc>
          <w:tcPr>
            <w:tcW w:w="1417" w:type="dxa"/>
            <w:vMerge/>
            <w:tcBorders>
              <w:top w:val="nil"/>
              <w:left w:val="nil"/>
              <w:right w:val="nil"/>
            </w:tcBorders>
            <w:vAlign w:val="center"/>
            <w:hideMark/>
          </w:tcPr>
          <w:p w:rsidR="00664FF7" w:rsidRPr="00664FF7" w:rsidRDefault="00664FF7">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c>
          <w:tcPr>
            <w:tcW w:w="1701" w:type="dxa"/>
            <w:tcBorders>
              <w:left w:val="nil"/>
              <w:right w:val="nil"/>
            </w:tcBorders>
            <w:hideMark/>
          </w:tcPr>
          <w:p w:rsidR="00664FF7" w:rsidRPr="00664FF7" w:rsidRDefault="00664FF7">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664FF7">
              <w:rPr>
                <w:rFonts w:asciiTheme="minorHAnsi" w:hAnsiTheme="minorHAnsi" w:cstheme="minorHAnsi"/>
              </w:rPr>
              <w:t>21%</w:t>
            </w:r>
          </w:p>
        </w:tc>
        <w:tc>
          <w:tcPr>
            <w:tcW w:w="1843" w:type="dxa"/>
            <w:tcBorders>
              <w:left w:val="nil"/>
              <w:right w:val="nil"/>
            </w:tcBorders>
            <w:hideMark/>
          </w:tcPr>
          <w:p w:rsidR="00664FF7" w:rsidRPr="00664FF7" w:rsidRDefault="00664FF7">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664FF7">
              <w:rPr>
                <w:rFonts w:asciiTheme="minorHAnsi" w:hAnsiTheme="minorHAnsi" w:cstheme="minorHAnsi"/>
              </w:rPr>
              <w:t>50%</w:t>
            </w:r>
          </w:p>
        </w:tc>
        <w:tc>
          <w:tcPr>
            <w:tcW w:w="1701" w:type="dxa"/>
            <w:tcBorders>
              <w:left w:val="nil"/>
              <w:right w:val="nil"/>
            </w:tcBorders>
            <w:hideMark/>
          </w:tcPr>
          <w:p w:rsidR="00664FF7" w:rsidRPr="00664FF7" w:rsidRDefault="00664FF7">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664FF7">
              <w:rPr>
                <w:rFonts w:asciiTheme="minorHAnsi" w:hAnsiTheme="minorHAnsi" w:cstheme="minorHAnsi"/>
              </w:rPr>
              <w:t>94%</w:t>
            </w:r>
          </w:p>
        </w:tc>
      </w:tr>
      <w:tr w:rsidR="004D0F69" w:rsidRPr="00664FF7" w:rsidTr="0015093F">
        <w:tc>
          <w:tcPr>
            <w:cnfStyle w:val="001000000000" w:firstRow="0" w:lastRow="0" w:firstColumn="1" w:lastColumn="0" w:oddVBand="0" w:evenVBand="0" w:oddHBand="0" w:evenHBand="0" w:firstRowFirstColumn="0" w:firstRowLastColumn="0" w:lastRowFirstColumn="0" w:lastRowLastColumn="0"/>
            <w:tcW w:w="1555" w:type="dxa"/>
            <w:tcBorders>
              <w:top w:val="nil"/>
              <w:left w:val="nil"/>
              <w:bottom w:val="single" w:sz="4" w:space="0" w:color="7F7F7F"/>
              <w:right w:val="nil"/>
            </w:tcBorders>
            <w:hideMark/>
          </w:tcPr>
          <w:p w:rsidR="00664FF7" w:rsidRPr="00664FF7" w:rsidRDefault="00664FF7">
            <w:pPr>
              <w:autoSpaceDE w:val="0"/>
              <w:autoSpaceDN w:val="0"/>
              <w:adjustRightInd w:val="0"/>
              <w:jc w:val="center"/>
              <w:rPr>
                <w:rFonts w:asciiTheme="minorHAnsi" w:hAnsiTheme="minorHAnsi" w:cstheme="minorHAnsi"/>
              </w:rPr>
            </w:pPr>
            <w:r w:rsidRPr="00664FF7">
              <w:rPr>
                <w:rFonts w:asciiTheme="minorHAnsi" w:hAnsiTheme="minorHAnsi" w:cstheme="minorHAnsi"/>
              </w:rPr>
              <w:t xml:space="preserve">Per </w:t>
            </w:r>
            <w:r w:rsidR="0099601E">
              <w:rPr>
                <w:rFonts w:asciiTheme="minorHAnsi" w:hAnsiTheme="minorHAnsi" w:cstheme="minorHAnsi"/>
              </w:rPr>
              <w:t>c</w:t>
            </w:r>
            <w:r w:rsidRPr="00664FF7">
              <w:rPr>
                <w:rFonts w:asciiTheme="minorHAnsi" w:hAnsiTheme="minorHAnsi" w:cstheme="minorHAnsi"/>
              </w:rPr>
              <w:t xml:space="preserve">apita </w:t>
            </w:r>
            <w:r w:rsidR="0099601E">
              <w:rPr>
                <w:rFonts w:asciiTheme="minorHAnsi" w:hAnsiTheme="minorHAnsi" w:cstheme="minorHAnsi"/>
              </w:rPr>
              <w:t>e</w:t>
            </w:r>
            <w:r w:rsidRPr="00664FF7">
              <w:rPr>
                <w:rFonts w:asciiTheme="minorHAnsi" w:hAnsiTheme="minorHAnsi" w:cstheme="minorHAnsi"/>
              </w:rPr>
              <w:t>missions</w:t>
            </w:r>
          </w:p>
        </w:tc>
        <w:tc>
          <w:tcPr>
            <w:tcW w:w="1417" w:type="dxa"/>
            <w:tcBorders>
              <w:top w:val="nil"/>
              <w:left w:val="nil"/>
              <w:bottom w:val="single" w:sz="4" w:space="0" w:color="7F7F7F"/>
              <w:right w:val="nil"/>
            </w:tcBorders>
            <w:shd w:val="clear" w:color="auto" w:fill="323232"/>
            <w:hideMark/>
          </w:tcPr>
          <w:p w:rsidR="00664FF7" w:rsidRPr="00664FF7" w:rsidRDefault="00664FF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664FF7">
              <w:rPr>
                <w:rFonts w:asciiTheme="minorHAnsi" w:hAnsiTheme="minorHAnsi" w:cstheme="minorHAnsi"/>
              </w:rPr>
              <w:t>33.8</w:t>
            </w:r>
          </w:p>
          <w:p w:rsidR="00664FF7" w:rsidRPr="00664FF7" w:rsidRDefault="0015093F">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hAnsiTheme="minorHAnsi" w:cstheme="minorHAnsi"/>
              </w:rPr>
              <w:t>t</w:t>
            </w:r>
            <w:r w:rsidR="00664FF7" w:rsidRPr="00664FF7">
              <w:rPr>
                <w:rFonts w:asciiTheme="minorHAnsi" w:hAnsiTheme="minorHAnsi" w:cstheme="minorHAnsi"/>
              </w:rPr>
              <w:t>CO</w:t>
            </w:r>
            <w:r w:rsidR="00664FF7" w:rsidRPr="00664FF7">
              <w:rPr>
                <w:rFonts w:asciiTheme="minorHAnsi" w:hAnsiTheme="minorHAnsi" w:cstheme="minorHAnsi"/>
                <w:vertAlign w:val="subscript"/>
              </w:rPr>
              <w:t>2</w:t>
            </w:r>
            <w:r w:rsidR="00664FF7" w:rsidRPr="00664FF7">
              <w:rPr>
                <w:rFonts w:asciiTheme="minorHAnsi" w:hAnsiTheme="minorHAnsi" w:cstheme="minorHAnsi"/>
              </w:rPr>
              <w:t>-e</w:t>
            </w:r>
          </w:p>
        </w:tc>
        <w:tc>
          <w:tcPr>
            <w:tcW w:w="1701" w:type="dxa"/>
            <w:tcBorders>
              <w:top w:val="nil"/>
              <w:left w:val="nil"/>
              <w:bottom w:val="single" w:sz="4" w:space="0" w:color="7F7F7F"/>
              <w:right w:val="nil"/>
            </w:tcBorders>
            <w:hideMark/>
          </w:tcPr>
          <w:p w:rsidR="00664FF7" w:rsidRPr="00664FF7" w:rsidRDefault="00664FF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664FF7">
              <w:rPr>
                <w:rFonts w:asciiTheme="minorHAnsi" w:hAnsiTheme="minorHAnsi" w:cstheme="minorHAnsi"/>
              </w:rPr>
              <w:t xml:space="preserve">17.7 </w:t>
            </w:r>
          </w:p>
          <w:p w:rsidR="00664FF7" w:rsidRPr="00664FF7" w:rsidRDefault="0015093F">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hAnsiTheme="minorHAnsi" w:cstheme="minorHAnsi"/>
              </w:rPr>
              <w:t>t</w:t>
            </w:r>
            <w:r w:rsidR="00664FF7" w:rsidRPr="00664FF7">
              <w:rPr>
                <w:rFonts w:asciiTheme="minorHAnsi" w:hAnsiTheme="minorHAnsi" w:cstheme="minorHAnsi"/>
              </w:rPr>
              <w:t>CO</w:t>
            </w:r>
            <w:r w:rsidR="00664FF7" w:rsidRPr="00664FF7">
              <w:rPr>
                <w:rFonts w:asciiTheme="minorHAnsi" w:hAnsiTheme="minorHAnsi" w:cstheme="minorHAnsi"/>
                <w:vertAlign w:val="subscript"/>
              </w:rPr>
              <w:t>2</w:t>
            </w:r>
            <w:r w:rsidR="00664FF7" w:rsidRPr="00664FF7">
              <w:rPr>
                <w:rFonts w:asciiTheme="minorHAnsi" w:hAnsiTheme="minorHAnsi" w:cstheme="minorHAnsi"/>
              </w:rPr>
              <w:t>-e</w:t>
            </w:r>
          </w:p>
        </w:tc>
        <w:tc>
          <w:tcPr>
            <w:tcW w:w="1843" w:type="dxa"/>
            <w:tcBorders>
              <w:top w:val="nil"/>
              <w:left w:val="nil"/>
              <w:bottom w:val="single" w:sz="4" w:space="0" w:color="7F7F7F"/>
              <w:right w:val="nil"/>
            </w:tcBorders>
            <w:hideMark/>
          </w:tcPr>
          <w:p w:rsidR="00664FF7" w:rsidRPr="00664FF7" w:rsidRDefault="00664FF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664FF7">
              <w:rPr>
                <w:rFonts w:asciiTheme="minorHAnsi" w:hAnsiTheme="minorHAnsi" w:cstheme="minorHAnsi"/>
              </w:rPr>
              <w:t xml:space="preserve">10.2 </w:t>
            </w:r>
          </w:p>
          <w:p w:rsidR="00664FF7" w:rsidRPr="00664FF7" w:rsidRDefault="0015093F">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hAnsiTheme="minorHAnsi" w:cstheme="minorHAnsi"/>
              </w:rPr>
              <w:t>t</w:t>
            </w:r>
            <w:r w:rsidR="00664FF7" w:rsidRPr="00664FF7">
              <w:rPr>
                <w:rFonts w:asciiTheme="minorHAnsi" w:hAnsiTheme="minorHAnsi" w:cstheme="minorHAnsi"/>
              </w:rPr>
              <w:t>CO</w:t>
            </w:r>
            <w:r w:rsidR="00664FF7" w:rsidRPr="00664FF7">
              <w:rPr>
                <w:rFonts w:asciiTheme="minorHAnsi" w:hAnsiTheme="minorHAnsi" w:cstheme="minorHAnsi"/>
                <w:vertAlign w:val="subscript"/>
              </w:rPr>
              <w:t>2</w:t>
            </w:r>
            <w:r w:rsidR="00664FF7" w:rsidRPr="00664FF7">
              <w:rPr>
                <w:rFonts w:asciiTheme="minorHAnsi" w:hAnsiTheme="minorHAnsi" w:cstheme="minorHAnsi"/>
              </w:rPr>
              <w:t>-e</w:t>
            </w:r>
          </w:p>
        </w:tc>
        <w:tc>
          <w:tcPr>
            <w:tcW w:w="1701" w:type="dxa"/>
            <w:tcBorders>
              <w:top w:val="nil"/>
              <w:left w:val="nil"/>
              <w:bottom w:val="single" w:sz="4" w:space="0" w:color="7F7F7F"/>
              <w:right w:val="nil"/>
            </w:tcBorders>
            <w:hideMark/>
          </w:tcPr>
          <w:p w:rsidR="00664FF7" w:rsidRPr="00664FF7" w:rsidRDefault="00664FF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664FF7">
              <w:rPr>
                <w:rFonts w:asciiTheme="minorHAnsi" w:hAnsiTheme="minorHAnsi" w:cstheme="minorHAnsi"/>
              </w:rPr>
              <w:t>0.7</w:t>
            </w:r>
          </w:p>
          <w:p w:rsidR="00664FF7" w:rsidRPr="00664FF7" w:rsidRDefault="0015093F">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hAnsiTheme="minorHAnsi" w:cstheme="minorHAnsi"/>
              </w:rPr>
              <w:t>t</w:t>
            </w:r>
            <w:r w:rsidR="00664FF7" w:rsidRPr="00664FF7">
              <w:rPr>
                <w:rFonts w:asciiTheme="minorHAnsi" w:hAnsiTheme="minorHAnsi" w:cstheme="minorHAnsi"/>
              </w:rPr>
              <w:t>CO</w:t>
            </w:r>
            <w:r w:rsidR="00664FF7" w:rsidRPr="00664FF7">
              <w:rPr>
                <w:rFonts w:asciiTheme="minorHAnsi" w:hAnsiTheme="minorHAnsi" w:cstheme="minorHAnsi"/>
                <w:vertAlign w:val="subscript"/>
              </w:rPr>
              <w:t>2</w:t>
            </w:r>
            <w:r w:rsidR="00664FF7" w:rsidRPr="00664FF7">
              <w:rPr>
                <w:rFonts w:asciiTheme="minorHAnsi" w:hAnsiTheme="minorHAnsi" w:cstheme="minorHAnsi"/>
              </w:rPr>
              <w:t>-e</w:t>
            </w:r>
          </w:p>
        </w:tc>
      </w:tr>
    </w:tbl>
    <w:p w:rsidR="00AE582A" w:rsidRDefault="00AE582A" w:rsidP="00B32DF0">
      <w:pPr>
        <w:pStyle w:val="BoldHeading"/>
        <w:spacing w:before="200"/>
      </w:pPr>
    </w:p>
    <w:p w:rsidR="004907F4" w:rsidRPr="00E23FC6" w:rsidRDefault="000821D8" w:rsidP="00B32DF0">
      <w:pPr>
        <w:pStyle w:val="BoldHeading"/>
        <w:spacing w:before="200"/>
      </w:pPr>
      <w:r>
        <w:t>S</w:t>
      </w:r>
      <w:r w:rsidR="004907F4">
        <w:t>trategic priorities</w:t>
      </w:r>
      <w:r>
        <w:t xml:space="preserve"> and outcomes</w:t>
      </w:r>
    </w:p>
    <w:p w:rsidR="004907F4" w:rsidRDefault="004907F4" w:rsidP="00B32DF0">
      <w:pPr>
        <w:spacing w:before="200" w:after="200"/>
        <w:rPr>
          <w:rFonts w:ascii="Arial" w:hAnsi="Arial" w:cs="Arial"/>
        </w:rPr>
      </w:pPr>
      <w:r>
        <w:rPr>
          <w:rFonts w:ascii="Arial" w:hAnsi="Arial" w:cs="Arial"/>
        </w:rPr>
        <w:t>This draft strategy outlines four priorities the City of Melbourne will work towards:</w:t>
      </w:r>
    </w:p>
    <w:p w:rsidR="004907F4" w:rsidRDefault="004907F4" w:rsidP="00B32DF0">
      <w:pPr>
        <w:pStyle w:val="ListNumber"/>
        <w:numPr>
          <w:ilvl w:val="0"/>
          <w:numId w:val="96"/>
        </w:numPr>
        <w:spacing w:before="60" w:after="60"/>
      </w:pPr>
      <w:r>
        <w:t>100 per cent renewable energy</w:t>
      </w:r>
    </w:p>
    <w:p w:rsidR="004907F4" w:rsidRDefault="00ED2F67" w:rsidP="00B32DF0">
      <w:pPr>
        <w:pStyle w:val="ListNumber"/>
        <w:spacing w:before="60" w:after="60"/>
      </w:pPr>
      <w:r>
        <w:t>z</w:t>
      </w:r>
      <w:r w:rsidR="004907F4">
        <w:t>ero emissions buildings and precincts</w:t>
      </w:r>
    </w:p>
    <w:p w:rsidR="004907F4" w:rsidRDefault="00ED2F67" w:rsidP="00B32DF0">
      <w:pPr>
        <w:pStyle w:val="ListNumber"/>
        <w:spacing w:before="60" w:after="60"/>
      </w:pPr>
      <w:r>
        <w:t>z</w:t>
      </w:r>
      <w:r w:rsidR="004907F4">
        <w:t>ero emissions transport</w:t>
      </w:r>
    </w:p>
    <w:p w:rsidR="004907F4" w:rsidRDefault="00ED2F67" w:rsidP="00B32DF0">
      <w:pPr>
        <w:pStyle w:val="ListNumber"/>
        <w:spacing w:before="60" w:after="60"/>
      </w:pPr>
      <w:proofErr w:type="gramStart"/>
      <w:r>
        <w:t>r</w:t>
      </w:r>
      <w:r w:rsidR="000821D8">
        <w:t>educ</w:t>
      </w:r>
      <w:r w:rsidR="00EB0403">
        <w:t>ing</w:t>
      </w:r>
      <w:proofErr w:type="gramEnd"/>
      <w:r w:rsidR="000821D8">
        <w:t xml:space="preserve"> the impact of</w:t>
      </w:r>
      <w:r w:rsidR="004907F4">
        <w:t xml:space="preserve"> waste</w:t>
      </w:r>
      <w:r>
        <w:t>.</w:t>
      </w:r>
      <w:r w:rsidR="004907F4">
        <w:t xml:space="preserve"> </w:t>
      </w:r>
    </w:p>
    <w:p w:rsidR="001F3D7B" w:rsidRDefault="00ED2F67" w:rsidP="00B32DF0">
      <w:pPr>
        <w:spacing w:before="200" w:after="200"/>
      </w:pPr>
      <w:r>
        <w:t>To</w:t>
      </w:r>
      <w:r w:rsidR="00C82403">
        <w:t xml:space="preserve"> implement</w:t>
      </w:r>
      <w:r w:rsidR="001F3D7B">
        <w:t xml:space="preserve"> the strategy </w:t>
      </w:r>
      <w:r>
        <w:t>we will</w:t>
      </w:r>
      <w:r w:rsidR="001F3D7B">
        <w:t>:</w:t>
      </w:r>
    </w:p>
    <w:p w:rsidR="001F3D7B" w:rsidRDefault="00C82403" w:rsidP="00B32DF0">
      <w:pPr>
        <w:pStyle w:val="ListBullet"/>
        <w:ind w:left="397"/>
      </w:pPr>
      <w:r>
        <w:t xml:space="preserve">integrate climate adaptation and mitigation </w:t>
      </w:r>
    </w:p>
    <w:p w:rsidR="001F3D7B" w:rsidRDefault="00C82403" w:rsidP="00B32DF0">
      <w:pPr>
        <w:pStyle w:val="ListBullet"/>
        <w:ind w:left="397"/>
      </w:pPr>
      <w:r>
        <w:t xml:space="preserve">deliver environmental, social and economic benefits to the </w:t>
      </w:r>
      <w:r w:rsidR="00C47144">
        <w:t>community</w:t>
      </w:r>
    </w:p>
    <w:p w:rsidR="00C47144" w:rsidRDefault="00170F73" w:rsidP="00B32DF0">
      <w:pPr>
        <w:pStyle w:val="ListBullet"/>
        <w:ind w:left="397"/>
      </w:pPr>
      <w:proofErr w:type="gramStart"/>
      <w:r>
        <w:t>support</w:t>
      </w:r>
      <w:proofErr w:type="gramEnd"/>
      <w:r>
        <w:t xml:space="preserve"> innovation, knowledge sharing and transparency</w:t>
      </w:r>
      <w:r w:rsidR="00ED2F67">
        <w:t>.</w:t>
      </w:r>
    </w:p>
    <w:p w:rsidR="000821D8" w:rsidRDefault="00921D40" w:rsidP="00B32DF0">
      <w:pPr>
        <w:pStyle w:val="ListBullet"/>
        <w:numPr>
          <w:ilvl w:val="0"/>
          <w:numId w:val="0"/>
        </w:numPr>
        <w:spacing w:before="200" w:after="200"/>
      </w:pPr>
      <w:r>
        <w:t>Our aim is to</w:t>
      </w:r>
      <w:r w:rsidR="00FE76DB">
        <w:t xml:space="preserve"> </w:t>
      </w:r>
      <w:r w:rsidR="0004069A" w:rsidRPr="0004069A">
        <w:t xml:space="preserve">reduce the largest sources of emissions in the municipality to achieve science-based </w:t>
      </w:r>
      <w:r w:rsidR="00FE76DB">
        <w:t>targets and</w:t>
      </w:r>
      <w:r w:rsidR="000821D8">
        <w:t xml:space="preserve"> align </w:t>
      </w:r>
      <w:r w:rsidR="00C11B7F">
        <w:t>our strategy to the</w:t>
      </w:r>
      <w:r w:rsidR="000821D8">
        <w:t xml:space="preserve"> </w:t>
      </w:r>
      <w:r w:rsidR="0050119F">
        <w:t xml:space="preserve">Paris Climate Change Agreement and </w:t>
      </w:r>
      <w:r w:rsidR="000821D8">
        <w:t xml:space="preserve">C40 Climate Action Plan Framework. </w:t>
      </w:r>
    </w:p>
    <w:p w:rsidR="00A2324C" w:rsidRDefault="00A2324C" w:rsidP="00A2324C">
      <w:pPr>
        <w:pStyle w:val="ListBullet"/>
        <w:numPr>
          <w:ilvl w:val="0"/>
          <w:numId w:val="0"/>
        </w:numPr>
        <w:spacing w:before="200" w:after="200"/>
      </w:pPr>
      <w:r>
        <w:t xml:space="preserve">The graphs </w:t>
      </w:r>
      <w:r w:rsidR="00972DF0">
        <w:t>on the following page</w:t>
      </w:r>
      <w:r>
        <w:t xml:space="preserve"> show the potential contribution of actions that reduce emissions from energy supply, buildings, transport and waste in the significant and accelerated emission reduction scenarios. </w:t>
      </w:r>
    </w:p>
    <w:p w:rsidR="008803BF" w:rsidRDefault="008803BF" w:rsidP="00B32DF0">
      <w:pPr>
        <w:pStyle w:val="ListBullet"/>
        <w:numPr>
          <w:ilvl w:val="0"/>
          <w:numId w:val="0"/>
        </w:numPr>
        <w:spacing w:before="200" w:after="200"/>
      </w:pPr>
    </w:p>
    <w:p w:rsidR="008803BF" w:rsidRDefault="008803BF" w:rsidP="00B32DF0">
      <w:pPr>
        <w:pStyle w:val="ListBullet"/>
        <w:numPr>
          <w:ilvl w:val="0"/>
          <w:numId w:val="0"/>
        </w:numPr>
        <w:spacing w:before="200" w:after="200"/>
      </w:pPr>
    </w:p>
    <w:p w:rsidR="008803BF" w:rsidRDefault="008803BF" w:rsidP="00B32DF0">
      <w:pPr>
        <w:pStyle w:val="ListBullet"/>
        <w:numPr>
          <w:ilvl w:val="0"/>
          <w:numId w:val="0"/>
        </w:numPr>
        <w:spacing w:before="200" w:after="200"/>
      </w:pPr>
    </w:p>
    <w:p w:rsidR="008803BF" w:rsidRDefault="008803BF" w:rsidP="00B32DF0">
      <w:pPr>
        <w:pStyle w:val="ListBullet"/>
        <w:numPr>
          <w:ilvl w:val="0"/>
          <w:numId w:val="0"/>
        </w:numPr>
        <w:spacing w:before="200" w:after="200"/>
      </w:pPr>
    </w:p>
    <w:p w:rsidR="000A5379" w:rsidRDefault="000A5379" w:rsidP="000A5379">
      <w:pPr>
        <w:pStyle w:val="Caption"/>
      </w:pPr>
      <w:bookmarkStart w:id="13" w:name="_Toc522633197"/>
      <w:r>
        <w:t xml:space="preserve">Figure </w:t>
      </w:r>
      <w:r w:rsidR="00146855">
        <w:rPr>
          <w:noProof/>
        </w:rPr>
        <w:fldChar w:fldCharType="begin"/>
      </w:r>
      <w:r w:rsidR="00146855">
        <w:rPr>
          <w:noProof/>
        </w:rPr>
        <w:instrText xml:space="preserve"> SEQ Figure \* ARABIC </w:instrText>
      </w:r>
      <w:r w:rsidR="00146855">
        <w:rPr>
          <w:noProof/>
        </w:rPr>
        <w:fldChar w:fldCharType="separate"/>
      </w:r>
      <w:r w:rsidR="0039200A">
        <w:rPr>
          <w:noProof/>
        </w:rPr>
        <w:t>2</w:t>
      </w:r>
      <w:r w:rsidR="00146855">
        <w:rPr>
          <w:noProof/>
        </w:rPr>
        <w:fldChar w:fldCharType="end"/>
      </w:r>
      <w:r>
        <w:t xml:space="preserve"> </w:t>
      </w:r>
      <w:r w:rsidRPr="00DC25C3">
        <w:t>Emissions reductions needed under each scenario</w:t>
      </w:r>
      <w:bookmarkEnd w:id="13"/>
    </w:p>
    <w:p w:rsidR="00DC108B" w:rsidRDefault="009D1DFE">
      <w:pPr>
        <w:pStyle w:val="ListNumber"/>
        <w:numPr>
          <w:ilvl w:val="0"/>
          <w:numId w:val="0"/>
        </w:numPr>
      </w:pPr>
      <w:r>
        <w:t>Significant</w:t>
      </w:r>
      <w:r w:rsidR="00B15849">
        <w:t xml:space="preserve"> action scenario</w:t>
      </w:r>
    </w:p>
    <w:p w:rsidR="004907F4" w:rsidRDefault="00932663" w:rsidP="0061748E">
      <w:r>
        <w:rPr>
          <w:noProof/>
        </w:rPr>
        <w:drawing>
          <wp:inline distT="0" distB="0" distL="0" distR="0" wp14:anchorId="1595BD4D" wp14:editId="276ADEFF">
            <wp:extent cx="5094515" cy="2594759"/>
            <wp:effectExtent l="0" t="0" r="0" b="0"/>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932663" w:rsidRPr="00B15849" w:rsidRDefault="00EA7B74" w:rsidP="00B15849">
      <w:pPr>
        <w:pStyle w:val="BoldHeading"/>
        <w:spacing w:before="200"/>
        <w:rPr>
          <w:b w:val="0"/>
        </w:rPr>
      </w:pPr>
      <w:r>
        <w:rPr>
          <w:b w:val="0"/>
        </w:rPr>
        <w:t>A</w:t>
      </w:r>
      <w:r w:rsidR="00932663" w:rsidRPr="00B15849">
        <w:rPr>
          <w:b w:val="0"/>
        </w:rPr>
        <w:t>c</w:t>
      </w:r>
      <w:r>
        <w:rPr>
          <w:b w:val="0"/>
        </w:rPr>
        <w:t>c</w:t>
      </w:r>
      <w:r w:rsidR="00932663" w:rsidRPr="00B15849">
        <w:rPr>
          <w:b w:val="0"/>
        </w:rPr>
        <w:t>elerated action scenario</w:t>
      </w:r>
    </w:p>
    <w:p w:rsidR="00932663" w:rsidRDefault="00932663" w:rsidP="00B15849">
      <w:pPr>
        <w:pStyle w:val="BoldHeading"/>
        <w:spacing w:before="200"/>
      </w:pPr>
      <w:r>
        <w:rPr>
          <w:noProof/>
        </w:rPr>
        <w:drawing>
          <wp:inline distT="0" distB="0" distL="0" distR="0" wp14:anchorId="10B4B678" wp14:editId="27A8E45C">
            <wp:extent cx="4821382" cy="2677886"/>
            <wp:effectExtent l="0" t="0" r="0" b="0"/>
            <wp:docPr id="10"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347937" w:rsidRPr="00F5030F" w:rsidRDefault="00347937" w:rsidP="00B15849">
      <w:pPr>
        <w:pStyle w:val="BoldHeading"/>
        <w:spacing w:before="200"/>
        <w:rPr>
          <w:rFonts w:ascii="Arial" w:hAnsi="Arial" w:cs="Arial"/>
          <w:sz w:val="22"/>
          <w:szCs w:val="22"/>
        </w:rPr>
      </w:pPr>
      <w:r w:rsidRPr="009136BE">
        <w:t>Long</w:t>
      </w:r>
      <w:r w:rsidR="004D1EC1">
        <w:t>-</w:t>
      </w:r>
      <w:r w:rsidRPr="009136BE">
        <w:t>t</w:t>
      </w:r>
      <w:r w:rsidRPr="001115CD">
        <w:t>e</w:t>
      </w:r>
      <w:r w:rsidRPr="009136BE">
        <w:t>rm thinking, short</w:t>
      </w:r>
      <w:r w:rsidR="004D1EC1">
        <w:t>-</w:t>
      </w:r>
      <w:r w:rsidRPr="009136BE">
        <w:t>term action</w:t>
      </w:r>
    </w:p>
    <w:p w:rsidR="00D84434" w:rsidRDefault="00D84434" w:rsidP="006A09D3">
      <w:pPr>
        <w:spacing w:before="200" w:after="200"/>
      </w:pPr>
      <w:r>
        <w:t xml:space="preserve">This </w:t>
      </w:r>
      <w:r w:rsidR="00630DEA">
        <w:t>Climate Change Mitigation Strategy</w:t>
      </w:r>
      <w:r w:rsidR="0050119F">
        <w:t xml:space="preserve"> to </w:t>
      </w:r>
      <w:r>
        <w:t xml:space="preserve">2050 </w:t>
      </w:r>
      <w:r w:rsidR="00921D40">
        <w:t>is one in</w:t>
      </w:r>
      <w:r>
        <w:t xml:space="preserve"> a suite of strategies delivering step-change for our community as part of our Council</w:t>
      </w:r>
      <w:r w:rsidR="0050119F">
        <w:t xml:space="preserve"> Plan 2017–2021. These include Climate Change Adaptation, Nature in the City, Transport, and Waste and Resource R</w:t>
      </w:r>
      <w:r>
        <w:t>ecovery strategies.</w:t>
      </w:r>
    </w:p>
    <w:p w:rsidR="00347937" w:rsidRPr="00845353" w:rsidRDefault="00347937" w:rsidP="00B15849">
      <w:pPr>
        <w:spacing w:before="200" w:after="200"/>
        <w:rPr>
          <w:rFonts w:ascii="Arial" w:hAnsi="Arial" w:cs="Arial"/>
        </w:rPr>
      </w:pPr>
      <w:r w:rsidRPr="00845353">
        <w:rPr>
          <w:rFonts w:ascii="Arial" w:hAnsi="Arial" w:cs="Arial"/>
        </w:rPr>
        <w:t xml:space="preserve">The </w:t>
      </w:r>
      <w:r w:rsidR="00921D40">
        <w:rPr>
          <w:rFonts w:ascii="Arial" w:hAnsi="Arial" w:cs="Arial"/>
        </w:rPr>
        <w:t xml:space="preserve">proposed </w:t>
      </w:r>
      <w:r w:rsidRPr="00845353">
        <w:rPr>
          <w:rFonts w:ascii="Arial" w:hAnsi="Arial" w:cs="Arial"/>
        </w:rPr>
        <w:t>timeframe</w:t>
      </w:r>
      <w:r w:rsidR="000C5285">
        <w:rPr>
          <w:rFonts w:ascii="Arial" w:hAnsi="Arial" w:cs="Arial"/>
        </w:rPr>
        <w:t xml:space="preserve"> </w:t>
      </w:r>
      <w:r w:rsidRPr="00845353">
        <w:rPr>
          <w:rFonts w:ascii="Arial" w:hAnsi="Arial" w:cs="Arial"/>
        </w:rPr>
        <w:t>is:</w:t>
      </w:r>
    </w:p>
    <w:p w:rsidR="00347937" w:rsidRPr="00845353" w:rsidRDefault="00347937" w:rsidP="00B15849">
      <w:pPr>
        <w:pStyle w:val="ListParagraph"/>
        <w:numPr>
          <w:ilvl w:val="0"/>
          <w:numId w:val="26"/>
        </w:numPr>
        <w:spacing w:before="60" w:after="60" w:line="240" w:lineRule="auto"/>
        <w:ind w:left="360"/>
        <w:contextualSpacing/>
        <w:rPr>
          <w:rFonts w:ascii="Arial" w:hAnsi="Arial" w:cs="Arial"/>
        </w:rPr>
      </w:pPr>
      <w:r w:rsidRPr="00845353">
        <w:rPr>
          <w:rFonts w:ascii="Arial" w:hAnsi="Arial" w:cs="Arial"/>
        </w:rPr>
        <w:t>2020</w:t>
      </w:r>
      <w:r w:rsidR="00921D40">
        <w:rPr>
          <w:rFonts w:ascii="Arial" w:hAnsi="Arial" w:cs="Arial"/>
        </w:rPr>
        <w:t>–</w:t>
      </w:r>
      <w:r w:rsidRPr="00845353">
        <w:rPr>
          <w:rFonts w:ascii="Arial" w:hAnsi="Arial" w:cs="Arial"/>
        </w:rPr>
        <w:t xml:space="preserve">2050 </w:t>
      </w:r>
      <w:r>
        <w:rPr>
          <w:rFonts w:ascii="Arial" w:hAnsi="Arial" w:cs="Arial"/>
        </w:rPr>
        <w:t xml:space="preserve">for this strategy </w:t>
      </w:r>
      <w:r w:rsidRPr="00845353">
        <w:rPr>
          <w:rFonts w:ascii="Arial" w:hAnsi="Arial" w:cs="Arial"/>
        </w:rPr>
        <w:t xml:space="preserve">with an interim target for 2030: aligned to the period of the Paris Climate Agreement </w:t>
      </w:r>
    </w:p>
    <w:p w:rsidR="003B3B5C" w:rsidRPr="001F3D7B" w:rsidRDefault="00347937" w:rsidP="00B15849">
      <w:pPr>
        <w:pStyle w:val="ListParagraph"/>
        <w:numPr>
          <w:ilvl w:val="0"/>
          <w:numId w:val="26"/>
        </w:numPr>
        <w:spacing w:before="60" w:after="60" w:line="240" w:lineRule="auto"/>
        <w:ind w:left="360"/>
        <w:contextualSpacing/>
        <w:rPr>
          <w:rFonts w:ascii="Arial" w:hAnsi="Arial" w:cs="Arial"/>
          <w:i/>
        </w:rPr>
      </w:pPr>
      <w:r w:rsidRPr="00845353">
        <w:rPr>
          <w:rFonts w:ascii="Arial" w:hAnsi="Arial" w:cs="Arial"/>
        </w:rPr>
        <w:t>2020</w:t>
      </w:r>
      <w:r w:rsidR="00921D40">
        <w:rPr>
          <w:rFonts w:ascii="Arial" w:hAnsi="Arial" w:cs="Arial"/>
        </w:rPr>
        <w:t>–</w:t>
      </w:r>
      <w:r w:rsidRPr="00845353">
        <w:rPr>
          <w:rFonts w:ascii="Arial" w:hAnsi="Arial" w:cs="Arial"/>
        </w:rPr>
        <w:t xml:space="preserve">2025 for the </w:t>
      </w:r>
      <w:r w:rsidR="00FA0D97">
        <w:rPr>
          <w:rFonts w:ascii="Arial" w:hAnsi="Arial" w:cs="Arial"/>
        </w:rPr>
        <w:t xml:space="preserve">rolling </w:t>
      </w:r>
      <w:r w:rsidRPr="00845353">
        <w:rPr>
          <w:rFonts w:ascii="Arial" w:hAnsi="Arial" w:cs="Arial"/>
        </w:rPr>
        <w:t xml:space="preserve">implementation plan: aligned to the Council Pledge requirements of the </w:t>
      </w:r>
      <w:r w:rsidRPr="00845353">
        <w:rPr>
          <w:rFonts w:ascii="Arial" w:hAnsi="Arial" w:cs="Arial"/>
          <w:i/>
        </w:rPr>
        <w:t>Climate Change Act 2017.</w:t>
      </w:r>
    </w:p>
    <w:p w:rsidR="000F04AC" w:rsidRDefault="002433C8" w:rsidP="00B15849">
      <w:pPr>
        <w:spacing w:before="200" w:after="200"/>
      </w:pPr>
      <w:r>
        <w:t xml:space="preserve">We </w:t>
      </w:r>
      <w:r w:rsidR="00921D40">
        <w:t>will</w:t>
      </w:r>
      <w:r>
        <w:t xml:space="preserve"> </w:t>
      </w:r>
      <w:r w:rsidR="00E71A63">
        <w:t xml:space="preserve">measure and report </w:t>
      </w:r>
      <w:r>
        <w:t xml:space="preserve">our progress </w:t>
      </w:r>
      <w:r w:rsidR="00E71A63">
        <w:t>to the community annually</w:t>
      </w:r>
      <w:r w:rsidR="00EE45D2">
        <w:t xml:space="preserve"> </w:t>
      </w:r>
      <w:r w:rsidR="00E71A63">
        <w:t>and evaluate the implementation of the strategy</w:t>
      </w:r>
      <w:r w:rsidR="00804047">
        <w:t xml:space="preserve"> by 2025</w:t>
      </w:r>
      <w:r w:rsidR="00E71A63">
        <w:t xml:space="preserve">. </w:t>
      </w:r>
    </w:p>
    <w:p w:rsidR="00244228" w:rsidRDefault="000A5379" w:rsidP="002010A0">
      <w:pPr>
        <w:pStyle w:val="Caption"/>
        <w:jc w:val="both"/>
      </w:pPr>
      <w:bookmarkStart w:id="14" w:name="_Toc522633198"/>
      <w:r>
        <w:t xml:space="preserve">Figure </w:t>
      </w:r>
      <w:r w:rsidR="00146855">
        <w:rPr>
          <w:noProof/>
        </w:rPr>
        <w:fldChar w:fldCharType="begin"/>
      </w:r>
      <w:r w:rsidR="00146855">
        <w:rPr>
          <w:noProof/>
        </w:rPr>
        <w:instrText xml:space="preserve"> SEQ Figure \* ARABIC </w:instrText>
      </w:r>
      <w:r w:rsidR="00146855">
        <w:rPr>
          <w:noProof/>
        </w:rPr>
        <w:fldChar w:fldCharType="separate"/>
      </w:r>
      <w:proofErr w:type="gramStart"/>
      <w:r w:rsidR="0039200A">
        <w:rPr>
          <w:noProof/>
        </w:rPr>
        <w:t>3</w:t>
      </w:r>
      <w:r w:rsidR="00146855">
        <w:rPr>
          <w:noProof/>
        </w:rPr>
        <w:fldChar w:fldCharType="end"/>
      </w:r>
      <w:r w:rsidRPr="00B460F1">
        <w:t xml:space="preserve"> Potential contribution</w:t>
      </w:r>
      <w:proofErr w:type="gramEnd"/>
      <w:r w:rsidRPr="00B460F1">
        <w:t xml:space="preserve"> of Australian and Victorian Government policies to Melbourne’s </w:t>
      </w:r>
      <w:r w:rsidR="00B727F2">
        <w:t xml:space="preserve">municipal </w:t>
      </w:r>
      <w:r w:rsidRPr="00B460F1">
        <w:t>emission reductions 2020–2050</w:t>
      </w:r>
      <w:bookmarkEnd w:id="14"/>
    </w:p>
    <w:p w:rsidR="003B3B5C" w:rsidRPr="00AE397F" w:rsidRDefault="009D1DFE" w:rsidP="0096502D">
      <w:pPr>
        <w:pStyle w:val="Caption"/>
        <w:rPr>
          <w:sz w:val="20"/>
        </w:rPr>
      </w:pPr>
      <w:r>
        <w:rPr>
          <w:sz w:val="20"/>
        </w:rPr>
        <w:t>Significant</w:t>
      </w:r>
      <w:r w:rsidR="00932663" w:rsidRPr="00AE397F">
        <w:rPr>
          <w:sz w:val="20"/>
        </w:rPr>
        <w:t xml:space="preserve"> </w:t>
      </w:r>
      <w:r w:rsidR="00957D25" w:rsidRPr="00AE397F">
        <w:rPr>
          <w:sz w:val="20"/>
        </w:rPr>
        <w:t xml:space="preserve">action </w:t>
      </w:r>
      <w:r w:rsidR="00932663" w:rsidRPr="00AE397F">
        <w:rPr>
          <w:sz w:val="20"/>
        </w:rPr>
        <w:t>scenario</w:t>
      </w:r>
    </w:p>
    <w:p w:rsidR="0096502D" w:rsidRPr="0096502D" w:rsidRDefault="0096502D" w:rsidP="0096502D">
      <w:pPr>
        <w:pStyle w:val="BodyText"/>
      </w:pPr>
      <w:r>
        <w:rPr>
          <w:noProof/>
        </w:rPr>
        <w:drawing>
          <wp:inline distT="0" distB="0" distL="0" distR="0" wp14:anchorId="4BF6513F" wp14:editId="61DB8B27">
            <wp:extent cx="5943600" cy="2768600"/>
            <wp:effectExtent l="0" t="0" r="0" b="0"/>
            <wp:docPr id="23" name="Chart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957D25" w:rsidRPr="00AE397F" w:rsidRDefault="009D6883" w:rsidP="00207DED">
      <w:pPr>
        <w:spacing w:before="240" w:after="90"/>
      </w:pPr>
      <w:r w:rsidRPr="00AE397F">
        <w:t>A</w:t>
      </w:r>
      <w:r w:rsidR="00957D25" w:rsidRPr="00AE397F">
        <w:t>ccelerated action scenario</w:t>
      </w:r>
    </w:p>
    <w:p w:rsidR="00957D25" w:rsidRDefault="00687761" w:rsidP="009E5184">
      <w:pPr>
        <w:spacing w:before="240" w:after="90"/>
      </w:pPr>
      <w:r>
        <w:rPr>
          <w:noProof/>
        </w:rPr>
        <w:drawing>
          <wp:inline distT="0" distB="0" distL="0" distR="0" wp14:anchorId="1E61B3C2" wp14:editId="78334499">
            <wp:extent cx="5943600" cy="2637155"/>
            <wp:effectExtent l="0" t="0" r="0" b="0"/>
            <wp:docPr id="15"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9C74F7" w:rsidRDefault="00955113" w:rsidP="007078FD">
      <w:pPr>
        <w:spacing w:before="200" w:after="200"/>
        <w:rPr>
          <w:color w:val="auto"/>
        </w:rPr>
      </w:pPr>
      <w:r>
        <w:rPr>
          <w:rFonts w:ascii="Arial" w:hAnsi="Arial" w:cs="Arial"/>
        </w:rPr>
        <w:t>As shown above, w</w:t>
      </w:r>
      <w:r w:rsidRPr="00845353">
        <w:rPr>
          <w:rFonts w:ascii="Arial" w:hAnsi="Arial" w:cs="Arial"/>
        </w:rPr>
        <w:t xml:space="preserve">ithout policy changes in state and national jurisdictions, the City of Melbourne will not be </w:t>
      </w:r>
      <w:r w:rsidR="00972DF0">
        <w:rPr>
          <w:rFonts w:ascii="Arial" w:hAnsi="Arial" w:cs="Arial"/>
        </w:rPr>
        <w:t>able to achieve alignment to the</w:t>
      </w:r>
      <w:r w:rsidRPr="00845353">
        <w:rPr>
          <w:rFonts w:ascii="Arial" w:hAnsi="Arial" w:cs="Arial"/>
        </w:rPr>
        <w:t xml:space="preserve"> Paris </w:t>
      </w:r>
      <w:r w:rsidR="00972DF0">
        <w:rPr>
          <w:rFonts w:ascii="Arial" w:hAnsi="Arial" w:cs="Arial"/>
        </w:rPr>
        <w:t xml:space="preserve">Climate </w:t>
      </w:r>
      <w:r w:rsidRPr="00845353">
        <w:rPr>
          <w:rFonts w:ascii="Arial" w:hAnsi="Arial" w:cs="Arial"/>
        </w:rPr>
        <w:t>Agreement</w:t>
      </w:r>
      <w:r w:rsidR="00972DF0">
        <w:rPr>
          <w:rFonts w:ascii="Arial" w:hAnsi="Arial" w:cs="Arial"/>
        </w:rPr>
        <w:t xml:space="preserve"> targets</w:t>
      </w:r>
      <w:r w:rsidRPr="00845353">
        <w:rPr>
          <w:rFonts w:ascii="Arial" w:hAnsi="Arial" w:cs="Arial"/>
        </w:rPr>
        <w:t>.</w:t>
      </w:r>
      <w:r>
        <w:rPr>
          <w:rFonts w:ascii="Arial" w:hAnsi="Arial" w:cs="Arial"/>
        </w:rPr>
        <w:t xml:space="preserve"> </w:t>
      </w:r>
      <w:r>
        <w:rPr>
          <w:color w:val="auto"/>
        </w:rPr>
        <w:t>T</w:t>
      </w:r>
      <w:r w:rsidR="00972DF0">
        <w:rPr>
          <w:color w:val="auto"/>
        </w:rPr>
        <w:t>hese targets can only be achieved through collaborative action across all three levels of government.</w:t>
      </w:r>
    </w:p>
    <w:p w:rsidR="001530B5" w:rsidRPr="003B4569" w:rsidRDefault="00972DF0" w:rsidP="003B4569">
      <w:pPr>
        <w:sectPr w:rsidR="001530B5" w:rsidRPr="003B4569" w:rsidSect="00932663">
          <w:pgSz w:w="11907" w:h="16839" w:code="9"/>
          <w:pgMar w:top="1440" w:right="992" w:bottom="1440" w:left="709" w:header="454" w:footer="510" w:gutter="0"/>
          <w:pgNumType w:fmt="lowerRoman"/>
          <w:cols w:space="708"/>
          <w:docGrid w:linePitch="360"/>
        </w:sectPr>
      </w:pPr>
      <w:r>
        <w:rPr>
          <w:rFonts w:ascii="Arial" w:hAnsi="Arial" w:cs="Arial"/>
        </w:rPr>
        <w:t xml:space="preserve">This strategy identifies opportunities </w:t>
      </w:r>
      <w:r w:rsidR="005D2D82">
        <w:rPr>
          <w:rFonts w:ascii="Arial" w:hAnsi="Arial" w:cs="Arial"/>
        </w:rPr>
        <w:t>within Cit</w:t>
      </w:r>
      <w:r>
        <w:rPr>
          <w:rFonts w:ascii="Arial" w:hAnsi="Arial" w:cs="Arial"/>
        </w:rPr>
        <w:t xml:space="preserve">y of Melbourne’s control, together with opportunities outside of City of Melbourne’s control where the role of Council is to </w:t>
      </w:r>
      <w:r w:rsidR="005D2D82">
        <w:rPr>
          <w:rFonts w:ascii="Arial" w:hAnsi="Arial" w:cs="Arial"/>
        </w:rPr>
        <w:t xml:space="preserve">advocate and influence.  </w:t>
      </w:r>
      <w:r w:rsidR="009C74F7">
        <w:rPr>
          <w:rFonts w:ascii="Arial" w:hAnsi="Arial" w:cs="Arial"/>
        </w:rPr>
        <w:t>For example, t</w:t>
      </w:r>
      <w:r w:rsidR="002F398F">
        <w:rPr>
          <w:rFonts w:ascii="Arial" w:hAnsi="Arial" w:cs="Arial"/>
        </w:rPr>
        <w:t xml:space="preserve">he City of Melbourne </w:t>
      </w:r>
      <w:r w:rsidR="00E161E5">
        <w:rPr>
          <w:rFonts w:ascii="Arial" w:hAnsi="Arial" w:cs="Arial"/>
        </w:rPr>
        <w:t>do</w:t>
      </w:r>
      <w:r w:rsidR="002F398F">
        <w:rPr>
          <w:rFonts w:ascii="Arial" w:hAnsi="Arial" w:cs="Arial"/>
        </w:rPr>
        <w:t>es</w:t>
      </w:r>
      <w:r w:rsidR="00E161E5">
        <w:rPr>
          <w:rFonts w:ascii="Arial" w:hAnsi="Arial" w:cs="Arial"/>
        </w:rPr>
        <w:t xml:space="preserve"> not </w:t>
      </w:r>
      <w:r w:rsidR="009C74F7">
        <w:rPr>
          <w:rFonts w:ascii="Arial" w:hAnsi="Arial" w:cs="Arial"/>
        </w:rPr>
        <w:t xml:space="preserve">operate public transport and does not </w:t>
      </w:r>
      <w:r w:rsidR="00E161E5">
        <w:rPr>
          <w:rFonts w:ascii="Arial" w:hAnsi="Arial" w:cs="Arial"/>
        </w:rPr>
        <w:t xml:space="preserve">have the power to regulate </w:t>
      </w:r>
      <w:r w:rsidR="00E64DD9">
        <w:rPr>
          <w:rFonts w:ascii="Arial" w:hAnsi="Arial" w:cs="Arial"/>
        </w:rPr>
        <w:t>energy performance</w:t>
      </w:r>
      <w:r w:rsidR="00955113">
        <w:rPr>
          <w:rFonts w:ascii="Arial" w:hAnsi="Arial" w:cs="Arial"/>
        </w:rPr>
        <w:t xml:space="preserve"> standards in buildings, </w:t>
      </w:r>
      <w:r w:rsidR="00E161E5">
        <w:rPr>
          <w:rFonts w:ascii="Arial" w:hAnsi="Arial" w:cs="Arial"/>
        </w:rPr>
        <w:t xml:space="preserve">energy supply </w:t>
      </w:r>
      <w:r w:rsidR="002F398F">
        <w:rPr>
          <w:rFonts w:ascii="Arial" w:hAnsi="Arial" w:cs="Arial"/>
        </w:rPr>
        <w:t xml:space="preserve">or </w:t>
      </w:r>
      <w:r w:rsidR="00E161E5">
        <w:rPr>
          <w:rFonts w:ascii="Arial" w:hAnsi="Arial" w:cs="Arial"/>
        </w:rPr>
        <w:t>renewable energy targets for the city</w:t>
      </w:r>
      <w:r w:rsidR="009C74F7">
        <w:rPr>
          <w:rFonts w:ascii="Arial" w:hAnsi="Arial" w:cs="Arial"/>
        </w:rPr>
        <w:t>.</w:t>
      </w:r>
      <w:r w:rsidR="00E161E5">
        <w:rPr>
          <w:rFonts w:ascii="Arial" w:hAnsi="Arial" w:cs="Arial"/>
        </w:rPr>
        <w:t xml:space="preserve"> </w:t>
      </w:r>
      <w:r w:rsidR="00E64DD9">
        <w:rPr>
          <w:rFonts w:ascii="Arial" w:hAnsi="Arial" w:cs="Arial"/>
        </w:rPr>
        <w:t>The graph</w:t>
      </w:r>
      <w:r>
        <w:rPr>
          <w:rFonts w:ascii="Arial" w:hAnsi="Arial" w:cs="Arial"/>
        </w:rPr>
        <w:t>s show</w:t>
      </w:r>
      <w:r w:rsidR="00E64DD9">
        <w:rPr>
          <w:rFonts w:ascii="Arial" w:hAnsi="Arial" w:cs="Arial"/>
        </w:rPr>
        <w:t xml:space="preserve"> the emission</w:t>
      </w:r>
      <w:r w:rsidR="009C74F7">
        <w:rPr>
          <w:rFonts w:ascii="Arial" w:hAnsi="Arial" w:cs="Arial"/>
        </w:rPr>
        <w:t xml:space="preserve"> reductions that can be delivered by </w:t>
      </w:r>
      <w:r>
        <w:rPr>
          <w:rFonts w:ascii="Arial" w:hAnsi="Arial" w:cs="Arial"/>
        </w:rPr>
        <w:t xml:space="preserve">the City of Melbourne aligned with the Victorian and Commonwealth Governments </w:t>
      </w:r>
      <w:r w:rsidR="00C931F3">
        <w:rPr>
          <w:rFonts w:ascii="Arial" w:hAnsi="Arial" w:cs="Arial"/>
        </w:rPr>
        <w:t>if a 2030</w:t>
      </w:r>
      <w:r w:rsidR="00E161E5">
        <w:rPr>
          <w:rFonts w:ascii="Arial" w:hAnsi="Arial" w:cs="Arial"/>
        </w:rPr>
        <w:t xml:space="preserve"> renewable energy target </w:t>
      </w:r>
      <w:r w:rsidR="00C931F3">
        <w:rPr>
          <w:rFonts w:ascii="Arial" w:hAnsi="Arial" w:cs="Arial"/>
        </w:rPr>
        <w:t>was set and/</w:t>
      </w:r>
      <w:r w:rsidR="00E161E5">
        <w:rPr>
          <w:rFonts w:ascii="Arial" w:hAnsi="Arial" w:cs="Arial"/>
        </w:rPr>
        <w:t xml:space="preserve">or an ambitious national climate and energy policy </w:t>
      </w:r>
      <w:r w:rsidR="00C931F3">
        <w:rPr>
          <w:rFonts w:ascii="Arial" w:hAnsi="Arial" w:cs="Arial"/>
        </w:rPr>
        <w:t>was endorsed</w:t>
      </w:r>
      <w:r w:rsidR="00916C0D">
        <w:rPr>
          <w:rFonts w:ascii="Arial" w:hAnsi="Arial" w:cs="Arial"/>
        </w:rPr>
        <w:t>.</w:t>
      </w:r>
    </w:p>
    <w:p w:rsidR="003B7BCB" w:rsidRDefault="003B7BCB" w:rsidP="003B7BCB">
      <w:pPr>
        <w:pStyle w:val="Heading1"/>
      </w:pPr>
      <w:bookmarkStart w:id="15" w:name="_Toc520749097"/>
      <w:bookmarkStart w:id="16" w:name="_Toc523238944"/>
      <w:bookmarkStart w:id="17" w:name="_Toc482790877"/>
      <w:bookmarkStart w:id="18" w:name="_Toc328490786"/>
      <w:r>
        <w:t>Introduction</w:t>
      </w:r>
      <w:bookmarkEnd w:id="15"/>
      <w:bookmarkEnd w:id="16"/>
    </w:p>
    <w:p w:rsidR="000F39EA" w:rsidRDefault="000F39EA" w:rsidP="00F8352B">
      <w:pPr>
        <w:pStyle w:val="Heading2"/>
      </w:pPr>
      <w:bookmarkStart w:id="19" w:name="_Toc520749098"/>
      <w:bookmarkStart w:id="20" w:name="_Toc523238945"/>
      <w:r>
        <w:t xml:space="preserve">How </w:t>
      </w:r>
      <w:r w:rsidRPr="00F8352B">
        <w:t>can</w:t>
      </w:r>
      <w:r>
        <w:t xml:space="preserve"> we </w:t>
      </w:r>
      <w:r w:rsidR="00822FB9">
        <w:t xml:space="preserve">work together to reduce </w:t>
      </w:r>
      <w:r>
        <w:t>greenhouse gas emissions</w:t>
      </w:r>
      <w:r w:rsidR="003068DE">
        <w:t>?</w:t>
      </w:r>
      <w:bookmarkEnd w:id="19"/>
      <w:bookmarkEnd w:id="20"/>
    </w:p>
    <w:p w:rsidR="00F927D3" w:rsidRDefault="00F927D3" w:rsidP="004917DF">
      <w:pPr>
        <w:pStyle w:val="BodyText"/>
      </w:pPr>
      <w:r>
        <w:t>G</w:t>
      </w:r>
      <w:r w:rsidR="000F39EA" w:rsidRPr="002C5FE4">
        <w:t xml:space="preserve">reenhouse gas emissions in the </w:t>
      </w:r>
      <w:r>
        <w:t xml:space="preserve">municipality of Melbourne </w:t>
      </w:r>
      <w:r w:rsidR="000F39EA" w:rsidRPr="002C5FE4">
        <w:t>are generated from electricity, gas, transport, and waste produced by our daily activities</w:t>
      </w:r>
      <w:r w:rsidR="00ED4C9A">
        <w:t xml:space="preserve">. </w:t>
      </w:r>
      <w:r w:rsidR="000F39EA" w:rsidRPr="002C5FE4">
        <w:t>They are also genera</w:t>
      </w:r>
      <w:r w:rsidR="00051135" w:rsidRPr="002C5FE4">
        <w:t>ted by food and agriculture,</w:t>
      </w:r>
      <w:r w:rsidR="000F39EA" w:rsidRPr="002C5FE4">
        <w:t xml:space="preserve"> goods and services</w:t>
      </w:r>
      <w:r w:rsidR="00051135" w:rsidRPr="002C5FE4">
        <w:t>, and the resources that go into packaging, clothes and building materials</w:t>
      </w:r>
      <w:r w:rsidR="000F39EA" w:rsidRPr="002C5FE4">
        <w:t xml:space="preserve">. </w:t>
      </w:r>
    </w:p>
    <w:p w:rsidR="000F39EA" w:rsidRDefault="004458A6" w:rsidP="004917DF">
      <w:pPr>
        <w:pStyle w:val="BodyText"/>
      </w:pPr>
      <w:r>
        <w:t xml:space="preserve">To </w:t>
      </w:r>
      <w:r w:rsidR="00051135" w:rsidRPr="002C5FE4">
        <w:t>reduce greenhouse emissions</w:t>
      </w:r>
      <w:r>
        <w:t xml:space="preserve"> we need</w:t>
      </w:r>
      <w:r w:rsidR="000F39EA" w:rsidRPr="002C5FE4">
        <w:t xml:space="preserve"> </w:t>
      </w:r>
      <w:r w:rsidR="00051135" w:rsidRPr="002C5FE4">
        <w:t xml:space="preserve">collective action by </w:t>
      </w:r>
      <w:r w:rsidR="000F39EA" w:rsidRPr="002C5FE4">
        <w:t>customers and businesses, commuters and transport companies, tenants and building owners</w:t>
      </w:r>
      <w:r w:rsidR="00051135" w:rsidRPr="002C5FE4">
        <w:t>, investors and government regulators</w:t>
      </w:r>
      <w:r w:rsidR="000F39EA" w:rsidRPr="002C5FE4">
        <w:t xml:space="preserve">. </w:t>
      </w:r>
      <w:r w:rsidR="005379D1">
        <w:t>T</w:t>
      </w:r>
      <w:r w:rsidR="00ED4C9A">
        <w:t xml:space="preserve">he actions we take each day </w:t>
      </w:r>
      <w:r w:rsidR="00051135" w:rsidRPr="002C5FE4">
        <w:t xml:space="preserve">illustrate </w:t>
      </w:r>
      <w:r w:rsidR="000F39EA" w:rsidRPr="002C5FE4">
        <w:t xml:space="preserve">the </w:t>
      </w:r>
      <w:r w:rsidR="00ED4C9A">
        <w:t xml:space="preserve">challenges and opportunities to reducing greenhouse emissions across the city. </w:t>
      </w:r>
    </w:p>
    <w:p w:rsidR="002C5FE4" w:rsidRDefault="000F39EA" w:rsidP="004917DF">
      <w:pPr>
        <w:pStyle w:val="BodyText"/>
      </w:pPr>
      <w:r>
        <w:t>The good news is change is already underway. More and more customers are choosing sustainable products and services</w:t>
      </w:r>
      <w:r w:rsidR="00047905">
        <w:t>.</w:t>
      </w:r>
      <w:r>
        <w:t xml:space="preserve"> Melbourne’s tr</w:t>
      </w:r>
      <w:r w:rsidR="00B7630B">
        <w:t xml:space="preserve">ams </w:t>
      </w:r>
      <w:r w:rsidR="008658C8">
        <w:t>will soon be</w:t>
      </w:r>
      <w:r w:rsidR="00B7630B">
        <w:t xml:space="preserve"> powered by </w:t>
      </w:r>
      <w:r>
        <w:t>renewable energy</w:t>
      </w:r>
      <w:r w:rsidR="008658C8">
        <w:t>. B</w:t>
      </w:r>
      <w:r w:rsidRPr="002C5FE4">
        <w:t>usinesses</w:t>
      </w:r>
      <w:r>
        <w:t xml:space="preserve"> all over the city are choosing greener buildings and </w:t>
      </w:r>
      <w:r w:rsidR="00B7630B">
        <w:t xml:space="preserve">100 per cent </w:t>
      </w:r>
      <w:r>
        <w:t>renewable energy. At the City of</w:t>
      </w:r>
      <w:r w:rsidR="00EF09CC">
        <w:t xml:space="preserve"> </w:t>
      </w:r>
      <w:r>
        <w:t>Melbourne</w:t>
      </w:r>
      <w:r w:rsidR="00EF09CC">
        <w:t>,</w:t>
      </w:r>
      <w:r>
        <w:t xml:space="preserve"> we have reduced emissions from our operations and have been certified carbon neutral every year since 2012.</w:t>
      </w:r>
    </w:p>
    <w:p w:rsidR="0057472A" w:rsidRDefault="0057472A" w:rsidP="004917DF">
      <w:pPr>
        <w:pStyle w:val="BodyText"/>
      </w:pPr>
      <w:r>
        <w:t xml:space="preserve">But there is a lot more to do. This </w:t>
      </w:r>
      <w:r w:rsidR="00047905">
        <w:t xml:space="preserve">draft </w:t>
      </w:r>
      <w:r>
        <w:t>strategy describes the actions we can take to address the causes of climate change. It might be a global problem, but the solutions are right here in our city</w:t>
      </w:r>
      <w:bookmarkStart w:id="21" w:name="_Toc518850786"/>
      <w:bookmarkStart w:id="22" w:name="_Toc518851858"/>
      <w:bookmarkStart w:id="23" w:name="_Toc518855468"/>
      <w:bookmarkStart w:id="24" w:name="_Toc518850788"/>
      <w:bookmarkStart w:id="25" w:name="_Toc518851860"/>
      <w:bookmarkStart w:id="26" w:name="_Toc518855470"/>
      <w:bookmarkStart w:id="27" w:name="_Toc518850790"/>
      <w:bookmarkStart w:id="28" w:name="_Toc518851862"/>
      <w:bookmarkStart w:id="29" w:name="_Toc518855472"/>
      <w:bookmarkStart w:id="30" w:name="_Toc518850792"/>
      <w:bookmarkStart w:id="31" w:name="_Toc518851864"/>
      <w:bookmarkStart w:id="32" w:name="_Toc518855474"/>
      <w:bookmarkStart w:id="33" w:name="_Toc518850794"/>
      <w:bookmarkStart w:id="34" w:name="_Toc518851866"/>
      <w:bookmarkStart w:id="35" w:name="_Toc518855476"/>
      <w:bookmarkStart w:id="36" w:name="_Toc518850795"/>
      <w:bookmarkStart w:id="37" w:name="_Toc518851867"/>
      <w:bookmarkStart w:id="38" w:name="_Toc518855477"/>
      <w:bookmarkStart w:id="39" w:name="_Toc518850796"/>
      <w:bookmarkStart w:id="40" w:name="_Toc518851868"/>
      <w:bookmarkStart w:id="41" w:name="_Toc518855478"/>
      <w:bookmarkStart w:id="42" w:name="_Toc518850797"/>
      <w:bookmarkStart w:id="43" w:name="_Toc518851869"/>
      <w:bookmarkStart w:id="44" w:name="_Toc518855479"/>
      <w:bookmarkStart w:id="45" w:name="_Toc518850798"/>
      <w:bookmarkStart w:id="46" w:name="_Toc518851870"/>
      <w:bookmarkStart w:id="47" w:name="_Toc518855480"/>
      <w:bookmarkStart w:id="48" w:name="_Toc518850799"/>
      <w:bookmarkStart w:id="49" w:name="_Toc518851871"/>
      <w:bookmarkStart w:id="50" w:name="_Toc518855481"/>
      <w:bookmarkStart w:id="51" w:name="_Toc518850800"/>
      <w:bookmarkStart w:id="52" w:name="_Toc518851872"/>
      <w:bookmarkStart w:id="53" w:name="_Toc518855482"/>
      <w:bookmarkStart w:id="54" w:name="_Toc518850802"/>
      <w:bookmarkStart w:id="55" w:name="_Toc518851874"/>
      <w:bookmarkStart w:id="56" w:name="_Toc518855484"/>
      <w:bookmarkStart w:id="57" w:name="_Toc518850803"/>
      <w:bookmarkStart w:id="58" w:name="_Toc518851875"/>
      <w:bookmarkStart w:id="59" w:name="_Toc518855485"/>
      <w:bookmarkStart w:id="60" w:name="_Toc518850804"/>
      <w:bookmarkStart w:id="61" w:name="_Toc518851876"/>
      <w:bookmarkStart w:id="62" w:name="_Toc518855486"/>
      <w:bookmarkStart w:id="63" w:name="_Toc518850806"/>
      <w:bookmarkStart w:id="64" w:name="_Toc518851878"/>
      <w:bookmarkStart w:id="65" w:name="_Toc518855488"/>
      <w:bookmarkStart w:id="66" w:name="_Toc518850808"/>
      <w:bookmarkStart w:id="67" w:name="_Toc518851880"/>
      <w:bookmarkStart w:id="68" w:name="_Toc518855490"/>
      <w:bookmarkStart w:id="69" w:name="_Toc518850809"/>
      <w:bookmarkStart w:id="70" w:name="_Toc518851881"/>
      <w:bookmarkStart w:id="71" w:name="_Toc518855491"/>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r>
        <w:t>.</w:t>
      </w:r>
    </w:p>
    <w:p w:rsidR="0057472A" w:rsidRDefault="0057472A" w:rsidP="004917DF">
      <w:pPr>
        <w:pStyle w:val="BodyText"/>
      </w:pPr>
      <w:r>
        <w:t>The draft strategy consists of four sections:</w:t>
      </w:r>
    </w:p>
    <w:p w:rsidR="0057472A" w:rsidRDefault="0057472A" w:rsidP="00B15849">
      <w:pPr>
        <w:pStyle w:val="BodyText"/>
        <w:numPr>
          <w:ilvl w:val="0"/>
          <w:numId w:val="81"/>
        </w:numPr>
        <w:spacing w:before="60" w:after="60"/>
        <w:ind w:left="360"/>
      </w:pPr>
      <w:r>
        <w:t xml:space="preserve">Introduction: what has changed since the last zero net emissions strategy and why we need a new </w:t>
      </w:r>
      <w:proofErr w:type="gramStart"/>
      <w:r>
        <w:t>approach</w:t>
      </w:r>
      <w:r w:rsidR="00047905">
        <w:t>.</w:t>
      </w:r>
      <w:proofErr w:type="gramEnd"/>
    </w:p>
    <w:p w:rsidR="0057472A" w:rsidRDefault="0057472A" w:rsidP="00B15849">
      <w:pPr>
        <w:pStyle w:val="BodyText"/>
        <w:numPr>
          <w:ilvl w:val="0"/>
          <w:numId w:val="81"/>
        </w:numPr>
        <w:spacing w:before="60" w:after="60"/>
        <w:ind w:left="360"/>
      </w:pPr>
      <w:r>
        <w:t>Taking bold action together: how we are responding</w:t>
      </w:r>
      <w:r w:rsidR="00047905">
        <w:t>.</w:t>
      </w:r>
      <w:r>
        <w:t xml:space="preserve"> </w:t>
      </w:r>
    </w:p>
    <w:p w:rsidR="0057472A" w:rsidRDefault="0057472A" w:rsidP="00B15849">
      <w:pPr>
        <w:pStyle w:val="BodyText"/>
        <w:numPr>
          <w:ilvl w:val="0"/>
          <w:numId w:val="81"/>
        </w:numPr>
        <w:spacing w:before="60" w:after="60"/>
        <w:ind w:left="360"/>
      </w:pPr>
      <w:r>
        <w:t xml:space="preserve">Strategic priorities: </w:t>
      </w:r>
      <w:r w:rsidR="0044257C">
        <w:t xml:space="preserve">the </w:t>
      </w:r>
      <w:r>
        <w:t>actions we propose to take</w:t>
      </w:r>
      <w:r w:rsidR="00047905">
        <w:t>.</w:t>
      </w:r>
    </w:p>
    <w:p w:rsidR="0057472A" w:rsidRDefault="005313A9" w:rsidP="00B15849">
      <w:pPr>
        <w:pStyle w:val="BodyText"/>
        <w:numPr>
          <w:ilvl w:val="0"/>
          <w:numId w:val="81"/>
        </w:numPr>
        <w:spacing w:before="60" w:after="60"/>
        <w:ind w:left="360"/>
      </w:pPr>
      <w:r>
        <w:t>H</w:t>
      </w:r>
      <w:r w:rsidR="00B3095C">
        <w:t xml:space="preserve">ow we will </w:t>
      </w:r>
      <w:r>
        <w:t>implement the strategy</w:t>
      </w:r>
      <w:r w:rsidR="00047905">
        <w:t>.</w:t>
      </w:r>
      <w:r>
        <w:t xml:space="preserve"> </w:t>
      </w:r>
    </w:p>
    <w:p w:rsidR="00B3095C" w:rsidRDefault="00B3095C" w:rsidP="00B3095C">
      <w:pPr>
        <w:pStyle w:val="BodyText"/>
      </w:pPr>
      <w:r>
        <w:t xml:space="preserve">This strategy proposes actions to achieve emission reductions consistent with the science-based targets of the Paris Climate Agreement. </w:t>
      </w:r>
      <w:r w:rsidR="00017DD0">
        <w:t xml:space="preserve">This is the </w:t>
      </w:r>
      <w:r>
        <w:t>emissions we need to reduce</w:t>
      </w:r>
      <w:r w:rsidR="00017DD0">
        <w:t xml:space="preserve"> </w:t>
      </w:r>
      <w:r>
        <w:t>to</w:t>
      </w:r>
      <w:r w:rsidR="00017DD0">
        <w:t xml:space="preserve"> contribute to international efforts to</w:t>
      </w:r>
      <w:r>
        <w:t xml:space="preserve"> avoid a </w:t>
      </w:r>
      <w:r w:rsidR="00017DD0">
        <w:t>1.5</w:t>
      </w:r>
      <w:r w:rsidR="00047905">
        <w:rPr>
          <w:rFonts w:ascii="Arial" w:hAnsi="Arial" w:cs="Arial"/>
        </w:rPr>
        <w:t>º</w:t>
      </w:r>
      <w:r w:rsidR="00017DD0">
        <w:t>C</w:t>
      </w:r>
      <w:r>
        <w:t xml:space="preserve"> increas</w:t>
      </w:r>
      <w:r w:rsidR="00017DD0">
        <w:t>e in global average temperature.</w:t>
      </w:r>
    </w:p>
    <w:p w:rsidR="005379D1" w:rsidRDefault="00891793" w:rsidP="000F39EA">
      <w:pPr>
        <w:pStyle w:val="BodyText"/>
      </w:pPr>
      <w:r>
        <w:rPr>
          <w:noProof/>
        </w:rPr>
        <mc:AlternateContent>
          <mc:Choice Requires="wps">
            <w:drawing>
              <wp:anchor distT="0" distB="0" distL="114300" distR="114300" simplePos="0" relativeHeight="251662848" behindDoc="0" locked="0" layoutInCell="1" allowOverlap="1" wp14:anchorId="5957D67F" wp14:editId="1E596AB9">
                <wp:simplePos x="0" y="0"/>
                <wp:positionH relativeFrom="column">
                  <wp:posOffset>3009</wp:posOffset>
                </wp:positionH>
                <wp:positionV relativeFrom="paragraph">
                  <wp:posOffset>-3617</wp:posOffset>
                </wp:positionV>
                <wp:extent cx="5293995" cy="2965837"/>
                <wp:effectExtent l="0" t="0" r="20955" b="25400"/>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93995" cy="2965837"/>
                        </a:xfrm>
                        <a:prstGeom prst="rect">
                          <a:avLst/>
                        </a:prstGeom>
                        <a:solidFill>
                          <a:srgbClr val="FFFFFF"/>
                        </a:solidFill>
                        <a:ln w="9525">
                          <a:solidFill>
                            <a:srgbClr val="000000"/>
                          </a:solidFill>
                          <a:miter lim="800000"/>
                          <a:headEnd/>
                          <a:tailEnd/>
                        </a:ln>
                      </wps:spPr>
                      <wps:txbx>
                        <w:txbxContent>
                          <w:p w:rsidR="00B75FD4" w:rsidRPr="008D4C41" w:rsidRDefault="00B75FD4" w:rsidP="00891793">
                            <w:pPr>
                              <w:shd w:val="clear" w:color="auto" w:fill="FFFFFF"/>
                              <w:spacing w:before="200" w:after="200" w:line="240" w:lineRule="atLeast"/>
                              <w:rPr>
                                <w:rFonts w:ascii="Arial" w:hAnsi="Arial" w:cs="Arial"/>
                                <w:color w:val="000000"/>
                                <w:lang w:eastAsia="en-US"/>
                              </w:rPr>
                            </w:pPr>
                            <w:r w:rsidRPr="008D4C41">
                              <w:rPr>
                                <w:rFonts w:ascii="Arial" w:hAnsi="Arial" w:cs="Arial"/>
                                <w:b/>
                                <w:bCs/>
                                <w:color w:val="000000"/>
                                <w:lang w:eastAsia="en-US"/>
                              </w:rPr>
                              <w:t>How coffee drinking might be part of the solution</w:t>
                            </w:r>
                          </w:p>
                          <w:p w:rsidR="00B75FD4" w:rsidRPr="008D4C41" w:rsidRDefault="00B75FD4" w:rsidP="00891793">
                            <w:pPr>
                              <w:shd w:val="clear" w:color="auto" w:fill="FFFFFF"/>
                              <w:spacing w:before="200" w:after="200" w:line="240" w:lineRule="atLeast"/>
                              <w:rPr>
                                <w:rFonts w:ascii="Arial" w:hAnsi="Arial" w:cs="Arial"/>
                                <w:color w:val="000000"/>
                                <w:lang w:eastAsia="en-US"/>
                              </w:rPr>
                            </w:pPr>
                            <w:r w:rsidRPr="008D4C41">
                              <w:rPr>
                                <w:rFonts w:ascii="Arial" w:hAnsi="Arial" w:cs="Arial"/>
                                <w:color w:val="000000"/>
                                <w:lang w:eastAsia="en-US"/>
                              </w:rPr>
                              <w:t xml:space="preserve">Jo is studying at the University of Melbourne. Each morning she catches a train to Flinders Street Station and gets a coffee in </w:t>
                            </w:r>
                            <w:proofErr w:type="spellStart"/>
                            <w:r w:rsidRPr="008D4C41">
                              <w:rPr>
                                <w:rFonts w:ascii="Arial" w:hAnsi="Arial" w:cs="Arial"/>
                                <w:color w:val="000000"/>
                                <w:lang w:eastAsia="en-US"/>
                              </w:rPr>
                              <w:t>Degraves</w:t>
                            </w:r>
                            <w:proofErr w:type="spellEnd"/>
                            <w:r w:rsidRPr="008D4C41">
                              <w:rPr>
                                <w:rFonts w:ascii="Arial" w:hAnsi="Arial" w:cs="Arial"/>
                                <w:color w:val="000000"/>
                                <w:lang w:eastAsia="en-US"/>
                              </w:rPr>
                              <w:t xml:space="preserve"> Street before jumping on the tram up to the university. Trams in Melbourne will soon be powered by renewable solar energy.</w:t>
                            </w:r>
                          </w:p>
                          <w:p w:rsidR="00B75FD4" w:rsidRPr="008D4C41" w:rsidRDefault="00B75FD4" w:rsidP="00891793">
                            <w:pPr>
                              <w:shd w:val="clear" w:color="auto" w:fill="FFFFFF"/>
                              <w:spacing w:before="200" w:after="200" w:line="240" w:lineRule="atLeast"/>
                              <w:rPr>
                                <w:rFonts w:ascii="Arial" w:hAnsi="Arial" w:cs="Arial"/>
                                <w:color w:val="000000"/>
                                <w:lang w:eastAsia="en-US"/>
                              </w:rPr>
                            </w:pPr>
                            <w:r w:rsidRPr="008D4C41">
                              <w:rPr>
                                <w:rFonts w:ascii="Arial" w:hAnsi="Arial" w:cs="Arial"/>
                                <w:color w:val="000000"/>
                                <w:lang w:eastAsia="en-US"/>
                              </w:rPr>
                              <w:t xml:space="preserve">In the café, she orders a flat white, and the barista grinds the coffee and heats the milk. The café’s electricity generates greenhouse gas emissions, and the efficiency of the café’s refrigeration, lighting and air-conditioning also makes a difference to the greenhouse gas emissions produced. The café’s supplies are delivered each morning, sometimes from many kilometres away and this generates transport emissions. At the end of the day the café </w:t>
                            </w:r>
                            <w:r>
                              <w:rPr>
                                <w:rFonts w:ascii="Arial" w:hAnsi="Arial" w:cs="Arial"/>
                                <w:color w:val="000000"/>
                                <w:lang w:eastAsia="en-US"/>
                              </w:rPr>
                              <w:t xml:space="preserve">workers </w:t>
                            </w:r>
                            <w:r w:rsidRPr="008D4C41">
                              <w:rPr>
                                <w:rFonts w:ascii="Arial" w:hAnsi="Arial" w:cs="Arial"/>
                                <w:color w:val="000000"/>
                                <w:lang w:eastAsia="en-US"/>
                              </w:rPr>
                              <w:t xml:space="preserve">separate organic waste and recycling </w:t>
                            </w:r>
                            <w:r>
                              <w:rPr>
                                <w:rFonts w:ascii="Arial" w:hAnsi="Arial" w:cs="Arial"/>
                                <w:color w:val="000000"/>
                                <w:lang w:eastAsia="en-US"/>
                              </w:rPr>
                              <w:t xml:space="preserve">and </w:t>
                            </w:r>
                            <w:r w:rsidRPr="008D4C41">
                              <w:rPr>
                                <w:rFonts w:ascii="Arial" w:hAnsi="Arial" w:cs="Arial"/>
                                <w:color w:val="000000"/>
                                <w:lang w:eastAsia="en-US"/>
                              </w:rPr>
                              <w:t>dona</w:t>
                            </w:r>
                            <w:r>
                              <w:rPr>
                                <w:rFonts w:ascii="Arial" w:hAnsi="Arial" w:cs="Arial"/>
                                <w:color w:val="000000"/>
                                <w:lang w:eastAsia="en-US"/>
                              </w:rPr>
                              <w:t>te left over food to charity</w:t>
                            </w:r>
                            <w:r w:rsidRPr="008D4C41">
                              <w:rPr>
                                <w:rFonts w:ascii="Arial" w:hAnsi="Arial" w:cs="Arial"/>
                                <w:color w:val="000000"/>
                                <w:lang w:eastAsia="en-US"/>
                              </w:rPr>
                              <w:t xml:space="preserve"> so that only a small amount of waste is sent to landfill.</w:t>
                            </w:r>
                          </w:p>
                          <w:p w:rsidR="00B75FD4" w:rsidRPr="008D4C41" w:rsidRDefault="00B75FD4" w:rsidP="00891793">
                            <w:pPr>
                              <w:shd w:val="clear" w:color="auto" w:fill="FFFFFF"/>
                              <w:spacing w:before="200" w:after="200" w:line="240" w:lineRule="atLeast"/>
                              <w:rPr>
                                <w:rFonts w:ascii="Arial" w:hAnsi="Arial" w:cs="Arial"/>
                                <w:color w:val="000000"/>
                                <w:lang w:eastAsia="en-US"/>
                              </w:rPr>
                            </w:pPr>
                            <w:r>
                              <w:rPr>
                                <w:rFonts w:ascii="Arial" w:hAnsi="Arial" w:cs="Arial"/>
                                <w:color w:val="000000"/>
                                <w:lang w:eastAsia="en-US"/>
                              </w:rPr>
                              <w:t xml:space="preserve">If </w:t>
                            </w:r>
                            <w:r w:rsidRPr="008D4C41">
                              <w:rPr>
                                <w:rFonts w:ascii="Arial" w:hAnsi="Arial" w:cs="Arial"/>
                                <w:color w:val="000000"/>
                                <w:lang w:eastAsia="en-US"/>
                              </w:rPr>
                              <w:t xml:space="preserve">cafes and trains in Melbourne were powered by renewable energy </w:t>
                            </w:r>
                            <w:r>
                              <w:rPr>
                                <w:rFonts w:ascii="Arial" w:hAnsi="Arial" w:cs="Arial"/>
                                <w:color w:val="000000"/>
                                <w:lang w:eastAsia="en-US"/>
                              </w:rPr>
                              <w:t>and</w:t>
                            </w:r>
                            <w:r w:rsidRPr="008D4C41">
                              <w:rPr>
                                <w:rFonts w:ascii="Arial" w:hAnsi="Arial" w:cs="Arial"/>
                                <w:color w:val="000000"/>
                                <w:lang w:eastAsia="en-US"/>
                              </w:rPr>
                              <w:t xml:space="preserve"> buildings and freight vehicles </w:t>
                            </w:r>
                            <w:r>
                              <w:rPr>
                                <w:rFonts w:ascii="Arial" w:hAnsi="Arial" w:cs="Arial"/>
                                <w:color w:val="000000"/>
                                <w:lang w:eastAsia="en-US"/>
                              </w:rPr>
                              <w:t xml:space="preserve">were </w:t>
                            </w:r>
                            <w:r w:rsidRPr="008D4C41">
                              <w:rPr>
                                <w:rFonts w:ascii="Arial" w:hAnsi="Arial" w:cs="Arial"/>
                                <w:color w:val="000000"/>
                                <w:lang w:eastAsia="en-US"/>
                              </w:rPr>
                              <w:t>more efficient</w:t>
                            </w:r>
                            <w:r>
                              <w:rPr>
                                <w:rFonts w:ascii="Arial" w:hAnsi="Arial" w:cs="Arial"/>
                                <w:color w:val="000000"/>
                                <w:lang w:eastAsia="en-US"/>
                              </w:rPr>
                              <w:t xml:space="preserve">, then the </w:t>
                            </w:r>
                            <w:r w:rsidRPr="008D4C41">
                              <w:rPr>
                                <w:rFonts w:ascii="Arial" w:hAnsi="Arial" w:cs="Arial"/>
                                <w:color w:val="000000"/>
                                <w:lang w:eastAsia="en-US"/>
                              </w:rPr>
                              <w:t xml:space="preserve">daily activity of drinking coffee </w:t>
                            </w:r>
                            <w:r>
                              <w:rPr>
                                <w:rFonts w:ascii="Arial" w:hAnsi="Arial" w:cs="Arial"/>
                                <w:color w:val="000000"/>
                                <w:lang w:eastAsia="en-US"/>
                              </w:rPr>
                              <w:t>would</w:t>
                            </w:r>
                            <w:r w:rsidRPr="008D4C41">
                              <w:rPr>
                                <w:rFonts w:ascii="Arial" w:hAnsi="Arial" w:cs="Arial"/>
                                <w:color w:val="000000"/>
                                <w:lang w:eastAsia="en-US"/>
                              </w:rPr>
                              <w:t xml:space="preserve"> be supporting our emission reduction goals.</w:t>
                            </w:r>
                          </w:p>
                          <w:p w:rsidR="00B75FD4" w:rsidRDefault="00B75FD4" w:rsidP="0089179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margin-left:.25pt;margin-top:-.3pt;width:416.85pt;height:233.5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gDJHKAIAAEwEAAAOAAAAZHJzL2Uyb0RvYy54bWysVNtu2zAMfR+wfxD0vjhx4zY24hRdugwD&#10;ugvQ7gNkWY6FSaInKbG7rx8lu5mx7WmYHwRRpI4OD0lvbwetyFlYJ8GUdLVYUiIMh1qaY0m/Ph3e&#10;bChxnpmaKTCipM/C0dvd61fbvitECi2oWliCIMYVfVfS1vuuSBLHW6GZW0AnDDobsJp5NO0xqS3r&#10;EV2rJF0ur5MebN1Z4MI5PL0fnXQX8ZtGcP+5aZzwRJUUufm42rhWYU12W1YcLetaySca7B9YaCYN&#10;PnqBumeekZOVf0BpyS04aPyCg06gaSQXMQfMZrX8LZvHlnUi5oLiuO4ik/t/sPzT+YslssbaUWKY&#10;xhI9icGTtzCQNKjTd67AoMcOw/yAxyEyZOq6B+DfHDGwb5k5ijtroW8Fq5HdKtxMZldHHBdAqv4j&#10;1PgMO3mIQENjdQBEMQiiY5WeL5UJVDgeZml+lecZJRx9aX6dba5u4huseLneWeffC9AkbEpqsfQR&#10;np0fnA90WPESEumDkvVBKhUNe6z2ypIzwzY5xG9Cd/MwZUhf0jxLs1GBuc/NIZbx+xuElh77XUld&#10;0s0liBVBt3emjt3omVTjHikrMwkZtBtV9EM1TBWb6lNB/YzKWhjbG8cRNy3YH5T02Noldd9PzApK&#10;1AeD1clX63WYhWiss5sUDTv3VHMPMxyhSuopGbd7H+cn6GbgDqvYyKhvKPfIZKKMLRtln8YrzMTc&#10;jlG/fgK7nwAAAP//AwBQSwMEFAAGAAgAAAAhAO9xb8jdAAAABgEAAA8AAABkcnMvZG93bnJldi54&#10;bWxMjsFOwzAQRO9I/IO1SFxQ69CmbgjZVAgJBDcoFVzd2E0i7HWw3TT8PeYEx9GM3rxqM1nDRu1D&#10;7wjhep4B09Q41VOLsHt7mBXAQpSkpHGkEb51gE19flbJUrkTvepxG1uWIBRKidDFOJSch6bTVoa5&#10;GzSl7uC8lTFF33Ll5SnBreGLLBPcyp7SQycHfd/p5nN7tAhF/jR+hOfly3sjDuYmXq3Hxy+PeHkx&#10;3d0Ci3qKf2P41U/qUCenvTuSCswgrNIOYSaApbJY5gtge4RciBXwuuL/9esfAAAA//8DAFBLAQIt&#10;ABQABgAIAAAAIQC2gziS/gAAAOEBAAATAAAAAAAAAAAAAAAAAAAAAABbQ29udGVudF9UeXBlc10u&#10;eG1sUEsBAi0AFAAGAAgAAAAhADj9If/WAAAAlAEAAAsAAAAAAAAAAAAAAAAALwEAAF9yZWxzLy5y&#10;ZWxzUEsBAi0AFAAGAAgAAAAhALiAMkcoAgAATAQAAA4AAAAAAAAAAAAAAAAALgIAAGRycy9lMm9E&#10;b2MueG1sUEsBAi0AFAAGAAgAAAAhAO9xb8jdAAAABgEAAA8AAAAAAAAAAAAAAAAAggQAAGRycy9k&#10;b3ducmV2LnhtbFBLBQYAAAAABAAEAPMAAACMBQAAAAA=&#10;">
                <v:textbox>
                  <w:txbxContent>
                    <w:p w:rsidR="00B75FD4" w:rsidRPr="008D4C41" w:rsidRDefault="00B75FD4" w:rsidP="00891793">
                      <w:pPr>
                        <w:shd w:val="clear" w:color="auto" w:fill="FFFFFF"/>
                        <w:spacing w:before="200" w:after="200" w:line="240" w:lineRule="atLeast"/>
                        <w:rPr>
                          <w:rFonts w:ascii="Arial" w:hAnsi="Arial" w:cs="Arial"/>
                          <w:color w:val="000000"/>
                          <w:lang w:eastAsia="en-US"/>
                        </w:rPr>
                      </w:pPr>
                      <w:r w:rsidRPr="008D4C41">
                        <w:rPr>
                          <w:rFonts w:ascii="Arial" w:hAnsi="Arial" w:cs="Arial"/>
                          <w:b/>
                          <w:bCs/>
                          <w:color w:val="000000"/>
                          <w:lang w:eastAsia="en-US"/>
                        </w:rPr>
                        <w:t>How coffee drinking might be part of the solution</w:t>
                      </w:r>
                    </w:p>
                    <w:p w:rsidR="00B75FD4" w:rsidRPr="008D4C41" w:rsidRDefault="00B75FD4" w:rsidP="00891793">
                      <w:pPr>
                        <w:shd w:val="clear" w:color="auto" w:fill="FFFFFF"/>
                        <w:spacing w:before="200" w:after="200" w:line="240" w:lineRule="atLeast"/>
                        <w:rPr>
                          <w:rFonts w:ascii="Arial" w:hAnsi="Arial" w:cs="Arial"/>
                          <w:color w:val="000000"/>
                          <w:lang w:eastAsia="en-US"/>
                        </w:rPr>
                      </w:pPr>
                      <w:r w:rsidRPr="008D4C41">
                        <w:rPr>
                          <w:rFonts w:ascii="Arial" w:hAnsi="Arial" w:cs="Arial"/>
                          <w:color w:val="000000"/>
                          <w:lang w:eastAsia="en-US"/>
                        </w:rPr>
                        <w:t xml:space="preserve">Jo is studying at the University of Melbourne. Each morning she catches a train to Flinders Street Station and gets a coffee in </w:t>
                      </w:r>
                      <w:proofErr w:type="spellStart"/>
                      <w:r w:rsidRPr="008D4C41">
                        <w:rPr>
                          <w:rFonts w:ascii="Arial" w:hAnsi="Arial" w:cs="Arial"/>
                          <w:color w:val="000000"/>
                          <w:lang w:eastAsia="en-US"/>
                        </w:rPr>
                        <w:t>Degraves</w:t>
                      </w:r>
                      <w:proofErr w:type="spellEnd"/>
                      <w:r w:rsidRPr="008D4C41">
                        <w:rPr>
                          <w:rFonts w:ascii="Arial" w:hAnsi="Arial" w:cs="Arial"/>
                          <w:color w:val="000000"/>
                          <w:lang w:eastAsia="en-US"/>
                        </w:rPr>
                        <w:t xml:space="preserve"> Street before jumping on the tram up to the university. Trams in Melbourne will soon be powered by renewable solar energy.</w:t>
                      </w:r>
                    </w:p>
                    <w:p w:rsidR="00B75FD4" w:rsidRPr="008D4C41" w:rsidRDefault="00B75FD4" w:rsidP="00891793">
                      <w:pPr>
                        <w:shd w:val="clear" w:color="auto" w:fill="FFFFFF"/>
                        <w:spacing w:before="200" w:after="200" w:line="240" w:lineRule="atLeast"/>
                        <w:rPr>
                          <w:rFonts w:ascii="Arial" w:hAnsi="Arial" w:cs="Arial"/>
                          <w:color w:val="000000"/>
                          <w:lang w:eastAsia="en-US"/>
                        </w:rPr>
                      </w:pPr>
                      <w:r w:rsidRPr="008D4C41">
                        <w:rPr>
                          <w:rFonts w:ascii="Arial" w:hAnsi="Arial" w:cs="Arial"/>
                          <w:color w:val="000000"/>
                          <w:lang w:eastAsia="en-US"/>
                        </w:rPr>
                        <w:t xml:space="preserve">In the café, she orders a flat white, and the barista grinds the coffee and heats the milk. The café’s electricity generates greenhouse gas emissions, and the efficiency of the café’s refrigeration, lighting and air-conditioning also makes a difference to the greenhouse gas emissions produced. The café’s supplies are delivered each morning, sometimes from many kilometres away and this generates transport emissions. At the end of the day the café </w:t>
                      </w:r>
                      <w:r>
                        <w:rPr>
                          <w:rFonts w:ascii="Arial" w:hAnsi="Arial" w:cs="Arial"/>
                          <w:color w:val="000000"/>
                          <w:lang w:eastAsia="en-US"/>
                        </w:rPr>
                        <w:t xml:space="preserve">workers </w:t>
                      </w:r>
                      <w:r w:rsidRPr="008D4C41">
                        <w:rPr>
                          <w:rFonts w:ascii="Arial" w:hAnsi="Arial" w:cs="Arial"/>
                          <w:color w:val="000000"/>
                          <w:lang w:eastAsia="en-US"/>
                        </w:rPr>
                        <w:t xml:space="preserve">separate organic waste and recycling </w:t>
                      </w:r>
                      <w:r>
                        <w:rPr>
                          <w:rFonts w:ascii="Arial" w:hAnsi="Arial" w:cs="Arial"/>
                          <w:color w:val="000000"/>
                          <w:lang w:eastAsia="en-US"/>
                        </w:rPr>
                        <w:t xml:space="preserve">and </w:t>
                      </w:r>
                      <w:r w:rsidRPr="008D4C41">
                        <w:rPr>
                          <w:rFonts w:ascii="Arial" w:hAnsi="Arial" w:cs="Arial"/>
                          <w:color w:val="000000"/>
                          <w:lang w:eastAsia="en-US"/>
                        </w:rPr>
                        <w:t>dona</w:t>
                      </w:r>
                      <w:r>
                        <w:rPr>
                          <w:rFonts w:ascii="Arial" w:hAnsi="Arial" w:cs="Arial"/>
                          <w:color w:val="000000"/>
                          <w:lang w:eastAsia="en-US"/>
                        </w:rPr>
                        <w:t>te left over food to charity</w:t>
                      </w:r>
                      <w:r w:rsidRPr="008D4C41">
                        <w:rPr>
                          <w:rFonts w:ascii="Arial" w:hAnsi="Arial" w:cs="Arial"/>
                          <w:color w:val="000000"/>
                          <w:lang w:eastAsia="en-US"/>
                        </w:rPr>
                        <w:t xml:space="preserve"> so that only a small amount of waste is sent to landfill.</w:t>
                      </w:r>
                    </w:p>
                    <w:p w:rsidR="00B75FD4" w:rsidRPr="008D4C41" w:rsidRDefault="00B75FD4" w:rsidP="00891793">
                      <w:pPr>
                        <w:shd w:val="clear" w:color="auto" w:fill="FFFFFF"/>
                        <w:spacing w:before="200" w:after="200" w:line="240" w:lineRule="atLeast"/>
                        <w:rPr>
                          <w:rFonts w:ascii="Arial" w:hAnsi="Arial" w:cs="Arial"/>
                          <w:color w:val="000000"/>
                          <w:lang w:eastAsia="en-US"/>
                        </w:rPr>
                      </w:pPr>
                      <w:r>
                        <w:rPr>
                          <w:rFonts w:ascii="Arial" w:hAnsi="Arial" w:cs="Arial"/>
                          <w:color w:val="000000"/>
                          <w:lang w:eastAsia="en-US"/>
                        </w:rPr>
                        <w:t xml:space="preserve">If </w:t>
                      </w:r>
                      <w:r w:rsidRPr="008D4C41">
                        <w:rPr>
                          <w:rFonts w:ascii="Arial" w:hAnsi="Arial" w:cs="Arial"/>
                          <w:color w:val="000000"/>
                          <w:lang w:eastAsia="en-US"/>
                        </w:rPr>
                        <w:t xml:space="preserve">cafes and trains in Melbourne were powered by renewable energy </w:t>
                      </w:r>
                      <w:r>
                        <w:rPr>
                          <w:rFonts w:ascii="Arial" w:hAnsi="Arial" w:cs="Arial"/>
                          <w:color w:val="000000"/>
                          <w:lang w:eastAsia="en-US"/>
                        </w:rPr>
                        <w:t>and</w:t>
                      </w:r>
                      <w:r w:rsidRPr="008D4C41">
                        <w:rPr>
                          <w:rFonts w:ascii="Arial" w:hAnsi="Arial" w:cs="Arial"/>
                          <w:color w:val="000000"/>
                          <w:lang w:eastAsia="en-US"/>
                        </w:rPr>
                        <w:t xml:space="preserve"> buildings and freight vehicles </w:t>
                      </w:r>
                      <w:r>
                        <w:rPr>
                          <w:rFonts w:ascii="Arial" w:hAnsi="Arial" w:cs="Arial"/>
                          <w:color w:val="000000"/>
                          <w:lang w:eastAsia="en-US"/>
                        </w:rPr>
                        <w:t xml:space="preserve">were </w:t>
                      </w:r>
                      <w:r w:rsidRPr="008D4C41">
                        <w:rPr>
                          <w:rFonts w:ascii="Arial" w:hAnsi="Arial" w:cs="Arial"/>
                          <w:color w:val="000000"/>
                          <w:lang w:eastAsia="en-US"/>
                        </w:rPr>
                        <w:t>more efficient</w:t>
                      </w:r>
                      <w:r>
                        <w:rPr>
                          <w:rFonts w:ascii="Arial" w:hAnsi="Arial" w:cs="Arial"/>
                          <w:color w:val="000000"/>
                          <w:lang w:eastAsia="en-US"/>
                        </w:rPr>
                        <w:t xml:space="preserve">, then the </w:t>
                      </w:r>
                      <w:r w:rsidRPr="008D4C41">
                        <w:rPr>
                          <w:rFonts w:ascii="Arial" w:hAnsi="Arial" w:cs="Arial"/>
                          <w:color w:val="000000"/>
                          <w:lang w:eastAsia="en-US"/>
                        </w:rPr>
                        <w:t xml:space="preserve">daily activity of drinking coffee </w:t>
                      </w:r>
                      <w:r>
                        <w:rPr>
                          <w:rFonts w:ascii="Arial" w:hAnsi="Arial" w:cs="Arial"/>
                          <w:color w:val="000000"/>
                          <w:lang w:eastAsia="en-US"/>
                        </w:rPr>
                        <w:t>would</w:t>
                      </w:r>
                      <w:r w:rsidRPr="008D4C41">
                        <w:rPr>
                          <w:rFonts w:ascii="Arial" w:hAnsi="Arial" w:cs="Arial"/>
                          <w:color w:val="000000"/>
                          <w:lang w:eastAsia="en-US"/>
                        </w:rPr>
                        <w:t xml:space="preserve"> be supporting our emission reduction goals.</w:t>
                      </w:r>
                    </w:p>
                    <w:p w:rsidR="00B75FD4" w:rsidRDefault="00B75FD4" w:rsidP="00891793"/>
                  </w:txbxContent>
                </v:textbox>
              </v:shape>
            </w:pict>
          </mc:Fallback>
        </mc:AlternateContent>
      </w:r>
    </w:p>
    <w:p w:rsidR="005379D1" w:rsidRDefault="005379D1" w:rsidP="000F39EA">
      <w:pPr>
        <w:pStyle w:val="BodyText"/>
      </w:pPr>
    </w:p>
    <w:p w:rsidR="005379D1" w:rsidRDefault="005379D1" w:rsidP="000F39EA">
      <w:pPr>
        <w:pStyle w:val="BodyText"/>
      </w:pPr>
    </w:p>
    <w:p w:rsidR="005379D1" w:rsidRDefault="005379D1" w:rsidP="000F39EA">
      <w:pPr>
        <w:pStyle w:val="BodyText"/>
      </w:pPr>
    </w:p>
    <w:p w:rsidR="005379D1" w:rsidRDefault="005379D1" w:rsidP="000F39EA">
      <w:pPr>
        <w:pStyle w:val="BodyText"/>
      </w:pPr>
    </w:p>
    <w:p w:rsidR="0057472A" w:rsidRDefault="0057472A" w:rsidP="00D81BEA">
      <w:pPr>
        <w:pStyle w:val="BodyText"/>
      </w:pPr>
      <w:bookmarkStart w:id="72" w:name="_Toc517088002"/>
      <w:bookmarkEnd w:id="17"/>
    </w:p>
    <w:p w:rsidR="00891793" w:rsidRDefault="00891793" w:rsidP="00D81BEA">
      <w:pPr>
        <w:pStyle w:val="BodyText"/>
      </w:pPr>
    </w:p>
    <w:p w:rsidR="00891793" w:rsidRDefault="00891793" w:rsidP="00D81BEA">
      <w:pPr>
        <w:pStyle w:val="BodyText"/>
      </w:pPr>
    </w:p>
    <w:p w:rsidR="009139E3" w:rsidRPr="00D81BEA" w:rsidRDefault="009139E3" w:rsidP="00D81BEA">
      <w:pPr>
        <w:pStyle w:val="BodyText"/>
        <w:rPr>
          <w:rFonts w:ascii="Arial" w:hAnsi="Arial"/>
          <w:sz w:val="22"/>
          <w:szCs w:val="22"/>
        </w:rPr>
      </w:pPr>
    </w:p>
    <w:p w:rsidR="004743B6" w:rsidRPr="00541C27" w:rsidRDefault="004743B6" w:rsidP="004743B6">
      <w:pPr>
        <w:pStyle w:val="Heading2"/>
      </w:pPr>
      <w:bookmarkStart w:id="73" w:name="_Toc523238946"/>
      <w:bookmarkStart w:id="74" w:name="_Toc520749099"/>
      <w:r w:rsidRPr="00541C27">
        <w:t>Melbourne’s emissions</w:t>
      </w:r>
      <w:r>
        <w:t xml:space="preserve"> </w:t>
      </w:r>
      <w:r w:rsidR="008658C8">
        <w:t>profile</w:t>
      </w:r>
      <w:bookmarkEnd w:id="73"/>
    </w:p>
    <w:p w:rsidR="004743B6" w:rsidRDefault="004743B6" w:rsidP="00B15849">
      <w:pPr>
        <w:spacing w:before="200" w:after="200"/>
        <w:rPr>
          <w:rFonts w:ascii="Arial" w:hAnsi="Arial" w:cs="Arial"/>
        </w:rPr>
      </w:pPr>
      <w:r>
        <w:t>Most of Melbourne’s emissions are from energy</w:t>
      </w:r>
      <w:r w:rsidR="00E223F9">
        <w:t xml:space="preserve"> use in buildings</w:t>
      </w:r>
      <w:r>
        <w:t xml:space="preserve">, transport and waste. </w:t>
      </w:r>
      <w:r w:rsidRPr="00B809F4">
        <w:rPr>
          <w:rFonts w:ascii="Arial" w:hAnsi="Arial" w:cs="Arial"/>
        </w:rPr>
        <w:t xml:space="preserve">The majority of </w:t>
      </w:r>
      <w:r>
        <w:rPr>
          <w:rFonts w:ascii="Arial" w:hAnsi="Arial" w:cs="Arial"/>
        </w:rPr>
        <w:t xml:space="preserve">these </w:t>
      </w:r>
      <w:r w:rsidRPr="00B809F4">
        <w:rPr>
          <w:rFonts w:ascii="Arial" w:hAnsi="Arial" w:cs="Arial"/>
        </w:rPr>
        <w:t xml:space="preserve">emissions are due to energy use in </w:t>
      </w:r>
      <w:r>
        <w:rPr>
          <w:rFonts w:ascii="Arial" w:hAnsi="Arial" w:cs="Arial"/>
        </w:rPr>
        <w:t xml:space="preserve">commercial </w:t>
      </w:r>
      <w:r w:rsidRPr="00B809F4">
        <w:rPr>
          <w:rFonts w:ascii="Arial" w:hAnsi="Arial" w:cs="Arial"/>
        </w:rPr>
        <w:t>buildings</w:t>
      </w:r>
      <w:r>
        <w:rPr>
          <w:rFonts w:ascii="Arial" w:hAnsi="Arial" w:cs="Arial"/>
        </w:rPr>
        <w:t xml:space="preserve"> and transport</w:t>
      </w:r>
      <w:r w:rsidR="00871711">
        <w:rPr>
          <w:rFonts w:ascii="Arial" w:hAnsi="Arial" w:cs="Arial"/>
        </w:rPr>
        <w:t xml:space="preserve">. Our </w:t>
      </w:r>
      <w:r w:rsidR="00C84163">
        <w:rPr>
          <w:rFonts w:ascii="Arial" w:hAnsi="Arial" w:cs="Arial"/>
        </w:rPr>
        <w:t xml:space="preserve">programs have addressed </w:t>
      </w:r>
      <w:r w:rsidR="00871711">
        <w:rPr>
          <w:rFonts w:ascii="Arial" w:hAnsi="Arial" w:cs="Arial"/>
        </w:rPr>
        <w:t>emissions from these sources however there is</w:t>
      </w:r>
      <w:r w:rsidR="00C84163">
        <w:rPr>
          <w:rFonts w:ascii="Arial" w:hAnsi="Arial" w:cs="Arial"/>
        </w:rPr>
        <w:t xml:space="preserve"> still more to do. Without further action emissions will not reduce rapidly </w:t>
      </w:r>
      <w:r w:rsidRPr="00B809F4">
        <w:rPr>
          <w:rFonts w:ascii="Arial" w:hAnsi="Arial" w:cs="Arial"/>
        </w:rPr>
        <w:t>due to population growth, urban densification and the electr</w:t>
      </w:r>
      <w:r>
        <w:rPr>
          <w:rFonts w:ascii="Arial" w:hAnsi="Arial" w:cs="Arial"/>
        </w:rPr>
        <w:t>ification of p</w:t>
      </w:r>
      <w:r w:rsidR="00871711">
        <w:rPr>
          <w:rFonts w:ascii="Arial" w:hAnsi="Arial" w:cs="Arial"/>
        </w:rPr>
        <w:t>rivate vehicles</w:t>
      </w:r>
      <w:r w:rsidR="00C84163">
        <w:rPr>
          <w:rFonts w:ascii="Arial" w:hAnsi="Arial" w:cs="Arial"/>
        </w:rPr>
        <w:t>.</w:t>
      </w:r>
    </w:p>
    <w:p w:rsidR="004743B6" w:rsidRDefault="00047905" w:rsidP="004917DF">
      <w:pPr>
        <w:pStyle w:val="BodyText"/>
      </w:pPr>
      <w:r>
        <w:t>In 2015, t</w:t>
      </w:r>
      <w:r w:rsidR="004743B6" w:rsidRPr="0030048B">
        <w:t xml:space="preserve">he municipality’s emissions were </w:t>
      </w:r>
      <w:r w:rsidR="004743B6">
        <w:t xml:space="preserve">4,700,672 </w:t>
      </w:r>
      <w:r w:rsidR="004743B6" w:rsidRPr="0030048B">
        <w:rPr>
          <w:rFonts w:cstheme="minorHAnsi"/>
          <w:color w:val="auto"/>
        </w:rPr>
        <w:t>tonnes CO</w:t>
      </w:r>
      <w:r w:rsidR="004743B6" w:rsidRPr="0030048B">
        <w:rPr>
          <w:rFonts w:cstheme="minorHAnsi"/>
          <w:bCs/>
          <w:color w:val="auto"/>
          <w:vertAlign w:val="subscript"/>
        </w:rPr>
        <w:t>2</w:t>
      </w:r>
      <w:r w:rsidR="004743B6" w:rsidRPr="0030048B">
        <w:rPr>
          <w:rFonts w:cstheme="minorHAnsi"/>
          <w:color w:val="auto"/>
        </w:rPr>
        <w:t xml:space="preserve"> equivalent</w:t>
      </w:r>
      <w:r w:rsidR="004743B6" w:rsidRPr="00B809F4">
        <w:t>, or</w:t>
      </w:r>
      <w:r w:rsidR="004743B6">
        <w:t xml:space="preserve"> 33.8 t</w:t>
      </w:r>
      <w:r w:rsidR="004743B6" w:rsidRPr="00B809F4">
        <w:t xml:space="preserve">onnes per person. </w:t>
      </w:r>
      <w:r w:rsidR="004743B6">
        <w:t xml:space="preserve">Melbourne’s emissions are one of the highest in the world on a per capita basis. </w:t>
      </w:r>
      <w:r>
        <w:t xml:space="preserve">One </w:t>
      </w:r>
      <w:r w:rsidR="004743B6">
        <w:t xml:space="preserve">reason our per capita emissions are </w:t>
      </w:r>
      <w:r>
        <w:t xml:space="preserve">so </w:t>
      </w:r>
      <w:r w:rsidR="004743B6">
        <w:t>high</w:t>
      </w:r>
      <w:r>
        <w:t xml:space="preserve"> is because we have a residential population of </w:t>
      </w:r>
      <w:r w:rsidR="00D0533C">
        <w:t>148,000</w:t>
      </w:r>
      <w:r w:rsidRPr="008658C8">
        <w:t>,</w:t>
      </w:r>
      <w:r>
        <w:t xml:space="preserve"> but a large week day population of 900,000 including tourists and workers.</w:t>
      </w:r>
      <w:r w:rsidR="00D15714">
        <w:rPr>
          <w:rStyle w:val="FootnoteReference"/>
        </w:rPr>
        <w:footnoteReference w:id="5"/>
      </w:r>
      <w:r w:rsidR="00251264">
        <w:t xml:space="preserve"> </w:t>
      </w:r>
      <w:r>
        <w:t>T</w:t>
      </w:r>
      <w:r w:rsidR="00251264">
        <w:t>he majority of our electricity is generated by high emitting brown coal-fired power stations</w:t>
      </w:r>
      <w:r>
        <w:t>, which also increases our per capita emissions</w:t>
      </w:r>
      <w:r w:rsidR="00251264">
        <w:t>.</w:t>
      </w:r>
      <w:r w:rsidR="00251264">
        <w:rPr>
          <w:rStyle w:val="FootnoteReference"/>
        </w:rPr>
        <w:t xml:space="preserve"> </w:t>
      </w:r>
    </w:p>
    <w:p w:rsidR="00FE4A42" w:rsidRDefault="00FE4A42" w:rsidP="00FE4A42">
      <w:pPr>
        <w:pStyle w:val="Caption"/>
      </w:pPr>
      <w:bookmarkStart w:id="75" w:name="_Toc522633199"/>
      <w:r>
        <w:t xml:space="preserve">Figure </w:t>
      </w:r>
      <w:r w:rsidR="00146855">
        <w:rPr>
          <w:noProof/>
        </w:rPr>
        <w:fldChar w:fldCharType="begin"/>
      </w:r>
      <w:r w:rsidR="00146855">
        <w:rPr>
          <w:noProof/>
        </w:rPr>
        <w:instrText xml:space="preserve"> SEQ Figure \* ARABIC </w:instrText>
      </w:r>
      <w:r w:rsidR="00146855">
        <w:rPr>
          <w:noProof/>
        </w:rPr>
        <w:fldChar w:fldCharType="separate"/>
      </w:r>
      <w:r w:rsidR="0039200A">
        <w:rPr>
          <w:noProof/>
        </w:rPr>
        <w:t>4</w:t>
      </w:r>
      <w:r w:rsidR="00146855">
        <w:rPr>
          <w:noProof/>
        </w:rPr>
        <w:fldChar w:fldCharType="end"/>
      </w:r>
      <w:r w:rsidRPr="009859AB">
        <w:t xml:space="preserve"> Sources of municipal emissions in 2015</w:t>
      </w:r>
      <w:bookmarkEnd w:id="75"/>
    </w:p>
    <w:p w:rsidR="004743B6" w:rsidRPr="00251264" w:rsidRDefault="004743B6" w:rsidP="00251264">
      <w:pPr>
        <w:rPr>
          <w:rFonts w:ascii="Arial" w:hAnsi="Arial" w:cs="Arial"/>
          <w:b/>
          <w:sz w:val="22"/>
          <w:szCs w:val="22"/>
        </w:rPr>
      </w:pPr>
      <w:r>
        <w:rPr>
          <w:noProof/>
        </w:rPr>
        <w:drawing>
          <wp:inline distT="0" distB="0" distL="0" distR="0" wp14:anchorId="70FC073C" wp14:editId="0FAE7EAA">
            <wp:extent cx="2457450" cy="3171825"/>
            <wp:effectExtent l="0" t="0" r="0" b="0"/>
            <wp:docPr id="29"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r>
        <w:rPr>
          <w:noProof/>
        </w:rPr>
        <w:drawing>
          <wp:inline distT="0" distB="0" distL="0" distR="0" wp14:anchorId="343DE898" wp14:editId="4610E8D5">
            <wp:extent cx="3009900" cy="3171825"/>
            <wp:effectExtent l="0" t="0" r="0" b="0"/>
            <wp:docPr id="32" name="Chart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5379D1" w:rsidRDefault="0057472A" w:rsidP="005379D1">
      <w:pPr>
        <w:pStyle w:val="Heading2"/>
      </w:pPr>
      <w:bookmarkStart w:id="76" w:name="_Toc523238947"/>
      <w:r>
        <w:t>Why we need a</w:t>
      </w:r>
      <w:r w:rsidR="008611AB">
        <w:t xml:space="preserve"> new approach</w:t>
      </w:r>
      <w:bookmarkEnd w:id="74"/>
      <w:bookmarkEnd w:id="76"/>
    </w:p>
    <w:p w:rsidR="004E456D" w:rsidRPr="009B1311" w:rsidRDefault="004E456D" w:rsidP="002949CF">
      <w:pPr>
        <w:spacing w:before="200" w:after="200"/>
        <w:rPr>
          <w:b/>
        </w:rPr>
      </w:pPr>
      <w:r w:rsidRPr="009B1311">
        <w:rPr>
          <w:b/>
        </w:rPr>
        <w:t>Zero net emissions by 2020</w:t>
      </w:r>
    </w:p>
    <w:p w:rsidR="004E456D" w:rsidRDefault="004E456D" w:rsidP="002949CF">
      <w:pPr>
        <w:spacing w:before="200" w:after="200"/>
      </w:pPr>
      <w:r w:rsidRPr="00C17555">
        <w:t xml:space="preserve">In 2003, </w:t>
      </w:r>
      <w:r w:rsidR="00C60F9F">
        <w:t xml:space="preserve">the </w:t>
      </w:r>
      <w:r>
        <w:t>City of Melbourne</w:t>
      </w:r>
      <w:r w:rsidRPr="00C17555">
        <w:t xml:space="preserve"> set an ambitious target of zero net emissions </w:t>
      </w:r>
      <w:r w:rsidR="00A5385A">
        <w:t xml:space="preserve">from the municipality </w:t>
      </w:r>
      <w:r w:rsidR="000342E3">
        <w:t xml:space="preserve">by 2020, </w:t>
      </w:r>
      <w:r w:rsidRPr="00C17555">
        <w:t xml:space="preserve">prior to Australia ratifying the Kyoto Protocol. </w:t>
      </w:r>
      <w:r w:rsidR="000342E3">
        <w:t xml:space="preserve">We </w:t>
      </w:r>
      <w:r w:rsidR="00C60F9F">
        <w:t xml:space="preserve">were </w:t>
      </w:r>
      <w:r w:rsidRPr="00C17555">
        <w:t>one of the first cities t</w:t>
      </w:r>
      <w:r>
        <w:t xml:space="preserve">o set such an ambitious target, and many other cities followed our lead. </w:t>
      </w:r>
      <w:r w:rsidR="000342E3">
        <w:t>The most recent update of the Zero Net Emissions by 2020 Strategy was completed in 2014</w:t>
      </w:r>
      <w:r w:rsidR="00B82B83">
        <w:t>,</w:t>
      </w:r>
      <w:r w:rsidR="000342E3">
        <w:t xml:space="preserve"> prior to the Paris Climate Agreement.</w:t>
      </w:r>
    </w:p>
    <w:p w:rsidR="006246E8" w:rsidRDefault="006246E8" w:rsidP="002949CF">
      <w:pPr>
        <w:spacing w:before="200" w:after="200"/>
      </w:pPr>
      <w:r>
        <w:t>In 2016, the City of Melbourne hosted the Future Melbourne deliberative democracy process to develop a community vision and set the priorities for the city. Reducing greenhouse gas emissions from the municipality was identified as a top priority and this is reflected in our Council Plan 2017–2021. This view is shared across Victoria: 80 per cent of people are willing to act on climate change and 87 per cent think local government should be taking action.</w:t>
      </w:r>
      <w:r>
        <w:rPr>
          <w:rStyle w:val="FootnoteReference"/>
        </w:rPr>
        <w:footnoteReference w:id="6"/>
      </w:r>
    </w:p>
    <w:p w:rsidR="00FA1399" w:rsidRDefault="00FE5109" w:rsidP="002949CF">
      <w:pPr>
        <w:spacing w:before="200" w:after="200"/>
      </w:pPr>
      <w:r>
        <w:t xml:space="preserve">Now that the Australian Government has ratified the Paris Climate Agreement and the Victorian Government has introduced the </w:t>
      </w:r>
      <w:r w:rsidRPr="00BC4B9A">
        <w:rPr>
          <w:i/>
        </w:rPr>
        <w:t>Climate Change Act 2017</w:t>
      </w:r>
      <w:r>
        <w:t xml:space="preserve"> there is a fresh opportunity for the City of Melbourne to pursue our long-standing commitment to action on the emissions that cause cl</w:t>
      </w:r>
      <w:r w:rsidR="00FA1399">
        <w:t xml:space="preserve">imate change. </w:t>
      </w:r>
      <w:r w:rsidR="00CA3C0E">
        <w:t xml:space="preserve">This goal is more important than ever as our city will continue to grow over the coming decades and the decisions we make today will lock </w:t>
      </w:r>
      <w:r w:rsidR="00A536EC">
        <w:t xml:space="preserve">in the future emissions profile of our energy, buildings, transport and waste management. </w:t>
      </w:r>
      <w:r w:rsidR="00FA1399">
        <w:t>The Paris Climate Agreement introduced ambitious science-based targets</w:t>
      </w:r>
      <w:r w:rsidR="008658C8">
        <w:t>. C</w:t>
      </w:r>
      <w:r w:rsidR="00FA1399">
        <w:t xml:space="preserve">ities around the world have responded with </w:t>
      </w:r>
      <w:r>
        <w:t>new frameworks to measure and plan for emission reductions.</w:t>
      </w:r>
      <w:r w:rsidR="00FA1399">
        <w:t xml:space="preserve"> </w:t>
      </w:r>
    </w:p>
    <w:p w:rsidR="00FE5109" w:rsidRPr="00C26F8F" w:rsidRDefault="00FA1399" w:rsidP="002949CF">
      <w:pPr>
        <w:spacing w:before="200" w:after="200"/>
      </w:pPr>
      <w:r>
        <w:t xml:space="preserve">The City of Melbourne completed </w:t>
      </w:r>
      <w:r w:rsidR="008658C8">
        <w:t xml:space="preserve">our </w:t>
      </w:r>
      <w:r>
        <w:t>Climate Change Adaptation Strategy Refresh in 2017</w:t>
      </w:r>
      <w:r w:rsidR="00B82B83">
        <w:t>. Th</w:t>
      </w:r>
      <w:r w:rsidR="008658C8">
        <w:t>is</w:t>
      </w:r>
      <w:r w:rsidR="00B82B83">
        <w:t xml:space="preserve"> complementary Climate Change Mitigation Strategy</w:t>
      </w:r>
      <w:r>
        <w:t xml:space="preserve"> focuse</w:t>
      </w:r>
      <w:r w:rsidR="00B82B83">
        <w:t>s</w:t>
      </w:r>
      <w:r>
        <w:t xml:space="preserve"> on reducing greenh</w:t>
      </w:r>
      <w:r w:rsidR="000342E3">
        <w:t>ouse emissions</w:t>
      </w:r>
      <w:r w:rsidR="00B82B83">
        <w:t>. It</w:t>
      </w:r>
      <w:r w:rsidR="000342E3">
        <w:t xml:space="preserve"> </w:t>
      </w:r>
      <w:r>
        <w:t>respond</w:t>
      </w:r>
      <w:r w:rsidR="00B82B83">
        <w:t>s</w:t>
      </w:r>
      <w:r>
        <w:t xml:space="preserve"> to the new science-based </w:t>
      </w:r>
      <w:r w:rsidR="000342E3">
        <w:t>targets and frameworks introduced</w:t>
      </w:r>
      <w:r>
        <w:t xml:space="preserve"> since the Paris Climate Agreement was ratified in 2016.</w:t>
      </w:r>
    </w:p>
    <w:p w:rsidR="00FE5109" w:rsidRPr="00FE5109" w:rsidRDefault="00FE5109" w:rsidP="002949CF">
      <w:pPr>
        <w:spacing w:before="200" w:after="200"/>
        <w:rPr>
          <w:b/>
        </w:rPr>
      </w:pPr>
      <w:r w:rsidRPr="00FE5109">
        <w:rPr>
          <w:b/>
        </w:rPr>
        <w:t>C40 Cl</w:t>
      </w:r>
      <w:r>
        <w:rPr>
          <w:b/>
        </w:rPr>
        <w:t>imate Action Planning Framework</w:t>
      </w:r>
    </w:p>
    <w:p w:rsidR="00A2548C" w:rsidRDefault="00A2548C" w:rsidP="00407CFD">
      <w:pPr>
        <w:pStyle w:val="BodyText"/>
      </w:pPr>
      <w:r w:rsidRPr="00374100">
        <w:t>C40 is a network of the world’s megacities committ</w:t>
      </w:r>
      <w:r>
        <w:t>ed to addressing climate change</w:t>
      </w:r>
      <w:r w:rsidR="00ED288D">
        <w:t>.</w:t>
      </w:r>
      <w:r>
        <w:rPr>
          <w:rStyle w:val="FootnoteReference"/>
        </w:rPr>
        <w:footnoteReference w:id="7"/>
      </w:r>
      <w:r>
        <w:t xml:space="preserve"> To ensure the approach to this strategy demonstrates global leadership, </w:t>
      </w:r>
      <w:r w:rsidR="008658C8">
        <w:t xml:space="preserve">the </w:t>
      </w:r>
      <w:r>
        <w:t xml:space="preserve">City of Melbourne joined seven cities in a C40 Climate Action Planning Pilot Program: Boston, Durban, Los Angeles, London, Mexico City, New York, and Paris. This peer-review and exchange has contributed greatly to the approach </w:t>
      </w:r>
      <w:r w:rsidR="008658C8">
        <w:t>we are</w:t>
      </w:r>
      <w:r>
        <w:t xml:space="preserve"> taking.</w:t>
      </w:r>
    </w:p>
    <w:p w:rsidR="00D81BEA" w:rsidRDefault="00D81BEA" w:rsidP="00491BCA">
      <w:pPr>
        <w:pStyle w:val="BodyText"/>
      </w:pPr>
      <w:r>
        <w:t xml:space="preserve">By participating in this program, </w:t>
      </w:r>
      <w:r w:rsidR="00C60F9F">
        <w:t xml:space="preserve">the </w:t>
      </w:r>
      <w:r>
        <w:t>City of Melbourne contributed to the development of the</w:t>
      </w:r>
      <w:r w:rsidRPr="00AF06AC">
        <w:t xml:space="preserve"> C40 Climate Action Planning Framework. </w:t>
      </w:r>
      <w:r>
        <w:t>Cities can use t</w:t>
      </w:r>
      <w:r w:rsidRPr="00AF06AC">
        <w:t xml:space="preserve">his framework </w:t>
      </w:r>
      <w:r>
        <w:t>to meet their commitments</w:t>
      </w:r>
      <w:r w:rsidRPr="00AF06AC">
        <w:t xml:space="preserve"> to the Paris </w:t>
      </w:r>
      <w:r>
        <w:t>Climate Agreement</w:t>
      </w:r>
      <w:r w:rsidRPr="00AF06AC">
        <w:t>.</w:t>
      </w:r>
      <w:r>
        <w:t xml:space="preserve"> </w:t>
      </w:r>
    </w:p>
    <w:p w:rsidR="00D81BEA" w:rsidRPr="00845353" w:rsidRDefault="00D81BEA" w:rsidP="002949CF">
      <w:pPr>
        <w:spacing w:before="200" w:after="200"/>
      </w:pPr>
      <w:r w:rsidRPr="00845353">
        <w:t xml:space="preserve">The key features of the C40 Climate Action Planning Framework are: </w:t>
      </w:r>
    </w:p>
    <w:p w:rsidR="00D81BEA" w:rsidRPr="00845353" w:rsidRDefault="00D81BEA" w:rsidP="002949CF">
      <w:pPr>
        <w:spacing w:before="60" w:after="60"/>
      </w:pPr>
      <w:r w:rsidRPr="00845353">
        <w:t>1. Develop a pathway to deliver an emissions neutral city by 2050 at the latest and set an ambitious interim target and/or carbon budget.</w:t>
      </w:r>
    </w:p>
    <w:p w:rsidR="00D81BEA" w:rsidRPr="00845353" w:rsidRDefault="00D81BEA" w:rsidP="002949CF">
      <w:pPr>
        <w:spacing w:before="60" w:after="60"/>
      </w:pPr>
      <w:r w:rsidRPr="00845353">
        <w:t>2. Demonstrate how the city will adapt and improve its resilience to the climate hazards that may impact the city now and in future climate change scenarios.</w:t>
      </w:r>
    </w:p>
    <w:p w:rsidR="00D81BEA" w:rsidRPr="00845353" w:rsidRDefault="00D81BEA" w:rsidP="002949CF">
      <w:pPr>
        <w:spacing w:before="60" w:after="60"/>
      </w:pPr>
      <w:r w:rsidRPr="00845353">
        <w:t>3. Outline the social, environmental and economic benefits expected from implementing the plan, and improve the equitable distribution of these benefits to the city’s population.</w:t>
      </w:r>
    </w:p>
    <w:p w:rsidR="00D81BEA" w:rsidRDefault="00D81BEA" w:rsidP="002949CF">
      <w:pPr>
        <w:spacing w:before="60" w:after="60"/>
      </w:pPr>
      <w:r w:rsidRPr="00845353">
        <w:t>4. Detail the city’s governance, powers and partners who need to be engaged in order to accelerate the delivery of the city’s mitigation targets and resilience goals.</w:t>
      </w:r>
    </w:p>
    <w:p w:rsidR="00680C6A" w:rsidRDefault="000342E3" w:rsidP="002949CF">
      <w:pPr>
        <w:spacing w:before="200" w:after="200"/>
      </w:pPr>
      <w:r>
        <w:t>C</w:t>
      </w:r>
      <w:r w:rsidR="00680C6A">
        <w:t>ities need to do this by</w:t>
      </w:r>
      <w:r w:rsidR="00047905">
        <w:t>:</w:t>
      </w:r>
      <w:r w:rsidR="00680C6A">
        <w:t xml:space="preserve"> </w:t>
      </w:r>
    </w:p>
    <w:p w:rsidR="00680C6A" w:rsidRDefault="000C04B1" w:rsidP="002949CF">
      <w:pPr>
        <w:pStyle w:val="ListParagraph"/>
        <w:numPr>
          <w:ilvl w:val="0"/>
          <w:numId w:val="97"/>
        </w:numPr>
        <w:spacing w:before="60" w:after="60"/>
        <w:ind w:left="360"/>
      </w:pPr>
      <w:r>
        <w:t>Considering adaptation and mitigation in an integrated way, identifying interdependencies to maximise efficiencies and minimize investment risk</w:t>
      </w:r>
      <w:r w:rsidR="00047905">
        <w:t>.</w:t>
      </w:r>
    </w:p>
    <w:p w:rsidR="000C04B1" w:rsidRDefault="000C04B1" w:rsidP="002949CF">
      <w:pPr>
        <w:pStyle w:val="ListParagraph"/>
        <w:numPr>
          <w:ilvl w:val="0"/>
          <w:numId w:val="97"/>
        </w:numPr>
        <w:spacing w:before="60" w:after="60"/>
        <w:ind w:left="360"/>
      </w:pPr>
      <w:r>
        <w:t>Setting an evidence-based, inclusive and deliverable plan for achieving transformational mitigation and adaptation, centred on the city’s powers and wider context</w:t>
      </w:r>
      <w:r w:rsidR="00047905">
        <w:t>.</w:t>
      </w:r>
    </w:p>
    <w:p w:rsidR="000C04B1" w:rsidRDefault="000C04B1" w:rsidP="002949CF">
      <w:pPr>
        <w:pStyle w:val="ListParagraph"/>
        <w:numPr>
          <w:ilvl w:val="0"/>
          <w:numId w:val="97"/>
        </w:numPr>
        <w:spacing w:before="60" w:after="60"/>
        <w:ind w:left="360"/>
      </w:pPr>
      <w:r>
        <w:t>Establishing a transparent process to monitor delivery, communicate progress and update climate action planning in line with governance and reporting systems.</w:t>
      </w:r>
    </w:p>
    <w:p w:rsidR="00D81BEA" w:rsidRPr="00E55EC0" w:rsidRDefault="003404EF" w:rsidP="00D81BEA">
      <w:pPr>
        <w:pStyle w:val="BodyText"/>
      </w:pPr>
      <w:r>
        <w:t xml:space="preserve">The City of Melbourne </w:t>
      </w:r>
      <w:r w:rsidR="00A5385A">
        <w:t xml:space="preserve">will </w:t>
      </w:r>
      <w:r w:rsidR="00D81BEA">
        <w:t xml:space="preserve">be sharing the lessons learnt </w:t>
      </w:r>
      <w:r w:rsidR="00E223F9">
        <w:t xml:space="preserve">from participating in the pilot program </w:t>
      </w:r>
      <w:r w:rsidR="00D81BEA">
        <w:t>with other cities in Australia and around the world.</w:t>
      </w:r>
      <w:r w:rsidR="00A5385A">
        <w:t xml:space="preserve"> </w:t>
      </w:r>
      <w:r>
        <w:t>We have started with a capacity building program for local governments in metropolitan Melbourne.</w:t>
      </w:r>
    </w:p>
    <w:p w:rsidR="006D1C7A" w:rsidRDefault="00A93395" w:rsidP="006D1C7A">
      <w:pPr>
        <w:pStyle w:val="Heading2"/>
      </w:pPr>
      <w:bookmarkStart w:id="77" w:name="_Toc523238948"/>
      <w:bookmarkStart w:id="78" w:name="_Toc520749106"/>
      <w:bookmarkStart w:id="79" w:name="_Toc520749103"/>
      <w:bookmarkEnd w:id="72"/>
      <w:r>
        <w:t>A</w:t>
      </w:r>
      <w:r w:rsidR="004743B6">
        <w:t xml:space="preserve"> low carbon</w:t>
      </w:r>
      <w:r>
        <w:t>, circular</w:t>
      </w:r>
      <w:r w:rsidR="004743B6">
        <w:t xml:space="preserve"> </w:t>
      </w:r>
      <w:r w:rsidR="006D1C7A">
        <w:t>economy</w:t>
      </w:r>
      <w:bookmarkEnd w:id="77"/>
      <w:r w:rsidR="006D1C7A">
        <w:t xml:space="preserve"> </w:t>
      </w:r>
    </w:p>
    <w:p w:rsidR="00A93395" w:rsidRDefault="001A7CCD" w:rsidP="00C74D37">
      <w:pPr>
        <w:pStyle w:val="BodyText"/>
      </w:pPr>
      <w:r w:rsidRPr="001A7CCD">
        <w:t>Melbourne is Australia’s second largest city and an important centre for finance, professional services and the knowledge economy in the Asia-Pacific region. Tourists and visitors to the city are attracted by small businesses in Melbourne’s restaurant, retail and entertainment precincts. Melbourne’s environmental sustainabi</w:t>
      </w:r>
      <w:r w:rsidR="001E3A18">
        <w:t>lity is central to its reputation</w:t>
      </w:r>
      <w:r w:rsidRPr="001A7CCD">
        <w:t xml:space="preserve"> as an attractive place to work and do business.</w:t>
      </w:r>
      <w:r w:rsidR="00AC5FD0">
        <w:t xml:space="preserve"> </w:t>
      </w:r>
    </w:p>
    <w:p w:rsidR="00C74D37" w:rsidRDefault="00A42082" w:rsidP="00C74D37">
      <w:pPr>
        <w:pStyle w:val="BodyText"/>
      </w:pPr>
      <w:r>
        <w:t xml:space="preserve">Cities consume 75 per cent of natural resources globally, and </w:t>
      </w:r>
      <w:r w:rsidR="00132E2D">
        <w:t>m</w:t>
      </w:r>
      <w:r w:rsidR="00C74D37">
        <w:t>any cities are now taking climate change more seriously as an investment issue as well as an operational issue. For example, the financial ratings agency Moody’s recently advised US cities to start addressing climate change or face ratings downgrades.</w:t>
      </w:r>
      <w:r w:rsidR="00C216AF">
        <w:t xml:space="preserve"> </w:t>
      </w:r>
    </w:p>
    <w:p w:rsidR="00C216AF" w:rsidRDefault="00C216AF" w:rsidP="00C74D37">
      <w:pPr>
        <w:pStyle w:val="BodyText"/>
      </w:pPr>
      <w:r>
        <w:t>In 2015 Council unanimously decided not to invest in fossil fuels or fossil fuel aligned companies and to call upon our default superannuation fund to create a fossil fuel free investment option for its members. They also decided to consider fossil fuel exposure when deciding which banks to award our transactional banking contract to when services are tendered.</w:t>
      </w:r>
      <w:r>
        <w:rPr>
          <w:rStyle w:val="FootnoteReference"/>
        </w:rPr>
        <w:footnoteReference w:id="8"/>
      </w:r>
    </w:p>
    <w:p w:rsidR="00C74D37" w:rsidRDefault="00AC5FD0" w:rsidP="006D1C7A">
      <w:pPr>
        <w:pStyle w:val="BodyText"/>
      </w:pPr>
      <w:r>
        <w:t>T</w:t>
      </w:r>
      <w:r w:rsidR="001A7CCD">
        <w:t>he Investor Group on Climate Change</w:t>
      </w:r>
      <w:r w:rsidR="0019155C">
        <w:t xml:space="preserve">, </w:t>
      </w:r>
      <w:r w:rsidR="001A7CCD">
        <w:t>representing $2 trillion assets under management</w:t>
      </w:r>
      <w:r w:rsidR="0019155C">
        <w:t>,</w:t>
      </w:r>
      <w:r w:rsidR="001A7CCD">
        <w:t xml:space="preserve"> is encouraging companies to manage climate risks. M</w:t>
      </w:r>
      <w:r w:rsidR="006D1C7A">
        <w:t>ore businesses and investors are positioning to take advantage of the opportunities of a low carbon economy. They are setting science-based emission reduction targets</w:t>
      </w:r>
      <w:r w:rsidR="00132E2D">
        <w:t>,</w:t>
      </w:r>
      <w:r w:rsidR="006D1C7A">
        <w:t xml:space="preserve"> purchasing renewable energy</w:t>
      </w:r>
      <w:r w:rsidR="00132E2D">
        <w:t xml:space="preserve"> and divesting from fossil-fuels</w:t>
      </w:r>
      <w:r w:rsidR="0019155C">
        <w:t>. C</w:t>
      </w:r>
      <w:r w:rsidR="006D1C7A">
        <w:t xml:space="preserve">ompany directors are starting to consider climate change in </w:t>
      </w:r>
      <w:r w:rsidR="008C2245">
        <w:t xml:space="preserve">their </w:t>
      </w:r>
      <w:r w:rsidR="006D1C7A">
        <w:t>decision</w:t>
      </w:r>
      <w:r w:rsidR="008C2245">
        <w:t>-making.</w:t>
      </w:r>
    </w:p>
    <w:p w:rsidR="00C74D37" w:rsidRDefault="00086F29" w:rsidP="00C74D37">
      <w:pPr>
        <w:pStyle w:val="BodyText"/>
      </w:pPr>
      <w:r>
        <w:t>The leadership of these investors and businesses</w:t>
      </w:r>
      <w:r w:rsidR="006D1C7A">
        <w:t xml:space="preserve"> will contribute to </w:t>
      </w:r>
      <w:r>
        <w:t>our</w:t>
      </w:r>
      <w:r w:rsidR="006D1C7A">
        <w:t xml:space="preserve"> transition to a low carbon economy</w:t>
      </w:r>
      <w:r w:rsidR="0019155C">
        <w:t xml:space="preserve">. It will help </w:t>
      </w:r>
      <w:r w:rsidR="006D1C7A">
        <w:t>Melbourne’s econom</w:t>
      </w:r>
      <w:r w:rsidR="0019155C">
        <w:t xml:space="preserve">ic </w:t>
      </w:r>
      <w:r w:rsidR="006D1C7A">
        <w:t>resilien</w:t>
      </w:r>
      <w:r w:rsidR="0019155C">
        <w:t>ce</w:t>
      </w:r>
      <w:r w:rsidR="006D1C7A">
        <w:t xml:space="preserve"> </w:t>
      </w:r>
      <w:r w:rsidR="001A7CCD">
        <w:t>to the risks of climate change.</w:t>
      </w:r>
      <w:r w:rsidR="00C74D37" w:rsidRPr="00C74D37">
        <w:t xml:space="preserve"> </w:t>
      </w:r>
      <w:r w:rsidR="00C74D37">
        <w:t>A low carbon economy supports business activities by generating the highest value for the least emissions. Melbourne’s knowledge economy is well positioned</w:t>
      </w:r>
      <w:r w:rsidR="008C2245">
        <w:t>:</w:t>
      </w:r>
      <w:r w:rsidR="00C74D37">
        <w:t xml:space="preserve"> its strengths in professional, technical, scientific and financial services </w:t>
      </w:r>
      <w:r w:rsidR="008C2245">
        <w:t xml:space="preserve">will </w:t>
      </w:r>
      <w:r w:rsidR="00032B1D">
        <w:t>benefit from</w:t>
      </w:r>
      <w:r w:rsidR="008C2245">
        <w:t xml:space="preserve"> </w:t>
      </w:r>
      <w:r w:rsidR="00C74D37">
        <w:t>the transition to 100 per cent renewable energy and zero emissions buildings.</w:t>
      </w:r>
    </w:p>
    <w:p w:rsidR="00D51C3D" w:rsidRDefault="00086F29" w:rsidP="00C74D37">
      <w:pPr>
        <w:pStyle w:val="BodyText"/>
      </w:pPr>
      <w:r>
        <w:t xml:space="preserve">The concept of a circular economy </w:t>
      </w:r>
      <w:r w:rsidR="00D510C8">
        <w:t xml:space="preserve">recognises that the way we currently design many products, buildings, transport systems and cities contributes to wasted resources. </w:t>
      </w:r>
      <w:r w:rsidR="0019155C">
        <w:t>Many</w:t>
      </w:r>
      <w:r w:rsidR="00D510C8">
        <w:t xml:space="preserve"> product</w:t>
      </w:r>
      <w:r w:rsidR="00D51C3D">
        <w:t>s generate</w:t>
      </w:r>
      <w:r w:rsidR="00D67207">
        <w:t xml:space="preserve"> a </w:t>
      </w:r>
      <w:r w:rsidR="00676093">
        <w:t>lot of waste in their manufacture or transport</w:t>
      </w:r>
      <w:r w:rsidR="0019155C">
        <w:t>,</w:t>
      </w:r>
      <w:r w:rsidR="00D67207">
        <w:t xml:space="preserve"> are only used once or require excessive packaging</w:t>
      </w:r>
      <w:r w:rsidR="00676093">
        <w:t xml:space="preserve">. </w:t>
      </w:r>
      <w:r w:rsidR="0019155C">
        <w:t>W</w:t>
      </w:r>
      <w:r w:rsidR="00676093">
        <w:t xml:space="preserve">asted </w:t>
      </w:r>
      <w:r w:rsidR="00D51C3D">
        <w:t xml:space="preserve">energy and material </w:t>
      </w:r>
      <w:r w:rsidR="00676093">
        <w:t xml:space="preserve">resources </w:t>
      </w:r>
      <w:r w:rsidR="0019155C">
        <w:t xml:space="preserve">also </w:t>
      </w:r>
      <w:r w:rsidR="00676093">
        <w:t>go into</w:t>
      </w:r>
      <w:r w:rsidR="00D67207" w:rsidRPr="00D67207">
        <w:t xml:space="preserve"> </w:t>
      </w:r>
      <w:r w:rsidR="00D67207">
        <w:t>buildings and car parks that sit vacant.</w:t>
      </w:r>
      <w:r w:rsidR="008C2245">
        <w:t xml:space="preserve"> </w:t>
      </w:r>
      <w:r w:rsidR="0019155C">
        <w:t>Making</w:t>
      </w:r>
      <w:r w:rsidR="00D67207">
        <w:t xml:space="preserve"> urban systems more efficient reduces emissions from the wasted energy used to manufacture</w:t>
      </w:r>
      <w:r w:rsidR="0019155C">
        <w:t xml:space="preserve"> </w:t>
      </w:r>
      <w:r w:rsidR="00D67207">
        <w:t>and operate inefficient products, buildings and transport.</w:t>
      </w:r>
      <w:r w:rsidR="00676093">
        <w:t xml:space="preserve"> </w:t>
      </w:r>
    </w:p>
    <w:p w:rsidR="00970DE0" w:rsidRDefault="00676093" w:rsidP="00C74D37">
      <w:pPr>
        <w:pStyle w:val="BodyText"/>
      </w:pPr>
      <w:r>
        <w:t xml:space="preserve">The principles of a circular economy are to </w:t>
      </w:r>
      <w:r w:rsidR="00D51C3D">
        <w:t>design out waste, keep products and materials</w:t>
      </w:r>
      <w:r>
        <w:t xml:space="preserve"> in use at their highest value</w:t>
      </w:r>
      <w:r w:rsidR="00D51C3D">
        <w:t xml:space="preserve">, and preserve and rebuild natural capital. Because of the emissions generated by the manufacture or transport of materials (called “embodied emissions”) there is a </w:t>
      </w:r>
      <w:r>
        <w:t>relationship between our transition to a low carbon economy, and a more efficient circular economy</w:t>
      </w:r>
      <w:r w:rsidR="00D51C3D">
        <w:t xml:space="preserve">. </w:t>
      </w:r>
      <w:r w:rsidR="00657489">
        <w:t>For example, the emissions produced by growing, producing and transporting food, or the manufacture of clothing or building products, and the mining and industrial processing of raw materials for buildings and roads.</w:t>
      </w:r>
      <w:r w:rsidR="00657489">
        <w:rPr>
          <w:rStyle w:val="FootnoteReference"/>
        </w:rPr>
        <w:footnoteReference w:id="9"/>
      </w:r>
      <w:r w:rsidR="00657489">
        <w:t xml:space="preserve"> </w:t>
      </w:r>
    </w:p>
    <w:p w:rsidR="006D1C7A" w:rsidRDefault="00D51C3D" w:rsidP="006D1C7A">
      <w:pPr>
        <w:pStyle w:val="BodyText"/>
      </w:pPr>
      <w:r>
        <w:t>We need to reduce waste of all kinds and decouple</w:t>
      </w:r>
      <w:r w:rsidR="00676093">
        <w:t xml:space="preserve"> emissions intensity from economic value. Through urban design and planning, cities can support an increase in energy efficient buildings and transport systems and the reduction in both structural and material waste. </w:t>
      </w:r>
      <w:bookmarkEnd w:id="78"/>
    </w:p>
    <w:p w:rsidR="00E63E5A" w:rsidRDefault="006D1C7A" w:rsidP="00E63E5A">
      <w:pPr>
        <w:pStyle w:val="Heading1"/>
      </w:pPr>
      <w:bookmarkStart w:id="80" w:name="_Toc523238949"/>
      <w:r>
        <w:t>Taking bold action toget</w:t>
      </w:r>
      <w:r w:rsidR="00347937">
        <w:t>her</w:t>
      </w:r>
      <w:bookmarkEnd w:id="80"/>
      <w:r w:rsidR="00347937">
        <w:t xml:space="preserve"> </w:t>
      </w:r>
      <w:bookmarkEnd w:id="79"/>
    </w:p>
    <w:p w:rsidR="00E63E5A" w:rsidRPr="00D54639" w:rsidRDefault="00E63E5A" w:rsidP="00E63E5A">
      <w:pPr>
        <w:pStyle w:val="Heading2"/>
        <w:rPr>
          <w:i/>
        </w:rPr>
      </w:pPr>
      <w:bookmarkStart w:id="81" w:name="_Toc520749104"/>
      <w:bookmarkStart w:id="82" w:name="_Toc523238950"/>
      <w:r>
        <w:t>City of Melbourne’s role</w:t>
      </w:r>
      <w:bookmarkEnd w:id="81"/>
      <w:bookmarkEnd w:id="82"/>
    </w:p>
    <w:p w:rsidR="00B6328B" w:rsidRDefault="0050772F" w:rsidP="005458BF">
      <w:pPr>
        <w:pStyle w:val="CommentText"/>
        <w:spacing w:before="200" w:after="200" w:line="288" w:lineRule="auto"/>
        <w:rPr>
          <w:rFonts w:ascii="Arial" w:hAnsi="Arial" w:cs="Arial"/>
          <w:sz w:val="20"/>
          <w:szCs w:val="20"/>
        </w:rPr>
      </w:pPr>
      <w:r>
        <w:rPr>
          <w:rFonts w:ascii="Arial" w:hAnsi="Arial" w:cs="Arial"/>
          <w:sz w:val="20"/>
          <w:szCs w:val="20"/>
        </w:rPr>
        <w:t xml:space="preserve">The </w:t>
      </w:r>
      <w:r w:rsidR="00E63E5A" w:rsidRPr="00A77409">
        <w:rPr>
          <w:rFonts w:ascii="Arial" w:hAnsi="Arial" w:cs="Arial"/>
          <w:sz w:val="20"/>
          <w:szCs w:val="20"/>
        </w:rPr>
        <w:t>City of Melbourne directly control</w:t>
      </w:r>
      <w:r w:rsidR="005F40FF" w:rsidRPr="00A77409">
        <w:rPr>
          <w:rFonts w:ascii="Arial" w:hAnsi="Arial" w:cs="Arial"/>
          <w:sz w:val="20"/>
          <w:szCs w:val="20"/>
        </w:rPr>
        <w:t>s</w:t>
      </w:r>
      <w:r w:rsidR="00E63E5A" w:rsidRPr="00A77409">
        <w:rPr>
          <w:rFonts w:ascii="Arial" w:hAnsi="Arial" w:cs="Arial"/>
          <w:sz w:val="20"/>
          <w:szCs w:val="20"/>
        </w:rPr>
        <w:t xml:space="preserve"> less than one per cent of emissions sources in the municipality through </w:t>
      </w:r>
      <w:r>
        <w:rPr>
          <w:rFonts w:ascii="Arial" w:hAnsi="Arial" w:cs="Arial"/>
          <w:sz w:val="20"/>
          <w:szCs w:val="20"/>
        </w:rPr>
        <w:t xml:space="preserve">our </w:t>
      </w:r>
      <w:r w:rsidR="00E63E5A" w:rsidRPr="00A77409">
        <w:rPr>
          <w:rFonts w:ascii="Arial" w:hAnsi="Arial" w:cs="Arial"/>
          <w:sz w:val="20"/>
          <w:szCs w:val="20"/>
        </w:rPr>
        <w:t>operations.</w:t>
      </w:r>
      <w:r w:rsidR="001D5300">
        <w:rPr>
          <w:rFonts w:ascii="Arial" w:hAnsi="Arial" w:cs="Arial"/>
          <w:sz w:val="20"/>
          <w:szCs w:val="20"/>
        </w:rPr>
        <w:t xml:space="preserve"> Since 2003 we have been working to reduce emissions from the municipality with influential programs such as </w:t>
      </w:r>
      <w:proofErr w:type="spellStart"/>
      <w:r w:rsidR="001D5300">
        <w:rPr>
          <w:rFonts w:ascii="Arial" w:hAnsi="Arial" w:cs="Arial"/>
          <w:sz w:val="20"/>
          <w:szCs w:val="20"/>
        </w:rPr>
        <w:t>CitySwitch</w:t>
      </w:r>
      <w:proofErr w:type="spellEnd"/>
      <w:r w:rsidR="001D5300">
        <w:rPr>
          <w:rFonts w:ascii="Arial" w:hAnsi="Arial" w:cs="Arial"/>
          <w:sz w:val="20"/>
          <w:szCs w:val="20"/>
        </w:rPr>
        <w:t xml:space="preserve"> and the Melbourne Renewable Energy Project. </w:t>
      </w:r>
    </w:p>
    <w:p w:rsidR="00A77409" w:rsidRPr="00A77409" w:rsidRDefault="001D5300" w:rsidP="005458BF">
      <w:pPr>
        <w:pStyle w:val="CommentText"/>
        <w:spacing w:before="200" w:after="200" w:line="288" w:lineRule="auto"/>
        <w:rPr>
          <w:sz w:val="20"/>
          <w:szCs w:val="20"/>
        </w:rPr>
      </w:pPr>
      <w:r>
        <w:rPr>
          <w:rFonts w:ascii="Arial" w:hAnsi="Arial" w:cs="Arial"/>
          <w:sz w:val="20"/>
          <w:szCs w:val="20"/>
        </w:rPr>
        <w:t>In 2016</w:t>
      </w:r>
      <w:r w:rsidR="005458BF">
        <w:rPr>
          <w:rFonts w:ascii="Arial" w:hAnsi="Arial" w:cs="Arial"/>
          <w:sz w:val="20"/>
          <w:szCs w:val="20"/>
        </w:rPr>
        <w:t>,</w:t>
      </w:r>
      <w:r>
        <w:rPr>
          <w:rFonts w:ascii="Arial" w:hAnsi="Arial" w:cs="Arial"/>
          <w:sz w:val="20"/>
          <w:szCs w:val="20"/>
        </w:rPr>
        <w:t xml:space="preserve"> we introduced a </w:t>
      </w:r>
      <w:r w:rsidRPr="00A77409">
        <w:rPr>
          <w:rFonts w:ascii="Arial" w:hAnsi="Arial" w:cs="Arial"/>
          <w:sz w:val="20"/>
          <w:szCs w:val="20"/>
        </w:rPr>
        <w:t>1.5</w:t>
      </w:r>
      <w:r w:rsidRPr="00A77409">
        <w:rPr>
          <w:rFonts w:ascii="Arial" w:eastAsia="Adobe Heiti Std R" w:hAnsi="Arial" w:cs="Arial"/>
          <w:sz w:val="20"/>
          <w:szCs w:val="20"/>
        </w:rPr>
        <w:t>°</w:t>
      </w:r>
      <w:r w:rsidRPr="00A77409">
        <w:rPr>
          <w:rFonts w:ascii="Arial" w:hAnsi="Arial" w:cs="Arial"/>
          <w:sz w:val="20"/>
          <w:szCs w:val="20"/>
        </w:rPr>
        <w:t>C</w:t>
      </w:r>
      <w:r>
        <w:rPr>
          <w:rFonts w:ascii="Arial" w:hAnsi="Arial" w:cs="Arial"/>
          <w:sz w:val="20"/>
          <w:szCs w:val="20"/>
        </w:rPr>
        <w:t xml:space="preserve"> </w:t>
      </w:r>
      <w:r w:rsidR="00E63E5A" w:rsidRPr="00A77409">
        <w:rPr>
          <w:rFonts w:ascii="Arial" w:hAnsi="Arial" w:cs="Arial"/>
          <w:sz w:val="20"/>
          <w:szCs w:val="20"/>
        </w:rPr>
        <w:t xml:space="preserve">science-based target for our operations in </w:t>
      </w:r>
      <w:r w:rsidR="005458BF">
        <w:rPr>
          <w:rFonts w:ascii="Arial" w:hAnsi="Arial" w:cs="Arial"/>
          <w:sz w:val="20"/>
          <w:szCs w:val="20"/>
        </w:rPr>
        <w:t>our</w:t>
      </w:r>
      <w:r w:rsidR="00E63E5A" w:rsidRPr="00A77409">
        <w:rPr>
          <w:rFonts w:ascii="Arial" w:hAnsi="Arial" w:cs="Arial"/>
          <w:sz w:val="20"/>
          <w:szCs w:val="20"/>
        </w:rPr>
        <w:t xml:space="preserve"> Emission Reduction Plan 2016-2021.</w:t>
      </w:r>
      <w:r w:rsidR="00B6328B">
        <w:rPr>
          <w:rStyle w:val="FootnoteReference"/>
          <w:sz w:val="20"/>
          <w:szCs w:val="20"/>
        </w:rPr>
        <w:footnoteReference w:customMarkFollows="1" w:id="10"/>
        <w:t>7</w:t>
      </w:r>
      <w:r w:rsidR="00E63E5A" w:rsidRPr="00A77409">
        <w:rPr>
          <w:rFonts w:ascii="Arial" w:hAnsi="Arial" w:cs="Arial"/>
          <w:sz w:val="20"/>
          <w:szCs w:val="20"/>
        </w:rPr>
        <w:t xml:space="preserve"> </w:t>
      </w:r>
      <w:r w:rsidR="0050772F">
        <w:rPr>
          <w:rFonts w:ascii="Arial" w:hAnsi="Arial" w:cs="Arial"/>
          <w:sz w:val="20"/>
          <w:szCs w:val="20"/>
        </w:rPr>
        <w:t xml:space="preserve">We have </w:t>
      </w:r>
      <w:r w:rsidR="00E63E5A" w:rsidRPr="00A77409">
        <w:rPr>
          <w:sz w:val="20"/>
          <w:szCs w:val="20"/>
        </w:rPr>
        <w:t xml:space="preserve">taken </w:t>
      </w:r>
      <w:r w:rsidR="00BC6167">
        <w:rPr>
          <w:sz w:val="20"/>
          <w:szCs w:val="20"/>
        </w:rPr>
        <w:t xml:space="preserve">strong </w:t>
      </w:r>
      <w:r w:rsidR="00E63E5A" w:rsidRPr="00A77409">
        <w:rPr>
          <w:sz w:val="20"/>
          <w:szCs w:val="20"/>
        </w:rPr>
        <w:t xml:space="preserve">action to reduce emissions from our own operations and to power our buildings with 100 per cent renewable energy. </w:t>
      </w:r>
      <w:r w:rsidR="00A77409" w:rsidRPr="00A77409">
        <w:rPr>
          <w:sz w:val="20"/>
          <w:szCs w:val="20"/>
        </w:rPr>
        <w:t xml:space="preserve">All remaining emissions are offset to enable </w:t>
      </w:r>
      <w:r w:rsidR="00A77409" w:rsidRPr="00A77409">
        <w:rPr>
          <w:rFonts w:ascii="Arial" w:hAnsi="Arial" w:cs="Arial"/>
          <w:sz w:val="20"/>
          <w:szCs w:val="20"/>
        </w:rPr>
        <w:t>City of Melbourne</w:t>
      </w:r>
      <w:r w:rsidR="00A77409" w:rsidRPr="00A77409">
        <w:rPr>
          <w:sz w:val="20"/>
          <w:szCs w:val="20"/>
        </w:rPr>
        <w:t xml:space="preserve"> to be a certified Carbon Neutral organisation</w:t>
      </w:r>
      <w:r w:rsidR="00407CFD">
        <w:rPr>
          <w:sz w:val="20"/>
          <w:szCs w:val="20"/>
        </w:rPr>
        <w:t>.</w:t>
      </w:r>
      <w:r w:rsidR="00BC6167">
        <w:rPr>
          <w:rStyle w:val="FootnoteReference"/>
          <w:sz w:val="20"/>
          <w:szCs w:val="20"/>
        </w:rPr>
        <w:footnoteReference w:customMarkFollows="1" w:id="11"/>
        <w:t>8</w:t>
      </w:r>
      <w:r w:rsidR="00A77409" w:rsidRPr="00A77409">
        <w:rPr>
          <w:sz w:val="20"/>
          <w:szCs w:val="20"/>
        </w:rPr>
        <w:t xml:space="preserve"> </w:t>
      </w:r>
    </w:p>
    <w:p w:rsidR="00E63E5A" w:rsidRDefault="00E63E5A" w:rsidP="004917DF">
      <w:pPr>
        <w:pStyle w:val="BodyText"/>
      </w:pPr>
      <w:r w:rsidRPr="00A77409">
        <w:t>However, there are many activities</w:t>
      </w:r>
      <w:r>
        <w:t xml:space="preserve"> in the municipality that </w:t>
      </w:r>
      <w:r w:rsidR="00C06052">
        <w:t xml:space="preserve">the </w:t>
      </w:r>
      <w:r>
        <w:t xml:space="preserve">City of Melbourne does not have a direct responsibility for such as energy supply and use in privately owned buildings and transport. </w:t>
      </w:r>
      <w:r w:rsidR="00B82B83">
        <w:t xml:space="preserve">We </w:t>
      </w:r>
      <w:r>
        <w:t xml:space="preserve">still include the emissions from these sources in </w:t>
      </w:r>
      <w:r w:rsidR="00B82B83">
        <w:t xml:space="preserve">the municipality’s </w:t>
      </w:r>
      <w:r>
        <w:t xml:space="preserve">greenhouse </w:t>
      </w:r>
      <w:r w:rsidR="000F1C65">
        <w:t xml:space="preserve">gas </w:t>
      </w:r>
      <w:r>
        <w:t xml:space="preserve">accounts using international standards. </w:t>
      </w:r>
      <w:r w:rsidR="00BC6167">
        <w:t>T</w:t>
      </w:r>
      <w:r>
        <w:t>o address them</w:t>
      </w:r>
      <w:r w:rsidR="0050772F">
        <w:t xml:space="preserve">, we </w:t>
      </w:r>
      <w:r>
        <w:t xml:space="preserve">need to work collaboratively with the community, other governments and businesses across the municipality. </w:t>
      </w:r>
    </w:p>
    <w:p w:rsidR="00E63E5A" w:rsidRPr="0019760C" w:rsidRDefault="00E63E5A" w:rsidP="00491BCA">
      <w:pPr>
        <w:pStyle w:val="BodyText"/>
        <w:rPr>
          <w:color w:val="auto"/>
        </w:rPr>
      </w:pPr>
      <w:r>
        <w:t>The actions that th</w:t>
      </w:r>
      <w:r w:rsidR="00D900B5">
        <w:t>e City of Melbourne can take will be</w:t>
      </w:r>
      <w:r>
        <w:t xml:space="preserve"> defined by our powers in the </w:t>
      </w:r>
      <w:r w:rsidRPr="009136BE">
        <w:rPr>
          <w:i/>
        </w:rPr>
        <w:t>Local G</w:t>
      </w:r>
      <w:r w:rsidR="00D900B5">
        <w:rPr>
          <w:i/>
        </w:rPr>
        <w:t>overnment Bill</w:t>
      </w:r>
      <w:r w:rsidRPr="009136BE">
        <w:rPr>
          <w:i/>
        </w:rPr>
        <w:t xml:space="preserve"> 2018</w:t>
      </w:r>
      <w:r w:rsidR="00407CFD">
        <w:rPr>
          <w:i/>
        </w:rPr>
        <w:t>.</w:t>
      </w:r>
      <w:r>
        <w:rPr>
          <w:color w:val="277BB4" w:themeColor="text2"/>
        </w:rPr>
        <w:t xml:space="preserve"> </w:t>
      </w:r>
      <w:r w:rsidRPr="0019760C">
        <w:rPr>
          <w:color w:val="auto"/>
        </w:rPr>
        <w:t>It states that</w:t>
      </w:r>
      <w:r>
        <w:rPr>
          <w:color w:val="auto"/>
        </w:rPr>
        <w:t>:</w:t>
      </w:r>
      <w:r w:rsidRPr="0019760C">
        <w:rPr>
          <w:color w:val="auto"/>
        </w:rPr>
        <w:t xml:space="preserve"> </w:t>
      </w:r>
    </w:p>
    <w:p w:rsidR="00E63E5A" w:rsidRPr="00B6328B" w:rsidRDefault="00E63E5A" w:rsidP="00B6328B">
      <w:pPr>
        <w:pStyle w:val="BodyText"/>
        <w:spacing w:before="60" w:after="60"/>
        <w:rPr>
          <w:color w:val="auto"/>
        </w:rPr>
      </w:pPr>
      <w:r w:rsidRPr="00B6328B">
        <w:rPr>
          <w:color w:val="auto"/>
        </w:rPr>
        <w:t xml:space="preserve">(b) </w:t>
      </w:r>
      <w:proofErr w:type="gramStart"/>
      <w:r w:rsidRPr="00B6328B">
        <w:rPr>
          <w:color w:val="auto"/>
        </w:rPr>
        <w:t>priority</w:t>
      </w:r>
      <w:proofErr w:type="gramEnd"/>
      <w:r w:rsidRPr="00B6328B">
        <w:rPr>
          <w:color w:val="auto"/>
        </w:rPr>
        <w:t xml:space="preserve"> is to be given to achieving the best outcomes for the municipal community, including future generations;</w:t>
      </w:r>
    </w:p>
    <w:p w:rsidR="00E63E5A" w:rsidRPr="00B6328B" w:rsidRDefault="00E63E5A" w:rsidP="00B6328B">
      <w:pPr>
        <w:pStyle w:val="BodyText"/>
        <w:spacing w:before="60" w:after="60"/>
        <w:rPr>
          <w:color w:val="auto"/>
        </w:rPr>
      </w:pPr>
      <w:r w:rsidRPr="00B6328B">
        <w:rPr>
          <w:color w:val="auto"/>
        </w:rPr>
        <w:t xml:space="preserve">(c) </w:t>
      </w:r>
      <w:proofErr w:type="gramStart"/>
      <w:r w:rsidRPr="00B6328B">
        <w:rPr>
          <w:color w:val="auto"/>
        </w:rPr>
        <w:t>the</w:t>
      </w:r>
      <w:proofErr w:type="gramEnd"/>
      <w:r w:rsidRPr="00B6328B">
        <w:rPr>
          <w:color w:val="auto"/>
        </w:rPr>
        <w:t xml:space="preserve"> economic, social and environmental sustainability of the municipal district, including mitigation and planning for climate change risks, is to be promoted;</w:t>
      </w:r>
      <w:r w:rsidR="00BC6167">
        <w:rPr>
          <w:rStyle w:val="FootnoteReference"/>
          <w:color w:val="auto"/>
        </w:rPr>
        <w:footnoteReference w:customMarkFollows="1" w:id="12"/>
        <w:t>9</w:t>
      </w:r>
      <w:r w:rsidR="00D15714" w:rsidRPr="00D15714" w:rsidDel="00D15714">
        <w:rPr>
          <w:rStyle w:val="FootnoteReference"/>
          <w:color w:val="auto"/>
        </w:rPr>
        <w:t xml:space="preserve"> </w:t>
      </w:r>
    </w:p>
    <w:p w:rsidR="00E63E5A" w:rsidRDefault="00E63E5A" w:rsidP="004917DF">
      <w:pPr>
        <w:pStyle w:val="BodyText"/>
        <w:rPr>
          <w:color w:val="auto"/>
        </w:rPr>
      </w:pPr>
      <w:r w:rsidRPr="0019760C">
        <w:rPr>
          <w:color w:val="auto"/>
        </w:rPr>
        <w:t xml:space="preserve">The </w:t>
      </w:r>
      <w:r w:rsidR="00630DEA">
        <w:t>Climate Change Mitigation Strategy</w:t>
      </w:r>
      <w:r>
        <w:t xml:space="preserve"> 2020</w:t>
      </w:r>
      <w:r w:rsidR="00DE454E">
        <w:t>–</w:t>
      </w:r>
      <w:r>
        <w:t xml:space="preserve">2050 </w:t>
      </w:r>
      <w:r>
        <w:rPr>
          <w:color w:val="auto"/>
        </w:rPr>
        <w:t>specifically responds to</w:t>
      </w:r>
      <w:r w:rsidRPr="0019760C">
        <w:rPr>
          <w:color w:val="auto"/>
        </w:rPr>
        <w:t xml:space="preserve"> these principles of good governance </w:t>
      </w:r>
      <w:r>
        <w:rPr>
          <w:color w:val="auto"/>
        </w:rPr>
        <w:t xml:space="preserve">and also fulfils the remaining principles relating to community engagement, transparency, collaboration with other levels of government and good financial management as outlined in section 9 of the </w:t>
      </w:r>
      <w:r w:rsidR="00D900B5">
        <w:rPr>
          <w:i/>
          <w:color w:val="auto"/>
        </w:rPr>
        <w:t>Local Government Bill</w:t>
      </w:r>
      <w:r w:rsidRPr="009136BE">
        <w:rPr>
          <w:i/>
          <w:color w:val="auto"/>
        </w:rPr>
        <w:t xml:space="preserve"> 201</w:t>
      </w:r>
      <w:r>
        <w:rPr>
          <w:i/>
          <w:color w:val="auto"/>
        </w:rPr>
        <w:t>8</w:t>
      </w:r>
      <w:r>
        <w:rPr>
          <w:color w:val="auto"/>
        </w:rPr>
        <w:t>.</w:t>
      </w:r>
      <w:r w:rsidRPr="0019760C">
        <w:rPr>
          <w:color w:val="auto"/>
        </w:rPr>
        <w:t xml:space="preserve"> </w:t>
      </w:r>
    </w:p>
    <w:p w:rsidR="00E63E5A" w:rsidRDefault="00B82B83" w:rsidP="00407CFD">
      <w:pPr>
        <w:pStyle w:val="Heading2"/>
      </w:pPr>
      <w:bookmarkStart w:id="83" w:name="_Toc520749105"/>
      <w:bookmarkStart w:id="84" w:name="_Toc523238951"/>
      <w:r>
        <w:t xml:space="preserve">Australian and Victorian </w:t>
      </w:r>
      <w:r w:rsidR="00CD7AB6">
        <w:t>c</w:t>
      </w:r>
      <w:r w:rsidR="00E63E5A">
        <w:t xml:space="preserve">limate </w:t>
      </w:r>
      <w:r w:rsidR="00CD7AB6">
        <w:t>c</w:t>
      </w:r>
      <w:r w:rsidR="00E63E5A">
        <w:t xml:space="preserve">hange </w:t>
      </w:r>
      <w:r w:rsidR="00CD7AB6">
        <w:t>p</w:t>
      </w:r>
      <w:r w:rsidR="00E63E5A">
        <w:t>olicy</w:t>
      </w:r>
      <w:bookmarkEnd w:id="83"/>
      <w:bookmarkEnd w:id="84"/>
      <w:r w:rsidR="00E63E5A">
        <w:t xml:space="preserve"> </w:t>
      </w:r>
    </w:p>
    <w:p w:rsidR="00E63E5A" w:rsidRDefault="00E63E5A" w:rsidP="00AE59F7">
      <w:pPr>
        <w:spacing w:before="200" w:after="200"/>
        <w:rPr>
          <w:rFonts w:ascii="Arial" w:hAnsi="Arial" w:cs="Arial"/>
        </w:rPr>
      </w:pPr>
      <w:r>
        <w:rPr>
          <w:color w:val="auto"/>
        </w:rPr>
        <w:t xml:space="preserve">The City of Melbourne cannot mitigate climate risk for the economic, social and environmental sustainability of the municipality without supporting action from the Victorian and Australian Governments to reduce greenhouse gas emissions. </w:t>
      </w:r>
      <w:r w:rsidRPr="00845353">
        <w:rPr>
          <w:rFonts w:ascii="Arial" w:hAnsi="Arial" w:cs="Arial"/>
        </w:rPr>
        <w:t xml:space="preserve">Unlike </w:t>
      </w:r>
      <w:r w:rsidR="002B6788">
        <w:rPr>
          <w:rFonts w:ascii="Arial" w:hAnsi="Arial" w:cs="Arial"/>
        </w:rPr>
        <w:t>some cities in other countries</w:t>
      </w:r>
      <w:r w:rsidRPr="00845353">
        <w:rPr>
          <w:rFonts w:ascii="Arial" w:hAnsi="Arial" w:cs="Arial"/>
        </w:rPr>
        <w:t xml:space="preserve">, </w:t>
      </w:r>
      <w:r w:rsidR="0050772F">
        <w:rPr>
          <w:rFonts w:ascii="Arial" w:hAnsi="Arial" w:cs="Arial"/>
        </w:rPr>
        <w:t xml:space="preserve">we </w:t>
      </w:r>
      <w:r w:rsidRPr="00845353">
        <w:rPr>
          <w:rFonts w:ascii="Arial" w:hAnsi="Arial" w:cs="Arial"/>
        </w:rPr>
        <w:t>do</w:t>
      </w:r>
      <w:r>
        <w:rPr>
          <w:rFonts w:ascii="Arial" w:hAnsi="Arial" w:cs="Arial"/>
        </w:rPr>
        <w:t xml:space="preserve"> not</w:t>
      </w:r>
      <w:r w:rsidR="002B6788">
        <w:rPr>
          <w:rFonts w:ascii="Arial" w:hAnsi="Arial" w:cs="Arial"/>
        </w:rPr>
        <w:t xml:space="preserve"> have the power to</w:t>
      </w:r>
      <w:r w:rsidRPr="00845353">
        <w:rPr>
          <w:rFonts w:ascii="Arial" w:hAnsi="Arial" w:cs="Arial"/>
        </w:rPr>
        <w:t xml:space="preserve"> regulate building energy performance standards </w:t>
      </w:r>
      <w:r w:rsidR="002B6788">
        <w:rPr>
          <w:rFonts w:ascii="Arial" w:hAnsi="Arial" w:cs="Arial"/>
        </w:rPr>
        <w:t xml:space="preserve">or </w:t>
      </w:r>
      <w:r w:rsidRPr="00845353">
        <w:rPr>
          <w:rFonts w:ascii="Arial" w:hAnsi="Arial" w:cs="Arial"/>
        </w:rPr>
        <w:t xml:space="preserve">operate public transport or energy utilities. </w:t>
      </w:r>
      <w:r w:rsidR="0050772F">
        <w:rPr>
          <w:rFonts w:ascii="Arial" w:hAnsi="Arial" w:cs="Arial"/>
        </w:rPr>
        <w:t xml:space="preserve">The </w:t>
      </w:r>
      <w:r>
        <w:rPr>
          <w:rFonts w:ascii="Arial" w:hAnsi="Arial" w:cs="Arial"/>
        </w:rPr>
        <w:t>City of Melbourne</w:t>
      </w:r>
      <w:r w:rsidRPr="00845353">
        <w:rPr>
          <w:rFonts w:ascii="Arial" w:hAnsi="Arial" w:cs="Arial"/>
        </w:rPr>
        <w:t xml:space="preserve"> ha</w:t>
      </w:r>
      <w:r>
        <w:rPr>
          <w:rFonts w:ascii="Arial" w:hAnsi="Arial" w:cs="Arial"/>
        </w:rPr>
        <w:t>s</w:t>
      </w:r>
      <w:r w:rsidRPr="00845353">
        <w:rPr>
          <w:rFonts w:ascii="Arial" w:hAnsi="Arial" w:cs="Arial"/>
        </w:rPr>
        <w:t xml:space="preserve"> limited powers to implement </w:t>
      </w:r>
      <w:r w:rsidR="002B6788">
        <w:rPr>
          <w:rFonts w:ascii="Arial" w:hAnsi="Arial" w:cs="Arial"/>
        </w:rPr>
        <w:t xml:space="preserve">urban </w:t>
      </w:r>
      <w:r w:rsidRPr="00845353">
        <w:rPr>
          <w:rFonts w:ascii="Arial" w:hAnsi="Arial" w:cs="Arial"/>
        </w:rPr>
        <w:t>planning controls.</w:t>
      </w:r>
      <w:r>
        <w:rPr>
          <w:rFonts w:ascii="Arial" w:hAnsi="Arial" w:cs="Arial"/>
        </w:rPr>
        <w:t xml:space="preserve"> </w:t>
      </w:r>
    </w:p>
    <w:p w:rsidR="000F1C65" w:rsidRDefault="000F1C65" w:rsidP="00AE59F7">
      <w:pPr>
        <w:spacing w:before="200" w:after="200"/>
        <w:rPr>
          <w:rFonts w:ascii="Arial" w:hAnsi="Arial" w:cs="Arial"/>
        </w:rPr>
      </w:pPr>
      <w:r>
        <w:rPr>
          <w:rFonts w:ascii="Arial" w:hAnsi="Arial" w:cs="Arial"/>
        </w:rPr>
        <w:t>The graph below illustrates the impact on emissions that different level</w:t>
      </w:r>
      <w:r w:rsidR="00C06052">
        <w:rPr>
          <w:rFonts w:ascii="Arial" w:hAnsi="Arial" w:cs="Arial"/>
        </w:rPr>
        <w:t>s</w:t>
      </w:r>
      <w:r>
        <w:rPr>
          <w:rFonts w:ascii="Arial" w:hAnsi="Arial" w:cs="Arial"/>
        </w:rPr>
        <w:t xml:space="preserve"> of government can have on Melbourne through their </w:t>
      </w:r>
      <w:r w:rsidR="00B62731">
        <w:rPr>
          <w:rFonts w:ascii="Arial" w:hAnsi="Arial" w:cs="Arial"/>
        </w:rPr>
        <w:t>policies</w:t>
      </w:r>
      <w:r>
        <w:rPr>
          <w:rFonts w:ascii="Arial" w:hAnsi="Arial" w:cs="Arial"/>
        </w:rPr>
        <w:t>.</w:t>
      </w:r>
    </w:p>
    <w:p w:rsidR="00407CFD" w:rsidRDefault="00407CFD" w:rsidP="00AE59F7">
      <w:pPr>
        <w:spacing w:before="240" w:after="90"/>
        <w:rPr>
          <w:rFonts w:ascii="Arial" w:hAnsi="Arial" w:cs="Arial"/>
          <w:b/>
        </w:rPr>
      </w:pPr>
    </w:p>
    <w:p w:rsidR="00D52BDE" w:rsidRDefault="00D52BDE" w:rsidP="00AE59F7">
      <w:pPr>
        <w:spacing w:before="240" w:after="90"/>
        <w:rPr>
          <w:rFonts w:ascii="Arial" w:hAnsi="Arial" w:cs="Arial"/>
          <w:b/>
        </w:rPr>
      </w:pPr>
    </w:p>
    <w:p w:rsidR="00FE4A42" w:rsidRDefault="00FE4A42" w:rsidP="00FE4A42">
      <w:pPr>
        <w:pStyle w:val="Caption"/>
      </w:pPr>
      <w:bookmarkStart w:id="85" w:name="_Toc522633200"/>
      <w:r>
        <w:t xml:space="preserve">Figure </w:t>
      </w:r>
      <w:r w:rsidR="00B75FD4">
        <w:fldChar w:fldCharType="begin"/>
      </w:r>
      <w:r w:rsidR="00B75FD4">
        <w:instrText xml:space="preserve"> SEQ Figure \* ARABIC </w:instrText>
      </w:r>
      <w:r w:rsidR="00B75FD4">
        <w:fldChar w:fldCharType="separate"/>
      </w:r>
      <w:proofErr w:type="gramStart"/>
      <w:r w:rsidR="0039200A">
        <w:rPr>
          <w:noProof/>
        </w:rPr>
        <w:t>5</w:t>
      </w:r>
      <w:r w:rsidR="00B75FD4">
        <w:rPr>
          <w:noProof/>
        </w:rPr>
        <w:fldChar w:fldCharType="end"/>
      </w:r>
      <w:r w:rsidRPr="0039376A">
        <w:t xml:space="preserve"> Potential contribution</w:t>
      </w:r>
      <w:proofErr w:type="gramEnd"/>
      <w:r w:rsidRPr="0039376A">
        <w:t xml:space="preserve"> of Australian and Victorian Government policies to Melbourne’s emission reductions 2020–2050</w:t>
      </w:r>
      <w:bookmarkEnd w:id="85"/>
    </w:p>
    <w:p w:rsidR="00C07A53" w:rsidRPr="00C07A53" w:rsidRDefault="009D1DFE" w:rsidP="00C07A53">
      <w:pPr>
        <w:pStyle w:val="Caption"/>
        <w:rPr>
          <w:sz w:val="20"/>
        </w:rPr>
      </w:pPr>
      <w:r>
        <w:rPr>
          <w:sz w:val="20"/>
        </w:rPr>
        <w:t>Significant</w:t>
      </w:r>
      <w:r w:rsidR="00C07A53" w:rsidRPr="00C07A53">
        <w:rPr>
          <w:sz w:val="20"/>
        </w:rPr>
        <w:t xml:space="preserve"> action scenario</w:t>
      </w:r>
    </w:p>
    <w:p w:rsidR="00C07A53" w:rsidRPr="0096502D" w:rsidRDefault="00C07A53" w:rsidP="00C07A53">
      <w:pPr>
        <w:pStyle w:val="BodyText"/>
      </w:pPr>
      <w:r>
        <w:rPr>
          <w:noProof/>
        </w:rPr>
        <w:drawing>
          <wp:inline distT="0" distB="0" distL="0" distR="0" wp14:anchorId="7631092C" wp14:editId="546D0E3C">
            <wp:extent cx="5943600" cy="2768600"/>
            <wp:effectExtent l="0" t="0" r="0" b="0"/>
            <wp:docPr id="24" name="Chart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C07A53" w:rsidRPr="00C07A53" w:rsidRDefault="00C07A53" w:rsidP="00C07A53">
      <w:pPr>
        <w:spacing w:before="240" w:after="90"/>
      </w:pPr>
      <w:r w:rsidRPr="00C07A53">
        <w:t>Accelerated action scenario</w:t>
      </w:r>
    </w:p>
    <w:p w:rsidR="00C07A53" w:rsidRDefault="00C07A53" w:rsidP="00C07A53">
      <w:pPr>
        <w:spacing w:before="240" w:after="90"/>
      </w:pPr>
      <w:r>
        <w:rPr>
          <w:noProof/>
        </w:rPr>
        <w:drawing>
          <wp:inline distT="0" distB="0" distL="0" distR="0" wp14:anchorId="0E498A3F" wp14:editId="68078A77">
            <wp:extent cx="5943600" cy="2637155"/>
            <wp:effectExtent l="0" t="0" r="0" b="0"/>
            <wp:docPr id="31" name="Chart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C931F3" w:rsidRDefault="00C931F3" w:rsidP="00C931F3">
      <w:pPr>
        <w:spacing w:before="200" w:after="200"/>
        <w:rPr>
          <w:color w:val="auto"/>
        </w:rPr>
      </w:pPr>
      <w:r>
        <w:rPr>
          <w:rFonts w:ascii="Arial" w:hAnsi="Arial" w:cs="Arial"/>
        </w:rPr>
        <w:t>As shown above, w</w:t>
      </w:r>
      <w:r w:rsidRPr="00845353">
        <w:rPr>
          <w:rFonts w:ascii="Arial" w:hAnsi="Arial" w:cs="Arial"/>
        </w:rPr>
        <w:t xml:space="preserve">ithout policy changes in state and national jurisdictions, the City of Melbourne will not be </w:t>
      </w:r>
      <w:r>
        <w:rPr>
          <w:rFonts w:ascii="Arial" w:hAnsi="Arial" w:cs="Arial"/>
        </w:rPr>
        <w:t>able to achieve alignment to the</w:t>
      </w:r>
      <w:r w:rsidRPr="00845353">
        <w:rPr>
          <w:rFonts w:ascii="Arial" w:hAnsi="Arial" w:cs="Arial"/>
        </w:rPr>
        <w:t xml:space="preserve"> Paris </w:t>
      </w:r>
      <w:r>
        <w:rPr>
          <w:rFonts w:ascii="Arial" w:hAnsi="Arial" w:cs="Arial"/>
        </w:rPr>
        <w:t xml:space="preserve">Climate </w:t>
      </w:r>
      <w:r w:rsidRPr="00845353">
        <w:rPr>
          <w:rFonts w:ascii="Arial" w:hAnsi="Arial" w:cs="Arial"/>
        </w:rPr>
        <w:t>Agreement</w:t>
      </w:r>
      <w:r>
        <w:rPr>
          <w:rFonts w:ascii="Arial" w:hAnsi="Arial" w:cs="Arial"/>
        </w:rPr>
        <w:t xml:space="preserve"> targets</w:t>
      </w:r>
      <w:r w:rsidRPr="00845353">
        <w:rPr>
          <w:rFonts w:ascii="Arial" w:hAnsi="Arial" w:cs="Arial"/>
        </w:rPr>
        <w:t>.</w:t>
      </w:r>
      <w:r>
        <w:rPr>
          <w:rFonts w:ascii="Arial" w:hAnsi="Arial" w:cs="Arial"/>
        </w:rPr>
        <w:t xml:space="preserve"> </w:t>
      </w:r>
      <w:r>
        <w:rPr>
          <w:color w:val="auto"/>
        </w:rPr>
        <w:t>These targets can only be achieved through collaborative action across all three levels of government.</w:t>
      </w:r>
    </w:p>
    <w:p w:rsidR="00C931F3" w:rsidRDefault="00C931F3" w:rsidP="00C931F3">
      <w:pPr>
        <w:rPr>
          <w:rFonts w:ascii="Arial" w:hAnsi="Arial" w:cs="Arial"/>
        </w:rPr>
      </w:pPr>
      <w:r>
        <w:rPr>
          <w:rFonts w:ascii="Arial" w:hAnsi="Arial" w:cs="Arial"/>
        </w:rPr>
        <w:t>This strategy identifies opportunities within City of Melbourne’s control, together with opportunities outside of City of Melbourne’s control where the role of Council</w:t>
      </w:r>
      <w:r w:rsidR="00FF3FC1">
        <w:rPr>
          <w:rFonts w:ascii="Arial" w:hAnsi="Arial" w:cs="Arial"/>
        </w:rPr>
        <w:t xml:space="preserve"> is to advocate and influence. </w:t>
      </w:r>
      <w:r>
        <w:rPr>
          <w:rFonts w:ascii="Arial" w:hAnsi="Arial" w:cs="Arial"/>
        </w:rPr>
        <w:t>For example, the City of Melbourne does not operate public transport and does not have the power to regulate energy performance standards in buildings, energy supply or renewable energy targets for the city. The graphs show the emission reductions that can be delivered by the City of Melbourne aligned with the Victorian and Commonwealth Governments if a 2030 renewable energy target was set and/or an ambitious national climate and energy policy was endorsed.</w:t>
      </w:r>
    </w:p>
    <w:p w:rsidR="00C931F3" w:rsidRDefault="00C931F3">
      <w:pPr>
        <w:rPr>
          <w:rFonts w:ascii="Arial" w:hAnsi="Arial" w:cs="Arial"/>
        </w:rPr>
      </w:pPr>
      <w:r>
        <w:rPr>
          <w:rFonts w:ascii="Arial" w:hAnsi="Arial" w:cs="Arial"/>
        </w:rPr>
        <w:br w:type="page"/>
      </w:r>
    </w:p>
    <w:p w:rsidR="006D1C7A" w:rsidRPr="00C931F3" w:rsidRDefault="00E63E5A" w:rsidP="00C931F3">
      <w:pPr>
        <w:rPr>
          <w:rFonts w:ascii="Arial" w:hAnsi="Arial" w:cs="Arial"/>
        </w:rPr>
      </w:pPr>
      <w:r>
        <w:rPr>
          <w:color w:val="auto"/>
        </w:rPr>
        <w:t xml:space="preserve">The Victorian </w:t>
      </w:r>
      <w:r w:rsidRPr="00A07B04">
        <w:rPr>
          <w:i/>
          <w:color w:val="auto"/>
        </w:rPr>
        <w:t>Climate Change Act 2017</w:t>
      </w:r>
      <w:r>
        <w:rPr>
          <w:color w:val="auto"/>
        </w:rPr>
        <w:t xml:space="preserve"> provides a framework for local governments to make a voluntary </w:t>
      </w:r>
      <w:r w:rsidR="002B6788">
        <w:rPr>
          <w:color w:val="auto"/>
        </w:rPr>
        <w:t>C</w:t>
      </w:r>
      <w:r>
        <w:rPr>
          <w:color w:val="auto"/>
        </w:rPr>
        <w:t xml:space="preserve">ouncil </w:t>
      </w:r>
      <w:r w:rsidR="002B6788">
        <w:rPr>
          <w:color w:val="auto"/>
        </w:rPr>
        <w:t>P</w:t>
      </w:r>
      <w:r>
        <w:rPr>
          <w:color w:val="auto"/>
        </w:rPr>
        <w:t xml:space="preserve">ledge to implement </w:t>
      </w:r>
      <w:r w:rsidR="00047905">
        <w:rPr>
          <w:color w:val="auto"/>
        </w:rPr>
        <w:t>five</w:t>
      </w:r>
      <w:r>
        <w:rPr>
          <w:color w:val="auto"/>
        </w:rPr>
        <w:t xml:space="preserve">-year Emission Reduction Plans </w:t>
      </w:r>
      <w:r w:rsidR="00047905">
        <w:rPr>
          <w:color w:val="auto"/>
        </w:rPr>
        <w:t xml:space="preserve">for the municipality </w:t>
      </w:r>
      <w:r>
        <w:rPr>
          <w:color w:val="auto"/>
        </w:rPr>
        <w:t xml:space="preserve">from 1 January 2021. The </w:t>
      </w:r>
      <w:r w:rsidR="0050772F">
        <w:rPr>
          <w:color w:val="auto"/>
        </w:rPr>
        <w:t>i</w:t>
      </w:r>
      <w:r>
        <w:rPr>
          <w:color w:val="auto"/>
        </w:rPr>
        <w:t xml:space="preserve">mplementation </w:t>
      </w:r>
      <w:r w:rsidR="0050772F">
        <w:rPr>
          <w:color w:val="auto"/>
        </w:rPr>
        <w:t>p</w:t>
      </w:r>
      <w:r>
        <w:rPr>
          <w:color w:val="auto"/>
        </w:rPr>
        <w:t>lan</w:t>
      </w:r>
      <w:r w:rsidR="000F1C65">
        <w:rPr>
          <w:color w:val="auto"/>
        </w:rPr>
        <w:t xml:space="preserve"> that will</w:t>
      </w:r>
      <w:r>
        <w:rPr>
          <w:color w:val="auto"/>
        </w:rPr>
        <w:t xml:space="preserve"> support</w:t>
      </w:r>
      <w:r w:rsidR="000F1C65">
        <w:rPr>
          <w:color w:val="auto"/>
        </w:rPr>
        <w:t xml:space="preserve"> </w:t>
      </w:r>
      <w:r>
        <w:rPr>
          <w:color w:val="auto"/>
        </w:rPr>
        <w:t xml:space="preserve">this strategy will describe what </w:t>
      </w:r>
      <w:r w:rsidR="0050772F">
        <w:rPr>
          <w:color w:val="auto"/>
        </w:rPr>
        <w:t>we</w:t>
      </w:r>
      <w:r>
        <w:rPr>
          <w:color w:val="auto"/>
        </w:rPr>
        <w:t xml:space="preserve"> can do by 2025 as the basis for a </w:t>
      </w:r>
      <w:r w:rsidR="001C3204">
        <w:rPr>
          <w:color w:val="auto"/>
        </w:rPr>
        <w:t>C</w:t>
      </w:r>
      <w:r>
        <w:rPr>
          <w:color w:val="auto"/>
        </w:rPr>
        <w:t xml:space="preserve">ouncil </w:t>
      </w:r>
      <w:r w:rsidR="001C3204">
        <w:rPr>
          <w:color w:val="auto"/>
        </w:rPr>
        <w:t>P</w:t>
      </w:r>
      <w:r>
        <w:rPr>
          <w:color w:val="auto"/>
        </w:rPr>
        <w:t>ledge</w:t>
      </w:r>
      <w:r w:rsidR="00C5547A">
        <w:rPr>
          <w:color w:val="auto"/>
        </w:rPr>
        <w:t>.</w:t>
      </w:r>
      <w:r>
        <w:rPr>
          <w:color w:val="auto"/>
        </w:rPr>
        <w:t xml:space="preserve"> </w:t>
      </w:r>
    </w:p>
    <w:p w:rsidR="006D1C7A" w:rsidRDefault="006D1C7A" w:rsidP="006D1C7A">
      <w:pPr>
        <w:pStyle w:val="Heading2"/>
      </w:pPr>
      <w:bookmarkStart w:id="86" w:name="_Toc517088003"/>
      <w:bookmarkStart w:id="87" w:name="_Toc520749102"/>
      <w:bookmarkStart w:id="88" w:name="_Toc523238952"/>
      <w:r>
        <w:t xml:space="preserve">Proposed </w:t>
      </w:r>
      <w:bookmarkEnd w:id="86"/>
      <w:r w:rsidR="00D800A2">
        <w:t xml:space="preserve">emission reduction </w:t>
      </w:r>
      <w:r>
        <w:t>targets</w:t>
      </w:r>
      <w:bookmarkEnd w:id="87"/>
      <w:bookmarkEnd w:id="88"/>
    </w:p>
    <w:p w:rsidR="007263BA" w:rsidRPr="001A3A5D" w:rsidRDefault="007263BA" w:rsidP="00AE59F7">
      <w:pPr>
        <w:spacing w:before="200" w:after="200"/>
        <w:rPr>
          <w:rFonts w:ascii="Arial" w:hAnsi="Arial" w:cs="Arial"/>
          <w:highlight w:val="yellow"/>
        </w:rPr>
      </w:pPr>
      <w:r w:rsidRPr="008050CC">
        <w:rPr>
          <w:rFonts w:ascii="Arial" w:hAnsi="Arial" w:cs="Arial"/>
        </w:rPr>
        <w:t xml:space="preserve">Aligning to the </w:t>
      </w:r>
      <w:r w:rsidRPr="00AD3ECD">
        <w:rPr>
          <w:rFonts w:ascii="Arial" w:hAnsi="Arial"/>
        </w:rPr>
        <w:t>Paris Climate Agreement</w:t>
      </w:r>
      <w:r w:rsidRPr="008050CC">
        <w:rPr>
          <w:rFonts w:ascii="Arial" w:hAnsi="Arial" w:cs="Arial"/>
        </w:rPr>
        <w:t xml:space="preserve"> needs a mix of delivery mechanisms</w:t>
      </w:r>
      <w:r>
        <w:rPr>
          <w:rFonts w:ascii="Arial" w:hAnsi="Arial" w:cs="Arial"/>
        </w:rPr>
        <w:t>:</w:t>
      </w:r>
      <w:r w:rsidRPr="008050CC">
        <w:rPr>
          <w:rFonts w:ascii="Arial" w:hAnsi="Arial" w:cs="Arial"/>
        </w:rPr>
        <w:t xml:space="preserve"> </w:t>
      </w:r>
      <w:r>
        <w:rPr>
          <w:rFonts w:ascii="Arial" w:hAnsi="Arial" w:cs="Arial"/>
        </w:rPr>
        <w:t xml:space="preserve">engaging, facilitating, </w:t>
      </w:r>
      <w:r w:rsidRPr="008050CC">
        <w:rPr>
          <w:rFonts w:ascii="Arial" w:hAnsi="Arial" w:cs="Arial"/>
        </w:rPr>
        <w:t xml:space="preserve">collaborating and partnering with others, taking leadership in </w:t>
      </w:r>
      <w:r>
        <w:rPr>
          <w:rFonts w:ascii="Arial" w:hAnsi="Arial" w:cs="Arial"/>
        </w:rPr>
        <w:t xml:space="preserve">the delivery of </w:t>
      </w:r>
      <w:r w:rsidRPr="008050CC">
        <w:rPr>
          <w:rFonts w:ascii="Arial" w:hAnsi="Arial" w:cs="Arial"/>
        </w:rPr>
        <w:t xml:space="preserve">actions </w:t>
      </w:r>
      <w:r>
        <w:rPr>
          <w:rFonts w:ascii="Arial" w:hAnsi="Arial" w:cs="Arial"/>
        </w:rPr>
        <w:t xml:space="preserve">within our powers </w:t>
      </w:r>
      <w:r w:rsidRPr="008050CC">
        <w:rPr>
          <w:rFonts w:ascii="Arial" w:hAnsi="Arial" w:cs="Arial"/>
        </w:rPr>
        <w:t>and advocating for policy change</w:t>
      </w:r>
      <w:r>
        <w:rPr>
          <w:rFonts w:ascii="Arial" w:hAnsi="Arial" w:cs="Arial"/>
        </w:rPr>
        <w:t xml:space="preserve"> and action</w:t>
      </w:r>
      <w:r w:rsidRPr="008050CC">
        <w:rPr>
          <w:rFonts w:ascii="Arial" w:hAnsi="Arial" w:cs="Arial"/>
        </w:rPr>
        <w:t xml:space="preserve"> </w:t>
      </w:r>
      <w:r>
        <w:rPr>
          <w:rFonts w:ascii="Arial" w:hAnsi="Arial" w:cs="Arial"/>
        </w:rPr>
        <w:t xml:space="preserve">from others. </w:t>
      </w:r>
    </w:p>
    <w:p w:rsidR="00D800A2" w:rsidRDefault="007263BA" w:rsidP="00AE59F7">
      <w:pPr>
        <w:spacing w:before="200" w:after="200"/>
      </w:pPr>
      <w:r>
        <w:t xml:space="preserve">To inform the development of the </w:t>
      </w:r>
      <w:r w:rsidR="00630DEA">
        <w:t>Climate Change Mitigation Strategy</w:t>
      </w:r>
      <w:r>
        <w:t xml:space="preserve"> 2020–2050</w:t>
      </w:r>
      <w:r w:rsidRPr="00DD543F">
        <w:t xml:space="preserve"> </w:t>
      </w:r>
      <w:r>
        <w:t>we analysed four scenarios:</w:t>
      </w:r>
    </w:p>
    <w:p w:rsidR="00D800A2" w:rsidRDefault="00D800A2" w:rsidP="00AE59F7">
      <w:pPr>
        <w:pStyle w:val="ListNumber"/>
        <w:numPr>
          <w:ilvl w:val="0"/>
          <w:numId w:val="83"/>
        </w:numPr>
        <w:spacing w:before="60" w:after="60"/>
      </w:pPr>
      <w:r>
        <w:t>business as usual</w:t>
      </w:r>
    </w:p>
    <w:p w:rsidR="00D800A2" w:rsidRDefault="007263BA" w:rsidP="00AE59F7">
      <w:pPr>
        <w:pStyle w:val="ListNumber"/>
        <w:spacing w:before="60" w:after="60"/>
      </w:pPr>
      <w:r>
        <w:t>offsetting all</w:t>
      </w:r>
      <w:r w:rsidR="00D800A2">
        <w:t xml:space="preserve"> remaining emissions from 2020</w:t>
      </w:r>
    </w:p>
    <w:p w:rsidR="00D800A2" w:rsidRDefault="007263BA" w:rsidP="00AE59F7">
      <w:pPr>
        <w:pStyle w:val="ListNumber"/>
        <w:spacing w:before="60" w:after="60"/>
      </w:pPr>
      <w:r>
        <w:t xml:space="preserve">a </w:t>
      </w:r>
      <w:r w:rsidR="009D1DFE">
        <w:t>significant</w:t>
      </w:r>
      <w:r>
        <w:t xml:space="preserve"> action </w:t>
      </w:r>
      <w:r w:rsidR="00D800A2">
        <w:t>program to reduce emissions</w:t>
      </w:r>
      <w:r>
        <w:t xml:space="preserve"> </w:t>
      </w:r>
    </w:p>
    <w:p w:rsidR="00D800A2" w:rsidRDefault="00D800A2" w:rsidP="00AE59F7">
      <w:pPr>
        <w:pStyle w:val="ListNumber"/>
        <w:spacing w:before="60" w:after="60"/>
      </w:pPr>
      <w:proofErr w:type="gramStart"/>
      <w:r>
        <w:t>an</w:t>
      </w:r>
      <w:proofErr w:type="gramEnd"/>
      <w:r>
        <w:t xml:space="preserve"> accelerated action program</w:t>
      </w:r>
      <w:r w:rsidR="00407CFD">
        <w:t>.</w:t>
      </w:r>
    </w:p>
    <w:p w:rsidR="007263BA" w:rsidRDefault="007263BA" w:rsidP="00AE59F7">
      <w:pPr>
        <w:spacing w:before="200" w:after="200"/>
      </w:pPr>
      <w:r>
        <w:t xml:space="preserve">In addition to the actions within the City of Melbourne’s powers, both the </w:t>
      </w:r>
      <w:r w:rsidR="009D1DFE">
        <w:t>significant</w:t>
      </w:r>
      <w:r>
        <w:t xml:space="preserve"> and accelerated action scenarios require investors, businesses and the Victorian and Australian Governments to also take action.</w:t>
      </w:r>
    </w:p>
    <w:p w:rsidR="00D800A2" w:rsidRDefault="007263BA" w:rsidP="00AE59F7">
      <w:pPr>
        <w:spacing w:before="200" w:after="200"/>
      </w:pPr>
      <w:r>
        <w:t xml:space="preserve">The </w:t>
      </w:r>
      <w:r w:rsidR="00084BF3">
        <w:t xml:space="preserve">figure </w:t>
      </w:r>
      <w:r>
        <w:t>below summarises the scenarios analysed. It illustrates the emissions we need to reduce as part of the international effort to stay below the 1.5</w:t>
      </w:r>
      <w:r>
        <w:rPr>
          <w:rFonts w:ascii="Arial" w:hAnsi="Arial" w:cs="Arial"/>
        </w:rPr>
        <w:t>ºC</w:t>
      </w:r>
      <w:r w:rsidRPr="00B809F4">
        <w:t xml:space="preserve"> </w:t>
      </w:r>
      <w:r>
        <w:t>rise in global average temperatures.</w:t>
      </w:r>
    </w:p>
    <w:p w:rsidR="00FE4A42" w:rsidRDefault="00FE4A42" w:rsidP="00FE4A42">
      <w:pPr>
        <w:pStyle w:val="Caption"/>
      </w:pPr>
      <w:bookmarkStart w:id="89" w:name="_Toc522633201"/>
      <w:r>
        <w:t xml:space="preserve">Figure </w:t>
      </w:r>
      <w:fldSimple w:instr=" SEQ Figure \* ARABIC ">
        <w:r w:rsidR="0039200A">
          <w:rPr>
            <w:noProof/>
          </w:rPr>
          <w:t>6</w:t>
        </w:r>
      </w:fldSimple>
      <w:r w:rsidRPr="00D94BBD">
        <w:t xml:space="preserve"> Scenarios for emission reduction targets</w:t>
      </w:r>
      <w:bookmarkEnd w:id="89"/>
    </w:p>
    <w:p w:rsidR="008D6BCD" w:rsidRPr="008D6BCD" w:rsidRDefault="00704906" w:rsidP="008D6BCD">
      <w:pPr>
        <w:pStyle w:val="BodyText"/>
      </w:pPr>
      <w:r w:rsidRPr="00704906">
        <w:rPr>
          <w:noProof/>
        </w:rPr>
        <mc:AlternateContent>
          <mc:Choice Requires="wps">
            <w:drawing>
              <wp:anchor distT="0" distB="0" distL="114300" distR="114300" simplePos="0" relativeHeight="251677184" behindDoc="0" locked="0" layoutInCell="1" allowOverlap="1" wp14:anchorId="260C4482" wp14:editId="32775C00">
                <wp:simplePos x="0" y="0"/>
                <wp:positionH relativeFrom="column">
                  <wp:posOffset>-259286</wp:posOffset>
                </wp:positionH>
                <wp:positionV relativeFrom="paragraph">
                  <wp:posOffset>501404</wp:posOffset>
                </wp:positionV>
                <wp:extent cx="1454785" cy="1403985"/>
                <wp:effectExtent l="7938" t="0" r="952" b="953"/>
                <wp:wrapNone/>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454785" cy="1403985"/>
                        </a:xfrm>
                        <a:prstGeom prst="rect">
                          <a:avLst/>
                        </a:prstGeom>
                        <a:solidFill>
                          <a:srgbClr val="FFFFFF"/>
                        </a:solidFill>
                        <a:ln w="9525">
                          <a:noFill/>
                          <a:miter lim="800000"/>
                          <a:headEnd/>
                          <a:tailEnd/>
                        </a:ln>
                      </wps:spPr>
                      <wps:txbx>
                        <w:txbxContent>
                          <w:p w:rsidR="00704906" w:rsidRPr="008D6BCD" w:rsidRDefault="00704906" w:rsidP="00704906">
                            <w:pPr>
                              <w:rPr>
                                <w:sz w:val="18"/>
                                <w:szCs w:val="18"/>
                              </w:rPr>
                            </w:pPr>
                            <w:r w:rsidRPr="008D6BCD">
                              <w:rPr>
                                <w:sz w:val="18"/>
                                <w:szCs w:val="18"/>
                              </w:rPr>
                              <w:t xml:space="preserve">Emissions </w:t>
                            </w:r>
                            <w:proofErr w:type="gramStart"/>
                            <w:r w:rsidRPr="008D6BCD">
                              <w:rPr>
                                <w:sz w:val="18"/>
                                <w:szCs w:val="18"/>
                              </w:rPr>
                              <w:t>( tCO</w:t>
                            </w:r>
                            <w:r w:rsidRPr="008D6BCD">
                              <w:rPr>
                                <w:sz w:val="18"/>
                                <w:szCs w:val="18"/>
                                <w:vertAlign w:val="subscript"/>
                              </w:rPr>
                              <w:t>2</w:t>
                            </w:r>
                            <w:proofErr w:type="gramEnd"/>
                            <w:r w:rsidRPr="008D6BCD">
                              <w:rPr>
                                <w:sz w:val="18"/>
                                <w:szCs w:val="18"/>
                              </w:rPr>
                              <w:t xml:space="preserve"> -e)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28" type="#_x0000_t202" style="position:absolute;margin-left:-20.4pt;margin-top:39.5pt;width:114.55pt;height:110.55pt;rotation:-90;z-index:2516771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9hEKwIAADMEAAAOAAAAZHJzL2Uyb0RvYy54bWysU9uO2yAQfa/Uf0C8N45TJ5tYcVbbbFNV&#10;2l6k3X4AxjhGBYYCiZ1+fQecZrPtW1UeEMMMh5lzZta3g1bkKJyXYCqaT6aUCMOhkWZf0W9PuzdL&#10;SnxgpmEKjKjoSXh6u3n9at3bUsygA9UIRxDE+LK3Fe1CsGWWed4JzfwErDDobMFpFtB0+6xxrEd0&#10;rbLZdLrIenCNdcCF93h7PzrpJuG3reDhS9t6EYiqKOYW0u7SXsc926xZuXfMdpKf02D/kIVm0uCn&#10;F6h7Fhg5OPkXlJbcgYc2TDjoDNpWcpFqwGry6R/VPHbMilQLkuPthSb//2D55+NXR2SD2i0oMUyj&#10;Rk9iCOQdDGQW6emtLzHq0WJcGPAaQ1Op3j4A/+6JgW3HzF7cOQd9J1iD6eXxZXb1dMTxEaTuP0GD&#10;37BDgAQ0tE4TB6hNvkBNcaVrJIfgZ6ja6aJUzIzHDIp5cbOcU8LRlxfTtys04pesjGhRCet8+CBA&#10;k3ioqMNWSLDs+ODDGPo7JIZ7ULLZSaWS4fb1VjlyZNg2u7TO6C/ClCF9RVfz2TwhG4jvEZqVWgZs&#10;ayV1RZdjRek6svPeNOkcmFTjGZNW5kxXZGjkKgz1kIS5qFBDc0L+ElPICk4d1tWB+0lJjx1cUf/j&#10;wJygRH00qMEqL4rY8sko5jczNNy1p772MMMRqqKBkvG4DWlMEh32DrXayURbFHXM5JwydmYi/jxF&#10;sfWv7RT1POubXwAAAP//AwBQSwMEFAAGAAgAAAAhAKo4PW7hAAAACgEAAA8AAABkcnMvZG93bnJl&#10;di54bWxMj8FOwzAQRO9I/IO1SFxQ6xSHUoVsqkLFgUMFBFCvbrwkEfE6it02/H3dExxHM5p5ky9H&#10;24kDDb51jDCbJiCIK2darhE+P54nCxA+aDa6c0wIv+RhWVxe5Doz7sjvdChDLWIJ+0wjNCH0mZS+&#10;ashqP3U9cfS+3WB1iHKopRn0MZbbTt4myVxa3XJcaHRPTw1VP+XeImxW6+3L9ssY/cbp6035qNab&#10;USFeX42rBxCBxvAXhjN+RIciMu3cno0XHcJEzSN6QLi/i5/OgUWqQOwQVJLOQBa5/H+hOAEAAP//&#10;AwBQSwECLQAUAAYACAAAACEAtoM4kv4AAADhAQAAEwAAAAAAAAAAAAAAAAAAAAAAW0NvbnRlbnRf&#10;VHlwZXNdLnhtbFBLAQItABQABgAIAAAAIQA4/SH/1gAAAJQBAAALAAAAAAAAAAAAAAAAAC8BAABf&#10;cmVscy8ucmVsc1BLAQItABQABgAIAAAAIQBz+9hEKwIAADMEAAAOAAAAAAAAAAAAAAAAAC4CAABk&#10;cnMvZTJvRG9jLnhtbFBLAQItABQABgAIAAAAIQCqOD1u4QAAAAoBAAAPAAAAAAAAAAAAAAAAAIUE&#10;AABkcnMvZG93bnJldi54bWxQSwUGAAAAAAQABADzAAAAkwUAAAAA&#10;" stroked="f">
                <v:textbox style="mso-fit-shape-to-text:t">
                  <w:txbxContent>
                    <w:p w:rsidR="00704906" w:rsidRPr="008D6BCD" w:rsidRDefault="00704906" w:rsidP="00704906">
                      <w:pPr>
                        <w:rPr>
                          <w:sz w:val="18"/>
                          <w:szCs w:val="18"/>
                        </w:rPr>
                      </w:pPr>
                      <w:r w:rsidRPr="008D6BCD">
                        <w:rPr>
                          <w:sz w:val="18"/>
                          <w:szCs w:val="18"/>
                        </w:rPr>
                        <w:t xml:space="preserve">Emissions </w:t>
                      </w:r>
                      <w:proofErr w:type="gramStart"/>
                      <w:r w:rsidRPr="008D6BCD">
                        <w:rPr>
                          <w:sz w:val="18"/>
                          <w:szCs w:val="18"/>
                        </w:rPr>
                        <w:t>( tCO</w:t>
                      </w:r>
                      <w:r w:rsidRPr="008D6BCD">
                        <w:rPr>
                          <w:sz w:val="18"/>
                          <w:szCs w:val="18"/>
                          <w:vertAlign w:val="subscript"/>
                        </w:rPr>
                        <w:t>2</w:t>
                      </w:r>
                      <w:proofErr w:type="gramEnd"/>
                      <w:r w:rsidRPr="008D6BCD">
                        <w:rPr>
                          <w:sz w:val="18"/>
                          <w:szCs w:val="18"/>
                        </w:rPr>
                        <w:t xml:space="preserve"> -e)</w:t>
                      </w:r>
                    </w:p>
                  </w:txbxContent>
                </v:textbox>
              </v:shape>
            </w:pict>
          </mc:Fallback>
        </mc:AlternateContent>
      </w:r>
      <w:r w:rsidR="008D6BCD">
        <w:rPr>
          <w:noProof/>
        </w:rPr>
        <w:drawing>
          <wp:inline distT="0" distB="0" distL="0" distR="0" wp14:anchorId="3B64A35D" wp14:editId="39C13AC8">
            <wp:extent cx="5311472" cy="2663687"/>
            <wp:effectExtent l="0" t="0" r="0" b="0"/>
            <wp:docPr id="14" name="Chart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7263BA" w:rsidRPr="00E8706D" w:rsidRDefault="007263BA" w:rsidP="00AE59F7">
      <w:pPr>
        <w:spacing w:before="200" w:after="200"/>
      </w:pPr>
      <w:r w:rsidRPr="006C2696">
        <w:t xml:space="preserve">City of Melbourne’s preferred approach is to deliver the actions needed to achieve the </w:t>
      </w:r>
      <w:r w:rsidR="009D1DFE">
        <w:rPr>
          <w:b/>
        </w:rPr>
        <w:t>significant</w:t>
      </w:r>
      <w:r w:rsidRPr="00E8706D">
        <w:rPr>
          <w:b/>
        </w:rPr>
        <w:t xml:space="preserve"> </w:t>
      </w:r>
      <w:r w:rsidR="00C5547A">
        <w:rPr>
          <w:b/>
        </w:rPr>
        <w:t>a</w:t>
      </w:r>
      <w:r w:rsidRPr="00D63288">
        <w:rPr>
          <w:b/>
        </w:rPr>
        <w:t xml:space="preserve">ction </w:t>
      </w:r>
      <w:r w:rsidRPr="00E8706D">
        <w:rPr>
          <w:b/>
        </w:rPr>
        <w:t>scenario</w:t>
      </w:r>
      <w:r>
        <w:rPr>
          <w:b/>
        </w:rPr>
        <w:t xml:space="preserve"> </w:t>
      </w:r>
      <w:r>
        <w:t xml:space="preserve">and pursue actions for the </w:t>
      </w:r>
      <w:r w:rsidR="00C5547A">
        <w:t>a</w:t>
      </w:r>
      <w:r>
        <w:t xml:space="preserve">ccelerated </w:t>
      </w:r>
      <w:r w:rsidR="00C5547A">
        <w:t>a</w:t>
      </w:r>
      <w:r>
        <w:t xml:space="preserve">ction scenario when there is the opportunity to go further. Both of these scenarios require us to take bold action within our powers, to collaborate with others and to advocate for policy change from the Victorian and </w:t>
      </w:r>
      <w:r w:rsidR="00C5547A">
        <w:t xml:space="preserve">Australian </w:t>
      </w:r>
      <w:r>
        <w:t>Governments. This will meet our commitments to the Paris Climate Agreement while acknowledging our limited powers and financial resources.</w:t>
      </w:r>
    </w:p>
    <w:p w:rsidR="00CE1D10" w:rsidRDefault="00CE1D10" w:rsidP="00CE1D10">
      <w:pPr>
        <w:spacing w:before="200" w:after="200"/>
      </w:pPr>
      <w:r>
        <w:t xml:space="preserve">If we do not act decisively to reduce emissions as part of the global effort, the impacts of climate change and missed economic opportunities of transitioning to a low carbon economy will cost the community </w:t>
      </w:r>
      <w:r w:rsidRPr="00951BB5">
        <w:t>$12.6 billion</w:t>
      </w:r>
      <w:r>
        <w:t xml:space="preserve"> from 2020 to 2050 (business as usual scenario).</w:t>
      </w:r>
      <w:r w:rsidRPr="009C5846">
        <w:t xml:space="preserve"> </w:t>
      </w:r>
      <w:r>
        <w:t>The second scenario requires purchasing offsets to meet the target of zero net emissions. This does not address the causes of greenhouse gas emissions and provides no return on investment to the Melbourne community.</w:t>
      </w:r>
      <w:r w:rsidRPr="001030B1">
        <w:t xml:space="preserve"> </w:t>
      </w:r>
      <w:r>
        <w:t>For the reasons above, scenarios 1 and 2 do not appear to be in the best interests of the community.</w:t>
      </w:r>
    </w:p>
    <w:p w:rsidR="00CE1D10" w:rsidRDefault="00CE1D10" w:rsidP="00CE1D10">
      <w:pPr>
        <w:spacing w:before="200" w:after="200"/>
      </w:pPr>
      <w:r>
        <w:t xml:space="preserve">According to preliminary estimates, we will generate substantial social, economic and environmental benefits for the community by taking decisive action to reduce emissions. The preliminary estimate of the </w:t>
      </w:r>
      <w:r w:rsidRPr="00C23281">
        <w:rPr>
          <w:b/>
        </w:rPr>
        <w:t>net benefits</w:t>
      </w:r>
      <w:r>
        <w:t xml:space="preserve"> to the community is $3.1 billion for the </w:t>
      </w:r>
      <w:r w:rsidR="009D1DFE">
        <w:t>significant</w:t>
      </w:r>
      <w:r>
        <w:t xml:space="preserve"> action scenario and $5.6 billion for the accelerated action scenario</w:t>
      </w:r>
      <w:r w:rsidRPr="00C23281">
        <w:t xml:space="preserve"> </w:t>
      </w:r>
      <w:r>
        <w:t xml:space="preserve">when compared to business as usual over the 2020–2050 </w:t>
      </w:r>
      <w:proofErr w:type="gramStart"/>
      <w:r>
        <w:t>period</w:t>
      </w:r>
      <w:proofErr w:type="gramEnd"/>
      <w:r>
        <w:t>. The benefits are generated by the reduced burden of climate impact on the economy if the science-based targets in the Paris Climate Agreement are achieved.</w:t>
      </w:r>
      <w:r w:rsidR="00C95EDA">
        <w:t xml:space="preserve"> Further explanation of the method used to calculate costs and benefits can be found in Appendix A.</w:t>
      </w:r>
    </w:p>
    <w:p w:rsidR="008D589C" w:rsidRDefault="000D35A6" w:rsidP="00AE59F7">
      <w:pPr>
        <w:spacing w:before="200" w:after="200"/>
      </w:pPr>
      <w:r>
        <w:t xml:space="preserve">Offsets also provide important environmental, social and economic benefits for reducing emissions in remote and regional Australia, and in many other countries. However, achieving emission reductions through purchasing offsets alone will not address the causes of greenhouse gas emissions in our city or achieve the co-benefits. </w:t>
      </w:r>
    </w:p>
    <w:p w:rsidR="000D35A6" w:rsidRDefault="000D35A6" w:rsidP="00AE59F7">
      <w:pPr>
        <w:spacing w:before="200" w:after="200"/>
      </w:pPr>
      <w:r>
        <w:t>Carbon offsets are also expected to increase in cost exponentially beyond the year 2020 because many countries have signed up to the Paris Agreement, which will mean demand for offsets are likely to increase. In addition, the Kyoto agreement offset mechanisms end in 2020 and it is unclear how they will be replaced.</w:t>
      </w:r>
    </w:p>
    <w:p w:rsidR="007263BA" w:rsidRDefault="000D35A6" w:rsidP="00AE59F7">
      <w:pPr>
        <w:spacing w:before="200" w:after="200"/>
      </w:pPr>
      <w:r>
        <w:t>For the</w:t>
      </w:r>
      <w:r w:rsidR="00D800A2">
        <w:t xml:space="preserve"> reason</w:t>
      </w:r>
      <w:r w:rsidR="00C3246E">
        <w:t xml:space="preserve">s above </w:t>
      </w:r>
      <w:r w:rsidR="00D800A2">
        <w:t xml:space="preserve">scenarios 1 and 2 </w:t>
      </w:r>
      <w:r w:rsidR="00C3246E">
        <w:t xml:space="preserve">do not appear to be </w:t>
      </w:r>
      <w:r w:rsidR="007263BA">
        <w:t>in the be</w:t>
      </w:r>
      <w:r w:rsidR="003962DA">
        <w:t>st interests of the community</w:t>
      </w:r>
      <w:r w:rsidR="007263BA">
        <w:t>.</w:t>
      </w:r>
    </w:p>
    <w:p w:rsidR="007263BA" w:rsidRDefault="007263BA" w:rsidP="00AE59F7">
      <w:pPr>
        <w:spacing w:before="200" w:after="200"/>
      </w:pPr>
      <w:r>
        <w:t xml:space="preserve">The emission reduction targets that the </w:t>
      </w:r>
      <w:r w:rsidR="009D1DFE">
        <w:t>significant</w:t>
      </w:r>
      <w:r>
        <w:t xml:space="preserve"> and accelerated action scenarios could achieve in 2025, 2030 and 2050 are presented in the tables below. Both scenarios align to the Paris Climate Agreement.</w:t>
      </w:r>
    </w:p>
    <w:p w:rsidR="00FE4A42" w:rsidRDefault="00FE4A42" w:rsidP="00A536EC">
      <w:pPr>
        <w:pStyle w:val="Caption"/>
      </w:pPr>
      <w:bookmarkStart w:id="90" w:name="_Toc522633211"/>
      <w:r>
        <w:t xml:space="preserve">Table </w:t>
      </w:r>
      <w:r w:rsidR="00001DF1">
        <w:t>4</w:t>
      </w:r>
      <w:r>
        <w:t xml:space="preserve"> </w:t>
      </w:r>
      <w:r w:rsidRPr="001A2DF0">
        <w:t xml:space="preserve">Proposed targets: </w:t>
      </w:r>
      <w:r w:rsidR="009D1DFE">
        <w:t>significant</w:t>
      </w:r>
      <w:r w:rsidRPr="001A2DF0">
        <w:t xml:space="preserve"> action scenario</w:t>
      </w:r>
      <w:bookmarkEnd w:id="90"/>
    </w:p>
    <w:tbl>
      <w:tblPr>
        <w:tblW w:w="0" w:type="auto"/>
        <w:tblCellMar>
          <w:left w:w="0" w:type="dxa"/>
          <w:right w:w="0" w:type="dxa"/>
        </w:tblCellMar>
        <w:tblLook w:val="04A0" w:firstRow="1" w:lastRow="0" w:firstColumn="1" w:lastColumn="0" w:noHBand="0" w:noVBand="1"/>
      </w:tblPr>
      <w:tblGrid>
        <w:gridCol w:w="1555"/>
        <w:gridCol w:w="1417"/>
        <w:gridCol w:w="1418"/>
        <w:gridCol w:w="1842"/>
        <w:gridCol w:w="1843"/>
      </w:tblGrid>
      <w:tr w:rsidR="007263BA" w:rsidTr="00AA62D2">
        <w:tc>
          <w:tcPr>
            <w:tcW w:w="1555" w:type="dxa"/>
            <w:vMerge w:val="restart"/>
            <w:tcBorders>
              <w:top w:val="single" w:sz="8" w:space="0" w:color="FFFFFF"/>
              <w:left w:val="single" w:sz="8" w:space="0" w:color="FFFFFF"/>
              <w:bottom w:val="single" w:sz="8" w:space="0" w:color="7F7F7F"/>
              <w:right w:val="nil"/>
            </w:tcBorders>
            <w:tcMar>
              <w:top w:w="0" w:type="dxa"/>
              <w:left w:w="108" w:type="dxa"/>
              <w:bottom w:w="0" w:type="dxa"/>
              <w:right w:w="108" w:type="dxa"/>
            </w:tcMar>
            <w:hideMark/>
          </w:tcPr>
          <w:p w:rsidR="007263BA" w:rsidRPr="00D44FCF" w:rsidRDefault="007263BA" w:rsidP="00AA62D2">
            <w:pPr>
              <w:spacing w:line="240" w:lineRule="auto"/>
              <w:rPr>
                <w:rFonts w:ascii="Times New Roman" w:hAnsi="Times New Roman"/>
                <w:color w:val="auto"/>
              </w:rPr>
            </w:pPr>
          </w:p>
        </w:tc>
        <w:tc>
          <w:tcPr>
            <w:tcW w:w="1417" w:type="dxa"/>
            <w:tcBorders>
              <w:top w:val="single" w:sz="8" w:space="0" w:color="7F7F7F"/>
              <w:left w:val="nil"/>
              <w:bottom w:val="single" w:sz="8" w:space="0" w:color="7F7F7F"/>
              <w:right w:val="nil"/>
            </w:tcBorders>
            <w:shd w:val="clear" w:color="auto" w:fill="323232"/>
            <w:tcMar>
              <w:top w:w="0" w:type="dxa"/>
              <w:left w:w="108" w:type="dxa"/>
              <w:bottom w:w="0" w:type="dxa"/>
              <w:right w:w="108" w:type="dxa"/>
            </w:tcMar>
            <w:hideMark/>
          </w:tcPr>
          <w:p w:rsidR="007263BA" w:rsidRPr="00D44FCF" w:rsidRDefault="007263BA" w:rsidP="00AA62D2">
            <w:pPr>
              <w:autoSpaceDE w:val="0"/>
              <w:autoSpaceDN w:val="0"/>
              <w:jc w:val="center"/>
              <w:rPr>
                <w:rFonts w:ascii="EYInterstate Light" w:eastAsiaTheme="minorHAnsi" w:hAnsi="EYInterstate Light"/>
                <w:b/>
                <w:bCs/>
                <w:color w:val="FFFFFF" w:themeColor="background1"/>
                <w:lang w:val="en-US" w:eastAsia="en-US"/>
              </w:rPr>
            </w:pPr>
            <w:r w:rsidRPr="00D44FCF">
              <w:rPr>
                <w:b/>
                <w:bCs/>
                <w:color w:val="FFFFFF" w:themeColor="background1"/>
                <w:lang w:val="en-US" w:eastAsia="en-US"/>
              </w:rPr>
              <w:t>Baseline</w:t>
            </w:r>
          </w:p>
        </w:tc>
        <w:tc>
          <w:tcPr>
            <w:tcW w:w="5103" w:type="dxa"/>
            <w:gridSpan w:val="3"/>
            <w:tcBorders>
              <w:top w:val="single" w:sz="8" w:space="0" w:color="7F7F7F"/>
              <w:left w:val="nil"/>
              <w:bottom w:val="single" w:sz="8" w:space="0" w:color="7F7F7F"/>
              <w:right w:val="nil"/>
            </w:tcBorders>
            <w:shd w:val="clear" w:color="auto" w:fill="9FCBEA" w:themeFill="accent1" w:themeFillTint="66"/>
            <w:tcMar>
              <w:top w:w="0" w:type="dxa"/>
              <w:left w:w="108" w:type="dxa"/>
              <w:bottom w:w="0" w:type="dxa"/>
              <w:right w:w="108" w:type="dxa"/>
            </w:tcMar>
            <w:hideMark/>
          </w:tcPr>
          <w:p w:rsidR="007263BA" w:rsidRPr="00D44FCF" w:rsidRDefault="009D1DFE" w:rsidP="00AA62D2">
            <w:pPr>
              <w:autoSpaceDE w:val="0"/>
              <w:autoSpaceDN w:val="0"/>
              <w:jc w:val="center"/>
              <w:rPr>
                <w:rFonts w:ascii="EYInterstate Light" w:eastAsiaTheme="minorHAnsi" w:hAnsi="EYInterstate Light"/>
                <w:b/>
                <w:bCs/>
                <w:color w:val="000000"/>
                <w:lang w:val="en-US" w:eastAsia="en-US"/>
              </w:rPr>
            </w:pPr>
            <w:r>
              <w:rPr>
                <w:b/>
                <w:bCs/>
                <w:lang w:val="en-US" w:eastAsia="en-US"/>
              </w:rPr>
              <w:t>significant</w:t>
            </w:r>
            <w:r w:rsidR="007263BA" w:rsidRPr="00D44FCF">
              <w:rPr>
                <w:b/>
                <w:bCs/>
                <w:lang w:val="en-US" w:eastAsia="en-US"/>
              </w:rPr>
              <w:t xml:space="preserve"> </w:t>
            </w:r>
            <w:r w:rsidR="008C105C">
              <w:rPr>
                <w:b/>
                <w:bCs/>
                <w:lang w:val="en-US" w:eastAsia="en-US"/>
              </w:rPr>
              <w:t>a</w:t>
            </w:r>
            <w:r w:rsidR="007263BA" w:rsidRPr="00D44FCF">
              <w:rPr>
                <w:b/>
                <w:bCs/>
                <w:lang w:val="en-US" w:eastAsia="en-US"/>
              </w:rPr>
              <w:t xml:space="preserve">ction </w:t>
            </w:r>
            <w:r w:rsidR="008C105C">
              <w:rPr>
                <w:b/>
                <w:bCs/>
                <w:lang w:val="en-US" w:eastAsia="en-US"/>
              </w:rPr>
              <w:t>s</w:t>
            </w:r>
            <w:r w:rsidR="007263BA" w:rsidRPr="00D44FCF">
              <w:rPr>
                <w:b/>
                <w:bCs/>
                <w:lang w:val="en-US" w:eastAsia="en-US"/>
              </w:rPr>
              <w:t>cenario</w:t>
            </w:r>
          </w:p>
        </w:tc>
      </w:tr>
      <w:tr w:rsidR="007263BA" w:rsidTr="00AA62D2">
        <w:tc>
          <w:tcPr>
            <w:tcW w:w="0" w:type="auto"/>
            <w:vMerge/>
            <w:tcBorders>
              <w:top w:val="single" w:sz="8" w:space="0" w:color="FFFFFF"/>
              <w:left w:val="single" w:sz="8" w:space="0" w:color="FFFFFF"/>
              <w:bottom w:val="single" w:sz="8" w:space="0" w:color="7F7F7F"/>
              <w:right w:val="nil"/>
            </w:tcBorders>
            <w:vAlign w:val="center"/>
            <w:hideMark/>
          </w:tcPr>
          <w:p w:rsidR="007263BA" w:rsidRPr="00D44FCF" w:rsidRDefault="007263BA" w:rsidP="00AA62D2">
            <w:pPr>
              <w:spacing w:line="240" w:lineRule="auto"/>
              <w:rPr>
                <w:rFonts w:ascii="Times New Roman" w:hAnsi="Times New Roman"/>
                <w:color w:val="auto"/>
              </w:rPr>
            </w:pPr>
          </w:p>
        </w:tc>
        <w:tc>
          <w:tcPr>
            <w:tcW w:w="1417" w:type="dxa"/>
            <w:tcBorders>
              <w:top w:val="nil"/>
              <w:left w:val="nil"/>
              <w:bottom w:val="single" w:sz="8" w:space="0" w:color="7F7F7F"/>
              <w:right w:val="nil"/>
            </w:tcBorders>
            <w:shd w:val="clear" w:color="auto" w:fill="323232"/>
            <w:tcMar>
              <w:top w:w="0" w:type="dxa"/>
              <w:left w:w="108" w:type="dxa"/>
              <w:bottom w:w="0" w:type="dxa"/>
              <w:right w:w="108" w:type="dxa"/>
            </w:tcMar>
            <w:hideMark/>
          </w:tcPr>
          <w:p w:rsidR="007263BA" w:rsidRPr="00D44FCF" w:rsidRDefault="007263BA" w:rsidP="00AA62D2">
            <w:pPr>
              <w:autoSpaceDE w:val="0"/>
              <w:autoSpaceDN w:val="0"/>
              <w:jc w:val="center"/>
              <w:rPr>
                <w:rFonts w:ascii="EYInterstate Light" w:eastAsiaTheme="minorHAnsi" w:hAnsi="EYInterstate Light"/>
                <w:color w:val="FFFFFF" w:themeColor="background1"/>
                <w:lang w:val="en-US" w:eastAsia="en-US"/>
              </w:rPr>
            </w:pPr>
            <w:r w:rsidRPr="00D44FCF">
              <w:rPr>
                <w:color w:val="FFFFFF" w:themeColor="background1"/>
                <w:lang w:val="en-US" w:eastAsia="en-US"/>
              </w:rPr>
              <w:t>2015</w:t>
            </w:r>
          </w:p>
        </w:tc>
        <w:tc>
          <w:tcPr>
            <w:tcW w:w="1418" w:type="dxa"/>
            <w:tcBorders>
              <w:top w:val="nil"/>
              <w:left w:val="nil"/>
              <w:bottom w:val="single" w:sz="8" w:space="0" w:color="7F7F7F"/>
              <w:right w:val="nil"/>
            </w:tcBorders>
            <w:shd w:val="clear" w:color="auto" w:fill="CFE5F4" w:themeFill="accent1" w:themeFillTint="33"/>
            <w:tcMar>
              <w:top w:w="0" w:type="dxa"/>
              <w:left w:w="108" w:type="dxa"/>
              <w:bottom w:w="0" w:type="dxa"/>
              <w:right w:w="108" w:type="dxa"/>
            </w:tcMar>
            <w:hideMark/>
          </w:tcPr>
          <w:p w:rsidR="007263BA" w:rsidRPr="00D44FCF" w:rsidRDefault="007263BA" w:rsidP="00AA62D2">
            <w:pPr>
              <w:autoSpaceDE w:val="0"/>
              <w:autoSpaceDN w:val="0"/>
              <w:jc w:val="center"/>
              <w:rPr>
                <w:rFonts w:ascii="EYInterstate Light" w:eastAsiaTheme="minorHAnsi" w:hAnsi="EYInterstate Light"/>
                <w:color w:val="000000"/>
                <w:lang w:val="en-US" w:eastAsia="en-US"/>
              </w:rPr>
            </w:pPr>
            <w:r w:rsidRPr="00D44FCF">
              <w:rPr>
                <w:lang w:val="en-US" w:eastAsia="en-US"/>
              </w:rPr>
              <w:t>2025</w:t>
            </w:r>
          </w:p>
        </w:tc>
        <w:tc>
          <w:tcPr>
            <w:tcW w:w="1842" w:type="dxa"/>
            <w:tcBorders>
              <w:top w:val="nil"/>
              <w:left w:val="nil"/>
              <w:bottom w:val="single" w:sz="8" w:space="0" w:color="7F7F7F"/>
              <w:right w:val="nil"/>
            </w:tcBorders>
            <w:shd w:val="clear" w:color="auto" w:fill="CFE5F4" w:themeFill="accent1" w:themeFillTint="33"/>
            <w:tcMar>
              <w:top w:w="0" w:type="dxa"/>
              <w:left w:w="108" w:type="dxa"/>
              <w:bottom w:w="0" w:type="dxa"/>
              <w:right w:w="108" w:type="dxa"/>
            </w:tcMar>
            <w:hideMark/>
          </w:tcPr>
          <w:p w:rsidR="007263BA" w:rsidRPr="00D44FCF" w:rsidRDefault="007263BA" w:rsidP="00AA62D2">
            <w:pPr>
              <w:autoSpaceDE w:val="0"/>
              <w:autoSpaceDN w:val="0"/>
              <w:jc w:val="center"/>
              <w:rPr>
                <w:rFonts w:ascii="EYInterstate Light" w:eastAsiaTheme="minorHAnsi" w:hAnsi="EYInterstate Light"/>
                <w:color w:val="000000"/>
                <w:lang w:val="en-US" w:eastAsia="en-US"/>
              </w:rPr>
            </w:pPr>
            <w:r w:rsidRPr="00D44FCF">
              <w:rPr>
                <w:lang w:val="en-US" w:eastAsia="en-US"/>
              </w:rPr>
              <w:t>2030</w:t>
            </w:r>
          </w:p>
        </w:tc>
        <w:tc>
          <w:tcPr>
            <w:tcW w:w="1843" w:type="dxa"/>
            <w:tcBorders>
              <w:top w:val="nil"/>
              <w:left w:val="nil"/>
              <w:bottom w:val="single" w:sz="8" w:space="0" w:color="7F7F7F"/>
              <w:right w:val="nil"/>
            </w:tcBorders>
            <w:shd w:val="clear" w:color="auto" w:fill="CFE5F4" w:themeFill="accent1" w:themeFillTint="33"/>
            <w:tcMar>
              <w:top w:w="0" w:type="dxa"/>
              <w:left w:w="108" w:type="dxa"/>
              <w:bottom w:w="0" w:type="dxa"/>
              <w:right w:w="108" w:type="dxa"/>
            </w:tcMar>
            <w:hideMark/>
          </w:tcPr>
          <w:p w:rsidR="007263BA" w:rsidRPr="00D44FCF" w:rsidRDefault="007263BA" w:rsidP="00AA62D2">
            <w:pPr>
              <w:autoSpaceDE w:val="0"/>
              <w:autoSpaceDN w:val="0"/>
              <w:jc w:val="center"/>
              <w:rPr>
                <w:rFonts w:ascii="EYInterstate Light" w:eastAsiaTheme="minorHAnsi" w:hAnsi="EYInterstate Light"/>
                <w:color w:val="000000"/>
                <w:lang w:val="en-US" w:eastAsia="en-US"/>
              </w:rPr>
            </w:pPr>
            <w:r w:rsidRPr="00D44FCF">
              <w:rPr>
                <w:lang w:val="en-US" w:eastAsia="en-US"/>
              </w:rPr>
              <w:t>2050</w:t>
            </w:r>
          </w:p>
        </w:tc>
      </w:tr>
      <w:tr w:rsidR="007263BA" w:rsidTr="00AA62D2">
        <w:tc>
          <w:tcPr>
            <w:tcW w:w="1555" w:type="dxa"/>
            <w:tcMar>
              <w:top w:w="0" w:type="dxa"/>
              <w:left w:w="108" w:type="dxa"/>
              <w:bottom w:w="0" w:type="dxa"/>
              <w:right w:w="108" w:type="dxa"/>
            </w:tcMar>
            <w:hideMark/>
          </w:tcPr>
          <w:p w:rsidR="007263BA" w:rsidRPr="00D44FCF" w:rsidRDefault="007263BA" w:rsidP="00AA62D2">
            <w:pPr>
              <w:autoSpaceDE w:val="0"/>
              <w:autoSpaceDN w:val="0"/>
              <w:jc w:val="center"/>
              <w:rPr>
                <w:rFonts w:ascii="EYInterstate Light" w:eastAsiaTheme="minorHAnsi" w:hAnsi="EYInterstate Light"/>
                <w:b/>
                <w:bCs/>
                <w:color w:val="000000"/>
                <w:lang w:val="en-US" w:eastAsia="en-US"/>
              </w:rPr>
            </w:pPr>
            <w:r w:rsidRPr="00D44FCF">
              <w:rPr>
                <w:b/>
                <w:bCs/>
                <w:lang w:val="en-US" w:eastAsia="en-US"/>
              </w:rPr>
              <w:t xml:space="preserve">Absolute </w:t>
            </w:r>
            <w:r w:rsidR="00DE454E">
              <w:rPr>
                <w:b/>
                <w:bCs/>
                <w:lang w:val="en-US" w:eastAsia="en-US"/>
              </w:rPr>
              <w:t>e</w:t>
            </w:r>
            <w:r w:rsidRPr="00D44FCF">
              <w:rPr>
                <w:b/>
                <w:bCs/>
                <w:lang w:val="en-US" w:eastAsia="en-US"/>
              </w:rPr>
              <w:t>missions</w:t>
            </w:r>
          </w:p>
        </w:tc>
        <w:tc>
          <w:tcPr>
            <w:tcW w:w="1417" w:type="dxa"/>
            <w:vMerge w:val="restart"/>
            <w:tcBorders>
              <w:top w:val="nil"/>
              <w:left w:val="nil"/>
              <w:bottom w:val="single" w:sz="8" w:space="0" w:color="7F7F7F"/>
              <w:right w:val="nil"/>
            </w:tcBorders>
            <w:shd w:val="clear" w:color="auto" w:fill="323232"/>
            <w:tcMar>
              <w:top w:w="0" w:type="dxa"/>
              <w:left w:w="108" w:type="dxa"/>
              <w:bottom w:w="0" w:type="dxa"/>
              <w:right w:w="108" w:type="dxa"/>
            </w:tcMar>
            <w:hideMark/>
          </w:tcPr>
          <w:p w:rsidR="007263BA" w:rsidRPr="00D44FCF" w:rsidRDefault="007263BA" w:rsidP="00AA62D2">
            <w:pPr>
              <w:jc w:val="center"/>
              <w:rPr>
                <w:rFonts w:ascii="EYInterstate Light" w:eastAsiaTheme="minorHAnsi" w:hAnsi="EYInterstate Light"/>
                <w:color w:val="FFFFFF" w:themeColor="background1"/>
                <w:lang w:val="en-US" w:eastAsia="en-US"/>
              </w:rPr>
            </w:pPr>
            <w:r w:rsidRPr="00D44FCF">
              <w:rPr>
                <w:color w:val="FFFFFF" w:themeColor="background1"/>
                <w:lang w:val="en-US" w:eastAsia="en-US"/>
              </w:rPr>
              <w:t xml:space="preserve">4.7 </w:t>
            </w:r>
          </w:p>
          <w:p w:rsidR="007263BA" w:rsidRPr="00D44FCF" w:rsidRDefault="007263BA" w:rsidP="00AA62D2">
            <w:pPr>
              <w:autoSpaceDE w:val="0"/>
              <w:autoSpaceDN w:val="0"/>
              <w:jc w:val="center"/>
              <w:rPr>
                <w:rFonts w:ascii="EYInterstate Light" w:eastAsiaTheme="minorHAnsi" w:hAnsi="EYInterstate Light"/>
                <w:color w:val="FFFFFF" w:themeColor="background1"/>
                <w:lang w:val="en-US" w:eastAsia="en-US"/>
              </w:rPr>
            </w:pPr>
            <w:r w:rsidRPr="00D44FCF">
              <w:rPr>
                <w:color w:val="FFFFFF" w:themeColor="background1"/>
                <w:lang w:val="en-US" w:eastAsia="en-US"/>
              </w:rPr>
              <w:t>MtCO</w:t>
            </w:r>
            <w:r w:rsidRPr="00D44FCF">
              <w:rPr>
                <w:color w:val="FFFFFF" w:themeColor="background1"/>
                <w:vertAlign w:val="subscript"/>
                <w:lang w:val="en-US" w:eastAsia="en-US"/>
              </w:rPr>
              <w:t>2</w:t>
            </w:r>
            <w:r w:rsidRPr="00D44FCF">
              <w:rPr>
                <w:color w:val="FFFFFF" w:themeColor="background1"/>
                <w:lang w:val="en-US" w:eastAsia="en-US"/>
              </w:rPr>
              <w:t>-e</w:t>
            </w:r>
          </w:p>
        </w:tc>
        <w:tc>
          <w:tcPr>
            <w:tcW w:w="1418" w:type="dxa"/>
            <w:tcMar>
              <w:top w:w="0" w:type="dxa"/>
              <w:left w:w="108" w:type="dxa"/>
              <w:bottom w:w="0" w:type="dxa"/>
              <w:right w:w="108" w:type="dxa"/>
            </w:tcMar>
            <w:hideMark/>
          </w:tcPr>
          <w:p w:rsidR="007263BA" w:rsidRPr="00D44FCF" w:rsidRDefault="007263BA" w:rsidP="00AA62D2">
            <w:pPr>
              <w:jc w:val="center"/>
              <w:rPr>
                <w:rFonts w:ascii="EYInterstate Light" w:eastAsiaTheme="minorHAnsi" w:hAnsi="EYInterstate Light"/>
                <w:color w:val="000000"/>
                <w:lang w:val="en-US" w:eastAsia="en-US"/>
              </w:rPr>
            </w:pPr>
            <w:r w:rsidRPr="00D44FCF">
              <w:rPr>
                <w:lang w:val="en-US" w:eastAsia="en-US"/>
              </w:rPr>
              <w:t xml:space="preserve">4.2 </w:t>
            </w:r>
          </w:p>
          <w:p w:rsidR="007263BA" w:rsidRPr="00D44FCF" w:rsidRDefault="007263BA" w:rsidP="00AA62D2">
            <w:pPr>
              <w:autoSpaceDE w:val="0"/>
              <w:autoSpaceDN w:val="0"/>
              <w:jc w:val="center"/>
              <w:rPr>
                <w:rFonts w:ascii="EYInterstate Light" w:eastAsiaTheme="minorHAnsi" w:hAnsi="EYInterstate Light"/>
                <w:color w:val="000000"/>
                <w:lang w:val="en-US" w:eastAsia="en-US"/>
              </w:rPr>
            </w:pPr>
            <w:r w:rsidRPr="00D44FCF">
              <w:rPr>
                <w:lang w:val="en-US" w:eastAsia="en-US"/>
              </w:rPr>
              <w:t>MtCO</w:t>
            </w:r>
            <w:r w:rsidRPr="00D44FCF">
              <w:rPr>
                <w:vertAlign w:val="subscript"/>
                <w:lang w:val="en-US" w:eastAsia="en-US"/>
              </w:rPr>
              <w:t>2</w:t>
            </w:r>
            <w:r w:rsidRPr="00D44FCF">
              <w:rPr>
                <w:lang w:val="en-US" w:eastAsia="en-US"/>
              </w:rPr>
              <w:t>-e</w:t>
            </w:r>
          </w:p>
        </w:tc>
        <w:tc>
          <w:tcPr>
            <w:tcW w:w="1842" w:type="dxa"/>
            <w:tcMar>
              <w:top w:w="0" w:type="dxa"/>
              <w:left w:w="108" w:type="dxa"/>
              <w:bottom w:w="0" w:type="dxa"/>
              <w:right w:w="108" w:type="dxa"/>
            </w:tcMar>
            <w:hideMark/>
          </w:tcPr>
          <w:p w:rsidR="007263BA" w:rsidRPr="00D44FCF" w:rsidRDefault="007263BA" w:rsidP="00AA62D2">
            <w:pPr>
              <w:jc w:val="center"/>
              <w:rPr>
                <w:rFonts w:ascii="EYInterstate Light" w:eastAsiaTheme="minorHAnsi" w:hAnsi="EYInterstate Light"/>
                <w:color w:val="000000"/>
                <w:lang w:val="en-US" w:eastAsia="en-US"/>
              </w:rPr>
            </w:pPr>
            <w:r w:rsidRPr="00D44FCF">
              <w:rPr>
                <w:lang w:val="en-US" w:eastAsia="en-US"/>
              </w:rPr>
              <w:t xml:space="preserve">3.4 </w:t>
            </w:r>
          </w:p>
          <w:p w:rsidR="007263BA" w:rsidRPr="00D44FCF" w:rsidRDefault="007263BA" w:rsidP="00AA62D2">
            <w:pPr>
              <w:autoSpaceDE w:val="0"/>
              <w:autoSpaceDN w:val="0"/>
              <w:jc w:val="center"/>
              <w:rPr>
                <w:rFonts w:ascii="EYInterstate Light" w:eastAsiaTheme="minorHAnsi" w:hAnsi="EYInterstate Light"/>
                <w:color w:val="000000"/>
                <w:lang w:val="en-US" w:eastAsia="en-US"/>
              </w:rPr>
            </w:pPr>
            <w:r w:rsidRPr="00D44FCF">
              <w:rPr>
                <w:lang w:val="en-US" w:eastAsia="en-US"/>
              </w:rPr>
              <w:t>MtCO</w:t>
            </w:r>
            <w:r w:rsidRPr="00D44FCF">
              <w:rPr>
                <w:vertAlign w:val="subscript"/>
                <w:lang w:val="en-US" w:eastAsia="en-US"/>
              </w:rPr>
              <w:t>2</w:t>
            </w:r>
            <w:r w:rsidRPr="00D44FCF">
              <w:rPr>
                <w:lang w:val="en-US" w:eastAsia="en-US"/>
              </w:rPr>
              <w:t>-e</w:t>
            </w:r>
          </w:p>
        </w:tc>
        <w:tc>
          <w:tcPr>
            <w:tcW w:w="1843" w:type="dxa"/>
            <w:tcMar>
              <w:top w:w="0" w:type="dxa"/>
              <w:left w:w="108" w:type="dxa"/>
              <w:bottom w:w="0" w:type="dxa"/>
              <w:right w:w="108" w:type="dxa"/>
            </w:tcMar>
            <w:hideMark/>
          </w:tcPr>
          <w:p w:rsidR="007263BA" w:rsidRPr="00D44FCF" w:rsidRDefault="007263BA" w:rsidP="00AA62D2">
            <w:pPr>
              <w:jc w:val="center"/>
              <w:rPr>
                <w:rFonts w:ascii="EYInterstate Light" w:eastAsiaTheme="minorHAnsi" w:hAnsi="EYInterstate Light"/>
                <w:color w:val="000000"/>
                <w:lang w:val="en-US" w:eastAsia="en-US"/>
              </w:rPr>
            </w:pPr>
            <w:r w:rsidRPr="00D44FCF">
              <w:rPr>
                <w:lang w:val="en-US" w:eastAsia="en-US"/>
              </w:rPr>
              <w:t xml:space="preserve">0.5 </w:t>
            </w:r>
          </w:p>
          <w:p w:rsidR="007263BA" w:rsidRPr="00D44FCF" w:rsidRDefault="007263BA" w:rsidP="00AA62D2">
            <w:pPr>
              <w:autoSpaceDE w:val="0"/>
              <w:autoSpaceDN w:val="0"/>
              <w:jc w:val="center"/>
              <w:rPr>
                <w:rFonts w:ascii="EYInterstate Light" w:eastAsiaTheme="minorHAnsi" w:hAnsi="EYInterstate Light"/>
                <w:color w:val="000000"/>
                <w:lang w:val="en-US" w:eastAsia="en-US"/>
              </w:rPr>
            </w:pPr>
            <w:r w:rsidRPr="00D44FCF">
              <w:rPr>
                <w:lang w:val="en-US" w:eastAsia="en-US"/>
              </w:rPr>
              <w:t>MtCO</w:t>
            </w:r>
            <w:r w:rsidRPr="00D44FCF">
              <w:rPr>
                <w:vertAlign w:val="subscript"/>
                <w:lang w:val="en-US" w:eastAsia="en-US"/>
              </w:rPr>
              <w:t>2</w:t>
            </w:r>
            <w:r w:rsidRPr="00D44FCF">
              <w:rPr>
                <w:lang w:val="en-US" w:eastAsia="en-US"/>
              </w:rPr>
              <w:t>-e</w:t>
            </w:r>
          </w:p>
        </w:tc>
      </w:tr>
      <w:tr w:rsidR="007263BA" w:rsidTr="00AA62D2">
        <w:tc>
          <w:tcPr>
            <w:tcW w:w="1555" w:type="dxa"/>
            <w:tcBorders>
              <w:top w:val="single" w:sz="8" w:space="0" w:color="7F7F7F"/>
              <w:left w:val="nil"/>
              <w:bottom w:val="single" w:sz="8" w:space="0" w:color="7F7F7F"/>
              <w:right w:val="nil"/>
            </w:tcBorders>
            <w:tcMar>
              <w:top w:w="0" w:type="dxa"/>
              <w:left w:w="108" w:type="dxa"/>
              <w:bottom w:w="0" w:type="dxa"/>
              <w:right w:w="108" w:type="dxa"/>
            </w:tcMar>
            <w:hideMark/>
          </w:tcPr>
          <w:p w:rsidR="007263BA" w:rsidRPr="00D44FCF" w:rsidRDefault="007263BA" w:rsidP="00AA62D2">
            <w:pPr>
              <w:autoSpaceDE w:val="0"/>
              <w:autoSpaceDN w:val="0"/>
              <w:jc w:val="center"/>
              <w:rPr>
                <w:rFonts w:ascii="EYInterstate Light" w:eastAsiaTheme="minorHAnsi" w:hAnsi="EYInterstate Light"/>
                <w:b/>
                <w:bCs/>
                <w:color w:val="000000"/>
                <w:lang w:val="en-US" w:eastAsia="en-US"/>
              </w:rPr>
            </w:pPr>
            <w:r w:rsidRPr="00D44FCF">
              <w:rPr>
                <w:b/>
                <w:bCs/>
                <w:lang w:val="en-US" w:eastAsia="en-US"/>
              </w:rPr>
              <w:t>% reduction on 2015</w:t>
            </w:r>
          </w:p>
        </w:tc>
        <w:tc>
          <w:tcPr>
            <w:tcW w:w="0" w:type="auto"/>
            <w:vMerge/>
            <w:tcBorders>
              <w:top w:val="nil"/>
              <w:left w:val="nil"/>
              <w:bottom w:val="single" w:sz="8" w:space="0" w:color="7F7F7F"/>
              <w:right w:val="nil"/>
            </w:tcBorders>
            <w:vAlign w:val="center"/>
            <w:hideMark/>
          </w:tcPr>
          <w:p w:rsidR="007263BA" w:rsidRPr="00D44FCF" w:rsidRDefault="007263BA" w:rsidP="00AA62D2">
            <w:pPr>
              <w:spacing w:line="240" w:lineRule="auto"/>
              <w:rPr>
                <w:rFonts w:ascii="EYInterstate Light" w:eastAsiaTheme="minorHAnsi" w:hAnsi="EYInterstate Light"/>
                <w:color w:val="FFFFFF" w:themeColor="background1"/>
                <w:lang w:val="en-US" w:eastAsia="en-US"/>
              </w:rPr>
            </w:pPr>
          </w:p>
        </w:tc>
        <w:tc>
          <w:tcPr>
            <w:tcW w:w="1418" w:type="dxa"/>
            <w:tcBorders>
              <w:top w:val="single" w:sz="8" w:space="0" w:color="7F7F7F"/>
              <w:left w:val="nil"/>
              <w:bottom w:val="single" w:sz="8" w:space="0" w:color="7F7F7F"/>
              <w:right w:val="nil"/>
            </w:tcBorders>
            <w:tcMar>
              <w:top w:w="0" w:type="dxa"/>
              <w:left w:w="108" w:type="dxa"/>
              <w:bottom w:w="0" w:type="dxa"/>
              <w:right w:w="108" w:type="dxa"/>
            </w:tcMar>
            <w:hideMark/>
          </w:tcPr>
          <w:p w:rsidR="007263BA" w:rsidRPr="00D44FCF" w:rsidRDefault="007263BA" w:rsidP="00AA62D2">
            <w:pPr>
              <w:autoSpaceDE w:val="0"/>
              <w:autoSpaceDN w:val="0"/>
              <w:jc w:val="center"/>
              <w:rPr>
                <w:rFonts w:ascii="EYInterstate Light" w:eastAsiaTheme="minorHAnsi" w:hAnsi="EYInterstate Light"/>
                <w:color w:val="000000"/>
                <w:lang w:val="en-US" w:eastAsia="en-US"/>
              </w:rPr>
            </w:pPr>
            <w:r w:rsidRPr="00D44FCF">
              <w:rPr>
                <w:lang w:val="en-US" w:eastAsia="en-US"/>
              </w:rPr>
              <w:t xml:space="preserve">10% </w:t>
            </w:r>
          </w:p>
        </w:tc>
        <w:tc>
          <w:tcPr>
            <w:tcW w:w="1842" w:type="dxa"/>
            <w:tcBorders>
              <w:top w:val="single" w:sz="8" w:space="0" w:color="7F7F7F"/>
              <w:left w:val="nil"/>
              <w:bottom w:val="single" w:sz="8" w:space="0" w:color="7F7F7F"/>
              <w:right w:val="nil"/>
            </w:tcBorders>
            <w:tcMar>
              <w:top w:w="0" w:type="dxa"/>
              <w:left w:w="108" w:type="dxa"/>
              <w:bottom w:w="0" w:type="dxa"/>
              <w:right w:w="108" w:type="dxa"/>
            </w:tcMar>
            <w:hideMark/>
          </w:tcPr>
          <w:p w:rsidR="007263BA" w:rsidRPr="00D44FCF" w:rsidRDefault="007263BA" w:rsidP="00AA62D2">
            <w:pPr>
              <w:autoSpaceDE w:val="0"/>
              <w:autoSpaceDN w:val="0"/>
              <w:jc w:val="center"/>
              <w:rPr>
                <w:rFonts w:ascii="EYInterstate Light" w:eastAsiaTheme="minorHAnsi" w:hAnsi="EYInterstate Light"/>
                <w:color w:val="000000"/>
                <w:lang w:val="en-US" w:eastAsia="en-US"/>
              </w:rPr>
            </w:pPr>
            <w:r w:rsidRPr="00D44FCF">
              <w:rPr>
                <w:lang w:val="en-US" w:eastAsia="en-US"/>
              </w:rPr>
              <w:t>29%</w:t>
            </w:r>
          </w:p>
        </w:tc>
        <w:tc>
          <w:tcPr>
            <w:tcW w:w="1843" w:type="dxa"/>
            <w:tcBorders>
              <w:top w:val="single" w:sz="8" w:space="0" w:color="7F7F7F"/>
              <w:left w:val="nil"/>
              <w:bottom w:val="single" w:sz="8" w:space="0" w:color="7F7F7F"/>
              <w:right w:val="nil"/>
            </w:tcBorders>
            <w:tcMar>
              <w:top w:w="0" w:type="dxa"/>
              <w:left w:w="108" w:type="dxa"/>
              <w:bottom w:w="0" w:type="dxa"/>
              <w:right w:w="108" w:type="dxa"/>
            </w:tcMar>
            <w:hideMark/>
          </w:tcPr>
          <w:p w:rsidR="007263BA" w:rsidRPr="00D44FCF" w:rsidRDefault="007263BA" w:rsidP="00AA62D2">
            <w:pPr>
              <w:autoSpaceDE w:val="0"/>
              <w:autoSpaceDN w:val="0"/>
              <w:jc w:val="center"/>
              <w:rPr>
                <w:rFonts w:ascii="EYInterstate Light" w:eastAsiaTheme="minorHAnsi" w:hAnsi="EYInterstate Light"/>
                <w:color w:val="000000"/>
                <w:lang w:val="en-US" w:eastAsia="en-US"/>
              </w:rPr>
            </w:pPr>
            <w:r w:rsidRPr="00D44FCF">
              <w:rPr>
                <w:lang w:val="en-US" w:eastAsia="en-US"/>
              </w:rPr>
              <w:t>90%</w:t>
            </w:r>
          </w:p>
        </w:tc>
      </w:tr>
      <w:tr w:rsidR="007263BA" w:rsidTr="00AA62D2">
        <w:tc>
          <w:tcPr>
            <w:tcW w:w="1555" w:type="dxa"/>
            <w:tcBorders>
              <w:top w:val="nil"/>
              <w:left w:val="nil"/>
              <w:bottom w:val="single" w:sz="8" w:space="0" w:color="7F7F7F"/>
              <w:right w:val="nil"/>
            </w:tcBorders>
            <w:tcMar>
              <w:top w:w="0" w:type="dxa"/>
              <w:left w:w="108" w:type="dxa"/>
              <w:bottom w:w="0" w:type="dxa"/>
              <w:right w:w="108" w:type="dxa"/>
            </w:tcMar>
            <w:hideMark/>
          </w:tcPr>
          <w:p w:rsidR="007263BA" w:rsidRPr="00D44FCF" w:rsidRDefault="007263BA" w:rsidP="00AA62D2">
            <w:pPr>
              <w:autoSpaceDE w:val="0"/>
              <w:autoSpaceDN w:val="0"/>
              <w:jc w:val="center"/>
              <w:rPr>
                <w:rFonts w:ascii="EYInterstate Light" w:eastAsiaTheme="minorHAnsi" w:hAnsi="EYInterstate Light"/>
                <w:b/>
                <w:bCs/>
                <w:color w:val="000000"/>
                <w:lang w:val="en-US" w:eastAsia="en-US"/>
              </w:rPr>
            </w:pPr>
            <w:r w:rsidRPr="00D44FCF">
              <w:rPr>
                <w:b/>
                <w:bCs/>
                <w:lang w:val="en-US" w:eastAsia="en-US"/>
              </w:rPr>
              <w:t xml:space="preserve">Per </w:t>
            </w:r>
            <w:r w:rsidR="00DE454E">
              <w:rPr>
                <w:b/>
                <w:bCs/>
                <w:lang w:val="en-US" w:eastAsia="en-US"/>
              </w:rPr>
              <w:t>c</w:t>
            </w:r>
            <w:r w:rsidRPr="00D44FCF">
              <w:rPr>
                <w:b/>
                <w:bCs/>
                <w:lang w:val="en-US" w:eastAsia="en-US"/>
              </w:rPr>
              <w:t xml:space="preserve">apita </w:t>
            </w:r>
            <w:r w:rsidR="00DE454E">
              <w:rPr>
                <w:b/>
                <w:bCs/>
                <w:lang w:val="en-US" w:eastAsia="en-US"/>
              </w:rPr>
              <w:t>e</w:t>
            </w:r>
            <w:r w:rsidRPr="00D44FCF">
              <w:rPr>
                <w:b/>
                <w:bCs/>
                <w:lang w:val="en-US" w:eastAsia="en-US"/>
              </w:rPr>
              <w:t>missions</w:t>
            </w:r>
          </w:p>
        </w:tc>
        <w:tc>
          <w:tcPr>
            <w:tcW w:w="1417" w:type="dxa"/>
            <w:tcBorders>
              <w:top w:val="nil"/>
              <w:left w:val="nil"/>
              <w:bottom w:val="single" w:sz="8" w:space="0" w:color="7F7F7F"/>
              <w:right w:val="nil"/>
            </w:tcBorders>
            <w:shd w:val="clear" w:color="auto" w:fill="323232"/>
            <w:tcMar>
              <w:top w:w="0" w:type="dxa"/>
              <w:left w:w="108" w:type="dxa"/>
              <w:bottom w:w="0" w:type="dxa"/>
              <w:right w:w="108" w:type="dxa"/>
            </w:tcMar>
            <w:hideMark/>
          </w:tcPr>
          <w:p w:rsidR="007263BA" w:rsidRPr="00D44FCF" w:rsidRDefault="007263BA" w:rsidP="00AA62D2">
            <w:pPr>
              <w:jc w:val="center"/>
              <w:rPr>
                <w:rFonts w:ascii="EYInterstate Light" w:eastAsiaTheme="minorHAnsi" w:hAnsi="EYInterstate Light"/>
                <w:color w:val="FFFFFF" w:themeColor="background1"/>
                <w:lang w:val="en-US" w:eastAsia="en-US"/>
              </w:rPr>
            </w:pPr>
            <w:r w:rsidRPr="00D44FCF">
              <w:rPr>
                <w:color w:val="FFFFFF" w:themeColor="background1"/>
                <w:lang w:val="en-US" w:eastAsia="en-US"/>
              </w:rPr>
              <w:t>33.8</w:t>
            </w:r>
          </w:p>
          <w:p w:rsidR="007263BA" w:rsidRPr="00D44FCF" w:rsidRDefault="007263BA" w:rsidP="00AA62D2">
            <w:pPr>
              <w:autoSpaceDE w:val="0"/>
              <w:autoSpaceDN w:val="0"/>
              <w:jc w:val="center"/>
              <w:rPr>
                <w:rFonts w:ascii="EYInterstate Light" w:eastAsiaTheme="minorHAnsi" w:hAnsi="EYInterstate Light"/>
                <w:color w:val="FFFFFF" w:themeColor="background1"/>
                <w:lang w:val="en-US" w:eastAsia="en-US"/>
              </w:rPr>
            </w:pPr>
            <w:r w:rsidRPr="00D44FCF">
              <w:rPr>
                <w:color w:val="FFFFFF" w:themeColor="background1"/>
                <w:lang w:val="en-US" w:eastAsia="en-US"/>
              </w:rPr>
              <w:t>TCO</w:t>
            </w:r>
            <w:r w:rsidRPr="00D44FCF">
              <w:rPr>
                <w:color w:val="FFFFFF" w:themeColor="background1"/>
                <w:vertAlign w:val="subscript"/>
                <w:lang w:val="en-US" w:eastAsia="en-US"/>
              </w:rPr>
              <w:t>2</w:t>
            </w:r>
            <w:r w:rsidRPr="00D44FCF">
              <w:rPr>
                <w:color w:val="FFFFFF" w:themeColor="background1"/>
                <w:lang w:val="en-US" w:eastAsia="en-US"/>
              </w:rPr>
              <w:t>-e</w:t>
            </w:r>
          </w:p>
        </w:tc>
        <w:tc>
          <w:tcPr>
            <w:tcW w:w="1418" w:type="dxa"/>
            <w:tcBorders>
              <w:top w:val="nil"/>
              <w:left w:val="nil"/>
              <w:bottom w:val="single" w:sz="8" w:space="0" w:color="7F7F7F"/>
              <w:right w:val="nil"/>
            </w:tcBorders>
            <w:tcMar>
              <w:top w:w="0" w:type="dxa"/>
              <w:left w:w="108" w:type="dxa"/>
              <w:bottom w:w="0" w:type="dxa"/>
              <w:right w:w="108" w:type="dxa"/>
            </w:tcMar>
            <w:hideMark/>
          </w:tcPr>
          <w:p w:rsidR="007263BA" w:rsidRPr="00D44FCF" w:rsidRDefault="007263BA" w:rsidP="00AA62D2">
            <w:pPr>
              <w:jc w:val="center"/>
              <w:rPr>
                <w:rFonts w:ascii="EYInterstate Light" w:eastAsiaTheme="minorHAnsi" w:hAnsi="EYInterstate Light"/>
                <w:color w:val="000000"/>
                <w:lang w:val="en-US" w:eastAsia="en-US"/>
              </w:rPr>
            </w:pPr>
            <w:r w:rsidRPr="00D44FCF">
              <w:rPr>
                <w:lang w:val="en-US" w:eastAsia="en-US"/>
              </w:rPr>
              <w:t xml:space="preserve">20.2 </w:t>
            </w:r>
          </w:p>
          <w:p w:rsidR="007263BA" w:rsidRPr="00D44FCF" w:rsidRDefault="007263BA" w:rsidP="00AA62D2">
            <w:pPr>
              <w:autoSpaceDE w:val="0"/>
              <w:autoSpaceDN w:val="0"/>
              <w:jc w:val="center"/>
              <w:rPr>
                <w:rFonts w:ascii="EYInterstate Light" w:eastAsiaTheme="minorHAnsi" w:hAnsi="EYInterstate Light"/>
                <w:color w:val="000000"/>
                <w:lang w:val="en-US" w:eastAsia="en-US"/>
              </w:rPr>
            </w:pPr>
            <w:r w:rsidRPr="00D44FCF">
              <w:rPr>
                <w:lang w:val="en-US" w:eastAsia="en-US"/>
              </w:rPr>
              <w:t>TCO</w:t>
            </w:r>
            <w:r w:rsidRPr="00D44FCF">
              <w:rPr>
                <w:vertAlign w:val="subscript"/>
                <w:lang w:val="en-US" w:eastAsia="en-US"/>
              </w:rPr>
              <w:t>2</w:t>
            </w:r>
            <w:r w:rsidRPr="00D44FCF">
              <w:rPr>
                <w:lang w:val="en-US" w:eastAsia="en-US"/>
              </w:rPr>
              <w:t>-e</w:t>
            </w:r>
          </w:p>
        </w:tc>
        <w:tc>
          <w:tcPr>
            <w:tcW w:w="1842" w:type="dxa"/>
            <w:tcBorders>
              <w:top w:val="nil"/>
              <w:left w:val="nil"/>
              <w:bottom w:val="single" w:sz="8" w:space="0" w:color="7F7F7F"/>
              <w:right w:val="nil"/>
            </w:tcBorders>
            <w:tcMar>
              <w:top w:w="0" w:type="dxa"/>
              <w:left w:w="108" w:type="dxa"/>
              <w:bottom w:w="0" w:type="dxa"/>
              <w:right w:w="108" w:type="dxa"/>
            </w:tcMar>
            <w:hideMark/>
          </w:tcPr>
          <w:p w:rsidR="007263BA" w:rsidRPr="00D44FCF" w:rsidRDefault="007263BA" w:rsidP="00AA62D2">
            <w:pPr>
              <w:jc w:val="center"/>
              <w:rPr>
                <w:rFonts w:ascii="EYInterstate Light" w:eastAsiaTheme="minorHAnsi" w:hAnsi="EYInterstate Light"/>
                <w:color w:val="000000"/>
                <w:lang w:val="en-US" w:eastAsia="en-US"/>
              </w:rPr>
            </w:pPr>
            <w:r w:rsidRPr="00D44FCF">
              <w:rPr>
                <w:lang w:val="en-US" w:eastAsia="en-US"/>
              </w:rPr>
              <w:t xml:space="preserve">14.4 </w:t>
            </w:r>
          </w:p>
          <w:p w:rsidR="007263BA" w:rsidRPr="00D44FCF" w:rsidRDefault="007263BA" w:rsidP="00AA62D2">
            <w:pPr>
              <w:autoSpaceDE w:val="0"/>
              <w:autoSpaceDN w:val="0"/>
              <w:jc w:val="center"/>
              <w:rPr>
                <w:rFonts w:ascii="EYInterstate Light" w:eastAsiaTheme="minorHAnsi" w:hAnsi="EYInterstate Light"/>
                <w:color w:val="000000"/>
                <w:lang w:val="en-US" w:eastAsia="en-US"/>
              </w:rPr>
            </w:pPr>
            <w:r w:rsidRPr="00D44FCF">
              <w:rPr>
                <w:lang w:val="en-US" w:eastAsia="en-US"/>
              </w:rPr>
              <w:t>TCO</w:t>
            </w:r>
            <w:r w:rsidRPr="00D44FCF">
              <w:rPr>
                <w:vertAlign w:val="subscript"/>
                <w:lang w:val="en-US" w:eastAsia="en-US"/>
              </w:rPr>
              <w:t>2</w:t>
            </w:r>
            <w:r w:rsidRPr="00D44FCF">
              <w:rPr>
                <w:lang w:val="en-US" w:eastAsia="en-US"/>
              </w:rPr>
              <w:t>-e</w:t>
            </w:r>
          </w:p>
        </w:tc>
        <w:tc>
          <w:tcPr>
            <w:tcW w:w="1843" w:type="dxa"/>
            <w:tcBorders>
              <w:top w:val="nil"/>
              <w:left w:val="nil"/>
              <w:bottom w:val="single" w:sz="8" w:space="0" w:color="7F7F7F"/>
              <w:right w:val="nil"/>
            </w:tcBorders>
            <w:tcMar>
              <w:top w:w="0" w:type="dxa"/>
              <w:left w:w="108" w:type="dxa"/>
              <w:bottom w:w="0" w:type="dxa"/>
              <w:right w:w="108" w:type="dxa"/>
            </w:tcMar>
            <w:hideMark/>
          </w:tcPr>
          <w:p w:rsidR="007263BA" w:rsidRPr="00D44FCF" w:rsidRDefault="007263BA" w:rsidP="00AA62D2">
            <w:pPr>
              <w:jc w:val="center"/>
              <w:rPr>
                <w:rFonts w:ascii="EYInterstate Light" w:eastAsiaTheme="minorHAnsi" w:hAnsi="EYInterstate Light"/>
                <w:color w:val="000000"/>
                <w:lang w:val="en-US" w:eastAsia="en-US"/>
              </w:rPr>
            </w:pPr>
            <w:r w:rsidRPr="00D44FCF">
              <w:rPr>
                <w:lang w:val="en-US" w:eastAsia="en-US"/>
              </w:rPr>
              <w:t>1.3</w:t>
            </w:r>
          </w:p>
          <w:p w:rsidR="007263BA" w:rsidRPr="00D44FCF" w:rsidRDefault="007263BA" w:rsidP="00AA62D2">
            <w:pPr>
              <w:autoSpaceDE w:val="0"/>
              <w:autoSpaceDN w:val="0"/>
              <w:jc w:val="center"/>
              <w:rPr>
                <w:rFonts w:ascii="EYInterstate Light" w:eastAsiaTheme="minorHAnsi" w:hAnsi="EYInterstate Light"/>
                <w:color w:val="000000"/>
                <w:lang w:val="en-US" w:eastAsia="en-US"/>
              </w:rPr>
            </w:pPr>
            <w:r w:rsidRPr="00D44FCF">
              <w:rPr>
                <w:lang w:val="en-US" w:eastAsia="en-US"/>
              </w:rPr>
              <w:t>TCO</w:t>
            </w:r>
            <w:r w:rsidRPr="00D44FCF">
              <w:rPr>
                <w:vertAlign w:val="subscript"/>
                <w:lang w:val="en-US" w:eastAsia="en-US"/>
              </w:rPr>
              <w:t>2</w:t>
            </w:r>
            <w:r w:rsidRPr="00D44FCF">
              <w:rPr>
                <w:lang w:val="en-US" w:eastAsia="en-US"/>
              </w:rPr>
              <w:t>-e</w:t>
            </w:r>
          </w:p>
        </w:tc>
      </w:tr>
    </w:tbl>
    <w:p w:rsidR="007263BA" w:rsidRPr="00356DEF" w:rsidRDefault="007263BA" w:rsidP="007263BA">
      <w:pPr>
        <w:pStyle w:val="Caption"/>
        <w:rPr>
          <w:b/>
          <w:sz w:val="20"/>
        </w:rPr>
      </w:pPr>
    </w:p>
    <w:p w:rsidR="00FE4A42" w:rsidRDefault="00FE4A42" w:rsidP="00A536EC">
      <w:pPr>
        <w:pStyle w:val="Caption"/>
      </w:pPr>
      <w:bookmarkStart w:id="91" w:name="_Toc522633212"/>
      <w:r>
        <w:t xml:space="preserve">Table </w:t>
      </w:r>
      <w:r w:rsidR="00001DF1">
        <w:t>5</w:t>
      </w:r>
      <w:r>
        <w:t xml:space="preserve"> </w:t>
      </w:r>
      <w:r w:rsidRPr="00D2735B">
        <w:t>Proposed targets: accelerated action scenario</w:t>
      </w:r>
      <w:bookmarkEnd w:id="91"/>
    </w:p>
    <w:tbl>
      <w:tblPr>
        <w:tblStyle w:val="PlainTable21"/>
        <w:tblW w:w="0" w:type="auto"/>
        <w:tblLayout w:type="fixed"/>
        <w:tblLook w:val="04A0" w:firstRow="1" w:lastRow="0" w:firstColumn="1" w:lastColumn="0" w:noHBand="0" w:noVBand="1"/>
      </w:tblPr>
      <w:tblGrid>
        <w:gridCol w:w="1555"/>
        <w:gridCol w:w="1417"/>
        <w:gridCol w:w="1701"/>
        <w:gridCol w:w="1843"/>
        <w:gridCol w:w="1701"/>
      </w:tblGrid>
      <w:tr w:rsidR="007263BA" w:rsidRPr="00664FF7" w:rsidTr="00AA62D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vMerge w:val="restart"/>
            <w:tcBorders>
              <w:top w:val="single" w:sz="4" w:space="0" w:color="FFFFFF"/>
              <w:left w:val="single" w:sz="4" w:space="0" w:color="FFFFFF"/>
              <w:right w:val="nil"/>
            </w:tcBorders>
            <w:hideMark/>
          </w:tcPr>
          <w:p w:rsidR="007263BA" w:rsidRPr="00664FF7" w:rsidRDefault="007263BA" w:rsidP="00AA62D2">
            <w:pPr>
              <w:rPr>
                <w:rFonts w:asciiTheme="minorHAnsi" w:hAnsiTheme="minorHAnsi" w:cstheme="minorHAnsi"/>
              </w:rPr>
            </w:pPr>
          </w:p>
        </w:tc>
        <w:tc>
          <w:tcPr>
            <w:tcW w:w="1417" w:type="dxa"/>
            <w:tcBorders>
              <w:top w:val="single" w:sz="4" w:space="0" w:color="7F7F7F"/>
              <w:left w:val="nil"/>
              <w:right w:val="nil"/>
            </w:tcBorders>
            <w:shd w:val="clear" w:color="auto" w:fill="323232"/>
            <w:hideMark/>
          </w:tcPr>
          <w:p w:rsidR="007263BA" w:rsidRPr="00664FF7" w:rsidRDefault="007263BA" w:rsidP="00AA62D2">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rPr>
            </w:pPr>
            <w:r w:rsidRPr="00664FF7">
              <w:rPr>
                <w:rFonts w:asciiTheme="minorHAnsi" w:hAnsiTheme="minorHAnsi" w:cstheme="minorHAnsi"/>
              </w:rPr>
              <w:t>Baseline</w:t>
            </w:r>
          </w:p>
        </w:tc>
        <w:tc>
          <w:tcPr>
            <w:tcW w:w="5245" w:type="dxa"/>
            <w:gridSpan w:val="3"/>
            <w:tcBorders>
              <w:top w:val="single" w:sz="4" w:space="0" w:color="7F7F7F"/>
              <w:left w:val="nil"/>
              <w:right w:val="nil"/>
            </w:tcBorders>
            <w:shd w:val="clear" w:color="auto" w:fill="9FCBEA" w:themeFill="accent1" w:themeFillTint="66"/>
            <w:hideMark/>
          </w:tcPr>
          <w:p w:rsidR="007263BA" w:rsidRPr="00664FF7" w:rsidRDefault="008C105C" w:rsidP="00AA62D2">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hAnsiTheme="minorHAnsi" w:cstheme="minorHAnsi"/>
              </w:rPr>
              <w:t>a</w:t>
            </w:r>
            <w:r w:rsidR="007263BA" w:rsidRPr="00664FF7">
              <w:rPr>
                <w:rFonts w:asciiTheme="minorHAnsi" w:hAnsiTheme="minorHAnsi" w:cstheme="minorHAnsi"/>
              </w:rPr>
              <w:t xml:space="preserve">ccelerated </w:t>
            </w:r>
            <w:r>
              <w:rPr>
                <w:rFonts w:asciiTheme="minorHAnsi" w:hAnsiTheme="minorHAnsi" w:cstheme="minorHAnsi"/>
              </w:rPr>
              <w:t>a</w:t>
            </w:r>
            <w:r w:rsidR="007263BA" w:rsidRPr="00664FF7">
              <w:rPr>
                <w:rFonts w:asciiTheme="minorHAnsi" w:hAnsiTheme="minorHAnsi" w:cstheme="minorHAnsi"/>
              </w:rPr>
              <w:t>ction</w:t>
            </w:r>
            <w:r w:rsidR="007263BA">
              <w:rPr>
                <w:rFonts w:asciiTheme="minorHAnsi" w:hAnsiTheme="minorHAnsi" w:cstheme="minorHAnsi"/>
              </w:rPr>
              <w:t xml:space="preserve"> </w:t>
            </w:r>
            <w:r>
              <w:rPr>
                <w:rFonts w:asciiTheme="minorHAnsi" w:hAnsiTheme="minorHAnsi" w:cstheme="minorHAnsi"/>
              </w:rPr>
              <w:t>s</w:t>
            </w:r>
            <w:r w:rsidR="007263BA">
              <w:rPr>
                <w:rFonts w:asciiTheme="minorHAnsi" w:hAnsiTheme="minorHAnsi" w:cstheme="minorHAnsi"/>
              </w:rPr>
              <w:t>cenario</w:t>
            </w:r>
          </w:p>
        </w:tc>
      </w:tr>
      <w:tr w:rsidR="007263BA" w:rsidRPr="00664FF7" w:rsidTr="00AA62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vMerge/>
            <w:tcBorders>
              <w:top w:val="single" w:sz="4" w:space="0" w:color="FFFFFF"/>
              <w:left w:val="single" w:sz="4" w:space="0" w:color="FFFFFF"/>
              <w:right w:val="nil"/>
            </w:tcBorders>
            <w:vAlign w:val="center"/>
            <w:hideMark/>
          </w:tcPr>
          <w:p w:rsidR="007263BA" w:rsidRPr="00664FF7" w:rsidRDefault="007263BA" w:rsidP="00AA62D2">
            <w:pPr>
              <w:rPr>
                <w:rFonts w:asciiTheme="minorHAnsi" w:hAnsiTheme="minorHAnsi" w:cstheme="minorHAnsi"/>
              </w:rPr>
            </w:pPr>
          </w:p>
        </w:tc>
        <w:tc>
          <w:tcPr>
            <w:tcW w:w="1417" w:type="dxa"/>
            <w:tcBorders>
              <w:left w:val="nil"/>
              <w:right w:val="nil"/>
            </w:tcBorders>
            <w:shd w:val="clear" w:color="auto" w:fill="323232"/>
            <w:hideMark/>
          </w:tcPr>
          <w:p w:rsidR="007263BA" w:rsidRPr="00664FF7" w:rsidRDefault="007263BA" w:rsidP="00AA62D2">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7F7F7F"/>
              </w:rPr>
            </w:pPr>
            <w:r w:rsidRPr="00664FF7">
              <w:rPr>
                <w:rFonts w:asciiTheme="minorHAnsi" w:hAnsiTheme="minorHAnsi" w:cstheme="minorHAnsi"/>
              </w:rPr>
              <w:t>2015</w:t>
            </w:r>
          </w:p>
        </w:tc>
        <w:tc>
          <w:tcPr>
            <w:tcW w:w="1701" w:type="dxa"/>
            <w:tcBorders>
              <w:left w:val="nil"/>
              <w:right w:val="nil"/>
            </w:tcBorders>
            <w:shd w:val="clear" w:color="auto" w:fill="CFE5F4" w:themeFill="accent1" w:themeFillTint="33"/>
            <w:hideMark/>
          </w:tcPr>
          <w:p w:rsidR="007263BA" w:rsidRPr="00664FF7" w:rsidRDefault="007263BA" w:rsidP="00AA62D2">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664FF7">
              <w:rPr>
                <w:rFonts w:asciiTheme="minorHAnsi" w:hAnsiTheme="minorHAnsi" w:cstheme="minorHAnsi"/>
              </w:rPr>
              <w:t>2025</w:t>
            </w:r>
          </w:p>
        </w:tc>
        <w:tc>
          <w:tcPr>
            <w:tcW w:w="1843" w:type="dxa"/>
            <w:tcBorders>
              <w:left w:val="nil"/>
              <w:right w:val="nil"/>
            </w:tcBorders>
            <w:shd w:val="clear" w:color="auto" w:fill="CFE5F4" w:themeFill="accent1" w:themeFillTint="33"/>
            <w:hideMark/>
          </w:tcPr>
          <w:p w:rsidR="007263BA" w:rsidRPr="00664FF7" w:rsidRDefault="007263BA" w:rsidP="00AA62D2">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664FF7">
              <w:rPr>
                <w:rFonts w:asciiTheme="minorHAnsi" w:hAnsiTheme="minorHAnsi" w:cstheme="minorHAnsi"/>
              </w:rPr>
              <w:t>2030</w:t>
            </w:r>
          </w:p>
        </w:tc>
        <w:tc>
          <w:tcPr>
            <w:tcW w:w="1701" w:type="dxa"/>
            <w:tcBorders>
              <w:left w:val="nil"/>
              <w:right w:val="nil"/>
            </w:tcBorders>
            <w:shd w:val="clear" w:color="auto" w:fill="CFE5F4" w:themeFill="accent1" w:themeFillTint="33"/>
            <w:hideMark/>
          </w:tcPr>
          <w:p w:rsidR="007263BA" w:rsidRPr="00664FF7" w:rsidRDefault="007263BA" w:rsidP="00AA62D2">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664FF7">
              <w:rPr>
                <w:rFonts w:asciiTheme="minorHAnsi" w:hAnsiTheme="minorHAnsi" w:cstheme="minorHAnsi"/>
              </w:rPr>
              <w:t>2050</w:t>
            </w:r>
          </w:p>
        </w:tc>
      </w:tr>
      <w:tr w:rsidR="007263BA" w:rsidRPr="00664FF7" w:rsidTr="00AA62D2">
        <w:tc>
          <w:tcPr>
            <w:cnfStyle w:val="001000000000" w:firstRow="0" w:lastRow="0" w:firstColumn="1" w:lastColumn="0" w:oddVBand="0" w:evenVBand="0" w:oddHBand="0" w:evenHBand="0" w:firstRowFirstColumn="0" w:firstRowLastColumn="0" w:lastRowFirstColumn="0" w:lastRowLastColumn="0"/>
            <w:tcW w:w="1555" w:type="dxa"/>
            <w:tcBorders>
              <w:top w:val="nil"/>
              <w:left w:val="nil"/>
              <w:bottom w:val="nil"/>
              <w:right w:val="nil"/>
            </w:tcBorders>
            <w:hideMark/>
          </w:tcPr>
          <w:p w:rsidR="007263BA" w:rsidRPr="00664FF7" w:rsidRDefault="007263BA" w:rsidP="00AA62D2">
            <w:pPr>
              <w:autoSpaceDE w:val="0"/>
              <w:autoSpaceDN w:val="0"/>
              <w:adjustRightInd w:val="0"/>
              <w:jc w:val="center"/>
              <w:rPr>
                <w:rFonts w:asciiTheme="minorHAnsi" w:hAnsiTheme="minorHAnsi" w:cstheme="minorHAnsi"/>
              </w:rPr>
            </w:pPr>
            <w:r w:rsidRPr="00664FF7">
              <w:rPr>
                <w:rFonts w:asciiTheme="minorHAnsi" w:hAnsiTheme="minorHAnsi" w:cstheme="minorHAnsi"/>
              </w:rPr>
              <w:t xml:space="preserve">Absolute </w:t>
            </w:r>
            <w:r w:rsidR="00DE454E">
              <w:rPr>
                <w:rFonts w:asciiTheme="minorHAnsi" w:hAnsiTheme="minorHAnsi" w:cstheme="minorHAnsi"/>
              </w:rPr>
              <w:t>e</w:t>
            </w:r>
            <w:r w:rsidRPr="00664FF7">
              <w:rPr>
                <w:rFonts w:asciiTheme="minorHAnsi" w:hAnsiTheme="minorHAnsi" w:cstheme="minorHAnsi"/>
              </w:rPr>
              <w:t>missions</w:t>
            </w:r>
          </w:p>
        </w:tc>
        <w:tc>
          <w:tcPr>
            <w:tcW w:w="1417" w:type="dxa"/>
            <w:vMerge w:val="restart"/>
            <w:tcBorders>
              <w:top w:val="nil"/>
              <w:left w:val="nil"/>
              <w:bottom w:val="single" w:sz="4" w:space="0" w:color="7F7F7F"/>
              <w:right w:val="nil"/>
            </w:tcBorders>
            <w:shd w:val="clear" w:color="auto" w:fill="323232"/>
            <w:hideMark/>
          </w:tcPr>
          <w:p w:rsidR="007263BA" w:rsidRPr="00664FF7" w:rsidRDefault="007263BA" w:rsidP="00AA62D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664FF7">
              <w:rPr>
                <w:rFonts w:asciiTheme="minorHAnsi" w:hAnsiTheme="minorHAnsi" w:cstheme="minorHAnsi"/>
              </w:rPr>
              <w:t xml:space="preserve">4.7 </w:t>
            </w:r>
          </w:p>
          <w:p w:rsidR="007263BA" w:rsidRPr="00664FF7" w:rsidRDefault="007263BA" w:rsidP="00AA62D2">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664FF7">
              <w:rPr>
                <w:rFonts w:asciiTheme="minorHAnsi" w:hAnsiTheme="minorHAnsi" w:cstheme="minorHAnsi"/>
              </w:rPr>
              <w:t>M</w:t>
            </w:r>
            <w:r>
              <w:rPr>
                <w:rFonts w:asciiTheme="minorHAnsi" w:hAnsiTheme="minorHAnsi" w:cstheme="minorHAnsi"/>
              </w:rPr>
              <w:t>t</w:t>
            </w:r>
            <w:r w:rsidRPr="00664FF7">
              <w:rPr>
                <w:rFonts w:asciiTheme="minorHAnsi" w:hAnsiTheme="minorHAnsi" w:cstheme="minorHAnsi"/>
              </w:rPr>
              <w:t>CO</w:t>
            </w:r>
            <w:r w:rsidRPr="00664FF7">
              <w:rPr>
                <w:rFonts w:asciiTheme="minorHAnsi" w:hAnsiTheme="minorHAnsi" w:cstheme="minorHAnsi"/>
                <w:vertAlign w:val="subscript"/>
              </w:rPr>
              <w:t>2</w:t>
            </w:r>
            <w:r w:rsidRPr="00664FF7">
              <w:rPr>
                <w:rFonts w:asciiTheme="minorHAnsi" w:hAnsiTheme="minorHAnsi" w:cstheme="minorHAnsi"/>
              </w:rPr>
              <w:t>-e</w:t>
            </w:r>
          </w:p>
        </w:tc>
        <w:tc>
          <w:tcPr>
            <w:tcW w:w="1701" w:type="dxa"/>
            <w:tcBorders>
              <w:top w:val="nil"/>
              <w:left w:val="nil"/>
              <w:bottom w:val="nil"/>
              <w:right w:val="nil"/>
            </w:tcBorders>
            <w:hideMark/>
          </w:tcPr>
          <w:p w:rsidR="007263BA" w:rsidRPr="00664FF7" w:rsidRDefault="007263BA" w:rsidP="00AA62D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664FF7">
              <w:rPr>
                <w:rFonts w:asciiTheme="minorHAnsi" w:hAnsiTheme="minorHAnsi" w:cstheme="minorHAnsi"/>
              </w:rPr>
              <w:t xml:space="preserve">3.7 </w:t>
            </w:r>
          </w:p>
          <w:p w:rsidR="007263BA" w:rsidRPr="00664FF7" w:rsidRDefault="007263BA" w:rsidP="00AA62D2">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664FF7">
              <w:rPr>
                <w:rFonts w:asciiTheme="minorHAnsi" w:hAnsiTheme="minorHAnsi" w:cstheme="minorHAnsi"/>
              </w:rPr>
              <w:t>M</w:t>
            </w:r>
            <w:r>
              <w:rPr>
                <w:rFonts w:asciiTheme="minorHAnsi" w:hAnsiTheme="minorHAnsi" w:cstheme="minorHAnsi"/>
              </w:rPr>
              <w:t>t</w:t>
            </w:r>
            <w:r w:rsidRPr="00664FF7">
              <w:rPr>
                <w:rFonts w:asciiTheme="minorHAnsi" w:hAnsiTheme="minorHAnsi" w:cstheme="minorHAnsi"/>
              </w:rPr>
              <w:t>CO</w:t>
            </w:r>
            <w:r w:rsidRPr="00664FF7">
              <w:rPr>
                <w:rFonts w:asciiTheme="minorHAnsi" w:hAnsiTheme="minorHAnsi" w:cstheme="minorHAnsi"/>
                <w:vertAlign w:val="subscript"/>
              </w:rPr>
              <w:t>2</w:t>
            </w:r>
            <w:r w:rsidRPr="00664FF7">
              <w:rPr>
                <w:rFonts w:asciiTheme="minorHAnsi" w:hAnsiTheme="minorHAnsi" w:cstheme="minorHAnsi"/>
              </w:rPr>
              <w:t>-e</w:t>
            </w:r>
          </w:p>
        </w:tc>
        <w:tc>
          <w:tcPr>
            <w:tcW w:w="1843" w:type="dxa"/>
            <w:tcBorders>
              <w:top w:val="nil"/>
              <w:left w:val="nil"/>
              <w:bottom w:val="nil"/>
              <w:right w:val="nil"/>
            </w:tcBorders>
            <w:hideMark/>
          </w:tcPr>
          <w:p w:rsidR="007263BA" w:rsidRPr="00664FF7" w:rsidRDefault="007263BA" w:rsidP="00AA62D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664FF7">
              <w:rPr>
                <w:rFonts w:asciiTheme="minorHAnsi" w:hAnsiTheme="minorHAnsi" w:cstheme="minorHAnsi"/>
              </w:rPr>
              <w:t xml:space="preserve">2.4 </w:t>
            </w:r>
          </w:p>
          <w:p w:rsidR="007263BA" w:rsidRPr="00664FF7" w:rsidRDefault="007263BA" w:rsidP="00AA62D2">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664FF7">
              <w:rPr>
                <w:rFonts w:asciiTheme="minorHAnsi" w:hAnsiTheme="minorHAnsi" w:cstheme="minorHAnsi"/>
              </w:rPr>
              <w:t>M</w:t>
            </w:r>
            <w:r>
              <w:rPr>
                <w:rFonts w:asciiTheme="minorHAnsi" w:hAnsiTheme="minorHAnsi" w:cstheme="minorHAnsi"/>
              </w:rPr>
              <w:t>t</w:t>
            </w:r>
            <w:r w:rsidRPr="00664FF7">
              <w:rPr>
                <w:rFonts w:asciiTheme="minorHAnsi" w:hAnsiTheme="minorHAnsi" w:cstheme="minorHAnsi"/>
              </w:rPr>
              <w:t>CO</w:t>
            </w:r>
            <w:r w:rsidRPr="00664FF7">
              <w:rPr>
                <w:rFonts w:asciiTheme="minorHAnsi" w:hAnsiTheme="minorHAnsi" w:cstheme="minorHAnsi"/>
                <w:vertAlign w:val="subscript"/>
              </w:rPr>
              <w:t>2</w:t>
            </w:r>
            <w:r w:rsidRPr="00664FF7">
              <w:rPr>
                <w:rFonts w:asciiTheme="minorHAnsi" w:hAnsiTheme="minorHAnsi" w:cstheme="minorHAnsi"/>
              </w:rPr>
              <w:t>-e</w:t>
            </w:r>
          </w:p>
        </w:tc>
        <w:tc>
          <w:tcPr>
            <w:tcW w:w="1701" w:type="dxa"/>
            <w:tcBorders>
              <w:top w:val="nil"/>
              <w:left w:val="nil"/>
              <w:bottom w:val="nil"/>
              <w:right w:val="nil"/>
            </w:tcBorders>
            <w:hideMark/>
          </w:tcPr>
          <w:p w:rsidR="007263BA" w:rsidRPr="00664FF7" w:rsidRDefault="007263BA" w:rsidP="00AA62D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664FF7">
              <w:rPr>
                <w:rFonts w:asciiTheme="minorHAnsi" w:hAnsiTheme="minorHAnsi" w:cstheme="minorHAnsi"/>
              </w:rPr>
              <w:t xml:space="preserve">0.2 </w:t>
            </w:r>
          </w:p>
          <w:p w:rsidR="007263BA" w:rsidRPr="00664FF7" w:rsidRDefault="007263BA" w:rsidP="00AA62D2">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664FF7">
              <w:rPr>
                <w:rFonts w:asciiTheme="minorHAnsi" w:hAnsiTheme="minorHAnsi" w:cstheme="minorHAnsi"/>
              </w:rPr>
              <w:t>M</w:t>
            </w:r>
            <w:r>
              <w:rPr>
                <w:rFonts w:asciiTheme="minorHAnsi" w:hAnsiTheme="minorHAnsi" w:cstheme="minorHAnsi"/>
              </w:rPr>
              <w:t>t</w:t>
            </w:r>
            <w:r w:rsidRPr="00664FF7">
              <w:rPr>
                <w:rFonts w:asciiTheme="minorHAnsi" w:hAnsiTheme="minorHAnsi" w:cstheme="minorHAnsi"/>
              </w:rPr>
              <w:t>CO</w:t>
            </w:r>
            <w:r w:rsidRPr="00664FF7">
              <w:rPr>
                <w:rFonts w:asciiTheme="minorHAnsi" w:hAnsiTheme="minorHAnsi" w:cstheme="minorHAnsi"/>
                <w:vertAlign w:val="subscript"/>
              </w:rPr>
              <w:t>2</w:t>
            </w:r>
            <w:r w:rsidRPr="00664FF7">
              <w:rPr>
                <w:rFonts w:asciiTheme="minorHAnsi" w:hAnsiTheme="minorHAnsi" w:cstheme="minorHAnsi"/>
              </w:rPr>
              <w:t>-e</w:t>
            </w:r>
          </w:p>
        </w:tc>
      </w:tr>
      <w:tr w:rsidR="007263BA" w:rsidRPr="00664FF7" w:rsidTr="00AA62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Borders>
              <w:left w:val="nil"/>
              <w:right w:val="nil"/>
            </w:tcBorders>
            <w:hideMark/>
          </w:tcPr>
          <w:p w:rsidR="007263BA" w:rsidRPr="00664FF7" w:rsidRDefault="007263BA" w:rsidP="00AA62D2">
            <w:pPr>
              <w:autoSpaceDE w:val="0"/>
              <w:autoSpaceDN w:val="0"/>
              <w:adjustRightInd w:val="0"/>
              <w:jc w:val="center"/>
              <w:rPr>
                <w:rFonts w:asciiTheme="minorHAnsi" w:hAnsiTheme="minorHAnsi" w:cstheme="minorHAnsi"/>
              </w:rPr>
            </w:pPr>
            <w:r w:rsidRPr="00664FF7">
              <w:rPr>
                <w:rFonts w:asciiTheme="minorHAnsi" w:hAnsiTheme="minorHAnsi" w:cstheme="minorHAnsi"/>
              </w:rPr>
              <w:t>% reduction on 2015</w:t>
            </w:r>
          </w:p>
        </w:tc>
        <w:tc>
          <w:tcPr>
            <w:tcW w:w="1417" w:type="dxa"/>
            <w:vMerge/>
            <w:tcBorders>
              <w:top w:val="nil"/>
              <w:left w:val="nil"/>
              <w:right w:val="nil"/>
            </w:tcBorders>
            <w:vAlign w:val="center"/>
            <w:hideMark/>
          </w:tcPr>
          <w:p w:rsidR="007263BA" w:rsidRPr="00664FF7" w:rsidRDefault="007263BA" w:rsidP="00AA62D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c>
          <w:tcPr>
            <w:tcW w:w="1701" w:type="dxa"/>
            <w:tcBorders>
              <w:left w:val="nil"/>
              <w:right w:val="nil"/>
            </w:tcBorders>
            <w:hideMark/>
          </w:tcPr>
          <w:p w:rsidR="007263BA" w:rsidRPr="00664FF7" w:rsidRDefault="007263BA" w:rsidP="00AA62D2">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664FF7">
              <w:rPr>
                <w:rFonts w:asciiTheme="minorHAnsi" w:hAnsiTheme="minorHAnsi" w:cstheme="minorHAnsi"/>
              </w:rPr>
              <w:t>21%</w:t>
            </w:r>
          </w:p>
        </w:tc>
        <w:tc>
          <w:tcPr>
            <w:tcW w:w="1843" w:type="dxa"/>
            <w:tcBorders>
              <w:left w:val="nil"/>
              <w:right w:val="nil"/>
            </w:tcBorders>
            <w:hideMark/>
          </w:tcPr>
          <w:p w:rsidR="007263BA" w:rsidRPr="00664FF7" w:rsidRDefault="007263BA" w:rsidP="00AA62D2">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664FF7">
              <w:rPr>
                <w:rFonts w:asciiTheme="minorHAnsi" w:hAnsiTheme="minorHAnsi" w:cstheme="minorHAnsi"/>
              </w:rPr>
              <w:t>50%</w:t>
            </w:r>
          </w:p>
        </w:tc>
        <w:tc>
          <w:tcPr>
            <w:tcW w:w="1701" w:type="dxa"/>
            <w:tcBorders>
              <w:left w:val="nil"/>
              <w:right w:val="nil"/>
            </w:tcBorders>
            <w:hideMark/>
          </w:tcPr>
          <w:p w:rsidR="007263BA" w:rsidRPr="00664FF7" w:rsidRDefault="007263BA" w:rsidP="00AA62D2">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664FF7">
              <w:rPr>
                <w:rFonts w:asciiTheme="minorHAnsi" w:hAnsiTheme="minorHAnsi" w:cstheme="minorHAnsi"/>
              </w:rPr>
              <w:t>94%</w:t>
            </w:r>
          </w:p>
        </w:tc>
      </w:tr>
      <w:tr w:rsidR="007263BA" w:rsidRPr="00664FF7" w:rsidTr="00AA62D2">
        <w:tc>
          <w:tcPr>
            <w:cnfStyle w:val="001000000000" w:firstRow="0" w:lastRow="0" w:firstColumn="1" w:lastColumn="0" w:oddVBand="0" w:evenVBand="0" w:oddHBand="0" w:evenHBand="0" w:firstRowFirstColumn="0" w:firstRowLastColumn="0" w:lastRowFirstColumn="0" w:lastRowLastColumn="0"/>
            <w:tcW w:w="1555" w:type="dxa"/>
            <w:tcBorders>
              <w:top w:val="nil"/>
              <w:left w:val="nil"/>
              <w:bottom w:val="single" w:sz="4" w:space="0" w:color="7F7F7F"/>
              <w:right w:val="nil"/>
            </w:tcBorders>
            <w:hideMark/>
          </w:tcPr>
          <w:p w:rsidR="007263BA" w:rsidRPr="00664FF7" w:rsidRDefault="007263BA" w:rsidP="00AA62D2">
            <w:pPr>
              <w:autoSpaceDE w:val="0"/>
              <w:autoSpaceDN w:val="0"/>
              <w:adjustRightInd w:val="0"/>
              <w:jc w:val="center"/>
              <w:rPr>
                <w:rFonts w:asciiTheme="minorHAnsi" w:hAnsiTheme="minorHAnsi" w:cstheme="minorHAnsi"/>
              </w:rPr>
            </w:pPr>
            <w:r w:rsidRPr="00664FF7">
              <w:rPr>
                <w:rFonts w:asciiTheme="minorHAnsi" w:hAnsiTheme="minorHAnsi" w:cstheme="minorHAnsi"/>
              </w:rPr>
              <w:t xml:space="preserve">Per </w:t>
            </w:r>
            <w:r w:rsidR="00DE454E">
              <w:rPr>
                <w:rFonts w:asciiTheme="minorHAnsi" w:hAnsiTheme="minorHAnsi" w:cstheme="minorHAnsi"/>
              </w:rPr>
              <w:t>c</w:t>
            </w:r>
            <w:r w:rsidRPr="00664FF7">
              <w:rPr>
                <w:rFonts w:asciiTheme="minorHAnsi" w:hAnsiTheme="minorHAnsi" w:cstheme="minorHAnsi"/>
              </w:rPr>
              <w:t xml:space="preserve">apita </w:t>
            </w:r>
            <w:r w:rsidR="00DE454E">
              <w:rPr>
                <w:rFonts w:asciiTheme="minorHAnsi" w:hAnsiTheme="minorHAnsi" w:cstheme="minorHAnsi"/>
              </w:rPr>
              <w:t>e</w:t>
            </w:r>
            <w:r w:rsidRPr="00664FF7">
              <w:rPr>
                <w:rFonts w:asciiTheme="minorHAnsi" w:hAnsiTheme="minorHAnsi" w:cstheme="minorHAnsi"/>
              </w:rPr>
              <w:t>missions</w:t>
            </w:r>
          </w:p>
        </w:tc>
        <w:tc>
          <w:tcPr>
            <w:tcW w:w="1417" w:type="dxa"/>
            <w:tcBorders>
              <w:top w:val="nil"/>
              <w:left w:val="nil"/>
              <w:bottom w:val="single" w:sz="4" w:space="0" w:color="7F7F7F"/>
              <w:right w:val="nil"/>
            </w:tcBorders>
            <w:shd w:val="clear" w:color="auto" w:fill="323232"/>
            <w:hideMark/>
          </w:tcPr>
          <w:p w:rsidR="007263BA" w:rsidRPr="00664FF7" w:rsidRDefault="007263BA" w:rsidP="00AA62D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664FF7">
              <w:rPr>
                <w:rFonts w:asciiTheme="minorHAnsi" w:hAnsiTheme="minorHAnsi" w:cstheme="minorHAnsi"/>
              </w:rPr>
              <w:t>33.8</w:t>
            </w:r>
          </w:p>
          <w:p w:rsidR="007263BA" w:rsidRPr="00664FF7" w:rsidRDefault="007263BA" w:rsidP="00AA62D2">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hAnsiTheme="minorHAnsi" w:cstheme="minorHAnsi"/>
              </w:rPr>
              <w:t>t</w:t>
            </w:r>
            <w:r w:rsidRPr="00664FF7">
              <w:rPr>
                <w:rFonts w:asciiTheme="minorHAnsi" w:hAnsiTheme="minorHAnsi" w:cstheme="minorHAnsi"/>
              </w:rPr>
              <w:t>CO</w:t>
            </w:r>
            <w:r w:rsidRPr="00664FF7">
              <w:rPr>
                <w:rFonts w:asciiTheme="minorHAnsi" w:hAnsiTheme="minorHAnsi" w:cstheme="minorHAnsi"/>
                <w:vertAlign w:val="subscript"/>
              </w:rPr>
              <w:t>2</w:t>
            </w:r>
            <w:r w:rsidRPr="00664FF7">
              <w:rPr>
                <w:rFonts w:asciiTheme="minorHAnsi" w:hAnsiTheme="minorHAnsi" w:cstheme="minorHAnsi"/>
              </w:rPr>
              <w:t xml:space="preserve">-e/ </w:t>
            </w:r>
          </w:p>
        </w:tc>
        <w:tc>
          <w:tcPr>
            <w:tcW w:w="1701" w:type="dxa"/>
            <w:tcBorders>
              <w:top w:val="nil"/>
              <w:left w:val="nil"/>
              <w:bottom w:val="single" w:sz="4" w:space="0" w:color="7F7F7F"/>
              <w:right w:val="nil"/>
            </w:tcBorders>
            <w:hideMark/>
          </w:tcPr>
          <w:p w:rsidR="007263BA" w:rsidRPr="00664FF7" w:rsidRDefault="007263BA" w:rsidP="00AA62D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664FF7">
              <w:rPr>
                <w:rFonts w:asciiTheme="minorHAnsi" w:hAnsiTheme="minorHAnsi" w:cstheme="minorHAnsi"/>
              </w:rPr>
              <w:t xml:space="preserve">17.7 </w:t>
            </w:r>
          </w:p>
          <w:p w:rsidR="007263BA" w:rsidRPr="00664FF7" w:rsidRDefault="007263BA" w:rsidP="00AA62D2">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hAnsiTheme="minorHAnsi" w:cstheme="minorHAnsi"/>
              </w:rPr>
              <w:t>t</w:t>
            </w:r>
            <w:r w:rsidRPr="00664FF7">
              <w:rPr>
                <w:rFonts w:asciiTheme="minorHAnsi" w:hAnsiTheme="minorHAnsi" w:cstheme="minorHAnsi"/>
              </w:rPr>
              <w:t>CO</w:t>
            </w:r>
            <w:r w:rsidRPr="00664FF7">
              <w:rPr>
                <w:rFonts w:asciiTheme="minorHAnsi" w:hAnsiTheme="minorHAnsi" w:cstheme="minorHAnsi"/>
                <w:vertAlign w:val="subscript"/>
              </w:rPr>
              <w:t>2</w:t>
            </w:r>
            <w:r w:rsidRPr="00664FF7">
              <w:rPr>
                <w:rFonts w:asciiTheme="minorHAnsi" w:hAnsiTheme="minorHAnsi" w:cstheme="minorHAnsi"/>
              </w:rPr>
              <w:t>-e</w:t>
            </w:r>
          </w:p>
        </w:tc>
        <w:tc>
          <w:tcPr>
            <w:tcW w:w="1843" w:type="dxa"/>
            <w:tcBorders>
              <w:top w:val="nil"/>
              <w:left w:val="nil"/>
              <w:bottom w:val="single" w:sz="4" w:space="0" w:color="7F7F7F"/>
              <w:right w:val="nil"/>
            </w:tcBorders>
            <w:hideMark/>
          </w:tcPr>
          <w:p w:rsidR="007263BA" w:rsidRPr="00664FF7" w:rsidRDefault="007263BA" w:rsidP="00AA62D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664FF7">
              <w:rPr>
                <w:rFonts w:asciiTheme="minorHAnsi" w:hAnsiTheme="minorHAnsi" w:cstheme="minorHAnsi"/>
              </w:rPr>
              <w:t xml:space="preserve">10.2 </w:t>
            </w:r>
          </w:p>
          <w:p w:rsidR="007263BA" w:rsidRPr="00664FF7" w:rsidRDefault="007263BA" w:rsidP="00AA62D2">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hAnsiTheme="minorHAnsi" w:cstheme="minorHAnsi"/>
              </w:rPr>
              <w:t>t</w:t>
            </w:r>
            <w:r w:rsidRPr="00664FF7">
              <w:rPr>
                <w:rFonts w:asciiTheme="minorHAnsi" w:hAnsiTheme="minorHAnsi" w:cstheme="minorHAnsi"/>
              </w:rPr>
              <w:t>CO</w:t>
            </w:r>
            <w:r w:rsidRPr="00664FF7">
              <w:rPr>
                <w:rFonts w:asciiTheme="minorHAnsi" w:hAnsiTheme="minorHAnsi" w:cstheme="minorHAnsi"/>
                <w:vertAlign w:val="subscript"/>
              </w:rPr>
              <w:t>2</w:t>
            </w:r>
            <w:r w:rsidRPr="00664FF7">
              <w:rPr>
                <w:rFonts w:asciiTheme="minorHAnsi" w:hAnsiTheme="minorHAnsi" w:cstheme="minorHAnsi"/>
              </w:rPr>
              <w:t>-e</w:t>
            </w:r>
          </w:p>
        </w:tc>
        <w:tc>
          <w:tcPr>
            <w:tcW w:w="1701" w:type="dxa"/>
            <w:tcBorders>
              <w:top w:val="nil"/>
              <w:left w:val="nil"/>
              <w:bottom w:val="single" w:sz="4" w:space="0" w:color="7F7F7F"/>
              <w:right w:val="nil"/>
            </w:tcBorders>
            <w:hideMark/>
          </w:tcPr>
          <w:p w:rsidR="007263BA" w:rsidRPr="00664FF7" w:rsidRDefault="007263BA" w:rsidP="00AA62D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664FF7">
              <w:rPr>
                <w:rFonts w:asciiTheme="minorHAnsi" w:hAnsiTheme="minorHAnsi" w:cstheme="minorHAnsi"/>
              </w:rPr>
              <w:t>0.7</w:t>
            </w:r>
          </w:p>
          <w:p w:rsidR="007263BA" w:rsidRPr="00664FF7" w:rsidRDefault="007263BA" w:rsidP="00AA62D2">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hAnsiTheme="minorHAnsi" w:cstheme="minorHAnsi"/>
              </w:rPr>
              <w:t>t</w:t>
            </w:r>
            <w:r w:rsidRPr="00664FF7">
              <w:rPr>
                <w:rFonts w:asciiTheme="minorHAnsi" w:hAnsiTheme="minorHAnsi" w:cstheme="minorHAnsi"/>
              </w:rPr>
              <w:t>CO</w:t>
            </w:r>
            <w:r w:rsidRPr="00664FF7">
              <w:rPr>
                <w:rFonts w:asciiTheme="minorHAnsi" w:hAnsiTheme="minorHAnsi" w:cstheme="minorHAnsi"/>
                <w:vertAlign w:val="subscript"/>
              </w:rPr>
              <w:t>2</w:t>
            </w:r>
            <w:r w:rsidRPr="00664FF7">
              <w:rPr>
                <w:rFonts w:asciiTheme="minorHAnsi" w:hAnsiTheme="minorHAnsi" w:cstheme="minorHAnsi"/>
              </w:rPr>
              <w:t>-e</w:t>
            </w:r>
          </w:p>
        </w:tc>
      </w:tr>
    </w:tbl>
    <w:p w:rsidR="00FE4A42" w:rsidRDefault="00FE4A42" w:rsidP="00FE4A42">
      <w:pPr>
        <w:pStyle w:val="Caption"/>
      </w:pPr>
      <w:bookmarkStart w:id="92" w:name="_Toc522633202"/>
      <w:r>
        <w:t xml:space="preserve">Figure </w:t>
      </w:r>
      <w:r w:rsidR="00B75FD4">
        <w:fldChar w:fldCharType="begin"/>
      </w:r>
      <w:r w:rsidR="00B75FD4">
        <w:instrText xml:space="preserve"> SEQ Figure \* ARABIC </w:instrText>
      </w:r>
      <w:r w:rsidR="00B75FD4">
        <w:fldChar w:fldCharType="separate"/>
      </w:r>
      <w:proofErr w:type="gramStart"/>
      <w:r w:rsidR="0039200A">
        <w:rPr>
          <w:noProof/>
        </w:rPr>
        <w:t>7</w:t>
      </w:r>
      <w:r w:rsidR="00B75FD4">
        <w:rPr>
          <w:noProof/>
        </w:rPr>
        <w:fldChar w:fldCharType="end"/>
      </w:r>
      <w:r>
        <w:t xml:space="preserve"> </w:t>
      </w:r>
      <w:r w:rsidR="009D1DFE">
        <w:t>Significant</w:t>
      </w:r>
      <w:r w:rsidRPr="00097714">
        <w:t xml:space="preserve"> emission reduction scenario</w:t>
      </w:r>
      <w:proofErr w:type="gramEnd"/>
      <w:r w:rsidRPr="00097714">
        <w:t xml:space="preserve"> 2020–2050</w:t>
      </w:r>
      <w:bookmarkEnd w:id="92"/>
    </w:p>
    <w:p w:rsidR="006D1C7A" w:rsidRDefault="00BA566F" w:rsidP="006D1C7A">
      <w:pPr>
        <w:rPr>
          <w:b/>
        </w:rPr>
      </w:pPr>
      <w:r>
        <w:rPr>
          <w:noProof/>
        </w:rPr>
        <w:drawing>
          <wp:inline distT="0" distB="0" distL="0" distR="0" wp14:anchorId="00D4C461" wp14:editId="64D4F284">
            <wp:extent cx="5201393" cy="2541319"/>
            <wp:effectExtent l="0" t="0" r="0" b="0"/>
            <wp:docPr id="19" name="Chart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6D1C7A" w:rsidRDefault="006D1C7A" w:rsidP="006D1C7A">
      <w:pPr>
        <w:rPr>
          <w:b/>
        </w:rPr>
      </w:pPr>
    </w:p>
    <w:p w:rsidR="00FE4A42" w:rsidRDefault="00FE4A42" w:rsidP="00FE4A42">
      <w:pPr>
        <w:pStyle w:val="Caption"/>
      </w:pPr>
      <w:bookmarkStart w:id="93" w:name="_Toc522633203"/>
      <w:r>
        <w:t xml:space="preserve">Figure </w:t>
      </w:r>
      <w:r w:rsidR="00146855">
        <w:rPr>
          <w:noProof/>
        </w:rPr>
        <w:fldChar w:fldCharType="begin"/>
      </w:r>
      <w:r w:rsidR="00146855">
        <w:rPr>
          <w:noProof/>
        </w:rPr>
        <w:instrText xml:space="preserve"> SEQ Figure \* ARABIC </w:instrText>
      </w:r>
      <w:r w:rsidR="00146855">
        <w:rPr>
          <w:noProof/>
        </w:rPr>
        <w:fldChar w:fldCharType="separate"/>
      </w:r>
      <w:proofErr w:type="gramStart"/>
      <w:r w:rsidR="0039200A">
        <w:rPr>
          <w:noProof/>
        </w:rPr>
        <w:t>8</w:t>
      </w:r>
      <w:r w:rsidR="00146855">
        <w:rPr>
          <w:noProof/>
        </w:rPr>
        <w:fldChar w:fldCharType="end"/>
      </w:r>
      <w:r>
        <w:t xml:space="preserve"> </w:t>
      </w:r>
      <w:r w:rsidRPr="00354455">
        <w:t>Accel</w:t>
      </w:r>
      <w:r w:rsidR="00BC6167">
        <w:t>e</w:t>
      </w:r>
      <w:r w:rsidRPr="00354455">
        <w:t>rated emission reduction scenario</w:t>
      </w:r>
      <w:proofErr w:type="gramEnd"/>
      <w:r w:rsidRPr="00354455">
        <w:t xml:space="preserve"> 2020–2050</w:t>
      </w:r>
      <w:bookmarkEnd w:id="93"/>
    </w:p>
    <w:p w:rsidR="006D1C7A" w:rsidRPr="00FC01E7" w:rsidRDefault="006D1C7A" w:rsidP="006D1C7A">
      <w:pPr>
        <w:rPr>
          <w:b/>
        </w:rPr>
      </w:pPr>
    </w:p>
    <w:p w:rsidR="006D1C7A" w:rsidRDefault="004676D0" w:rsidP="006D1C7A">
      <w:r>
        <w:rPr>
          <w:noProof/>
        </w:rPr>
        <w:drawing>
          <wp:inline distT="0" distB="0" distL="0" distR="0" wp14:anchorId="1EA12938" wp14:editId="6883523B">
            <wp:extent cx="5367647" cy="2808514"/>
            <wp:effectExtent l="0" t="0" r="0" b="0"/>
            <wp:docPr id="18" name="Chart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6D1C7A" w:rsidRDefault="006D1C7A" w:rsidP="006D1C7A">
      <w:pPr>
        <w:rPr>
          <w:color w:val="auto"/>
        </w:rPr>
      </w:pPr>
      <w:bookmarkStart w:id="94" w:name="_Toc518828056"/>
      <w:bookmarkStart w:id="95" w:name="_Toc518828172"/>
      <w:bookmarkStart w:id="96" w:name="_Toc518850813"/>
      <w:bookmarkStart w:id="97" w:name="_Toc518851885"/>
      <w:bookmarkStart w:id="98" w:name="_Toc518855495"/>
      <w:bookmarkStart w:id="99" w:name="_Toc518828058"/>
      <w:bookmarkStart w:id="100" w:name="_Toc518828174"/>
      <w:bookmarkStart w:id="101" w:name="_Toc518850815"/>
      <w:bookmarkStart w:id="102" w:name="_Toc518851887"/>
      <w:bookmarkStart w:id="103" w:name="_Toc518855497"/>
      <w:bookmarkStart w:id="104" w:name="_Toc518828062"/>
      <w:bookmarkStart w:id="105" w:name="_Toc518828178"/>
      <w:bookmarkStart w:id="106" w:name="_Toc518850819"/>
      <w:bookmarkStart w:id="107" w:name="_Toc518851891"/>
      <w:bookmarkStart w:id="108" w:name="_Toc518855501"/>
      <w:bookmarkStart w:id="109" w:name="_Toc518828071"/>
      <w:bookmarkStart w:id="110" w:name="_Toc518828187"/>
      <w:bookmarkStart w:id="111" w:name="_Toc518850828"/>
      <w:bookmarkStart w:id="112" w:name="_Toc518851900"/>
      <w:bookmarkStart w:id="113" w:name="_Toc518855510"/>
      <w:bookmarkStart w:id="114" w:name="_Toc518828072"/>
      <w:bookmarkStart w:id="115" w:name="_Toc518828188"/>
      <w:bookmarkStart w:id="116" w:name="_Toc518850829"/>
      <w:bookmarkStart w:id="117" w:name="_Toc518851901"/>
      <w:bookmarkStart w:id="118" w:name="_Toc518855511"/>
      <w:bookmarkStart w:id="119" w:name="_Toc518828073"/>
      <w:bookmarkStart w:id="120" w:name="_Toc518828189"/>
      <w:bookmarkStart w:id="121" w:name="_Toc518850830"/>
      <w:bookmarkStart w:id="122" w:name="_Toc518851902"/>
      <w:bookmarkStart w:id="123" w:name="_Toc518855512"/>
      <w:bookmarkStart w:id="124" w:name="_Toc518828074"/>
      <w:bookmarkStart w:id="125" w:name="_Toc518828190"/>
      <w:bookmarkStart w:id="126" w:name="_Toc518850831"/>
      <w:bookmarkStart w:id="127" w:name="_Toc518851903"/>
      <w:bookmarkStart w:id="128" w:name="_Toc518855513"/>
      <w:bookmarkStart w:id="129" w:name="_Toc518855514"/>
      <w:bookmarkStart w:id="130" w:name="_Toc518855515"/>
      <w:bookmarkStart w:id="131" w:name="_Toc518855516"/>
      <w:bookmarkStart w:id="132" w:name="_Toc518855517"/>
      <w:bookmarkStart w:id="133" w:name="_Toc518855518"/>
      <w:bookmarkStart w:id="134" w:name="_Toc518855519"/>
      <w:bookmarkStart w:id="135" w:name="_Toc518855520"/>
      <w:bookmarkStart w:id="136" w:name="_Toc518855521"/>
      <w:bookmarkStart w:id="137" w:name="_Toc518855522"/>
      <w:bookmarkStart w:id="138" w:name="_Toc518855523"/>
      <w:bookmarkStart w:id="139" w:name="_Toc518855524"/>
      <w:bookmarkStart w:id="140" w:name="_Toc518855525"/>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r>
        <w:rPr>
          <w:color w:val="auto"/>
        </w:rPr>
        <w:br w:type="page"/>
      </w:r>
    </w:p>
    <w:p w:rsidR="000B39B1" w:rsidRDefault="00BD603A" w:rsidP="005F40FF">
      <w:pPr>
        <w:pStyle w:val="Heading1"/>
      </w:pPr>
      <w:bookmarkStart w:id="141" w:name="_Toc520749107"/>
      <w:bookmarkStart w:id="142" w:name="_Toc523238953"/>
      <w:r>
        <w:t>Strategic p</w:t>
      </w:r>
      <w:r w:rsidR="000B39B1">
        <w:t>riorit</w:t>
      </w:r>
      <w:r>
        <w:t>ies</w:t>
      </w:r>
      <w:bookmarkEnd w:id="141"/>
      <w:bookmarkEnd w:id="142"/>
    </w:p>
    <w:p w:rsidR="00017DD0" w:rsidRDefault="00017DD0" w:rsidP="00017DD0">
      <w:pPr>
        <w:pStyle w:val="Heading2"/>
      </w:pPr>
      <w:bookmarkStart w:id="143" w:name="_Toc523238954"/>
      <w:r>
        <w:t>Where should we put our effort?</w:t>
      </w:r>
      <w:bookmarkEnd w:id="143"/>
    </w:p>
    <w:p w:rsidR="004F50D8" w:rsidRDefault="00D95283" w:rsidP="000B39B1">
      <w:pPr>
        <w:pStyle w:val="BodyText"/>
      </w:pPr>
      <w:r>
        <w:t xml:space="preserve">In </w:t>
      </w:r>
      <w:r w:rsidR="008D589C">
        <w:t>preparing</w:t>
      </w:r>
      <w:r>
        <w:t xml:space="preserve"> this strategy </w:t>
      </w:r>
      <w:r w:rsidR="004F50D8">
        <w:t xml:space="preserve">we searched high and low for the best ideas and we are not finished yet. We welcome </w:t>
      </w:r>
      <w:r w:rsidR="008D589C">
        <w:t xml:space="preserve">the community’s </w:t>
      </w:r>
      <w:r w:rsidR="004F50D8">
        <w:t>suggestions as part of the consultation process.</w:t>
      </w:r>
    </w:p>
    <w:p w:rsidR="00D95283" w:rsidRDefault="008D589C" w:rsidP="000B39B1">
      <w:pPr>
        <w:pStyle w:val="BodyText"/>
      </w:pPr>
      <w:r>
        <w:t xml:space="preserve">To ensure emissions are reduced as rapidly as possible, we need to put the most effort into </w:t>
      </w:r>
      <w:r w:rsidRPr="00B809F4">
        <w:rPr>
          <w:rFonts w:ascii="Arial" w:hAnsi="Arial" w:cs="Arial"/>
        </w:rPr>
        <w:t xml:space="preserve">reducing the largest sources of emissions that </w:t>
      </w:r>
      <w:r>
        <w:rPr>
          <w:rFonts w:ascii="Arial" w:hAnsi="Arial" w:cs="Arial"/>
        </w:rPr>
        <w:t xml:space="preserve">we can </w:t>
      </w:r>
      <w:r w:rsidRPr="00B809F4">
        <w:rPr>
          <w:rFonts w:ascii="Arial" w:hAnsi="Arial" w:cs="Arial"/>
        </w:rPr>
        <w:t>control or influence.</w:t>
      </w:r>
      <w:r>
        <w:rPr>
          <w:rFonts w:ascii="Arial" w:hAnsi="Arial" w:cs="Arial"/>
        </w:rPr>
        <w:t xml:space="preserve"> </w:t>
      </w:r>
      <w:r>
        <w:t>W</w:t>
      </w:r>
      <w:r w:rsidR="00017DD0">
        <w:t xml:space="preserve">e analysed opportunities for transformational actions </w:t>
      </w:r>
      <w:r>
        <w:t xml:space="preserve">regarding </w:t>
      </w:r>
      <w:r w:rsidR="00017DD0">
        <w:t>the major sources of emissions in the city: energy supply, buildings, transport and waste</w:t>
      </w:r>
      <w:r w:rsidR="00D95283">
        <w:t>.</w:t>
      </w:r>
      <w:r w:rsidR="00251264" w:rsidRPr="00251264">
        <w:t xml:space="preserve"> </w:t>
      </w:r>
    </w:p>
    <w:p w:rsidR="00D95283" w:rsidRDefault="00F718B6" w:rsidP="00D95283">
      <w:pPr>
        <w:pStyle w:val="BodyText"/>
      </w:pPr>
      <w:r>
        <w:t>To identify new ideas w</w:t>
      </w:r>
      <w:r w:rsidR="00D95283">
        <w:t xml:space="preserve">e </w:t>
      </w:r>
      <w:r>
        <w:t>investigated</w:t>
      </w:r>
      <w:r w:rsidR="00D95283">
        <w:t>:</w:t>
      </w:r>
    </w:p>
    <w:p w:rsidR="00D95283" w:rsidRDefault="00D95283" w:rsidP="00356DEF">
      <w:pPr>
        <w:pStyle w:val="ListBullet"/>
        <w:ind w:left="397"/>
      </w:pPr>
      <w:r>
        <w:t>priorities identified in the Future Melbourne community process</w:t>
      </w:r>
    </w:p>
    <w:p w:rsidR="00F718B6" w:rsidRDefault="00F718B6" w:rsidP="00356DEF">
      <w:pPr>
        <w:pStyle w:val="ListBullet"/>
        <w:ind w:left="397"/>
      </w:pPr>
      <w:r>
        <w:t>actions taken by other cities around the world</w:t>
      </w:r>
    </w:p>
    <w:p w:rsidR="00F718B6" w:rsidRDefault="00F718B6" w:rsidP="00356DEF">
      <w:pPr>
        <w:pStyle w:val="ListBullet"/>
        <w:ind w:left="397"/>
      </w:pPr>
      <w:r>
        <w:t>climate impacts</w:t>
      </w:r>
    </w:p>
    <w:p w:rsidR="00F718B6" w:rsidRDefault="00D95283" w:rsidP="00356DEF">
      <w:pPr>
        <w:pStyle w:val="ListBullet"/>
        <w:ind w:left="397"/>
      </w:pPr>
      <w:r>
        <w:t xml:space="preserve">changes </w:t>
      </w:r>
      <w:r w:rsidR="00F718B6">
        <w:t>in technology</w:t>
      </w:r>
    </w:p>
    <w:p w:rsidR="00F718B6" w:rsidRDefault="00F718B6" w:rsidP="00356DEF">
      <w:pPr>
        <w:pStyle w:val="ListBullet"/>
        <w:ind w:left="397"/>
      </w:pPr>
      <w:r>
        <w:t>demographics and urban densification trends</w:t>
      </w:r>
    </w:p>
    <w:p w:rsidR="00D95283" w:rsidRDefault="00D95283" w:rsidP="00356DEF">
      <w:pPr>
        <w:pStyle w:val="ListBullet"/>
        <w:ind w:left="397"/>
      </w:pPr>
      <w:r>
        <w:t>business and economic trends</w:t>
      </w:r>
    </w:p>
    <w:p w:rsidR="00D95283" w:rsidRDefault="00D95283" w:rsidP="00356DEF">
      <w:pPr>
        <w:pStyle w:val="ListBullet"/>
        <w:ind w:left="397"/>
      </w:pPr>
      <w:proofErr w:type="gramStart"/>
      <w:r>
        <w:t>policy</w:t>
      </w:r>
      <w:proofErr w:type="gramEnd"/>
      <w:r>
        <w:t xml:space="preserve"> settings of the Victorian and</w:t>
      </w:r>
      <w:r w:rsidR="00DE454E">
        <w:t xml:space="preserve"> Australian </w:t>
      </w:r>
      <w:r>
        <w:t>Governments</w:t>
      </w:r>
      <w:r w:rsidR="00DE454E">
        <w:t>.</w:t>
      </w:r>
    </w:p>
    <w:p w:rsidR="00C01781" w:rsidRDefault="00C01781" w:rsidP="00556349">
      <w:pPr>
        <w:pStyle w:val="ListBullet"/>
        <w:numPr>
          <w:ilvl w:val="0"/>
          <w:numId w:val="0"/>
        </w:numPr>
        <w:spacing w:before="200" w:after="200"/>
      </w:pPr>
      <w:r>
        <w:t>We debated solutions with representatives of other cities from around Australia and around the world by participating in the C40 Climate Action Planning Pilot program. In 2017</w:t>
      </w:r>
      <w:r w:rsidR="004F50D8">
        <w:t>,</w:t>
      </w:r>
      <w:r>
        <w:t xml:space="preserve"> we hosted experts from 20 cities for the Carbon Neutral Cities Alliance meeting in Melbou</w:t>
      </w:r>
      <w:r w:rsidR="004F50D8">
        <w:t>rne.</w:t>
      </w:r>
    </w:p>
    <w:p w:rsidR="004F50D8" w:rsidRDefault="00C01781" w:rsidP="00556349">
      <w:pPr>
        <w:pStyle w:val="ListBullet"/>
        <w:numPr>
          <w:ilvl w:val="0"/>
          <w:numId w:val="0"/>
        </w:numPr>
        <w:spacing w:before="200" w:after="200"/>
      </w:pPr>
      <w:r>
        <w:t xml:space="preserve">We engaged expert </w:t>
      </w:r>
      <w:r w:rsidR="009E6EB1">
        <w:t>consultants to analyse proposed</w:t>
      </w:r>
      <w:r>
        <w:t xml:space="preserve"> actions for their potential to reduce greenhouse emissions and their social and economic benefits.</w:t>
      </w:r>
      <w:r w:rsidR="004F50D8" w:rsidRPr="004F50D8">
        <w:t xml:space="preserve"> </w:t>
      </w:r>
      <w:r w:rsidR="004F50D8">
        <w:t>And we tested these early ideas with business, government and community representatives as part of our external reference group</w:t>
      </w:r>
      <w:r w:rsidR="00820949">
        <w:t>. We also</w:t>
      </w:r>
      <w:r w:rsidR="004F50D8">
        <w:t xml:space="preserve"> held five community focus gr</w:t>
      </w:r>
      <w:r w:rsidR="00820949">
        <w:t>oups to refine the ideas further.</w:t>
      </w:r>
    </w:p>
    <w:p w:rsidR="00820949" w:rsidRDefault="00400CB1" w:rsidP="00556349">
      <w:pPr>
        <w:pStyle w:val="ListBullet"/>
        <w:numPr>
          <w:ilvl w:val="0"/>
          <w:numId w:val="0"/>
        </w:numPr>
        <w:spacing w:before="200" w:after="200"/>
      </w:pPr>
      <w:r>
        <w:t>We will conduct further analysis on the new ideas generated by community consultation and we invite you to have your say.</w:t>
      </w:r>
    </w:p>
    <w:p w:rsidR="00486F6C" w:rsidRPr="00E23FC6" w:rsidRDefault="00486F6C" w:rsidP="00820949">
      <w:pPr>
        <w:pStyle w:val="Heading2"/>
      </w:pPr>
      <w:bookmarkStart w:id="144" w:name="_Toc523238955"/>
      <w:r>
        <w:t>Strategic priorities and outcomes</w:t>
      </w:r>
      <w:bookmarkEnd w:id="144"/>
    </w:p>
    <w:p w:rsidR="00486F6C" w:rsidRDefault="00486F6C" w:rsidP="00556349">
      <w:pPr>
        <w:spacing w:before="200" w:after="200"/>
        <w:rPr>
          <w:rFonts w:ascii="Arial" w:hAnsi="Arial" w:cs="Arial"/>
        </w:rPr>
      </w:pPr>
      <w:r>
        <w:rPr>
          <w:rFonts w:ascii="Arial" w:hAnsi="Arial" w:cs="Arial"/>
        </w:rPr>
        <w:t xml:space="preserve">This draft strategy </w:t>
      </w:r>
      <w:r w:rsidR="00820949">
        <w:rPr>
          <w:rFonts w:ascii="Arial" w:hAnsi="Arial" w:cs="Arial"/>
        </w:rPr>
        <w:t xml:space="preserve">groups the actions into </w:t>
      </w:r>
      <w:r>
        <w:rPr>
          <w:rFonts w:ascii="Arial" w:hAnsi="Arial" w:cs="Arial"/>
        </w:rPr>
        <w:t>four priorities:</w:t>
      </w:r>
    </w:p>
    <w:p w:rsidR="00486F6C" w:rsidRDefault="00486F6C" w:rsidP="00556349">
      <w:pPr>
        <w:pStyle w:val="ListNumber"/>
        <w:numPr>
          <w:ilvl w:val="0"/>
          <w:numId w:val="80"/>
        </w:numPr>
        <w:spacing w:before="60" w:after="60"/>
      </w:pPr>
      <w:r>
        <w:t>100 per cent renewable energy</w:t>
      </w:r>
    </w:p>
    <w:p w:rsidR="00486F6C" w:rsidRDefault="004917DF" w:rsidP="00556349">
      <w:pPr>
        <w:pStyle w:val="ListNumber"/>
        <w:spacing w:before="60" w:after="60"/>
      </w:pPr>
      <w:r>
        <w:t>z</w:t>
      </w:r>
      <w:r w:rsidR="00486F6C">
        <w:t>ero emissions buildings and precincts</w:t>
      </w:r>
    </w:p>
    <w:p w:rsidR="00486F6C" w:rsidRDefault="004917DF" w:rsidP="00556349">
      <w:pPr>
        <w:pStyle w:val="ListNumber"/>
        <w:spacing w:before="60" w:after="60"/>
      </w:pPr>
      <w:r>
        <w:t>z</w:t>
      </w:r>
      <w:r w:rsidR="00486F6C">
        <w:t>ero emissions transport</w:t>
      </w:r>
    </w:p>
    <w:p w:rsidR="00486F6C" w:rsidRDefault="004917DF" w:rsidP="00556349">
      <w:pPr>
        <w:pStyle w:val="ListNumber"/>
        <w:spacing w:before="60" w:after="60"/>
      </w:pPr>
      <w:proofErr w:type="gramStart"/>
      <w:r>
        <w:t>r</w:t>
      </w:r>
      <w:r w:rsidR="00486F6C">
        <w:t>educe</w:t>
      </w:r>
      <w:proofErr w:type="gramEnd"/>
      <w:r w:rsidR="00486F6C">
        <w:t xml:space="preserve"> the impact of waste</w:t>
      </w:r>
      <w:r>
        <w:t>.</w:t>
      </w:r>
      <w:r w:rsidR="00486F6C">
        <w:t xml:space="preserve"> </w:t>
      </w:r>
    </w:p>
    <w:p w:rsidR="00084BF3" w:rsidRPr="004675D5" w:rsidRDefault="00084BF3" w:rsidP="00356DEF">
      <w:pPr>
        <w:pStyle w:val="ListNumber"/>
        <w:numPr>
          <w:ilvl w:val="0"/>
          <w:numId w:val="0"/>
        </w:numPr>
        <w:spacing w:before="200" w:after="200"/>
      </w:pPr>
      <w:r w:rsidRPr="0004069A">
        <w:t>The outcome of these strategic priorities</w:t>
      </w:r>
      <w:r>
        <w:t xml:space="preserve"> is intended to </w:t>
      </w:r>
      <w:r w:rsidRPr="0004069A">
        <w:t xml:space="preserve">reduce the largest sources of emissions in the municipality to achieve science-based </w:t>
      </w:r>
      <w:r>
        <w:t xml:space="preserve">targets and align to the requirements of the C40 Climate Action Plan Framework. </w:t>
      </w:r>
    </w:p>
    <w:p w:rsidR="008D589C" w:rsidRDefault="00084BF3" w:rsidP="00556349">
      <w:pPr>
        <w:spacing w:before="200" w:after="200"/>
      </w:pPr>
      <w:r>
        <w:t>W</w:t>
      </w:r>
      <w:r w:rsidR="00400CB1">
        <w:t xml:space="preserve">e are proposing actions that we can implement directly as well as </w:t>
      </w:r>
      <w:r w:rsidR="002F3DCA">
        <w:t xml:space="preserve">those we need to work with others to deliver and </w:t>
      </w:r>
      <w:r w:rsidR="00400CB1">
        <w:t>advocate for</w:t>
      </w:r>
      <w:r w:rsidR="002F3DCA">
        <w:t>.</w:t>
      </w:r>
      <w:r>
        <w:t xml:space="preserve"> </w:t>
      </w:r>
    </w:p>
    <w:p w:rsidR="00832F75" w:rsidRDefault="00832F75" w:rsidP="00556349">
      <w:pPr>
        <w:spacing w:before="200" w:after="200"/>
      </w:pPr>
    </w:p>
    <w:p w:rsidR="00486F6C" w:rsidRDefault="008D589C" w:rsidP="00556349">
      <w:pPr>
        <w:spacing w:before="200" w:after="200"/>
      </w:pPr>
      <w:r>
        <w:t>T</w:t>
      </w:r>
      <w:r w:rsidR="004675D5">
        <w:t>he way we implement the strategy</w:t>
      </w:r>
      <w:r>
        <w:t xml:space="preserve"> </w:t>
      </w:r>
      <w:r w:rsidR="00C11A00">
        <w:t>will</w:t>
      </w:r>
      <w:r w:rsidR="00486F6C">
        <w:t>:</w:t>
      </w:r>
    </w:p>
    <w:p w:rsidR="00C11A00" w:rsidRDefault="00C11A00" w:rsidP="00C11A00">
      <w:pPr>
        <w:pStyle w:val="ListBullet"/>
        <w:ind w:left="397"/>
      </w:pPr>
      <w:r>
        <w:t>consider climate adaptation and mitigation in an integrated way, identifying interdependencies to maximise efficiencies and minimise investment risk</w:t>
      </w:r>
    </w:p>
    <w:p w:rsidR="00C11A00" w:rsidRDefault="00C11A00" w:rsidP="00C11A00">
      <w:pPr>
        <w:pStyle w:val="ListBullet"/>
        <w:ind w:left="397"/>
      </w:pPr>
      <w:r>
        <w:t>deliver environmental, social and economic benefits to the community and improve the accessibility of these benefits by the community</w:t>
      </w:r>
    </w:p>
    <w:p w:rsidR="00C11A00" w:rsidRPr="00CA49BB" w:rsidRDefault="00C11A00" w:rsidP="00C11A00">
      <w:pPr>
        <w:pStyle w:val="ListBullet"/>
        <w:ind w:left="397"/>
      </w:pPr>
      <w:proofErr w:type="gramStart"/>
      <w:r>
        <w:t>take</w:t>
      </w:r>
      <w:proofErr w:type="gramEnd"/>
      <w:r>
        <w:t xml:space="preserve"> an innovative, transparent and evidence-based approach to report and evaluate progress in implementing the strategy.</w:t>
      </w:r>
    </w:p>
    <w:p w:rsidR="005F40FF" w:rsidRDefault="000B39B1" w:rsidP="000B39B1">
      <w:pPr>
        <w:pStyle w:val="Heading1"/>
        <w:numPr>
          <w:ilvl w:val="0"/>
          <w:numId w:val="0"/>
        </w:numPr>
      </w:pPr>
      <w:bookmarkStart w:id="145" w:name="_Toc520749108"/>
      <w:bookmarkStart w:id="146" w:name="_Toc523238956"/>
      <w:r>
        <w:t>Priority</w:t>
      </w:r>
      <w:r w:rsidR="00A83B04">
        <w:t xml:space="preserve"> </w:t>
      </w:r>
      <w:r>
        <w:t xml:space="preserve">1: </w:t>
      </w:r>
      <w:r w:rsidR="005F40FF">
        <w:t>100 per cent renewable energy</w:t>
      </w:r>
      <w:bookmarkEnd w:id="145"/>
      <w:bookmarkEnd w:id="146"/>
    </w:p>
    <w:p w:rsidR="005F40FF" w:rsidRDefault="005F40FF" w:rsidP="000B39B1">
      <w:pPr>
        <w:pStyle w:val="Heading2"/>
        <w:numPr>
          <w:ilvl w:val="0"/>
          <w:numId w:val="0"/>
        </w:numPr>
        <w:ind w:left="851" w:hanging="851"/>
      </w:pPr>
      <w:bookmarkStart w:id="147" w:name="_Toc520749109"/>
      <w:bookmarkStart w:id="148" w:name="_Toc523238957"/>
      <w:r>
        <w:t>The story so far</w:t>
      </w:r>
      <w:bookmarkEnd w:id="147"/>
      <w:bookmarkEnd w:id="148"/>
    </w:p>
    <w:p w:rsidR="005F40FF" w:rsidRPr="009C244B" w:rsidRDefault="005F40FF" w:rsidP="005F40FF">
      <w:pPr>
        <w:pStyle w:val="BodyText"/>
      </w:pPr>
      <w:r w:rsidRPr="009C244B">
        <w:t>The Melbourne Renewable Energy Project was a game</w:t>
      </w:r>
      <w:r>
        <w:t>-</w:t>
      </w:r>
      <w:r w:rsidRPr="009C244B">
        <w:t xml:space="preserve">changing initiative led by the City of Melbourne. </w:t>
      </w:r>
      <w:r>
        <w:t>Bringing together</w:t>
      </w:r>
      <w:r w:rsidRPr="009C244B">
        <w:t xml:space="preserve"> some of </w:t>
      </w:r>
      <w:r>
        <w:t xml:space="preserve">Melbourne’s </w:t>
      </w:r>
      <w:r w:rsidRPr="009C244B">
        <w:t>leading businesses, universities, local governments and public institutions</w:t>
      </w:r>
      <w:r>
        <w:t>,</w:t>
      </w:r>
      <w:r w:rsidRPr="009C244B">
        <w:t xml:space="preserve"> </w:t>
      </w:r>
      <w:r w:rsidR="0050772F">
        <w:t xml:space="preserve">the </w:t>
      </w:r>
      <w:r>
        <w:t xml:space="preserve">City of Melbourne developed an Australian first group Power Purchase Agreement. This commitment to purchase our power from a new renewable energy development enabled the construction of a 39 turbine windfarm </w:t>
      </w:r>
      <w:r w:rsidRPr="009C244B">
        <w:t xml:space="preserve">at Crowlands, about </w:t>
      </w:r>
      <w:r>
        <w:t>two</w:t>
      </w:r>
      <w:r w:rsidRPr="009C244B">
        <w:t xml:space="preserve"> hours from Melbourne in regional Victoria. This project alone </w:t>
      </w:r>
      <w:r>
        <w:t>will</w:t>
      </w:r>
      <w:r w:rsidRPr="009C244B">
        <w:t xml:space="preserve"> increase renewable energy in the city by 3 per cent </w:t>
      </w:r>
      <w:r w:rsidR="00B27EE0">
        <w:t>in addition to the 18 per cent currently adopted</w:t>
      </w:r>
      <w:r w:rsidRPr="009C244B">
        <w:t>.</w:t>
      </w:r>
      <w:r w:rsidR="00BC6167">
        <w:rPr>
          <w:rStyle w:val="FootnoteReference"/>
        </w:rPr>
        <w:footnoteReference w:customMarkFollows="1" w:id="13"/>
        <w:t>10</w:t>
      </w:r>
    </w:p>
    <w:p w:rsidR="005F40FF" w:rsidRDefault="005F40FF" w:rsidP="005F40FF">
      <w:pPr>
        <w:pStyle w:val="BodyText"/>
      </w:pPr>
      <w:r w:rsidRPr="009C244B">
        <w:t>Local governments have demonstrat</w:t>
      </w:r>
      <w:r>
        <w:t xml:space="preserve">ed leadership for many years by bargaining with energy companies to facilitate lower cost </w:t>
      </w:r>
      <w:r w:rsidRPr="009C244B">
        <w:t>renewable energy</w:t>
      </w:r>
      <w:r>
        <w:t xml:space="preserve"> for the community</w:t>
      </w:r>
      <w:r w:rsidRPr="009C244B">
        <w:t xml:space="preserve"> in the form of solar panels and </w:t>
      </w:r>
      <w:proofErr w:type="spellStart"/>
      <w:r w:rsidRPr="009C244B">
        <w:t>GreenPower</w:t>
      </w:r>
      <w:proofErr w:type="spellEnd"/>
      <w:r w:rsidRPr="009C244B">
        <w:t xml:space="preserve">. Homeowners and businesses have benefitted from policies such as feed-in tariffs, solar rebates, and renewable energy targets implemented by Victorian and Australian Governments. </w:t>
      </w:r>
      <w:r w:rsidR="00194B89">
        <w:t xml:space="preserve">These programs </w:t>
      </w:r>
      <w:r w:rsidRPr="009C244B" w:rsidDel="003636AA">
        <w:t>ha</w:t>
      </w:r>
      <w:r w:rsidR="00194B89">
        <w:t>ve</w:t>
      </w:r>
      <w:r w:rsidRPr="009C244B" w:rsidDel="003636AA">
        <w:t xml:space="preserve"> contributed greatly to the </w:t>
      </w:r>
      <w:r w:rsidR="00194B89">
        <w:t xml:space="preserve">uptake in renewable energy and </w:t>
      </w:r>
      <w:r w:rsidRPr="009C244B" w:rsidDel="003636AA">
        <w:t xml:space="preserve">rapid reduction in the market cost. </w:t>
      </w:r>
    </w:p>
    <w:p w:rsidR="000F1C65" w:rsidRDefault="000F1C65" w:rsidP="000F1C65">
      <w:pPr>
        <w:pStyle w:val="BodyText"/>
      </w:pPr>
      <w:r>
        <w:t xml:space="preserve">In the past, the higher cost of renewable energy meant purchasing solar panels and </w:t>
      </w:r>
      <w:proofErr w:type="spellStart"/>
      <w:r>
        <w:t>GreenPower</w:t>
      </w:r>
      <w:proofErr w:type="spellEnd"/>
      <w:r>
        <w:t xml:space="preserve"> was more expensive than standard electricity. However th</w:t>
      </w:r>
      <w:r w:rsidR="00B8466B">
        <w:t>e costs of renewable energy have</w:t>
      </w:r>
      <w:r>
        <w:t xml:space="preserve"> now reduced significantly, while the cost of ordinary electricity and gas has increased. This particularly </w:t>
      </w:r>
      <w:r w:rsidR="000B39B1">
        <w:t>affects</w:t>
      </w:r>
      <w:r>
        <w:t xml:space="preserve"> some of our more vulnerable residents</w:t>
      </w:r>
      <w:r w:rsidR="000E78AE">
        <w:t>.</w:t>
      </w:r>
    </w:p>
    <w:p w:rsidR="005F40FF" w:rsidRDefault="005F40FF" w:rsidP="000B39B1">
      <w:pPr>
        <w:pStyle w:val="Heading2"/>
        <w:numPr>
          <w:ilvl w:val="0"/>
          <w:numId w:val="0"/>
        </w:numPr>
        <w:ind w:left="851" w:hanging="851"/>
      </w:pPr>
      <w:bookmarkStart w:id="149" w:name="_Toc520749110"/>
      <w:bookmarkStart w:id="150" w:name="_Toc523238958"/>
      <w:r>
        <w:t>Challenges</w:t>
      </w:r>
      <w:bookmarkEnd w:id="149"/>
      <w:bookmarkEnd w:id="150"/>
    </w:p>
    <w:p w:rsidR="000E78AE" w:rsidRDefault="005F40FF" w:rsidP="005F40FF">
      <w:pPr>
        <w:pStyle w:val="BodyText"/>
      </w:pPr>
      <w:r w:rsidRPr="009C244B">
        <w:t xml:space="preserve">While a proportion of homeowners enjoy the benefits of solar power on their rooftops, access can be limited for people who are renting or living in apartments. </w:t>
      </w:r>
    </w:p>
    <w:p w:rsidR="005F40FF" w:rsidRDefault="005F40FF" w:rsidP="005F40FF">
      <w:pPr>
        <w:pStyle w:val="BodyText"/>
      </w:pPr>
      <w:proofErr w:type="gramStart"/>
      <w:r w:rsidRPr="009C244B">
        <w:t>In previous years</w:t>
      </w:r>
      <w:r w:rsidR="000C3138">
        <w:t>,</w:t>
      </w:r>
      <w:r w:rsidRPr="009C244B">
        <w:t xml:space="preserve"> </w:t>
      </w:r>
      <w:r w:rsidR="0050772F">
        <w:t xml:space="preserve">we </w:t>
      </w:r>
      <w:r w:rsidRPr="009C244B">
        <w:t>trialled programs to support the installation of solar panels on commercial buildings</w:t>
      </w:r>
      <w:r>
        <w:t>.</w:t>
      </w:r>
      <w:proofErr w:type="gramEnd"/>
      <w:r w:rsidRPr="009C244B">
        <w:t xml:space="preserve"> </w:t>
      </w:r>
      <w:r w:rsidR="000C3138">
        <w:t xml:space="preserve">It was challenging to find </w:t>
      </w:r>
      <w:r w:rsidRPr="009C244B">
        <w:t>suitable</w:t>
      </w:r>
      <w:r>
        <w:t xml:space="preserve"> commercial</w:t>
      </w:r>
      <w:r w:rsidRPr="009C244B">
        <w:t xml:space="preserve"> sites</w:t>
      </w:r>
      <w:r>
        <w:t xml:space="preserve"> for installation</w:t>
      </w:r>
      <w:r w:rsidRPr="009C244B">
        <w:t xml:space="preserve"> due to overshadowing from surrounding buildings</w:t>
      </w:r>
      <w:r w:rsidR="000C3138">
        <w:t>, and regulations that made connection to the electricity grid and distribution to neighbouring properties difficult</w:t>
      </w:r>
      <w:r w:rsidRPr="009C244B">
        <w:t>.</w:t>
      </w:r>
    </w:p>
    <w:p w:rsidR="000C440D" w:rsidRPr="000C440D" w:rsidRDefault="000C440D" w:rsidP="005F40FF">
      <w:pPr>
        <w:pStyle w:val="BodyText"/>
        <w:rPr>
          <w:rFonts w:ascii="Arial" w:hAnsi="Arial" w:cs="Arial"/>
          <w:sz w:val="22"/>
          <w:szCs w:val="22"/>
        </w:rPr>
      </w:pPr>
      <w:r>
        <w:t xml:space="preserve">Investment in new renewable energy is being driven by the commitments of state governments to renewable energy, including the Victorian Government commitment to 40 per cent renewable energy by 2025. Without a commitment to a further renewable energy target for 2030 or appropriate targets in the </w:t>
      </w:r>
      <w:r w:rsidR="00C5547A">
        <w:t xml:space="preserve">proposed </w:t>
      </w:r>
      <w:r>
        <w:t xml:space="preserve">National Energy Guarantee or similar policy mechanism, the investment needed in renewable energy is likely to stall. </w:t>
      </w:r>
    </w:p>
    <w:p w:rsidR="005F40FF" w:rsidRPr="009C244B" w:rsidRDefault="005F40FF" w:rsidP="000B39B1">
      <w:pPr>
        <w:pStyle w:val="Heading2"/>
        <w:numPr>
          <w:ilvl w:val="0"/>
          <w:numId w:val="0"/>
        </w:numPr>
        <w:ind w:left="851" w:hanging="851"/>
      </w:pPr>
      <w:bookmarkStart w:id="151" w:name="_Toc520749111"/>
      <w:bookmarkStart w:id="152" w:name="_Toc523238959"/>
      <w:r w:rsidRPr="009C244B">
        <w:t>Strategic opportunities</w:t>
      </w:r>
      <w:bookmarkEnd w:id="151"/>
      <w:bookmarkEnd w:id="152"/>
    </w:p>
    <w:p w:rsidR="005F40FF" w:rsidRDefault="005F40FF" w:rsidP="005F40FF">
      <w:pPr>
        <w:pStyle w:val="BodyText"/>
      </w:pPr>
      <w:r w:rsidRPr="009C244B">
        <w:t xml:space="preserve">To achieve our emission reduction goals, </w:t>
      </w:r>
      <w:r w:rsidR="009D1630">
        <w:t xml:space="preserve">the city’s </w:t>
      </w:r>
      <w:r w:rsidRPr="009C244B">
        <w:t>buildings, precincts and transport need to be electrified and powered by 100</w:t>
      </w:r>
      <w:r>
        <w:t xml:space="preserve"> per cent</w:t>
      </w:r>
      <w:r w:rsidRPr="009C244B">
        <w:t xml:space="preserve"> renewable energy. </w:t>
      </w:r>
      <w:r>
        <w:t>This requires a transition away from gas, petrol, diesel and coal</w:t>
      </w:r>
      <w:r w:rsidR="009D1630">
        <w:t>. It</w:t>
      </w:r>
      <w:r>
        <w:t xml:space="preserve"> will generate investment opportunities in clean energy infrastructure. </w:t>
      </w:r>
    </w:p>
    <w:p w:rsidR="005F40FF" w:rsidRDefault="005F40FF" w:rsidP="005F40FF">
      <w:pPr>
        <w:pStyle w:val="BodyText"/>
      </w:pPr>
      <w:r w:rsidRPr="009C244B">
        <w:t xml:space="preserve">The influence of the Melbourne Renewable Energy Project has greatly accelerated the uptake of renewable energy in recent years. </w:t>
      </w:r>
      <w:r>
        <w:t xml:space="preserve">New </w:t>
      </w:r>
      <w:r w:rsidRPr="009C244B">
        <w:t xml:space="preserve">analysis shows that </w:t>
      </w:r>
      <w:r w:rsidR="00C5547A">
        <w:t xml:space="preserve">nationally, </w:t>
      </w:r>
      <w:r w:rsidRPr="009C244B">
        <w:t xml:space="preserve">a third of the contribution to the </w:t>
      </w:r>
      <w:r w:rsidR="00C5547A">
        <w:t xml:space="preserve">Australian </w:t>
      </w:r>
      <w:r w:rsidRPr="009C244B">
        <w:t xml:space="preserve">Renewable Energy Target </w:t>
      </w:r>
      <w:r w:rsidR="00C5547A">
        <w:t xml:space="preserve">scheme </w:t>
      </w:r>
      <w:r w:rsidRPr="009C244B">
        <w:t>is from corporate power purchase agreements</w:t>
      </w:r>
      <w:r w:rsidR="00407CFD">
        <w:t>.</w:t>
      </w:r>
      <w:r w:rsidR="00BC6167">
        <w:rPr>
          <w:rStyle w:val="FootnoteReference"/>
        </w:rPr>
        <w:footnoteReference w:customMarkFollows="1" w:id="14"/>
        <w:t>11</w:t>
      </w:r>
      <w:r w:rsidRPr="009C244B">
        <w:t xml:space="preserve"> </w:t>
      </w:r>
      <w:r w:rsidR="009D1630">
        <w:t xml:space="preserve">We can </w:t>
      </w:r>
      <w:r w:rsidRPr="009C244B">
        <w:t>accelerate the uptake of renewable energy by continuing to amplify the impact of the Mel</w:t>
      </w:r>
      <w:r w:rsidR="000C3138">
        <w:t xml:space="preserve">bourne Renewable Energy Project to contribute to future Victorian and </w:t>
      </w:r>
      <w:r w:rsidR="00C5547A">
        <w:t xml:space="preserve">Australian </w:t>
      </w:r>
      <w:r w:rsidR="000C3138">
        <w:t>Government renewable energy targets.</w:t>
      </w:r>
    </w:p>
    <w:p w:rsidR="00024DED" w:rsidRDefault="00322BAB" w:rsidP="005F40FF">
      <w:pPr>
        <w:pStyle w:val="BodyText"/>
      </w:pPr>
      <w:r>
        <w:t xml:space="preserve">The development of a virtual renewable energy power plant or facilitation of renewable energy purchases for residents </w:t>
      </w:r>
      <w:r w:rsidR="009D1630">
        <w:t>could help</w:t>
      </w:r>
      <w:r>
        <w:t xml:space="preserve"> share the benefits of the renewable energy transition with people who live in apartments as well as stand</w:t>
      </w:r>
      <w:r w:rsidR="00C5547A">
        <w:t>-</w:t>
      </w:r>
      <w:r>
        <w:t xml:space="preserve">alone houses. </w:t>
      </w:r>
    </w:p>
    <w:p w:rsidR="00322BAB" w:rsidRDefault="00BE15FD" w:rsidP="00815FBF">
      <w:r>
        <w:t>For example t</w:t>
      </w:r>
      <w:r w:rsidR="00024DED">
        <w:t xml:space="preserve">he City of Melbourne </w:t>
      </w:r>
      <w:r>
        <w:t>could facilitate</w:t>
      </w:r>
      <w:r w:rsidR="00024DED">
        <w:t xml:space="preserve"> a bulk purchase of solar panels or batteries to provide them to residents at a reduced price.</w:t>
      </w:r>
      <w:r>
        <w:t xml:space="preserve"> The Victorian Government has recently announced half price solar panel</w:t>
      </w:r>
      <w:r w:rsidR="00880CA1">
        <w:t xml:space="preserve">s for 650,000 homeowners. We could support this program by promoting it and reducing barriers to installing solar panels, and we could extend a similar initiative to renters. </w:t>
      </w:r>
      <w:r w:rsidR="00970AA7">
        <w:t xml:space="preserve">Another type of virtual power plant is a larger scale installation of solar panels and storage </w:t>
      </w:r>
      <w:r w:rsidR="00C278EC">
        <w:t>on a public building or a vacant rooftop</w:t>
      </w:r>
      <w:r w:rsidR="00024DED">
        <w:t xml:space="preserve"> </w:t>
      </w:r>
      <w:r w:rsidR="00C278EC">
        <w:t xml:space="preserve">located inside the municipality </w:t>
      </w:r>
      <w:r w:rsidR="00024DED">
        <w:t xml:space="preserve">with benefits flowing to </w:t>
      </w:r>
      <w:r w:rsidR="00C278EC">
        <w:t xml:space="preserve">nearby </w:t>
      </w:r>
      <w:r w:rsidR="00024DED">
        <w:t>residents.</w:t>
      </w:r>
      <w:r w:rsidR="00C278EC">
        <w:t xml:space="preserve"> Some communities have also developed community energy projects where </w:t>
      </w:r>
      <w:r w:rsidR="00024DED">
        <w:t>residents or businesses purchase a share in, or purchase energy from, a large scale renewable energy development outside the municipality. The energy generated is then directly counted aga</w:t>
      </w:r>
      <w:r w:rsidR="00C278EC">
        <w:t>inst resident</w:t>
      </w:r>
      <w:r w:rsidR="00815FBF">
        <w:t xml:space="preserve"> energy use. </w:t>
      </w:r>
      <w:r w:rsidR="009D1630">
        <w:t>We could also</w:t>
      </w:r>
      <w:r w:rsidR="00322BAB">
        <w:t xml:space="preserve"> drive innovation by engaging university researchers in trialling new technology in the innovation precinct. </w:t>
      </w:r>
    </w:p>
    <w:p w:rsidR="000C440D" w:rsidRDefault="000C3138" w:rsidP="005F40FF">
      <w:pPr>
        <w:pStyle w:val="BodyText"/>
      </w:pPr>
      <w:r>
        <w:t xml:space="preserve">Community support for renewable energy in Melbourne is high despite </w:t>
      </w:r>
      <w:r w:rsidR="00322BAB">
        <w:t xml:space="preserve">the </w:t>
      </w:r>
      <w:r>
        <w:t>challenges of overshadowing</w:t>
      </w:r>
      <w:r w:rsidR="00A415DD">
        <w:t xml:space="preserve"> </w:t>
      </w:r>
      <w:r w:rsidR="00A415DD" w:rsidRPr="009C244B">
        <w:t>from surrounding buildings</w:t>
      </w:r>
      <w:r>
        <w:t xml:space="preserve">. The </w:t>
      </w:r>
      <w:r w:rsidR="000C440D">
        <w:t xml:space="preserve">decreasing cost of renewable energy </w:t>
      </w:r>
      <w:r w:rsidR="00A415DD">
        <w:t>and</w:t>
      </w:r>
      <w:r w:rsidR="00FF5C7D">
        <w:t xml:space="preserve"> the </w:t>
      </w:r>
      <w:r w:rsidR="000C440D">
        <w:t>increasing cost of gas and coal-fired electricity</w:t>
      </w:r>
      <w:r w:rsidR="00FF5C7D">
        <w:t xml:space="preserve"> in Australia </w:t>
      </w:r>
      <w:proofErr w:type="gramStart"/>
      <w:r w:rsidR="00FF5C7D">
        <w:t>has</w:t>
      </w:r>
      <w:proofErr w:type="gramEnd"/>
      <w:r w:rsidR="00FF5C7D">
        <w:t xml:space="preserve"> also </w:t>
      </w:r>
      <w:r w:rsidR="00054770">
        <w:t xml:space="preserve">generated community support </w:t>
      </w:r>
      <w:r w:rsidR="00FF5C7D">
        <w:t>for renewable energy</w:t>
      </w:r>
      <w:r w:rsidR="00054770">
        <w:t xml:space="preserve"> and </w:t>
      </w:r>
      <w:r w:rsidR="00322BAB">
        <w:t xml:space="preserve">employment </w:t>
      </w:r>
      <w:r w:rsidR="00054770">
        <w:t>opportunities for regional Victorians</w:t>
      </w:r>
      <w:r w:rsidR="000C440D">
        <w:t>.</w:t>
      </w:r>
      <w:r w:rsidR="00322BAB">
        <w:t xml:space="preserve"> There is</w:t>
      </w:r>
      <w:r>
        <w:t xml:space="preserve"> a growing consensus from</w:t>
      </w:r>
      <w:r w:rsidR="00322BAB">
        <w:t xml:space="preserve"> investors, energy companies, and </w:t>
      </w:r>
      <w:r>
        <w:t xml:space="preserve">businesses that renewable energy is needed to replace coal-fired power stations. </w:t>
      </w:r>
      <w:r w:rsidR="00A415DD">
        <w:t xml:space="preserve">The City of Melbourne </w:t>
      </w:r>
      <w:r w:rsidR="00322BAB">
        <w:t xml:space="preserve">could amplify this by advocating for ambitious renewable energy targets in Victorian and </w:t>
      </w:r>
      <w:r w:rsidR="003636AA">
        <w:t xml:space="preserve">Australian </w:t>
      </w:r>
      <w:r w:rsidR="00322BAB">
        <w:t>Government policy.</w:t>
      </w:r>
    </w:p>
    <w:p w:rsidR="005F40FF" w:rsidRDefault="00084488" w:rsidP="000B39B1">
      <w:pPr>
        <w:pStyle w:val="Heading2"/>
        <w:numPr>
          <w:ilvl w:val="0"/>
          <w:numId w:val="0"/>
        </w:numPr>
        <w:ind w:left="851" w:hanging="851"/>
      </w:pPr>
      <w:bookmarkStart w:id="153" w:name="_Toc520749112"/>
      <w:bookmarkStart w:id="154" w:name="_Toc523238960"/>
      <w:r>
        <w:t>The e</w:t>
      </w:r>
      <w:r w:rsidR="00BC3445">
        <w:t>nvironmental</w:t>
      </w:r>
      <w:r>
        <w:t>,</w:t>
      </w:r>
      <w:r w:rsidR="00BC3445">
        <w:t xml:space="preserve"> social</w:t>
      </w:r>
      <w:r w:rsidR="00FC682E">
        <w:t xml:space="preserve"> and economic</w:t>
      </w:r>
      <w:r w:rsidR="00BC3445">
        <w:t xml:space="preserve"> </w:t>
      </w:r>
      <w:r w:rsidR="005F40FF">
        <w:t>benefits</w:t>
      </w:r>
      <w:bookmarkEnd w:id="153"/>
      <w:r>
        <w:t xml:space="preserve"> of taking action</w:t>
      </w:r>
      <w:bookmarkEnd w:id="154"/>
    </w:p>
    <w:p w:rsidR="00C5547A" w:rsidRDefault="00C5547A" w:rsidP="00556349">
      <w:pPr>
        <w:pStyle w:val="ListBullet"/>
        <w:numPr>
          <w:ilvl w:val="0"/>
          <w:numId w:val="0"/>
        </w:numPr>
      </w:pPr>
      <w:r>
        <w:t>The many environmental, social and economic benefits of taking action include:</w:t>
      </w:r>
    </w:p>
    <w:p w:rsidR="00CC622F" w:rsidRDefault="00407CFD" w:rsidP="00556349">
      <w:pPr>
        <w:pStyle w:val="ListBullet"/>
        <w:ind w:left="397"/>
      </w:pPr>
      <w:r>
        <w:t>i</w:t>
      </w:r>
      <w:r w:rsidR="00CC622F">
        <w:t>ncreased energy security</w:t>
      </w:r>
    </w:p>
    <w:p w:rsidR="00CC622F" w:rsidRDefault="00407CFD" w:rsidP="00556349">
      <w:pPr>
        <w:pStyle w:val="ListBullet"/>
        <w:ind w:left="397"/>
      </w:pPr>
      <w:r>
        <w:t>i</w:t>
      </w:r>
      <w:r w:rsidR="00CC622F">
        <w:t>ncreased local employment</w:t>
      </w:r>
    </w:p>
    <w:p w:rsidR="00CC622F" w:rsidRDefault="00407CFD" w:rsidP="00556349">
      <w:pPr>
        <w:pStyle w:val="ListBullet"/>
        <w:ind w:left="397"/>
      </w:pPr>
      <w:r>
        <w:t>r</w:t>
      </w:r>
      <w:r w:rsidR="00CC622F">
        <w:t>educed health impacts from air pollution</w:t>
      </w:r>
    </w:p>
    <w:p w:rsidR="00C42936" w:rsidRDefault="00407CFD" w:rsidP="00556349">
      <w:pPr>
        <w:pStyle w:val="ListBullet"/>
        <w:ind w:left="397"/>
      </w:pPr>
      <w:r>
        <w:t>r</w:t>
      </w:r>
      <w:r w:rsidR="00CC622F">
        <w:t>educed ecosy</w:t>
      </w:r>
      <w:r w:rsidR="00C42936">
        <w:t>stem impacts from air pollution</w:t>
      </w:r>
    </w:p>
    <w:p w:rsidR="009D27BA" w:rsidRDefault="00407CFD" w:rsidP="00556349">
      <w:pPr>
        <w:pStyle w:val="ListBullet"/>
        <w:ind w:left="397"/>
      </w:pPr>
      <w:proofErr w:type="gramStart"/>
      <w:r>
        <w:t>r</w:t>
      </w:r>
      <w:r w:rsidR="00CC622F">
        <w:t>educed</w:t>
      </w:r>
      <w:proofErr w:type="gramEnd"/>
      <w:r w:rsidR="00CC622F">
        <w:t xml:space="preserve"> ecosystem impacts from coal mining</w:t>
      </w:r>
      <w:r>
        <w:t>.</w:t>
      </w:r>
    </w:p>
    <w:p w:rsidR="00BC3445" w:rsidRDefault="00BC3445" w:rsidP="00BC3445"/>
    <w:tbl>
      <w:tblPr>
        <w:tblW w:w="0" w:type="auto"/>
        <w:tblLayout w:type="fixed"/>
        <w:tblCellMar>
          <w:left w:w="0" w:type="dxa"/>
          <w:right w:w="0" w:type="dxa"/>
        </w:tblCellMar>
        <w:tblLook w:val="04A0" w:firstRow="1" w:lastRow="0" w:firstColumn="1" w:lastColumn="0" w:noHBand="0" w:noVBand="1"/>
      </w:tblPr>
      <w:tblGrid>
        <w:gridCol w:w="2371"/>
        <w:gridCol w:w="1281"/>
        <w:gridCol w:w="1583"/>
        <w:gridCol w:w="1418"/>
        <w:gridCol w:w="1417"/>
        <w:gridCol w:w="1134"/>
      </w:tblGrid>
      <w:tr w:rsidR="00FC682E" w:rsidRPr="00C7569F" w:rsidTr="00857954">
        <w:tc>
          <w:tcPr>
            <w:tcW w:w="237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BC3445" w:rsidRPr="00C7569F" w:rsidRDefault="00BC3445">
            <w:pPr>
              <w:autoSpaceDE w:val="0"/>
              <w:autoSpaceDN w:val="0"/>
              <w:jc w:val="center"/>
              <w:rPr>
                <w:rFonts w:ascii="EYInterstate Light" w:eastAsiaTheme="minorHAnsi" w:hAnsi="EYInterstate Light"/>
                <w:b/>
                <w:bCs/>
                <w:lang w:val="en-US" w:eastAsia="en-US"/>
              </w:rPr>
            </w:pPr>
            <w:r w:rsidRPr="00C7569F">
              <w:rPr>
                <w:b/>
                <w:bCs/>
                <w:lang w:val="en-US"/>
              </w:rPr>
              <w:t>Actions</w:t>
            </w:r>
            <w:r w:rsidR="006B1C60" w:rsidRPr="00C7569F">
              <w:rPr>
                <w:b/>
                <w:bCs/>
                <w:lang w:val="en-US"/>
              </w:rPr>
              <w:t xml:space="preserve"> modelled</w:t>
            </w:r>
          </w:p>
        </w:tc>
        <w:tc>
          <w:tcPr>
            <w:tcW w:w="1281"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BC3445" w:rsidRPr="00C7569F" w:rsidRDefault="00BC3445">
            <w:pPr>
              <w:autoSpaceDE w:val="0"/>
              <w:autoSpaceDN w:val="0"/>
              <w:jc w:val="center"/>
              <w:rPr>
                <w:rFonts w:ascii="EYInterstate Light" w:eastAsiaTheme="minorHAnsi" w:hAnsi="EYInterstate Light"/>
                <w:b/>
                <w:bCs/>
                <w:lang w:val="en-US" w:eastAsia="en-US"/>
              </w:rPr>
            </w:pPr>
            <w:r w:rsidRPr="00C7569F">
              <w:rPr>
                <w:b/>
                <w:bCs/>
                <w:lang w:val="en-US"/>
              </w:rPr>
              <w:t>Scenario</w:t>
            </w:r>
          </w:p>
        </w:tc>
        <w:tc>
          <w:tcPr>
            <w:tcW w:w="1583"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BC3445" w:rsidRPr="00C7569F" w:rsidRDefault="00BC3445">
            <w:pPr>
              <w:autoSpaceDE w:val="0"/>
              <w:autoSpaceDN w:val="0"/>
              <w:jc w:val="center"/>
              <w:rPr>
                <w:rFonts w:ascii="Calibri" w:eastAsiaTheme="minorHAnsi" w:hAnsi="Calibri"/>
                <w:b/>
                <w:bCs/>
                <w:color w:val="000000"/>
                <w:lang w:val="en-US" w:eastAsia="en-US"/>
              </w:rPr>
            </w:pPr>
            <w:r w:rsidRPr="00C7569F">
              <w:rPr>
                <w:b/>
                <w:bCs/>
                <w:lang w:val="en-US"/>
              </w:rPr>
              <w:t xml:space="preserve">Emissions </w:t>
            </w:r>
            <w:r w:rsidR="00DB1CB5">
              <w:rPr>
                <w:b/>
                <w:bCs/>
                <w:lang w:val="en-US"/>
              </w:rPr>
              <w:t>r</w:t>
            </w:r>
            <w:r w:rsidRPr="00C7569F">
              <w:rPr>
                <w:b/>
                <w:bCs/>
                <w:lang w:val="en-US"/>
              </w:rPr>
              <w:t>eduction</w:t>
            </w:r>
          </w:p>
        </w:tc>
        <w:tc>
          <w:tcPr>
            <w:tcW w:w="1418"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rsidR="00DB1CB5" w:rsidRDefault="00BC3445">
            <w:pPr>
              <w:autoSpaceDE w:val="0"/>
              <w:autoSpaceDN w:val="0"/>
              <w:jc w:val="center"/>
              <w:rPr>
                <w:b/>
                <w:bCs/>
                <w:lang w:val="en-US"/>
              </w:rPr>
            </w:pPr>
            <w:r w:rsidRPr="00C7569F">
              <w:rPr>
                <w:b/>
                <w:bCs/>
                <w:lang w:val="en-US"/>
              </w:rPr>
              <w:t xml:space="preserve">Discounted </w:t>
            </w:r>
            <w:r w:rsidR="00DB1CB5">
              <w:rPr>
                <w:b/>
                <w:bCs/>
                <w:lang w:val="en-US"/>
              </w:rPr>
              <w:t>b</w:t>
            </w:r>
            <w:r w:rsidRPr="00C7569F">
              <w:rPr>
                <w:b/>
                <w:bCs/>
                <w:lang w:val="en-US"/>
              </w:rPr>
              <w:t>enefits</w:t>
            </w:r>
            <w:r w:rsidR="00FD7722">
              <w:rPr>
                <w:rStyle w:val="FootnoteReference"/>
                <w:b/>
                <w:bCs/>
                <w:lang w:val="en-US"/>
              </w:rPr>
              <w:footnoteReference w:id="15"/>
            </w:r>
            <w:r w:rsidRPr="00C7569F">
              <w:rPr>
                <w:b/>
                <w:bCs/>
                <w:lang w:val="en-US"/>
              </w:rPr>
              <w:t xml:space="preserve"> </w:t>
            </w:r>
            <w:r w:rsidR="00FC682E" w:rsidRPr="00C7569F">
              <w:rPr>
                <w:b/>
                <w:bCs/>
                <w:lang w:val="en-US"/>
              </w:rPr>
              <w:t xml:space="preserve">  </w:t>
            </w:r>
          </w:p>
          <w:p w:rsidR="00BC3445" w:rsidRPr="00C7569F" w:rsidRDefault="00FC682E">
            <w:pPr>
              <w:autoSpaceDE w:val="0"/>
              <w:autoSpaceDN w:val="0"/>
              <w:jc w:val="center"/>
              <w:rPr>
                <w:rFonts w:ascii="EYInterstate Light" w:eastAsiaTheme="minorHAnsi" w:hAnsi="EYInterstate Light"/>
                <w:b/>
                <w:bCs/>
                <w:lang w:val="en-US" w:eastAsia="en-US"/>
              </w:rPr>
            </w:pPr>
            <w:r w:rsidRPr="00C7569F">
              <w:rPr>
                <w:b/>
                <w:bCs/>
                <w:lang w:val="en-US"/>
              </w:rPr>
              <w:t xml:space="preserve"> </w:t>
            </w:r>
            <w:r w:rsidR="00BC3445" w:rsidRPr="00C7569F">
              <w:rPr>
                <w:b/>
                <w:bCs/>
                <w:lang w:val="en-US"/>
              </w:rPr>
              <w:t>($ million)</w:t>
            </w:r>
          </w:p>
        </w:tc>
        <w:tc>
          <w:tcPr>
            <w:tcW w:w="1417"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rsidR="00DB1CB5" w:rsidRDefault="00BC3445">
            <w:pPr>
              <w:autoSpaceDE w:val="0"/>
              <w:autoSpaceDN w:val="0"/>
              <w:jc w:val="center"/>
              <w:rPr>
                <w:b/>
                <w:bCs/>
                <w:lang w:val="en-US"/>
              </w:rPr>
            </w:pPr>
            <w:r w:rsidRPr="00C7569F">
              <w:rPr>
                <w:b/>
                <w:bCs/>
                <w:lang w:val="en-US"/>
              </w:rPr>
              <w:t xml:space="preserve">Discounted </w:t>
            </w:r>
            <w:r w:rsidR="00DB1CB5">
              <w:rPr>
                <w:b/>
                <w:bCs/>
                <w:lang w:val="en-US"/>
              </w:rPr>
              <w:t>c</w:t>
            </w:r>
            <w:r w:rsidRPr="00C7569F">
              <w:rPr>
                <w:b/>
                <w:bCs/>
                <w:lang w:val="en-US"/>
              </w:rPr>
              <w:t xml:space="preserve">osts </w:t>
            </w:r>
            <w:r w:rsidR="00FC682E" w:rsidRPr="00C7569F">
              <w:rPr>
                <w:b/>
                <w:bCs/>
                <w:lang w:val="en-US"/>
              </w:rPr>
              <w:t xml:space="preserve"> </w:t>
            </w:r>
            <w:r w:rsidR="00C7569F">
              <w:rPr>
                <w:b/>
                <w:bCs/>
                <w:lang w:val="en-US"/>
              </w:rPr>
              <w:t xml:space="preserve"> </w:t>
            </w:r>
          </w:p>
          <w:p w:rsidR="00BC3445" w:rsidRPr="00C7569F" w:rsidRDefault="00BC3445">
            <w:pPr>
              <w:autoSpaceDE w:val="0"/>
              <w:autoSpaceDN w:val="0"/>
              <w:jc w:val="center"/>
              <w:rPr>
                <w:rFonts w:ascii="EYInterstate Light" w:eastAsiaTheme="minorHAnsi" w:hAnsi="EYInterstate Light"/>
                <w:b/>
                <w:bCs/>
                <w:lang w:val="en-US" w:eastAsia="en-US"/>
              </w:rPr>
            </w:pPr>
            <w:r w:rsidRPr="00C7569F">
              <w:rPr>
                <w:b/>
                <w:bCs/>
                <w:lang w:val="en-US"/>
              </w:rPr>
              <w:t>($ million)</w:t>
            </w:r>
          </w:p>
        </w:tc>
        <w:tc>
          <w:tcPr>
            <w:tcW w:w="1134"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rsidR="00BC3445" w:rsidRPr="00C7569F" w:rsidRDefault="00BC3445">
            <w:pPr>
              <w:autoSpaceDE w:val="0"/>
              <w:autoSpaceDN w:val="0"/>
              <w:jc w:val="center"/>
              <w:rPr>
                <w:rFonts w:ascii="EYInterstate Light" w:eastAsiaTheme="minorHAnsi" w:hAnsi="EYInterstate Light"/>
                <w:b/>
                <w:bCs/>
                <w:lang w:val="en-US" w:eastAsia="en-US"/>
              </w:rPr>
            </w:pPr>
            <w:r w:rsidRPr="00C7569F">
              <w:rPr>
                <w:b/>
                <w:bCs/>
                <w:lang w:val="en-US"/>
              </w:rPr>
              <w:t xml:space="preserve">Benefit </w:t>
            </w:r>
            <w:r w:rsidR="00DB1CB5">
              <w:rPr>
                <w:b/>
                <w:bCs/>
                <w:lang w:val="en-US"/>
              </w:rPr>
              <w:t>c</w:t>
            </w:r>
            <w:r w:rsidRPr="00C7569F">
              <w:rPr>
                <w:b/>
                <w:bCs/>
                <w:lang w:val="en-US"/>
              </w:rPr>
              <w:t xml:space="preserve">ost </w:t>
            </w:r>
            <w:r w:rsidR="00DB1CB5">
              <w:rPr>
                <w:b/>
                <w:bCs/>
                <w:lang w:val="en-US"/>
              </w:rPr>
              <w:t>r</w:t>
            </w:r>
            <w:r w:rsidRPr="00C7569F">
              <w:rPr>
                <w:b/>
                <w:bCs/>
                <w:lang w:val="en-US"/>
              </w:rPr>
              <w:t>atio</w:t>
            </w:r>
          </w:p>
        </w:tc>
      </w:tr>
      <w:tr w:rsidR="00FC682E" w:rsidRPr="00C7569F" w:rsidTr="00857954">
        <w:trPr>
          <w:trHeight w:val="1377"/>
        </w:trPr>
        <w:tc>
          <w:tcPr>
            <w:tcW w:w="2371" w:type="dxa"/>
            <w:vMerge w:val="restart"/>
            <w:tcBorders>
              <w:top w:val="nil"/>
              <w:left w:val="single" w:sz="8" w:space="0" w:color="auto"/>
              <w:bottom w:val="single" w:sz="8" w:space="0" w:color="auto"/>
              <w:right w:val="single" w:sz="8" w:space="0" w:color="auto"/>
            </w:tcBorders>
            <w:tcMar>
              <w:top w:w="0" w:type="dxa"/>
              <w:left w:w="108" w:type="dxa"/>
              <w:bottom w:w="0" w:type="dxa"/>
              <w:right w:w="108" w:type="dxa"/>
            </w:tcMar>
          </w:tcPr>
          <w:p w:rsidR="00BC3445" w:rsidRPr="00C7569F" w:rsidRDefault="00BC3445">
            <w:pPr>
              <w:rPr>
                <w:color w:val="000000"/>
                <w:lang w:val="en-US"/>
              </w:rPr>
            </w:pPr>
            <w:r w:rsidRPr="00C7569F">
              <w:rPr>
                <w:color w:val="000000"/>
                <w:lang w:val="en-US"/>
              </w:rPr>
              <w:t xml:space="preserve">Facilitate and support corporate Power Purchase Agreements </w:t>
            </w:r>
          </w:p>
          <w:p w:rsidR="00BC3445" w:rsidRPr="002754BF" w:rsidRDefault="00BC3445">
            <w:pPr>
              <w:rPr>
                <w:color w:val="000000"/>
                <w:sz w:val="16"/>
                <w:szCs w:val="16"/>
                <w:lang w:val="en-US"/>
              </w:rPr>
            </w:pPr>
          </w:p>
          <w:p w:rsidR="00BC3445" w:rsidRDefault="00BC3445">
            <w:pPr>
              <w:rPr>
                <w:color w:val="000000"/>
                <w:lang w:val="en-US"/>
              </w:rPr>
            </w:pPr>
            <w:r w:rsidRPr="00C7569F">
              <w:rPr>
                <w:color w:val="000000"/>
                <w:lang w:val="en-US"/>
              </w:rPr>
              <w:t xml:space="preserve">Facilitate residential purchasing of renewable energy products </w:t>
            </w:r>
          </w:p>
          <w:p w:rsidR="00812F90" w:rsidRDefault="00812F90">
            <w:pPr>
              <w:rPr>
                <w:color w:val="000000"/>
                <w:lang w:val="en-US"/>
              </w:rPr>
            </w:pPr>
          </w:p>
          <w:p w:rsidR="00BC3445" w:rsidRPr="002754BF" w:rsidRDefault="00812F90" w:rsidP="002754BF">
            <w:pPr>
              <w:rPr>
                <w:rFonts w:ascii="Calibri" w:eastAsiaTheme="minorHAnsi" w:hAnsi="Calibri"/>
                <w:color w:val="000000"/>
                <w:lang w:val="en-US" w:eastAsia="en-US"/>
              </w:rPr>
            </w:pPr>
            <w:r w:rsidRPr="00C7569F">
              <w:rPr>
                <w:color w:val="000000"/>
                <w:lang w:val="en-US"/>
              </w:rPr>
              <w:t>Advocate for a more am</w:t>
            </w:r>
            <w:r w:rsidR="002754BF">
              <w:rPr>
                <w:color w:val="000000"/>
                <w:lang w:val="en-US"/>
              </w:rPr>
              <w:t>bitious renewable energy target</w:t>
            </w:r>
          </w:p>
        </w:tc>
        <w:tc>
          <w:tcPr>
            <w:tcW w:w="1281" w:type="dxa"/>
            <w:tcBorders>
              <w:top w:val="nil"/>
              <w:left w:val="nil"/>
              <w:bottom w:val="single" w:sz="8" w:space="0" w:color="auto"/>
              <w:right w:val="single" w:sz="8" w:space="0" w:color="auto"/>
            </w:tcBorders>
            <w:tcMar>
              <w:top w:w="0" w:type="dxa"/>
              <w:left w:w="108" w:type="dxa"/>
              <w:bottom w:w="0" w:type="dxa"/>
              <w:right w:w="108" w:type="dxa"/>
            </w:tcMar>
          </w:tcPr>
          <w:p w:rsidR="00BC3445" w:rsidRPr="00C7569F" w:rsidRDefault="00BC3445">
            <w:pPr>
              <w:jc w:val="center"/>
              <w:rPr>
                <w:rFonts w:ascii="Calibri" w:eastAsiaTheme="minorHAnsi" w:hAnsi="Calibri"/>
                <w:color w:val="000000"/>
                <w:lang w:val="en-US" w:eastAsia="en-US"/>
              </w:rPr>
            </w:pPr>
          </w:p>
          <w:p w:rsidR="00BC3445" w:rsidRPr="00C7569F" w:rsidRDefault="00BC3445">
            <w:pPr>
              <w:jc w:val="center"/>
              <w:rPr>
                <w:color w:val="000000"/>
                <w:lang w:val="en-US"/>
              </w:rPr>
            </w:pPr>
          </w:p>
          <w:p w:rsidR="00BC3445" w:rsidRPr="00C7569F" w:rsidRDefault="009D1DFE" w:rsidP="00C7569F">
            <w:pPr>
              <w:autoSpaceDN w:val="0"/>
              <w:rPr>
                <w:rFonts w:ascii="Calibri" w:eastAsiaTheme="minorHAnsi" w:hAnsi="Calibri"/>
                <w:color w:val="000000"/>
                <w:lang w:val="en-US" w:eastAsia="en-US"/>
              </w:rPr>
            </w:pPr>
            <w:r>
              <w:rPr>
                <w:color w:val="000000"/>
                <w:lang w:val="en-US"/>
              </w:rPr>
              <w:t>Significant</w:t>
            </w:r>
          </w:p>
        </w:tc>
        <w:tc>
          <w:tcPr>
            <w:tcW w:w="1583" w:type="dxa"/>
            <w:tcBorders>
              <w:top w:val="nil"/>
              <w:left w:val="nil"/>
              <w:bottom w:val="single" w:sz="8" w:space="0" w:color="auto"/>
              <w:right w:val="single" w:sz="8" w:space="0" w:color="auto"/>
            </w:tcBorders>
            <w:tcMar>
              <w:top w:w="0" w:type="dxa"/>
              <w:left w:w="108" w:type="dxa"/>
              <w:bottom w:w="0" w:type="dxa"/>
              <w:right w:w="108" w:type="dxa"/>
            </w:tcMar>
          </w:tcPr>
          <w:p w:rsidR="00BC3445" w:rsidRPr="00C7569F" w:rsidRDefault="00BC3445">
            <w:pPr>
              <w:jc w:val="center"/>
              <w:rPr>
                <w:rFonts w:ascii="Calibri" w:eastAsiaTheme="minorHAnsi" w:hAnsi="Calibri"/>
                <w:color w:val="000000"/>
                <w:lang w:val="en-US" w:eastAsia="en-US"/>
              </w:rPr>
            </w:pPr>
          </w:p>
          <w:p w:rsidR="00BC3445" w:rsidRPr="00C7569F" w:rsidRDefault="00BC3445">
            <w:pPr>
              <w:jc w:val="center"/>
              <w:rPr>
                <w:color w:val="000000"/>
                <w:lang w:val="en-US"/>
              </w:rPr>
            </w:pPr>
          </w:p>
          <w:p w:rsidR="00BC3445" w:rsidRPr="00C7569F" w:rsidRDefault="00BC3445" w:rsidP="00C7569F">
            <w:pPr>
              <w:autoSpaceDN w:val="0"/>
              <w:jc w:val="center"/>
              <w:rPr>
                <w:rFonts w:ascii="Calibri" w:eastAsiaTheme="minorHAnsi" w:hAnsi="Calibri"/>
                <w:color w:val="000000"/>
                <w:lang w:val="en-US" w:eastAsia="en-US"/>
              </w:rPr>
            </w:pPr>
            <w:r w:rsidRPr="00C7569F">
              <w:rPr>
                <w:lang w:val="en-US"/>
              </w:rPr>
              <w:t xml:space="preserve">28.9 </w:t>
            </w:r>
            <w:r w:rsidR="00FC682E" w:rsidRPr="00C7569F">
              <w:rPr>
                <w:lang w:val="en-US"/>
              </w:rPr>
              <w:t>Mt</w:t>
            </w:r>
            <w:r w:rsidRPr="00C7569F">
              <w:rPr>
                <w:lang w:val="en-US"/>
              </w:rPr>
              <w:t>CO</w:t>
            </w:r>
            <w:r w:rsidR="00DB1CB5" w:rsidRPr="00C7569F">
              <w:rPr>
                <w:vertAlign w:val="subscript"/>
                <w:lang w:val="en-US"/>
              </w:rPr>
              <w:t>2</w:t>
            </w:r>
            <w:r w:rsidRPr="00C7569F">
              <w:rPr>
                <w:lang w:val="en-US"/>
              </w:rPr>
              <w:t>-e</w:t>
            </w:r>
          </w:p>
        </w:tc>
        <w:tc>
          <w:tcPr>
            <w:tcW w:w="1418"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C3445" w:rsidRPr="00C7569F" w:rsidRDefault="00BC3445">
            <w:pPr>
              <w:autoSpaceDN w:val="0"/>
              <w:jc w:val="right"/>
              <w:rPr>
                <w:rFonts w:ascii="EYInterstate Light" w:eastAsiaTheme="minorHAnsi" w:hAnsi="EYInterstate Light"/>
                <w:color w:val="000000"/>
                <w:lang w:val="en-US"/>
              </w:rPr>
            </w:pPr>
            <w:r w:rsidRPr="00C7569F">
              <w:rPr>
                <w:color w:val="000000"/>
                <w:lang w:val="en-US"/>
              </w:rPr>
              <w:t xml:space="preserve">756.55 </w:t>
            </w:r>
          </w:p>
        </w:tc>
        <w:tc>
          <w:tcPr>
            <w:tcW w:w="141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C3445" w:rsidRPr="00C7569F" w:rsidRDefault="00BC3445">
            <w:pPr>
              <w:autoSpaceDN w:val="0"/>
              <w:jc w:val="right"/>
              <w:rPr>
                <w:rFonts w:ascii="EYInterstate Light" w:eastAsiaTheme="minorHAnsi" w:hAnsi="EYInterstate Light"/>
                <w:color w:val="000000"/>
                <w:lang w:val="en-US"/>
              </w:rPr>
            </w:pPr>
            <w:r w:rsidRPr="00C7569F">
              <w:rPr>
                <w:color w:val="000000"/>
                <w:lang w:val="en-US"/>
              </w:rPr>
              <w:t xml:space="preserve">15.70 </w:t>
            </w:r>
          </w:p>
        </w:tc>
        <w:tc>
          <w:tcPr>
            <w:tcW w:w="113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C3445" w:rsidRPr="00C7569F" w:rsidRDefault="00BC3445">
            <w:pPr>
              <w:autoSpaceDN w:val="0"/>
              <w:jc w:val="right"/>
              <w:rPr>
                <w:rFonts w:ascii="EYInterstate Light" w:eastAsiaTheme="minorHAnsi" w:hAnsi="EYInterstate Light"/>
                <w:color w:val="000000"/>
                <w:lang w:val="en-US"/>
              </w:rPr>
            </w:pPr>
            <w:r w:rsidRPr="00C7569F">
              <w:rPr>
                <w:color w:val="000000"/>
                <w:lang w:val="en-US"/>
              </w:rPr>
              <w:t>48.18</w:t>
            </w:r>
          </w:p>
        </w:tc>
      </w:tr>
      <w:tr w:rsidR="00FC682E" w:rsidRPr="00C7569F" w:rsidTr="00857954">
        <w:tc>
          <w:tcPr>
            <w:tcW w:w="2371" w:type="dxa"/>
            <w:vMerge/>
            <w:tcBorders>
              <w:top w:val="nil"/>
              <w:left w:val="single" w:sz="8" w:space="0" w:color="auto"/>
              <w:bottom w:val="single" w:sz="8" w:space="0" w:color="auto"/>
              <w:right w:val="single" w:sz="8" w:space="0" w:color="auto"/>
            </w:tcBorders>
            <w:vAlign w:val="center"/>
            <w:hideMark/>
          </w:tcPr>
          <w:p w:rsidR="00BC3445" w:rsidRPr="00C7569F" w:rsidRDefault="00BC3445">
            <w:pPr>
              <w:rPr>
                <w:rFonts w:ascii="EYInterstate Light" w:eastAsiaTheme="minorHAnsi" w:hAnsi="EYInterstate Light"/>
                <w:lang w:val="en-US"/>
              </w:rPr>
            </w:pPr>
          </w:p>
        </w:tc>
        <w:tc>
          <w:tcPr>
            <w:tcW w:w="1281" w:type="dxa"/>
            <w:tcBorders>
              <w:top w:val="nil"/>
              <w:left w:val="nil"/>
              <w:bottom w:val="single" w:sz="8" w:space="0" w:color="auto"/>
              <w:right w:val="single" w:sz="8" w:space="0" w:color="auto"/>
            </w:tcBorders>
            <w:tcMar>
              <w:top w:w="0" w:type="dxa"/>
              <w:left w:w="108" w:type="dxa"/>
              <w:bottom w:w="0" w:type="dxa"/>
              <w:right w:w="108" w:type="dxa"/>
            </w:tcMar>
          </w:tcPr>
          <w:p w:rsidR="00BC3445" w:rsidRPr="00C7569F" w:rsidRDefault="00BC3445">
            <w:pPr>
              <w:jc w:val="center"/>
              <w:rPr>
                <w:rFonts w:ascii="Calibri" w:eastAsiaTheme="minorHAnsi" w:hAnsi="Calibri"/>
                <w:color w:val="000000"/>
                <w:lang w:val="en-US" w:eastAsia="en-US"/>
              </w:rPr>
            </w:pPr>
          </w:p>
          <w:p w:rsidR="00BC3445" w:rsidRPr="00C7569F" w:rsidRDefault="00BC3445">
            <w:pPr>
              <w:rPr>
                <w:color w:val="000000"/>
                <w:lang w:val="en-US"/>
              </w:rPr>
            </w:pPr>
          </w:p>
          <w:p w:rsidR="00DB1CB5" w:rsidRDefault="00DB1CB5">
            <w:pPr>
              <w:autoSpaceDE w:val="0"/>
              <w:autoSpaceDN w:val="0"/>
              <w:jc w:val="center"/>
              <w:rPr>
                <w:color w:val="000000"/>
                <w:lang w:val="en-US"/>
              </w:rPr>
            </w:pPr>
          </w:p>
          <w:p w:rsidR="00DB1CB5" w:rsidRDefault="00DB1CB5">
            <w:pPr>
              <w:autoSpaceDE w:val="0"/>
              <w:autoSpaceDN w:val="0"/>
              <w:jc w:val="center"/>
              <w:rPr>
                <w:color w:val="000000"/>
                <w:lang w:val="en-US"/>
              </w:rPr>
            </w:pPr>
          </w:p>
          <w:p w:rsidR="00BC3445" w:rsidRPr="00C7569F" w:rsidRDefault="00BC3445">
            <w:pPr>
              <w:autoSpaceDE w:val="0"/>
              <w:autoSpaceDN w:val="0"/>
              <w:jc w:val="center"/>
              <w:rPr>
                <w:rFonts w:ascii="Calibri" w:eastAsiaTheme="minorHAnsi" w:hAnsi="Calibri"/>
                <w:color w:val="000000"/>
                <w:lang w:val="en-US" w:eastAsia="en-US"/>
              </w:rPr>
            </w:pPr>
            <w:r w:rsidRPr="00C7569F">
              <w:rPr>
                <w:color w:val="000000"/>
                <w:lang w:val="en-US"/>
              </w:rPr>
              <w:t>Accelerated</w:t>
            </w:r>
          </w:p>
        </w:tc>
        <w:tc>
          <w:tcPr>
            <w:tcW w:w="1583" w:type="dxa"/>
            <w:tcBorders>
              <w:top w:val="nil"/>
              <w:left w:val="nil"/>
              <w:bottom w:val="single" w:sz="8" w:space="0" w:color="auto"/>
              <w:right w:val="single" w:sz="8" w:space="0" w:color="auto"/>
            </w:tcBorders>
            <w:tcMar>
              <w:top w:w="0" w:type="dxa"/>
              <w:left w:w="108" w:type="dxa"/>
              <w:bottom w:w="0" w:type="dxa"/>
              <w:right w:w="108" w:type="dxa"/>
            </w:tcMar>
          </w:tcPr>
          <w:p w:rsidR="00BC3445" w:rsidRPr="00C7569F" w:rsidRDefault="00BC3445">
            <w:pPr>
              <w:jc w:val="center"/>
              <w:rPr>
                <w:rFonts w:ascii="Calibri" w:eastAsiaTheme="minorHAnsi" w:hAnsi="Calibri"/>
                <w:color w:val="000000"/>
                <w:lang w:val="en-US" w:eastAsia="en-US"/>
              </w:rPr>
            </w:pPr>
          </w:p>
          <w:p w:rsidR="00BC3445" w:rsidRPr="00C7569F" w:rsidRDefault="00BC3445">
            <w:pPr>
              <w:rPr>
                <w:color w:val="000000"/>
                <w:lang w:val="en-US"/>
              </w:rPr>
            </w:pPr>
          </w:p>
          <w:p w:rsidR="00DB1CB5" w:rsidRDefault="00DB1CB5">
            <w:pPr>
              <w:autoSpaceDE w:val="0"/>
              <w:autoSpaceDN w:val="0"/>
              <w:jc w:val="center"/>
              <w:rPr>
                <w:lang w:val="en-US"/>
              </w:rPr>
            </w:pPr>
          </w:p>
          <w:p w:rsidR="00DB1CB5" w:rsidRDefault="00DB1CB5">
            <w:pPr>
              <w:autoSpaceDE w:val="0"/>
              <w:autoSpaceDN w:val="0"/>
              <w:jc w:val="center"/>
              <w:rPr>
                <w:lang w:val="en-US"/>
              </w:rPr>
            </w:pPr>
          </w:p>
          <w:p w:rsidR="00BC3445" w:rsidRPr="00C7569F" w:rsidRDefault="00BC3445">
            <w:pPr>
              <w:autoSpaceDE w:val="0"/>
              <w:autoSpaceDN w:val="0"/>
              <w:jc w:val="center"/>
              <w:rPr>
                <w:rFonts w:ascii="Calibri" w:eastAsiaTheme="minorHAnsi" w:hAnsi="Calibri"/>
                <w:color w:val="000000"/>
                <w:lang w:val="en-US" w:eastAsia="en-US"/>
              </w:rPr>
            </w:pPr>
            <w:r w:rsidRPr="00C7569F">
              <w:rPr>
                <w:lang w:val="en-US"/>
              </w:rPr>
              <w:t xml:space="preserve">34.5 </w:t>
            </w:r>
            <w:r w:rsidR="00FC682E" w:rsidRPr="00C7569F">
              <w:rPr>
                <w:lang w:val="en-US"/>
              </w:rPr>
              <w:t>M</w:t>
            </w:r>
            <w:r w:rsidR="00DB1CB5">
              <w:rPr>
                <w:lang w:val="en-US"/>
              </w:rPr>
              <w:t>t</w:t>
            </w:r>
            <w:r w:rsidRPr="00C7569F">
              <w:rPr>
                <w:lang w:val="en-US"/>
              </w:rPr>
              <w:t>CO</w:t>
            </w:r>
            <w:r w:rsidRPr="00C7569F">
              <w:rPr>
                <w:vertAlign w:val="subscript"/>
                <w:lang w:val="en-US"/>
              </w:rPr>
              <w:t>2</w:t>
            </w:r>
            <w:r w:rsidRPr="00C7569F">
              <w:rPr>
                <w:lang w:val="en-US"/>
              </w:rPr>
              <w:t>-e</w:t>
            </w:r>
          </w:p>
        </w:tc>
        <w:tc>
          <w:tcPr>
            <w:tcW w:w="1418"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C3445" w:rsidRPr="00C7569F" w:rsidRDefault="00BC3445">
            <w:pPr>
              <w:autoSpaceDN w:val="0"/>
              <w:jc w:val="right"/>
              <w:rPr>
                <w:rFonts w:ascii="EYInterstate Light" w:eastAsiaTheme="minorHAnsi" w:hAnsi="EYInterstate Light"/>
                <w:color w:val="000000"/>
                <w:lang w:val="en-US"/>
              </w:rPr>
            </w:pPr>
            <w:r w:rsidRPr="00C7569F">
              <w:rPr>
                <w:color w:val="000000"/>
                <w:lang w:val="en-US"/>
              </w:rPr>
              <w:t xml:space="preserve">1,513.52 </w:t>
            </w:r>
          </w:p>
        </w:tc>
        <w:tc>
          <w:tcPr>
            <w:tcW w:w="141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C3445" w:rsidRPr="00C7569F" w:rsidRDefault="00BC3445">
            <w:pPr>
              <w:autoSpaceDN w:val="0"/>
              <w:jc w:val="right"/>
              <w:rPr>
                <w:rFonts w:ascii="EYInterstate Light" w:eastAsiaTheme="minorHAnsi" w:hAnsi="EYInterstate Light"/>
                <w:color w:val="000000"/>
                <w:lang w:val="en-US"/>
              </w:rPr>
            </w:pPr>
            <w:r w:rsidRPr="00C7569F">
              <w:rPr>
                <w:color w:val="000000"/>
                <w:lang w:val="en-US"/>
              </w:rPr>
              <w:t xml:space="preserve">31.79 </w:t>
            </w:r>
          </w:p>
        </w:tc>
        <w:tc>
          <w:tcPr>
            <w:tcW w:w="113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C3445" w:rsidRPr="00C7569F" w:rsidRDefault="00BC3445">
            <w:pPr>
              <w:autoSpaceDN w:val="0"/>
              <w:jc w:val="right"/>
              <w:rPr>
                <w:rFonts w:ascii="EYInterstate Light" w:eastAsiaTheme="minorHAnsi" w:hAnsi="EYInterstate Light"/>
                <w:color w:val="000000"/>
                <w:lang w:val="en-US"/>
              </w:rPr>
            </w:pPr>
            <w:r w:rsidRPr="00C7569F">
              <w:rPr>
                <w:color w:val="000000"/>
                <w:lang w:val="en-US"/>
              </w:rPr>
              <w:t>47.60</w:t>
            </w:r>
          </w:p>
        </w:tc>
      </w:tr>
    </w:tbl>
    <w:p w:rsidR="00F22ED2" w:rsidRDefault="00F22ED2" w:rsidP="00556349">
      <w:pPr>
        <w:spacing w:before="200" w:after="200"/>
        <w:rPr>
          <w:szCs w:val="24"/>
        </w:rPr>
      </w:pPr>
      <w:r>
        <w:rPr>
          <w:szCs w:val="24"/>
        </w:rPr>
        <w:t xml:space="preserve">The </w:t>
      </w:r>
      <w:r w:rsidR="00BC6167">
        <w:rPr>
          <w:szCs w:val="24"/>
        </w:rPr>
        <w:t xml:space="preserve">figures </w:t>
      </w:r>
      <w:r>
        <w:rPr>
          <w:szCs w:val="24"/>
        </w:rPr>
        <w:t xml:space="preserve">below show the abatement potential associated with each energy supply action under the </w:t>
      </w:r>
      <w:r w:rsidR="009D1DFE">
        <w:rPr>
          <w:szCs w:val="24"/>
        </w:rPr>
        <w:t>significant</w:t>
      </w:r>
      <w:r w:rsidR="00556349">
        <w:rPr>
          <w:szCs w:val="24"/>
        </w:rPr>
        <w:t xml:space="preserve"> and </w:t>
      </w:r>
      <w:r w:rsidR="00407CFD">
        <w:rPr>
          <w:szCs w:val="24"/>
        </w:rPr>
        <w:t>a</w:t>
      </w:r>
      <w:r>
        <w:rPr>
          <w:szCs w:val="24"/>
        </w:rPr>
        <w:t xml:space="preserve">ccelerated </w:t>
      </w:r>
      <w:r w:rsidR="00407CFD">
        <w:rPr>
          <w:szCs w:val="24"/>
        </w:rPr>
        <w:t>a</w:t>
      </w:r>
      <w:r>
        <w:rPr>
          <w:szCs w:val="24"/>
        </w:rPr>
        <w:t xml:space="preserve">ction </w:t>
      </w:r>
      <w:r w:rsidR="00407CFD">
        <w:rPr>
          <w:szCs w:val="24"/>
        </w:rPr>
        <w:t>s</w:t>
      </w:r>
      <w:r>
        <w:rPr>
          <w:szCs w:val="24"/>
        </w:rPr>
        <w:t>cenario</w:t>
      </w:r>
      <w:r w:rsidR="00556349">
        <w:rPr>
          <w:szCs w:val="24"/>
        </w:rPr>
        <w:t>s</w:t>
      </w:r>
      <w:r>
        <w:rPr>
          <w:szCs w:val="24"/>
        </w:rPr>
        <w:t xml:space="preserve">. </w:t>
      </w:r>
    </w:p>
    <w:p w:rsidR="00FE4A42" w:rsidRDefault="00FE4A42" w:rsidP="00FE4A42">
      <w:pPr>
        <w:pStyle w:val="Caption"/>
      </w:pPr>
      <w:bookmarkStart w:id="155" w:name="_Toc522633204"/>
      <w:r>
        <w:t xml:space="preserve">Figure </w:t>
      </w:r>
      <w:r w:rsidR="00146855">
        <w:rPr>
          <w:noProof/>
        </w:rPr>
        <w:fldChar w:fldCharType="begin"/>
      </w:r>
      <w:r w:rsidR="00146855">
        <w:rPr>
          <w:noProof/>
        </w:rPr>
        <w:instrText xml:space="preserve"> SEQ Figure \* ARABIC </w:instrText>
      </w:r>
      <w:r w:rsidR="00146855">
        <w:rPr>
          <w:noProof/>
        </w:rPr>
        <w:fldChar w:fldCharType="separate"/>
      </w:r>
      <w:r w:rsidR="0039200A">
        <w:rPr>
          <w:noProof/>
        </w:rPr>
        <w:t>9</w:t>
      </w:r>
      <w:r w:rsidR="00146855">
        <w:rPr>
          <w:noProof/>
        </w:rPr>
        <w:fldChar w:fldCharType="end"/>
      </w:r>
      <w:r>
        <w:t xml:space="preserve"> </w:t>
      </w:r>
      <w:r w:rsidRPr="00B3612A">
        <w:t>Emission reductions potential of energy supply actions</w:t>
      </w:r>
      <w:bookmarkEnd w:id="155"/>
    </w:p>
    <w:p w:rsidR="00DA301D" w:rsidRDefault="009D1DFE" w:rsidP="00857954">
      <w:pPr>
        <w:pStyle w:val="BodyText"/>
      </w:pPr>
      <w:r>
        <w:t>Significant</w:t>
      </w:r>
      <w:r w:rsidR="00DA301D">
        <w:t xml:space="preserve"> action scenario</w:t>
      </w:r>
    </w:p>
    <w:p w:rsidR="00DA301D" w:rsidRDefault="00DA301D" w:rsidP="00857954">
      <w:pPr>
        <w:pStyle w:val="BodyText"/>
      </w:pPr>
      <w:r>
        <w:rPr>
          <w:noProof/>
        </w:rPr>
        <w:drawing>
          <wp:inline distT="0" distB="0" distL="0" distR="0" wp14:anchorId="0B5941C2" wp14:editId="7A9F811A">
            <wp:extent cx="5731510" cy="2334260"/>
            <wp:effectExtent l="0" t="0" r="0" b="2540"/>
            <wp:docPr id="20" name="Chart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DA301D" w:rsidRPr="00DA301D" w:rsidRDefault="00BC6167" w:rsidP="00857954">
      <w:pPr>
        <w:pStyle w:val="BodyText"/>
      </w:pPr>
      <w:r>
        <w:t>A</w:t>
      </w:r>
      <w:r w:rsidR="00DA301D">
        <w:t>ccelerated action scenario</w:t>
      </w:r>
    </w:p>
    <w:p w:rsidR="00F22ED2" w:rsidRDefault="00DA301D" w:rsidP="00F22ED2">
      <w:pPr>
        <w:pStyle w:val="BodyText"/>
      </w:pPr>
      <w:r>
        <w:rPr>
          <w:noProof/>
        </w:rPr>
        <w:drawing>
          <wp:inline distT="0" distB="0" distL="0" distR="0" wp14:anchorId="3DA9A99A" wp14:editId="3036F796">
            <wp:extent cx="5731510" cy="2334260"/>
            <wp:effectExtent l="0" t="0" r="0" b="0"/>
            <wp:docPr id="21" name="Chart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0B39B1" w:rsidRDefault="00B00281" w:rsidP="000C440D">
      <w:pPr>
        <w:pStyle w:val="BodyText"/>
      </w:pPr>
      <w:r>
        <w:rPr>
          <w:szCs w:val="24"/>
        </w:rPr>
        <w:t xml:space="preserve">In </w:t>
      </w:r>
      <w:r w:rsidR="00F22ED2">
        <w:rPr>
          <w:szCs w:val="24"/>
        </w:rPr>
        <w:t xml:space="preserve">both </w:t>
      </w:r>
      <w:r w:rsidR="003636AA">
        <w:rPr>
          <w:szCs w:val="24"/>
        </w:rPr>
        <w:t xml:space="preserve">the </w:t>
      </w:r>
      <w:r w:rsidR="009D1DFE">
        <w:rPr>
          <w:szCs w:val="24"/>
        </w:rPr>
        <w:t>significant</w:t>
      </w:r>
      <w:r w:rsidR="003636AA">
        <w:rPr>
          <w:szCs w:val="24"/>
        </w:rPr>
        <w:t xml:space="preserve"> and accelerated action </w:t>
      </w:r>
      <w:r w:rsidR="00F22ED2">
        <w:rPr>
          <w:szCs w:val="24"/>
        </w:rPr>
        <w:t>scenarios</w:t>
      </w:r>
      <w:r w:rsidR="003636AA">
        <w:rPr>
          <w:szCs w:val="24"/>
        </w:rPr>
        <w:t>,</w:t>
      </w:r>
      <w:r w:rsidR="00F22ED2">
        <w:rPr>
          <w:szCs w:val="24"/>
        </w:rPr>
        <w:t xml:space="preserve"> the majority of the abatement potential to 2050 is associated with advocat</w:t>
      </w:r>
      <w:r>
        <w:rPr>
          <w:szCs w:val="24"/>
        </w:rPr>
        <w:t>ing</w:t>
      </w:r>
      <w:r w:rsidR="00F22ED2">
        <w:rPr>
          <w:szCs w:val="24"/>
        </w:rPr>
        <w:t xml:space="preserve"> for a more ambitious renewable energy target. </w:t>
      </w:r>
      <w:r>
        <w:rPr>
          <w:szCs w:val="24"/>
        </w:rPr>
        <w:t xml:space="preserve">In </w:t>
      </w:r>
      <w:r w:rsidR="00F22ED2">
        <w:rPr>
          <w:szCs w:val="24"/>
        </w:rPr>
        <w:t xml:space="preserve">the </w:t>
      </w:r>
      <w:r w:rsidR="00C5547A">
        <w:rPr>
          <w:szCs w:val="24"/>
        </w:rPr>
        <w:t>a</w:t>
      </w:r>
      <w:r w:rsidR="00F22ED2">
        <w:rPr>
          <w:szCs w:val="24"/>
        </w:rPr>
        <w:t xml:space="preserve">ccelerated </w:t>
      </w:r>
      <w:r w:rsidR="00C5547A">
        <w:rPr>
          <w:szCs w:val="24"/>
        </w:rPr>
        <w:t>a</w:t>
      </w:r>
      <w:r w:rsidR="00F22ED2">
        <w:rPr>
          <w:szCs w:val="24"/>
        </w:rPr>
        <w:t>ction scenario</w:t>
      </w:r>
      <w:r>
        <w:rPr>
          <w:szCs w:val="24"/>
        </w:rPr>
        <w:t>,</w:t>
      </w:r>
      <w:r w:rsidR="00F22ED2">
        <w:rPr>
          <w:szCs w:val="24"/>
        </w:rPr>
        <w:t xml:space="preserve"> the higher ambition relatin</w:t>
      </w:r>
      <w:r w:rsidR="000C440D">
        <w:rPr>
          <w:szCs w:val="24"/>
        </w:rPr>
        <w:t>g to facilitating corporate power purchase agreements</w:t>
      </w:r>
      <w:r w:rsidR="00F22ED2">
        <w:rPr>
          <w:szCs w:val="24"/>
        </w:rPr>
        <w:t xml:space="preserve"> is evident. </w:t>
      </w:r>
      <w:r w:rsidR="003636AA">
        <w:rPr>
          <w:szCs w:val="24"/>
        </w:rPr>
        <w:t>R</w:t>
      </w:r>
      <w:r w:rsidR="00F22ED2">
        <w:rPr>
          <w:szCs w:val="24"/>
        </w:rPr>
        <w:t xml:space="preserve">enewables penetration of the electricity grid reaches 100 per cent in 2040 </w:t>
      </w:r>
      <w:r w:rsidR="003636AA">
        <w:rPr>
          <w:szCs w:val="24"/>
        </w:rPr>
        <w:t>u</w:t>
      </w:r>
      <w:r w:rsidR="00407CFD">
        <w:rPr>
          <w:szCs w:val="24"/>
        </w:rPr>
        <w:t>nder the a</w:t>
      </w:r>
      <w:r w:rsidR="003636AA">
        <w:rPr>
          <w:szCs w:val="24"/>
        </w:rPr>
        <w:t xml:space="preserve">ccelerated </w:t>
      </w:r>
      <w:r w:rsidR="00407CFD">
        <w:rPr>
          <w:szCs w:val="24"/>
        </w:rPr>
        <w:t>a</w:t>
      </w:r>
      <w:r w:rsidR="003636AA">
        <w:rPr>
          <w:szCs w:val="24"/>
        </w:rPr>
        <w:t xml:space="preserve">ction scenario </w:t>
      </w:r>
      <w:r w:rsidR="00F22ED2">
        <w:rPr>
          <w:szCs w:val="24"/>
        </w:rPr>
        <w:t xml:space="preserve">and in 2045 under the </w:t>
      </w:r>
      <w:r w:rsidR="009D1DFE">
        <w:rPr>
          <w:szCs w:val="24"/>
        </w:rPr>
        <w:t>significant</w:t>
      </w:r>
      <w:r w:rsidR="00F22ED2">
        <w:rPr>
          <w:szCs w:val="24"/>
        </w:rPr>
        <w:t xml:space="preserve"> </w:t>
      </w:r>
      <w:r w:rsidR="00C5547A">
        <w:rPr>
          <w:szCs w:val="24"/>
        </w:rPr>
        <w:t>a</w:t>
      </w:r>
      <w:r w:rsidR="00F22ED2">
        <w:rPr>
          <w:szCs w:val="24"/>
        </w:rPr>
        <w:t>ction scenario.</w:t>
      </w:r>
    </w:p>
    <w:p w:rsidR="007D62AE" w:rsidRPr="007D62AE" w:rsidRDefault="006B1C60" w:rsidP="007D62AE">
      <w:pPr>
        <w:pStyle w:val="Heading2"/>
        <w:numPr>
          <w:ilvl w:val="0"/>
          <w:numId w:val="0"/>
        </w:numPr>
      </w:pPr>
      <w:bookmarkStart w:id="156" w:name="_Toc523238961"/>
      <w:r>
        <w:t>Proposed actions</w:t>
      </w:r>
      <w:bookmarkEnd w:id="156"/>
    </w:p>
    <w:p w:rsidR="00EB33E9" w:rsidRPr="00082583" w:rsidRDefault="00EB33E9" w:rsidP="00082583">
      <w:pPr>
        <w:pStyle w:val="ListNumber"/>
        <w:numPr>
          <w:ilvl w:val="0"/>
          <w:numId w:val="104"/>
        </w:numPr>
        <w:spacing w:before="60" w:after="60"/>
        <w:rPr>
          <w:rFonts w:eastAsiaTheme="minorHAnsi" w:cstheme="minorHAnsi"/>
          <w:lang w:val="en-US" w:eastAsia="en-US"/>
        </w:rPr>
      </w:pPr>
      <w:r w:rsidRPr="004917DF">
        <w:rPr>
          <w:rFonts w:cstheme="minorHAnsi"/>
          <w:lang w:val="en-US"/>
        </w:rPr>
        <w:t>Advocate for a more am</w:t>
      </w:r>
      <w:r w:rsidRPr="003B7172">
        <w:rPr>
          <w:rFonts w:cstheme="minorHAnsi"/>
          <w:lang w:val="en-US"/>
        </w:rPr>
        <w:t>bitious renewable energy target</w:t>
      </w:r>
      <w:r w:rsidR="003636AA" w:rsidRPr="00407CFD">
        <w:rPr>
          <w:rFonts w:cstheme="minorHAnsi"/>
          <w:lang w:val="en-US"/>
        </w:rPr>
        <w:t>.</w:t>
      </w:r>
      <w:r w:rsidRPr="00082583">
        <w:rPr>
          <w:rFonts w:eastAsiaTheme="minorHAnsi" w:cstheme="minorHAnsi"/>
          <w:lang w:val="en-US" w:eastAsia="en-US"/>
        </w:rPr>
        <w:t xml:space="preserve"> </w:t>
      </w:r>
    </w:p>
    <w:p w:rsidR="00EB33E9" w:rsidRPr="00407CFD" w:rsidRDefault="00F46898" w:rsidP="00082583">
      <w:pPr>
        <w:pStyle w:val="ListNumber"/>
        <w:numPr>
          <w:ilvl w:val="0"/>
          <w:numId w:val="104"/>
        </w:numPr>
        <w:spacing w:before="60" w:after="60"/>
        <w:rPr>
          <w:rFonts w:cstheme="minorHAnsi"/>
          <w:lang w:val="en-US"/>
        </w:rPr>
      </w:pPr>
      <w:r>
        <w:rPr>
          <w:rFonts w:cstheme="minorHAnsi"/>
          <w:lang w:val="en-US"/>
        </w:rPr>
        <w:t>Accelerate</w:t>
      </w:r>
      <w:r w:rsidR="00EB33E9" w:rsidRPr="004917DF">
        <w:rPr>
          <w:rFonts w:cstheme="minorHAnsi"/>
          <w:lang w:val="en-US"/>
        </w:rPr>
        <w:t xml:space="preserve"> corporate Power Purchase Agreements</w:t>
      </w:r>
      <w:r w:rsidR="003636AA" w:rsidRPr="003B7172">
        <w:rPr>
          <w:rFonts w:cstheme="minorHAnsi"/>
          <w:lang w:val="en-US"/>
        </w:rPr>
        <w:t>.</w:t>
      </w:r>
      <w:r w:rsidR="00EB33E9" w:rsidRPr="00407CFD">
        <w:rPr>
          <w:rFonts w:cstheme="minorHAnsi"/>
          <w:lang w:val="en-US"/>
        </w:rPr>
        <w:t xml:space="preserve"> </w:t>
      </w:r>
    </w:p>
    <w:p w:rsidR="00EB33E9" w:rsidRPr="00EF384C" w:rsidRDefault="00EB33E9" w:rsidP="00082583">
      <w:pPr>
        <w:pStyle w:val="ListNumber"/>
        <w:numPr>
          <w:ilvl w:val="0"/>
          <w:numId w:val="104"/>
        </w:numPr>
        <w:spacing w:before="60" w:after="60"/>
        <w:rPr>
          <w:rFonts w:cstheme="minorHAnsi"/>
          <w:lang w:val="en-US"/>
        </w:rPr>
      </w:pPr>
      <w:r w:rsidRPr="00491BCA">
        <w:rPr>
          <w:rFonts w:cstheme="minorHAnsi"/>
          <w:lang w:val="en-US"/>
        </w:rPr>
        <w:t>Facilitate residential purchasing of renewable energy products</w:t>
      </w:r>
      <w:r w:rsidR="003636AA" w:rsidRPr="00491BCA">
        <w:rPr>
          <w:rFonts w:cstheme="minorHAnsi"/>
          <w:lang w:val="en-US"/>
        </w:rPr>
        <w:t>.</w:t>
      </w:r>
    </w:p>
    <w:p w:rsidR="00EB33E9" w:rsidRPr="00C11B7F" w:rsidRDefault="00EB33E9" w:rsidP="00082583">
      <w:pPr>
        <w:pStyle w:val="ListNumber"/>
        <w:numPr>
          <w:ilvl w:val="0"/>
          <w:numId w:val="104"/>
        </w:numPr>
        <w:spacing w:before="60" w:after="60"/>
        <w:rPr>
          <w:rFonts w:cstheme="minorHAnsi"/>
          <w:lang w:val="en-US"/>
        </w:rPr>
      </w:pPr>
      <w:r w:rsidRPr="00EF384C">
        <w:rPr>
          <w:rFonts w:cstheme="minorHAnsi"/>
          <w:lang w:val="en-US"/>
        </w:rPr>
        <w:t>Facilitate a virtual power plant for residents</w:t>
      </w:r>
      <w:r w:rsidR="003636AA" w:rsidRPr="00C11B7F">
        <w:rPr>
          <w:rFonts w:cstheme="minorHAnsi"/>
          <w:lang w:val="en-US"/>
        </w:rPr>
        <w:t>.</w:t>
      </w:r>
    </w:p>
    <w:p w:rsidR="006064C3" w:rsidRDefault="006064C3" w:rsidP="006064C3">
      <w:pPr>
        <w:pStyle w:val="ListNumber"/>
        <w:numPr>
          <w:ilvl w:val="0"/>
          <w:numId w:val="104"/>
        </w:numPr>
        <w:spacing w:before="60" w:after="60"/>
        <w:rPr>
          <w:rFonts w:eastAsiaTheme="minorHAnsi"/>
          <w:lang w:val="en-US" w:eastAsia="en-US"/>
        </w:rPr>
      </w:pPr>
      <w:r>
        <w:rPr>
          <w:rFonts w:eastAsiaTheme="minorHAnsi"/>
          <w:lang w:val="en-US" w:eastAsia="en-US"/>
        </w:rPr>
        <w:t>Collaborate with other cities, investors, superannuation companies to accelerate divestment from fossil-fuel energy supply.</w:t>
      </w:r>
    </w:p>
    <w:p w:rsidR="00067454" w:rsidRDefault="00067454" w:rsidP="006064C3">
      <w:pPr>
        <w:pStyle w:val="ListNumber"/>
        <w:numPr>
          <w:ilvl w:val="0"/>
          <w:numId w:val="104"/>
        </w:numPr>
        <w:spacing w:before="60" w:after="60"/>
        <w:rPr>
          <w:rFonts w:eastAsiaTheme="minorHAnsi"/>
          <w:lang w:val="en-US" w:eastAsia="en-US"/>
        </w:rPr>
      </w:pPr>
      <w:r>
        <w:rPr>
          <w:rFonts w:eastAsiaTheme="minorHAnsi"/>
          <w:lang w:val="en-US" w:eastAsia="en-US"/>
        </w:rPr>
        <w:t>Partner with businesses and universities to promote innovative renewable energy technology and research.</w:t>
      </w:r>
    </w:p>
    <w:p w:rsidR="006064C3" w:rsidRDefault="006064C3" w:rsidP="006064C3">
      <w:pPr>
        <w:pStyle w:val="ListNumber"/>
        <w:numPr>
          <w:ilvl w:val="0"/>
          <w:numId w:val="0"/>
        </w:numPr>
        <w:spacing w:before="60" w:after="60"/>
        <w:ind w:left="360"/>
        <w:rPr>
          <w:rFonts w:eastAsiaTheme="minorHAnsi" w:cstheme="minorHAnsi"/>
          <w:lang w:val="en-US" w:eastAsia="en-US"/>
        </w:rPr>
      </w:pPr>
    </w:p>
    <w:p w:rsidR="003F6639" w:rsidRPr="00AD4C7F" w:rsidRDefault="00C560CD" w:rsidP="003F6639">
      <w:pPr>
        <w:spacing w:before="200" w:after="200"/>
      </w:pPr>
      <w:r>
        <w:t xml:space="preserve">The above list is a set of indicative actions </w:t>
      </w:r>
      <w:r w:rsidR="00E348D7">
        <w:t>to address this</w:t>
      </w:r>
      <w:r>
        <w:t xml:space="preserve"> strategic priority. This list is not exhaustive or final and will be subject to the </w:t>
      </w:r>
      <w:r w:rsidR="003F6639">
        <w:t>City of Melbourne’s</w:t>
      </w:r>
      <w:r w:rsidR="003F6639" w:rsidRPr="00CB2077">
        <w:t xml:space="preserve"> Annual Plan and Budget</w:t>
      </w:r>
      <w:r>
        <w:t xml:space="preserve"> process</w:t>
      </w:r>
      <w:r w:rsidR="003F6639" w:rsidRPr="00CB2077">
        <w:t>.</w:t>
      </w:r>
    </w:p>
    <w:p w:rsidR="003F6639" w:rsidRDefault="003F6639" w:rsidP="006064C3">
      <w:pPr>
        <w:pStyle w:val="ListNumber"/>
        <w:numPr>
          <w:ilvl w:val="0"/>
          <w:numId w:val="0"/>
        </w:numPr>
        <w:spacing w:before="60" w:after="60"/>
        <w:ind w:left="360"/>
        <w:rPr>
          <w:rFonts w:eastAsiaTheme="minorHAnsi" w:cstheme="minorHAnsi"/>
          <w:lang w:val="en-US" w:eastAsia="en-US"/>
        </w:rPr>
      </w:pPr>
    </w:p>
    <w:p w:rsidR="0006418E" w:rsidRDefault="0006418E" w:rsidP="006064C3">
      <w:pPr>
        <w:pStyle w:val="ListNumber"/>
        <w:numPr>
          <w:ilvl w:val="0"/>
          <w:numId w:val="0"/>
        </w:numPr>
        <w:spacing w:before="60" w:after="60"/>
        <w:ind w:left="360"/>
        <w:rPr>
          <w:rFonts w:eastAsiaTheme="minorHAnsi" w:cstheme="minorHAnsi"/>
          <w:lang w:val="en-US" w:eastAsia="en-US"/>
        </w:rPr>
      </w:pPr>
      <w:r>
        <w:rPr>
          <w:rFonts w:ascii="Times New Roman" w:hAnsi="Times New Roman"/>
          <w:noProof/>
          <w:color w:val="auto"/>
          <w:sz w:val="24"/>
          <w:szCs w:val="24"/>
        </w:rPr>
        <mc:AlternateContent>
          <mc:Choice Requires="wps">
            <w:drawing>
              <wp:anchor distT="0" distB="0" distL="114300" distR="114300" simplePos="0" relativeHeight="251664896" behindDoc="0" locked="0" layoutInCell="1" allowOverlap="1" wp14:anchorId="43AF3585" wp14:editId="674F100E">
                <wp:simplePos x="0" y="0"/>
                <wp:positionH relativeFrom="column">
                  <wp:posOffset>34815</wp:posOffset>
                </wp:positionH>
                <wp:positionV relativeFrom="paragraph">
                  <wp:posOffset>171616</wp:posOffset>
                </wp:positionV>
                <wp:extent cx="5295600" cy="3689405"/>
                <wp:effectExtent l="0" t="0" r="19685" b="25400"/>
                <wp:wrapNone/>
                <wp:docPr id="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95600" cy="3689405"/>
                        </a:xfrm>
                        <a:prstGeom prst="rect">
                          <a:avLst/>
                        </a:prstGeom>
                        <a:solidFill>
                          <a:srgbClr val="FFFFFF"/>
                        </a:solidFill>
                        <a:ln w="9525">
                          <a:solidFill>
                            <a:srgbClr val="000000"/>
                          </a:solidFill>
                          <a:miter lim="800000"/>
                          <a:headEnd/>
                          <a:tailEnd/>
                        </a:ln>
                      </wps:spPr>
                      <wps:txbx>
                        <w:txbxContent>
                          <w:p w:rsidR="00B75FD4" w:rsidRDefault="00B75FD4" w:rsidP="0006418E">
                            <w:pPr>
                              <w:shd w:val="clear" w:color="auto" w:fill="FFFFFF"/>
                              <w:spacing w:before="200" w:after="200" w:line="240" w:lineRule="atLeast"/>
                              <w:rPr>
                                <w:rFonts w:ascii="Arial" w:hAnsi="Arial" w:cs="Arial"/>
                                <w:color w:val="000000"/>
                                <w:lang w:eastAsia="en-US"/>
                              </w:rPr>
                            </w:pPr>
                            <w:r>
                              <w:rPr>
                                <w:rFonts w:ascii="Arial" w:hAnsi="Arial" w:cs="Arial"/>
                                <w:b/>
                                <w:bCs/>
                                <w:color w:val="000000"/>
                                <w:lang w:eastAsia="en-US"/>
                              </w:rPr>
                              <w:t>Case study: Melbourne renewable energy project</w:t>
                            </w:r>
                          </w:p>
                          <w:p w:rsidR="00B75FD4" w:rsidRDefault="00B75FD4" w:rsidP="0006418E">
                            <w:r>
                              <w:t>The Melbourne Renewable Energy Project (MREP) is a world first. The City of Melbourne partnered with 13 local governments, cultural institutions, universities and corporations to collectively purchase renewable energy. This commitment to purchase power to purchase power from a renewable energy development enabled the construction of a new 39 turbine, 80 MW capacity wind farm at Crowlands, Ararat. This project alone will increase renewable energy in by 3 per cent. It also produced a guide to help other organisations pursue power purchase agreements, which is further accelerating the uptake of renewable energy as a power source.</w:t>
                            </w:r>
                          </w:p>
                          <w:p w:rsidR="00B75FD4" w:rsidRDefault="00B75FD4" w:rsidP="0006418E">
                            <w:pPr>
                              <w:shd w:val="clear" w:color="auto" w:fill="FFFFFF"/>
                              <w:spacing w:before="200" w:after="200" w:line="240" w:lineRule="atLeast"/>
                              <w:rPr>
                                <w:rFonts w:ascii="Arial" w:hAnsi="Arial" w:cs="Arial"/>
                                <w:color w:val="000000"/>
                                <w:lang w:eastAsia="en-US"/>
                              </w:rPr>
                            </w:pPr>
                            <w:r>
                              <w:rPr>
                                <w:rFonts w:ascii="Arial" w:hAnsi="Arial" w:cs="Arial"/>
                                <w:b/>
                                <w:bCs/>
                                <w:color w:val="000000"/>
                                <w:lang w:eastAsia="en-US"/>
                              </w:rPr>
                              <w:t>Case study: 100 per cent renewable energy for the Australian Capital Territory</w:t>
                            </w:r>
                          </w:p>
                          <w:p w:rsidR="00B75FD4" w:rsidRDefault="00B75FD4" w:rsidP="0006418E">
                            <w:r>
                              <w:t xml:space="preserve">In 2016 the Australian Capital Territory (ACT) set a bold target for the territory to be powered by 100 per cent renewable electricity by 2020. It is part of the ACT Climate Strategy to achieve net zero emissions by 2045 or earlier. Electricity and transport are the major contributors to the ACT's emissions. The ACT Government is increasing public transport use to lower emissions from driving personal cars. Many government agencies also use electric vehicles and hybrids as part of their vehicle fleet. The ACT Government is currently considering whether to apply a monetary value on any emissions above their target and reinvesting these funds in emission reduction measures. </w:t>
                            </w:r>
                          </w:p>
                          <w:p w:rsidR="00B75FD4" w:rsidRDefault="00B75FD4" w:rsidP="0006418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6" o:spid="_x0000_s1029" type="#_x0000_t202" style="position:absolute;left:0;text-align:left;margin-left:2.75pt;margin-top:13.5pt;width:417pt;height:290.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Af/JwIAAEwEAAAOAAAAZHJzL2Uyb0RvYy54bWysVNtu2zAMfR+wfxD0vthJ4ywx4hRdugwD&#10;ugvQ7gNkWY6FSaImKbG7rx8lp2l2exnmB4EUqUPykPT6etCKHIXzEkxFp5OcEmE4NNLsK/rlYfdq&#10;SYkPzDRMgREVfRSeXm9evlj3thQz6EA1whEEMb7sbUW7EGyZZZ53QjM/ASsMGltwmgVU3T5rHOsR&#10;XatslueLrAfXWAdceI+3t6ORbhJ+2woePrWtF4GoimJuIZ0unXU8s82alXvHbCf5KQ32D1loJg0G&#10;PUPdssDIwcnfoLTkDjy0YcJBZ9C2kotUA1YzzX+p5r5jVqRakBxvzzT5/wfLPx4/OyKbii4oMUxj&#10;ix7EEMgbGMgistNbX6LTvUW3MOA1djlV6u0d8K+eGNh2zOzFjXPQd4I1mN00vswuno44PoLU/Qdo&#10;MAw7BEhAQ+t0pA7JIIiOXXo8dyamwvGymK2KRY4mjrarxXI1z4sUg5VPz63z4Z0ATaJQUYetT/Ds&#10;eOdDTIeVTy4xmgclm51UKiluX2+VI0eGY7JL3wn9JzdlSF/RVTErRgb+CpGn708QWgacdyV1RZdn&#10;J1ZG3t6aJk1jYFKNMqaszInIyN3IYhjqIXXsKgaIJNfQPCKzDsbxxnVEoQP3nZIeR7ui/tuBOUGJ&#10;em+wO6vpfB53ISnz4vUMFXdpqS8tzHCEqmigZBS3Ie1P5M3ADXaxlYnf50xOKePIJtpP6xV34lJP&#10;Xs8/gc0PAAAA//8DAFBLAwQUAAYACAAAACEATPJZ0N4AAAAIAQAADwAAAGRycy9kb3ducmV2Lnht&#10;bEyPwU7DMBBE70j8g7VIXBB1aGmahjgVQgLBDQqCqxtvkwh7HWw3DX/PcoLjzoxm31SbyVkxYoi9&#10;JwVXswwEUuNNT62Ct9f7ywJETJqMtp5QwTdG2NSnJ5UujT/SC47b1AouoVhqBV1KQyllbDp0Os78&#10;gMTe3genE5+hlSboI5c7K+dZlkune+IPnR7wrsPmc3twCorrx/EjPi2e35t8b9fpYjU+fAWlzs+m&#10;2xsQCaf0F4ZffEaHmpl2/kAmCqtgueSggvmKF7FdLNYs7BTkWZGBrCv5f0D9AwAA//8DAFBLAQIt&#10;ABQABgAIAAAAIQC2gziS/gAAAOEBAAATAAAAAAAAAAAAAAAAAAAAAABbQ29udGVudF9UeXBlc10u&#10;eG1sUEsBAi0AFAAGAAgAAAAhADj9If/WAAAAlAEAAAsAAAAAAAAAAAAAAAAALwEAAF9yZWxzLy5y&#10;ZWxzUEsBAi0AFAAGAAgAAAAhANQkB/8nAgAATAQAAA4AAAAAAAAAAAAAAAAALgIAAGRycy9lMm9E&#10;b2MueG1sUEsBAi0AFAAGAAgAAAAhAEzyWdDeAAAACAEAAA8AAAAAAAAAAAAAAAAAgQQAAGRycy9k&#10;b3ducmV2LnhtbFBLBQYAAAAABAAEAPMAAACMBQAAAAA=&#10;">
                <v:textbox>
                  <w:txbxContent>
                    <w:p w:rsidR="00B75FD4" w:rsidRDefault="00B75FD4" w:rsidP="0006418E">
                      <w:pPr>
                        <w:shd w:val="clear" w:color="auto" w:fill="FFFFFF"/>
                        <w:spacing w:before="200" w:after="200" w:line="240" w:lineRule="atLeast"/>
                        <w:rPr>
                          <w:rFonts w:ascii="Arial" w:hAnsi="Arial" w:cs="Arial"/>
                          <w:color w:val="000000"/>
                          <w:lang w:eastAsia="en-US"/>
                        </w:rPr>
                      </w:pPr>
                      <w:r>
                        <w:rPr>
                          <w:rFonts w:ascii="Arial" w:hAnsi="Arial" w:cs="Arial"/>
                          <w:b/>
                          <w:bCs/>
                          <w:color w:val="000000"/>
                          <w:lang w:eastAsia="en-US"/>
                        </w:rPr>
                        <w:t>Case study: Melbourne renewable energy project</w:t>
                      </w:r>
                    </w:p>
                    <w:p w:rsidR="00B75FD4" w:rsidRDefault="00B75FD4" w:rsidP="0006418E">
                      <w:r>
                        <w:t>The Melbourne Renewable Energy Project (MREP) is a world first. The City of Melbourne partnered with 13 local governments, cultural institutions, universities and corporations to collectively purchase renewable energy. This commitment to purchase power to purchase power from a renewable energy development enabled the construction of a new 39 turbine, 80 MW capacity wind farm at Crowlands, Ararat. This project alone will increase renewable energy in by 3 per cent. It also produced a guide to help other organisations pursue power purchase agreements, which is further accelerating the uptake of renewable energy as a power source.</w:t>
                      </w:r>
                    </w:p>
                    <w:p w:rsidR="00B75FD4" w:rsidRDefault="00B75FD4" w:rsidP="0006418E">
                      <w:pPr>
                        <w:shd w:val="clear" w:color="auto" w:fill="FFFFFF"/>
                        <w:spacing w:before="200" w:after="200" w:line="240" w:lineRule="atLeast"/>
                        <w:rPr>
                          <w:rFonts w:ascii="Arial" w:hAnsi="Arial" w:cs="Arial"/>
                          <w:color w:val="000000"/>
                          <w:lang w:eastAsia="en-US"/>
                        </w:rPr>
                      </w:pPr>
                      <w:r>
                        <w:rPr>
                          <w:rFonts w:ascii="Arial" w:hAnsi="Arial" w:cs="Arial"/>
                          <w:b/>
                          <w:bCs/>
                          <w:color w:val="000000"/>
                          <w:lang w:eastAsia="en-US"/>
                        </w:rPr>
                        <w:t>Case study: 100 per cent renewable energy for the Australian Capital Territory</w:t>
                      </w:r>
                    </w:p>
                    <w:p w:rsidR="00B75FD4" w:rsidRDefault="00B75FD4" w:rsidP="0006418E">
                      <w:r>
                        <w:t xml:space="preserve">In 2016 the Australian Capital Territory (ACT) set a bold target for the territory to be powered by 100 per cent renewable electricity by 2020. It is part of the ACT Climate Strategy to achieve net zero emissions by 2045 or earlier. Electricity and transport are the major contributors to the ACT's emissions. The ACT Government is increasing public transport use to lower emissions from driving personal cars. Many government agencies also use electric vehicles and hybrids as part of their vehicle fleet. The ACT Government is currently considering whether to apply a monetary value on any emissions above their target and reinvesting these funds in emission reduction measures. </w:t>
                      </w:r>
                    </w:p>
                    <w:p w:rsidR="00B75FD4" w:rsidRDefault="00B75FD4" w:rsidP="0006418E"/>
                  </w:txbxContent>
                </v:textbox>
              </v:shape>
            </w:pict>
          </mc:Fallback>
        </mc:AlternateContent>
      </w:r>
    </w:p>
    <w:p w:rsidR="0006418E" w:rsidRPr="00D15714" w:rsidRDefault="0006418E" w:rsidP="006064C3">
      <w:pPr>
        <w:pStyle w:val="ListNumber"/>
        <w:numPr>
          <w:ilvl w:val="0"/>
          <w:numId w:val="0"/>
        </w:numPr>
        <w:spacing w:before="60" w:after="60"/>
        <w:ind w:left="360"/>
        <w:rPr>
          <w:rFonts w:eastAsiaTheme="minorHAnsi" w:cstheme="minorHAnsi"/>
          <w:lang w:val="en-US" w:eastAsia="en-US"/>
        </w:rPr>
      </w:pPr>
    </w:p>
    <w:p w:rsidR="006B1C60" w:rsidRDefault="006B1C60" w:rsidP="00AC4C84">
      <w:pPr>
        <w:pStyle w:val="ListNumber"/>
        <w:numPr>
          <w:ilvl w:val="0"/>
          <w:numId w:val="0"/>
        </w:numPr>
        <w:ind w:left="397" w:hanging="397"/>
      </w:pPr>
    </w:p>
    <w:p w:rsidR="006B1C60" w:rsidRDefault="006B1C60" w:rsidP="00AC4C84">
      <w:pPr>
        <w:pStyle w:val="ListNumber"/>
        <w:numPr>
          <w:ilvl w:val="0"/>
          <w:numId w:val="0"/>
        </w:numPr>
        <w:ind w:left="397" w:hanging="397"/>
        <w:sectPr w:rsidR="006B1C60" w:rsidSect="00932663">
          <w:headerReference w:type="even" r:id="rId32"/>
          <w:footerReference w:type="even" r:id="rId33"/>
          <w:headerReference w:type="first" r:id="rId34"/>
          <w:footerReference w:type="first" r:id="rId35"/>
          <w:pgSz w:w="11907" w:h="16839" w:code="9"/>
          <w:pgMar w:top="1440" w:right="992" w:bottom="1440" w:left="709" w:header="454" w:footer="510" w:gutter="0"/>
          <w:cols w:space="708"/>
          <w:docGrid w:linePitch="360"/>
        </w:sectPr>
      </w:pPr>
    </w:p>
    <w:p w:rsidR="00DD3E1B" w:rsidRDefault="00E93F71" w:rsidP="00E93F71">
      <w:pPr>
        <w:pStyle w:val="Heading1"/>
        <w:numPr>
          <w:ilvl w:val="0"/>
          <w:numId w:val="0"/>
        </w:numPr>
        <w:ind w:left="1191" w:hanging="1191"/>
      </w:pPr>
      <w:bookmarkStart w:id="157" w:name="_Toc520749116"/>
      <w:bookmarkStart w:id="158" w:name="_Toc523238962"/>
      <w:r>
        <w:t>Priority 2: Zero emissions</w:t>
      </w:r>
      <w:r w:rsidR="00DD3E1B">
        <w:t xml:space="preserve"> buildings and precincts</w:t>
      </w:r>
      <w:bookmarkEnd w:id="157"/>
      <w:bookmarkEnd w:id="158"/>
    </w:p>
    <w:p w:rsidR="005718F4" w:rsidRDefault="005718F4" w:rsidP="00E93F71">
      <w:pPr>
        <w:pStyle w:val="Heading2"/>
        <w:numPr>
          <w:ilvl w:val="0"/>
          <w:numId w:val="0"/>
        </w:numPr>
        <w:ind w:left="851" w:hanging="851"/>
      </w:pPr>
      <w:bookmarkStart w:id="159" w:name="_Toc520749117"/>
      <w:bookmarkStart w:id="160" w:name="_Toc523238963"/>
      <w:r>
        <w:t>The story so far</w:t>
      </w:r>
      <w:bookmarkEnd w:id="159"/>
      <w:bookmarkEnd w:id="160"/>
    </w:p>
    <w:p w:rsidR="0083030D" w:rsidRDefault="005718F4" w:rsidP="005718F4">
      <w:pPr>
        <w:pStyle w:val="BodyText"/>
      </w:pPr>
      <w:r w:rsidRPr="005718F4">
        <w:t>The City of Melbourne develop</w:t>
      </w:r>
      <w:r w:rsidR="003636AA">
        <w:t>ed</w:t>
      </w:r>
      <w:r w:rsidRPr="005718F4">
        <w:t xml:space="preserve"> Australia’s first new 6-star Green Star rated office building in 2006</w:t>
      </w:r>
      <w:r>
        <w:t xml:space="preserve"> called Council House 2</w:t>
      </w:r>
      <w:r w:rsidRPr="005718F4">
        <w:t xml:space="preserve">. </w:t>
      </w:r>
      <w:proofErr w:type="gramStart"/>
      <w:r w:rsidRPr="005718F4">
        <w:t>This building trialled new energy saving technology, sustainable materials</w:t>
      </w:r>
      <w:r w:rsidR="003636AA">
        <w:t xml:space="preserve"> and</w:t>
      </w:r>
      <w:r w:rsidRPr="005718F4">
        <w:t xml:space="preserve"> a green roof garden</w:t>
      </w:r>
      <w:r w:rsidR="003636AA">
        <w:t>.</w:t>
      </w:r>
      <w:proofErr w:type="gramEnd"/>
      <w:r w:rsidR="003636AA">
        <w:t xml:space="preserve"> It</w:t>
      </w:r>
      <w:r w:rsidRPr="005718F4">
        <w:t xml:space="preserve"> </w:t>
      </w:r>
      <w:r w:rsidR="008D1DED">
        <w:t>will be</w:t>
      </w:r>
      <w:r w:rsidR="008D1DED" w:rsidRPr="005718F4">
        <w:t xml:space="preserve"> </w:t>
      </w:r>
      <w:r w:rsidRPr="005718F4">
        <w:t xml:space="preserve">powered by </w:t>
      </w:r>
      <w:r>
        <w:t>100</w:t>
      </w:r>
      <w:r w:rsidR="0083030D">
        <w:t xml:space="preserve"> per cent</w:t>
      </w:r>
      <w:r>
        <w:t xml:space="preserve"> </w:t>
      </w:r>
      <w:r w:rsidRPr="005718F4">
        <w:t xml:space="preserve">renewable energy. </w:t>
      </w:r>
      <w:r>
        <w:t xml:space="preserve">Over the last decade, </w:t>
      </w:r>
      <w:r w:rsidR="003636AA">
        <w:t xml:space="preserve">we have integrated </w:t>
      </w:r>
      <w:r>
        <w:t>t</w:t>
      </w:r>
      <w:r w:rsidRPr="005718F4">
        <w:t>he lessons lea</w:t>
      </w:r>
      <w:r w:rsidR="0081248E">
        <w:t xml:space="preserve">rnt </w:t>
      </w:r>
      <w:r w:rsidRPr="005718F4">
        <w:t>across our portfolio of public and community buildings</w:t>
      </w:r>
      <w:r w:rsidR="003636AA">
        <w:t xml:space="preserve"> including </w:t>
      </w:r>
      <w:r w:rsidRPr="005718F4">
        <w:t>the Library at the Dock</w:t>
      </w:r>
      <w:r w:rsidR="00C468DD">
        <w:t xml:space="preserve"> and the Queen Victoria Market precinct renewal</w:t>
      </w:r>
      <w:r w:rsidRPr="005718F4">
        <w:t>.</w:t>
      </w:r>
      <w:r w:rsidR="00A30CBE">
        <w:t xml:space="preserve"> </w:t>
      </w:r>
    </w:p>
    <w:p w:rsidR="00401FBC" w:rsidRDefault="00E070CA" w:rsidP="005718F4">
      <w:pPr>
        <w:pStyle w:val="BodyText"/>
      </w:pPr>
      <w:r>
        <w:t xml:space="preserve">In the last five years, </w:t>
      </w:r>
      <w:r w:rsidR="00D30AAE">
        <w:t>we have</w:t>
      </w:r>
      <w:r w:rsidR="002817B0">
        <w:t xml:space="preserve"> </w:t>
      </w:r>
      <w:r w:rsidR="00B8339C">
        <w:t xml:space="preserve">achieved </w:t>
      </w:r>
      <w:r w:rsidR="0083030D">
        <w:t xml:space="preserve">a </w:t>
      </w:r>
      <w:r>
        <w:t>24</w:t>
      </w:r>
      <w:r w:rsidR="00536364">
        <w:t xml:space="preserve"> per cent</w:t>
      </w:r>
      <w:r w:rsidR="00B8339C">
        <w:t xml:space="preserve"> reduction in emissions across </w:t>
      </w:r>
      <w:r w:rsidR="00D30AAE">
        <w:t xml:space="preserve">our </w:t>
      </w:r>
      <w:r w:rsidR="004B3C1F">
        <w:t xml:space="preserve">building </w:t>
      </w:r>
      <w:r w:rsidR="00B8339C">
        <w:t>portfolio</w:t>
      </w:r>
      <w:r w:rsidR="003636AA">
        <w:t>. We have u</w:t>
      </w:r>
      <w:r w:rsidR="00B8339C">
        <w:t>ndertak</w:t>
      </w:r>
      <w:r w:rsidR="003636AA">
        <w:t>en</w:t>
      </w:r>
      <w:r w:rsidR="00B8339C">
        <w:t xml:space="preserve"> energy saving upgrades and retrofits in existing buildings, including a number of heritage listed buildings</w:t>
      </w:r>
      <w:r w:rsidR="00C468DD">
        <w:t xml:space="preserve"> such as the Melbourne Town Hall</w:t>
      </w:r>
      <w:r w:rsidR="00B8339C">
        <w:t>.</w:t>
      </w:r>
      <w:r w:rsidR="008D1DED">
        <w:t xml:space="preserve"> </w:t>
      </w:r>
    </w:p>
    <w:p w:rsidR="00401FBC" w:rsidRPr="00FB0E2F" w:rsidRDefault="00D30AAE" w:rsidP="00615401">
      <w:pPr>
        <w:pStyle w:val="BodyText"/>
      </w:pPr>
      <w:r>
        <w:t xml:space="preserve">We have </w:t>
      </w:r>
      <w:r w:rsidR="00510BF0" w:rsidRPr="009136BE">
        <w:t>also</w:t>
      </w:r>
      <w:r w:rsidR="00401FBC" w:rsidRPr="009136BE">
        <w:t xml:space="preserve"> </w:t>
      </w:r>
      <w:r w:rsidR="00510BF0" w:rsidRPr="009136BE">
        <w:t>collaborated</w:t>
      </w:r>
      <w:r w:rsidR="00401FBC" w:rsidRPr="009136BE">
        <w:t xml:space="preserve"> with </w:t>
      </w:r>
      <w:r w:rsidR="00662779">
        <w:t>apartment</w:t>
      </w:r>
      <w:r w:rsidR="00AC2D5C">
        <w:t xml:space="preserve"> owners and tenants</w:t>
      </w:r>
      <w:r w:rsidR="00662779">
        <w:t xml:space="preserve">, and the </w:t>
      </w:r>
      <w:r w:rsidR="00E070CA" w:rsidRPr="009136BE">
        <w:t>commerci</w:t>
      </w:r>
      <w:r w:rsidR="00AC2D5C">
        <w:t xml:space="preserve">al property sector </w:t>
      </w:r>
      <w:r w:rsidR="00401FBC" w:rsidRPr="009136BE">
        <w:t xml:space="preserve">to </w:t>
      </w:r>
      <w:r w:rsidR="00E070CA" w:rsidRPr="009136BE">
        <w:t>drive improved environmental performance</w:t>
      </w:r>
      <w:r w:rsidR="000418C1">
        <w:t xml:space="preserve">. </w:t>
      </w:r>
      <w:proofErr w:type="spellStart"/>
      <w:r w:rsidR="00510BF0" w:rsidRPr="009136BE">
        <w:t>CitySwitch</w:t>
      </w:r>
      <w:proofErr w:type="spellEnd"/>
      <w:r w:rsidR="00510BF0" w:rsidRPr="009136BE">
        <w:t xml:space="preserve"> </w:t>
      </w:r>
      <w:r w:rsidR="00E45B10" w:rsidRPr="009136BE">
        <w:t>is a</w:t>
      </w:r>
      <w:r w:rsidR="000418C1">
        <w:t xml:space="preserve"> </w:t>
      </w:r>
      <w:r w:rsidR="00E45B10" w:rsidRPr="009136BE">
        <w:t xml:space="preserve">national </w:t>
      </w:r>
      <w:r w:rsidR="00510BF0" w:rsidRPr="009136BE">
        <w:t xml:space="preserve">program </w:t>
      </w:r>
      <w:r w:rsidR="00401FBC" w:rsidRPr="009136BE">
        <w:t>de</w:t>
      </w:r>
      <w:r w:rsidR="00283E16" w:rsidRPr="009136BE">
        <w:t>liver</w:t>
      </w:r>
      <w:r w:rsidR="00510BF0" w:rsidRPr="009136BE">
        <w:t>ed</w:t>
      </w:r>
      <w:r w:rsidR="00283E16" w:rsidRPr="009136BE">
        <w:t xml:space="preserve"> in</w:t>
      </w:r>
      <w:r w:rsidR="00401FBC" w:rsidRPr="009136BE">
        <w:t xml:space="preserve"> partnership with the </w:t>
      </w:r>
      <w:r w:rsidR="000E294E" w:rsidRPr="009136BE">
        <w:t>Cities of Sydney, North Sydney, Willoughby, Adelaide, Perth and the New South Wales Office of Environment and Heritage</w:t>
      </w:r>
      <w:r w:rsidR="00662779">
        <w:t xml:space="preserve">. </w:t>
      </w:r>
      <w:r w:rsidR="00E45B10" w:rsidRPr="009136BE">
        <w:t xml:space="preserve">It achieved </w:t>
      </w:r>
      <w:r w:rsidR="00141758" w:rsidRPr="009136BE">
        <w:t>an</w:t>
      </w:r>
      <w:r w:rsidR="00FE05F4" w:rsidRPr="009136BE">
        <w:t xml:space="preserve"> emissions reduction of 667,000 tonnes of CO</w:t>
      </w:r>
      <w:r w:rsidR="003636AA" w:rsidRPr="00C7569F">
        <w:rPr>
          <w:vertAlign w:val="subscript"/>
          <w:lang w:val="en-US"/>
        </w:rPr>
        <w:t>2</w:t>
      </w:r>
      <w:r w:rsidR="00FE05F4" w:rsidRPr="009136BE">
        <w:t xml:space="preserve"> </w:t>
      </w:r>
      <w:r w:rsidR="008D1DED">
        <w:t xml:space="preserve">in 2017 </w:t>
      </w:r>
      <w:r w:rsidR="000418C1">
        <w:t xml:space="preserve">and won an international </w:t>
      </w:r>
      <w:r w:rsidR="003636AA">
        <w:t xml:space="preserve">C40 </w:t>
      </w:r>
      <w:r w:rsidR="000418C1">
        <w:t>award.</w:t>
      </w:r>
    </w:p>
    <w:p w:rsidR="005814DA" w:rsidRPr="009136BE" w:rsidRDefault="00EE2E17" w:rsidP="00615401">
      <w:pPr>
        <w:pStyle w:val="BodyText"/>
      </w:pPr>
      <w:r w:rsidRPr="009136BE">
        <w:t xml:space="preserve">The City of Melbourne </w:t>
      </w:r>
      <w:r w:rsidR="00084BF3">
        <w:t xml:space="preserve">and the City of Stockholm </w:t>
      </w:r>
      <w:r w:rsidRPr="009136BE">
        <w:t>co-lead the C40 Low Carbon Districts and Climate Positive network</w:t>
      </w:r>
      <w:r w:rsidR="00084BF3">
        <w:t xml:space="preserve">. This </w:t>
      </w:r>
      <w:r w:rsidR="0079428C" w:rsidRPr="009136BE">
        <w:t>international network of cities collaborat</w:t>
      </w:r>
      <w:r w:rsidR="00084BF3">
        <w:t>es</w:t>
      </w:r>
      <w:r w:rsidR="0079428C" w:rsidRPr="009136BE">
        <w:t xml:space="preserve"> on precinct-scale solutions.</w:t>
      </w:r>
      <w:r w:rsidR="007943DA" w:rsidRPr="009136BE">
        <w:t xml:space="preserve"> </w:t>
      </w:r>
      <w:r w:rsidR="005814DA" w:rsidRPr="009136BE">
        <w:t xml:space="preserve">In 2013, </w:t>
      </w:r>
      <w:r w:rsidR="00D30AAE">
        <w:t>we</w:t>
      </w:r>
      <w:r w:rsidR="005814DA" w:rsidRPr="009136BE">
        <w:t xml:space="preserve"> expanded our local planning policy for sustainable office buildings to include all types of development.</w:t>
      </w:r>
    </w:p>
    <w:p w:rsidR="005814DA" w:rsidRPr="009136BE" w:rsidRDefault="00D30AAE" w:rsidP="00615401">
      <w:pPr>
        <w:pStyle w:val="BodyText"/>
      </w:pPr>
      <w:r>
        <w:t>We are</w:t>
      </w:r>
      <w:r w:rsidR="005814DA" w:rsidRPr="009136BE">
        <w:t xml:space="preserve"> working with Vict</w:t>
      </w:r>
      <w:r w:rsidR="00672030">
        <w:t>orian Government partners to introduce net zero</w:t>
      </w:r>
      <w:r w:rsidR="005814DA" w:rsidRPr="009136BE">
        <w:t xml:space="preserve"> emissions targets for urban renewal precincts such as </w:t>
      </w:r>
      <w:proofErr w:type="spellStart"/>
      <w:r w:rsidR="005814DA" w:rsidRPr="009136BE">
        <w:t>Fishermans</w:t>
      </w:r>
      <w:proofErr w:type="spellEnd"/>
      <w:r w:rsidR="005814DA" w:rsidRPr="009136BE">
        <w:t xml:space="preserve"> Bend and Arden, and to incorporate these into planning and implementation.</w:t>
      </w:r>
    </w:p>
    <w:p w:rsidR="006329DB" w:rsidRDefault="006329DB" w:rsidP="00E93F71">
      <w:pPr>
        <w:pStyle w:val="Heading2"/>
        <w:numPr>
          <w:ilvl w:val="0"/>
          <w:numId w:val="0"/>
        </w:numPr>
        <w:ind w:left="851" w:hanging="851"/>
      </w:pPr>
      <w:bookmarkStart w:id="161" w:name="_Toc518850870"/>
      <w:bookmarkStart w:id="162" w:name="_Toc518851942"/>
      <w:bookmarkStart w:id="163" w:name="_Toc518855563"/>
      <w:bookmarkStart w:id="164" w:name="_Toc520749118"/>
      <w:bookmarkStart w:id="165" w:name="_Toc523238964"/>
      <w:bookmarkEnd w:id="161"/>
      <w:bookmarkEnd w:id="162"/>
      <w:bookmarkEnd w:id="163"/>
      <w:r>
        <w:t>Challenges</w:t>
      </w:r>
      <w:bookmarkEnd w:id="164"/>
      <w:bookmarkEnd w:id="165"/>
    </w:p>
    <w:p w:rsidR="008D1DED" w:rsidRDefault="008A1CE0" w:rsidP="00130D7B">
      <w:pPr>
        <w:pStyle w:val="BodyText"/>
      </w:pPr>
      <w:r>
        <w:t>B</w:t>
      </w:r>
      <w:r w:rsidR="007618F2">
        <w:t xml:space="preserve">uildings generate </w:t>
      </w:r>
      <w:r w:rsidR="005B62FC">
        <w:t>7</w:t>
      </w:r>
      <w:r w:rsidR="000D66CF">
        <w:t>9</w:t>
      </w:r>
      <w:r w:rsidR="007618F2" w:rsidRPr="009136BE">
        <w:t xml:space="preserve"> per cent</w:t>
      </w:r>
      <w:r w:rsidR="005B62FC">
        <w:t xml:space="preserve"> </w:t>
      </w:r>
      <w:r w:rsidR="00130D7B">
        <w:t>of emissions in the municipality</w:t>
      </w:r>
      <w:r w:rsidR="008D1DED">
        <w:t>, mainly</w:t>
      </w:r>
      <w:r w:rsidR="00130D7B">
        <w:t xml:space="preserve"> because the majority use energy from coal-fired power in the Latrobe Valley. </w:t>
      </w:r>
      <w:r w:rsidR="003636AA">
        <w:t>Gas is another</w:t>
      </w:r>
      <w:r w:rsidR="008D1DED">
        <w:t xml:space="preserve"> source of building emissions</w:t>
      </w:r>
      <w:r w:rsidR="003636AA">
        <w:t>. U</w:t>
      </w:r>
      <w:r w:rsidR="008D1DED">
        <w:t>ntil the transition is made away from gas, having a 100</w:t>
      </w:r>
      <w:r w:rsidR="00D30AAE">
        <w:t xml:space="preserve"> per cent</w:t>
      </w:r>
      <w:r w:rsidR="008D1DED">
        <w:t xml:space="preserve"> renewable electricity system will still result in buildings generating emissions.</w:t>
      </w:r>
    </w:p>
    <w:p w:rsidR="00130D7B" w:rsidRDefault="003636AA" w:rsidP="00130D7B">
      <w:pPr>
        <w:pStyle w:val="BodyText"/>
      </w:pPr>
      <w:r>
        <w:t xml:space="preserve">Melbourne’s </w:t>
      </w:r>
      <w:r w:rsidR="00130D7B">
        <w:t xml:space="preserve">buildings are </w:t>
      </w:r>
      <w:r w:rsidR="008A1CE0">
        <w:t xml:space="preserve">also </w:t>
      </w:r>
      <w:r w:rsidR="00130D7B">
        <w:t xml:space="preserve">not as efficient </w:t>
      </w:r>
      <w:r w:rsidR="008A1CE0">
        <w:t>as they could be</w:t>
      </w:r>
      <w:r w:rsidR="0041413D">
        <w:t xml:space="preserve"> and benchmarks for measuring the performance of the city’s building portfolio are not fully developed, especially for apartments</w:t>
      </w:r>
      <w:r w:rsidR="008A1CE0">
        <w:t xml:space="preserve">. </w:t>
      </w:r>
    </w:p>
    <w:p w:rsidR="00995FC1" w:rsidRDefault="00130D7B" w:rsidP="00130D7B">
      <w:pPr>
        <w:pStyle w:val="BodyText"/>
      </w:pPr>
      <w:r>
        <w:t>Long</w:t>
      </w:r>
      <w:r w:rsidR="003636AA">
        <w:t>-</w:t>
      </w:r>
      <w:r>
        <w:t>term trends in population grow</w:t>
      </w:r>
      <w:r w:rsidR="00A00299">
        <w:t>th and urban densification mean</w:t>
      </w:r>
      <w:r>
        <w:t xml:space="preserve"> </w:t>
      </w:r>
      <w:r w:rsidR="003636AA">
        <w:t>that Melbourne</w:t>
      </w:r>
      <w:r>
        <w:t xml:space="preserve"> is in the greatest </w:t>
      </w:r>
      <w:r w:rsidR="003636AA">
        <w:t xml:space="preserve">property development </w:t>
      </w:r>
      <w:r>
        <w:t xml:space="preserve">boom since the 1850s gold rush. </w:t>
      </w:r>
      <w:r w:rsidR="003A0B18">
        <w:t>A</w:t>
      </w:r>
      <w:r w:rsidR="008A1CE0">
        <w:t xml:space="preserve">partment buildings </w:t>
      </w:r>
      <w:r w:rsidR="003A0B18">
        <w:t xml:space="preserve">are </w:t>
      </w:r>
      <w:r w:rsidR="008A1CE0">
        <w:t xml:space="preserve">already the most common type of residence </w:t>
      </w:r>
      <w:r w:rsidR="003A0B18">
        <w:t>and they are growing at a rapid rate</w:t>
      </w:r>
      <w:r w:rsidR="008A1CE0">
        <w:t xml:space="preserve">. </w:t>
      </w:r>
      <w:r>
        <w:t xml:space="preserve">The buildings developed today will </w:t>
      </w:r>
      <w:r w:rsidR="008A1CE0">
        <w:t xml:space="preserve">still be part of our city in </w:t>
      </w:r>
      <w:r>
        <w:t xml:space="preserve">2050. </w:t>
      </w:r>
    </w:p>
    <w:p w:rsidR="001B7151" w:rsidRDefault="00A00299" w:rsidP="00130D7B">
      <w:pPr>
        <w:pStyle w:val="BodyText"/>
      </w:pPr>
      <w:r>
        <w:t>Because buildings retain heat they also contribute to the urban heat island effect</w:t>
      </w:r>
      <w:r w:rsidR="003636AA">
        <w:t>. This</w:t>
      </w:r>
      <w:r>
        <w:t xml:space="preserve"> can make poorly designed buildings uninhabitable </w:t>
      </w:r>
      <w:r w:rsidR="0041413D">
        <w:t>if there is a power cut</w:t>
      </w:r>
      <w:r w:rsidR="00502126">
        <w:t xml:space="preserve"> </w:t>
      </w:r>
      <w:r>
        <w:t>during a heat wave.</w:t>
      </w:r>
      <w:r w:rsidR="00995FC1">
        <w:t xml:space="preserve"> Heat waves are occurring more frequently due to climate change as summer temperatures become more extreme. </w:t>
      </w:r>
    </w:p>
    <w:p w:rsidR="00A00299" w:rsidRDefault="00CB7AF6" w:rsidP="00130D7B">
      <w:pPr>
        <w:pStyle w:val="BodyText"/>
      </w:pPr>
      <w:r>
        <w:t>T</w:t>
      </w:r>
      <w:r w:rsidR="00995FC1" w:rsidRPr="009A1D71">
        <w:t xml:space="preserve">he social impacts of building thermal performance during heatwaves and extreme weather </w:t>
      </w:r>
      <w:r>
        <w:t xml:space="preserve">needs to be considered </w:t>
      </w:r>
      <w:r w:rsidR="00995FC1" w:rsidRPr="009A1D71">
        <w:t>because some members of our community, the young, elderly and vulnerable are more at risk. Energy security and heatwaves also affect workers and business operations</w:t>
      </w:r>
      <w:r w:rsidR="003A0B18">
        <w:t>.</w:t>
      </w:r>
      <w:r w:rsidR="00995FC1" w:rsidRPr="009A1D71">
        <w:t xml:space="preserve"> </w:t>
      </w:r>
    </w:p>
    <w:p w:rsidR="00E07BA7" w:rsidRDefault="00B324B5" w:rsidP="00E93F71">
      <w:pPr>
        <w:pStyle w:val="Heading2"/>
        <w:numPr>
          <w:ilvl w:val="0"/>
          <w:numId w:val="0"/>
        </w:numPr>
        <w:ind w:left="851" w:hanging="851"/>
      </w:pPr>
      <w:bookmarkStart w:id="166" w:name="_Toc518855565"/>
      <w:bookmarkStart w:id="167" w:name="_Toc520749119"/>
      <w:bookmarkStart w:id="168" w:name="_Toc523238965"/>
      <w:bookmarkEnd w:id="166"/>
      <w:r>
        <w:t>Strategic opportunities</w:t>
      </w:r>
      <w:bookmarkEnd w:id="167"/>
      <w:bookmarkEnd w:id="168"/>
    </w:p>
    <w:p w:rsidR="00230E5C" w:rsidRDefault="00F92E5B" w:rsidP="00F92E5B">
      <w:pPr>
        <w:pStyle w:val="BodyText"/>
      </w:pPr>
      <w:r>
        <w:t>By collaborating with industry</w:t>
      </w:r>
      <w:r w:rsidR="00D30AAE">
        <w:t>,</w:t>
      </w:r>
      <w:r>
        <w:t xml:space="preserve"> the City of Melbourne can accelerate emission reductions from buildings across the city. The Green Building Council of Australia’s Carbon Positive Roadmap aligns the future energy performance of buildings to the science-based targets of the Paris Climate Agreement. It has set an objective for new commercial buildings to achieve carbon neutrality by 2030, and existing commercial buildings to achieve carbon neutrality by 2050. </w:t>
      </w:r>
    </w:p>
    <w:p w:rsidR="00D45C3E" w:rsidRDefault="00F92E5B" w:rsidP="00E07BA7">
      <w:pPr>
        <w:pStyle w:val="BodyText"/>
      </w:pPr>
      <w:r>
        <w:t xml:space="preserve">The </w:t>
      </w:r>
      <w:r w:rsidR="00B14D3A">
        <w:t xml:space="preserve">industry-led </w:t>
      </w:r>
      <w:r>
        <w:t>Australian Sustainable Built Environment Council</w:t>
      </w:r>
      <w:r w:rsidR="003A0B18">
        <w:t xml:space="preserve"> </w:t>
      </w:r>
      <w:r>
        <w:t>is advocating for the National Construct</w:t>
      </w:r>
      <w:r w:rsidR="001A0C85">
        <w:t>ion Code to be urgently updated</w:t>
      </w:r>
      <w:r>
        <w:t xml:space="preserve"> </w:t>
      </w:r>
      <w:r w:rsidR="003A0B18">
        <w:t xml:space="preserve">so that </w:t>
      </w:r>
      <w:r>
        <w:t>new buildings are fit for a zero carbon future. The construction sector</w:t>
      </w:r>
      <w:r w:rsidRPr="000E0CD5">
        <w:t xml:space="preserve"> </w:t>
      </w:r>
      <w:r w:rsidR="003A0B18">
        <w:t xml:space="preserve">can </w:t>
      </w:r>
      <w:r w:rsidR="00D45C3E" w:rsidRPr="000E0CD5">
        <w:t>improv</w:t>
      </w:r>
      <w:r w:rsidR="003A0B18">
        <w:t xml:space="preserve">e the </w:t>
      </w:r>
      <w:r w:rsidR="00D45C3E" w:rsidRPr="000E0CD5">
        <w:t>energy efficiency and thermal performance</w:t>
      </w:r>
      <w:r w:rsidR="003A0B18">
        <w:t xml:space="preserve"> of buildings </w:t>
      </w:r>
      <w:r w:rsidR="00D45C3E" w:rsidRPr="000E0CD5">
        <w:t xml:space="preserve">and </w:t>
      </w:r>
      <w:r w:rsidR="00230E5C" w:rsidRPr="000E0CD5">
        <w:t>integrat</w:t>
      </w:r>
      <w:r w:rsidR="00230E5C">
        <w:t>e</w:t>
      </w:r>
      <w:r w:rsidR="00230E5C" w:rsidRPr="000E0CD5">
        <w:t xml:space="preserve"> </w:t>
      </w:r>
      <w:r w:rsidR="00D45C3E" w:rsidRPr="000E0CD5">
        <w:t>renewable energy into building fabric. This</w:t>
      </w:r>
      <w:r w:rsidR="00226EDE" w:rsidRPr="000E0CD5">
        <w:t xml:space="preserve"> </w:t>
      </w:r>
      <w:r w:rsidR="003A0B18">
        <w:t>will reduce emissions and</w:t>
      </w:r>
      <w:r w:rsidR="00226EDE" w:rsidRPr="000E0CD5">
        <w:t xml:space="preserve"> </w:t>
      </w:r>
      <w:r w:rsidR="002337E9">
        <w:t>help the community adapt to</w:t>
      </w:r>
      <w:r w:rsidR="00226EDE" w:rsidRPr="000E0CD5">
        <w:t xml:space="preserve"> climate change</w:t>
      </w:r>
      <w:r w:rsidR="003A0B18">
        <w:t>.</w:t>
      </w:r>
      <w:r w:rsidR="00226EDE" w:rsidRPr="000E0CD5">
        <w:t xml:space="preserve"> </w:t>
      </w:r>
    </w:p>
    <w:p w:rsidR="00151120" w:rsidRDefault="003204E3" w:rsidP="00151120">
      <w:pPr>
        <w:pStyle w:val="BodyText"/>
      </w:pPr>
      <w:r>
        <w:t xml:space="preserve">Shifting our focus from </w:t>
      </w:r>
      <w:r w:rsidR="00151120">
        <w:t>individual buildings to sector-wide engagement and precinct</w:t>
      </w:r>
      <w:r>
        <w:t>-</w:t>
      </w:r>
      <w:r w:rsidR="00151120">
        <w:t>scale development</w:t>
      </w:r>
      <w:r>
        <w:t xml:space="preserve"> will help </w:t>
      </w:r>
      <w:r w:rsidR="00151120">
        <w:t>deliver emission reductions through long</w:t>
      </w:r>
      <w:r>
        <w:t>-</w:t>
      </w:r>
      <w:r w:rsidR="00151120">
        <w:t>term infrastructure</w:t>
      </w:r>
      <w:r w:rsidR="00AF6F5B">
        <w:t>, urban renewal</w:t>
      </w:r>
      <w:r w:rsidR="00151120">
        <w:t xml:space="preserve"> and planning policy. </w:t>
      </w:r>
    </w:p>
    <w:p w:rsidR="00A30CBE" w:rsidRPr="00806071" w:rsidRDefault="00472083" w:rsidP="00806071">
      <w:pPr>
        <w:pStyle w:val="BodyText"/>
      </w:pPr>
      <w:r>
        <w:t xml:space="preserve">Applying the principles of the circular economy means </w:t>
      </w:r>
      <w:r w:rsidR="00F92E5B">
        <w:t>buildings</w:t>
      </w:r>
      <w:r>
        <w:t xml:space="preserve"> need to</w:t>
      </w:r>
      <w:r w:rsidR="00C67A10">
        <w:t xml:space="preserve"> be</w:t>
      </w:r>
      <w:r>
        <w:t xml:space="preserve"> design</w:t>
      </w:r>
      <w:r w:rsidR="00F92E5B">
        <w:t>ed</w:t>
      </w:r>
      <w:r>
        <w:t xml:space="preserve"> to provide multiple functions over the</w:t>
      </w:r>
      <w:r w:rsidR="003204E3">
        <w:t xml:space="preserve">ir life-span </w:t>
      </w:r>
      <w:r w:rsidR="00871A5C">
        <w:t xml:space="preserve">the emissions generated by building materials reduced </w:t>
      </w:r>
      <w:r w:rsidR="003204E3">
        <w:t xml:space="preserve">and used building materials need to be upcycled. </w:t>
      </w:r>
    </w:p>
    <w:p w:rsidR="003C5ACD" w:rsidRDefault="00084488" w:rsidP="00BC3445">
      <w:pPr>
        <w:pStyle w:val="Heading2"/>
        <w:numPr>
          <w:ilvl w:val="0"/>
          <w:numId w:val="0"/>
        </w:numPr>
        <w:ind w:left="851" w:hanging="851"/>
      </w:pPr>
      <w:bookmarkStart w:id="169" w:name="_Toc523238966"/>
      <w:bookmarkStart w:id="170" w:name="_Toc520749120"/>
      <w:r>
        <w:t>The e</w:t>
      </w:r>
      <w:r w:rsidR="000D7E18">
        <w:t>nvironmental, s</w:t>
      </w:r>
      <w:r w:rsidR="003C5ACD">
        <w:t xml:space="preserve">ocial </w:t>
      </w:r>
      <w:r>
        <w:t xml:space="preserve">and </w:t>
      </w:r>
      <w:r w:rsidR="000D7E18">
        <w:t xml:space="preserve">economic </w:t>
      </w:r>
      <w:r w:rsidR="003C5ACD">
        <w:t>benefits</w:t>
      </w:r>
      <w:r>
        <w:t xml:space="preserve"> of taking action</w:t>
      </w:r>
      <w:bookmarkEnd w:id="169"/>
    </w:p>
    <w:p w:rsidR="003C5ACD" w:rsidRDefault="00084BF3" w:rsidP="00A54D9D">
      <w:pPr>
        <w:pStyle w:val="ListBullet"/>
        <w:numPr>
          <w:ilvl w:val="0"/>
          <w:numId w:val="0"/>
        </w:numPr>
      </w:pPr>
      <w:r>
        <w:t xml:space="preserve">The </w:t>
      </w:r>
      <w:r w:rsidR="003C5ACD">
        <w:t xml:space="preserve">benefits </w:t>
      </w:r>
      <w:r>
        <w:t>of</w:t>
      </w:r>
      <w:r w:rsidR="003C5ACD">
        <w:t xml:space="preserve"> taking action on buildings include:</w:t>
      </w:r>
    </w:p>
    <w:p w:rsidR="003C5ACD" w:rsidRDefault="00CA3936" w:rsidP="00A54D9D">
      <w:pPr>
        <w:pStyle w:val="ListBullet"/>
        <w:ind w:left="397"/>
        <w:rPr>
          <w:rFonts w:ascii="EYInterstate Light" w:hAnsi="EYInterstate Light"/>
          <w:color w:val="auto"/>
        </w:rPr>
      </w:pPr>
      <w:r>
        <w:t>e</w:t>
      </w:r>
      <w:r w:rsidR="003C5ACD">
        <w:t>nergy security</w:t>
      </w:r>
    </w:p>
    <w:p w:rsidR="003C5ACD" w:rsidRDefault="00CA3936" w:rsidP="00A54D9D">
      <w:pPr>
        <w:pStyle w:val="ListBullet"/>
        <w:ind w:left="397"/>
      </w:pPr>
      <w:r>
        <w:t>increased a</w:t>
      </w:r>
      <w:r w:rsidR="003C5ACD">
        <w:t>sset values of buildings</w:t>
      </w:r>
    </w:p>
    <w:p w:rsidR="003C5ACD" w:rsidRDefault="00CA3936" w:rsidP="00A54D9D">
      <w:pPr>
        <w:pStyle w:val="ListBullet"/>
        <w:ind w:left="397"/>
      </w:pPr>
      <w:r>
        <w:t>u</w:t>
      </w:r>
      <w:r w:rsidR="003C5ACD">
        <w:t>rban biodiversity from green roofs</w:t>
      </w:r>
    </w:p>
    <w:p w:rsidR="003C5ACD" w:rsidRDefault="00CA3936" w:rsidP="00A54D9D">
      <w:pPr>
        <w:pStyle w:val="ListBullet"/>
        <w:ind w:left="397"/>
      </w:pPr>
      <w:r>
        <w:t>r</w:t>
      </w:r>
      <w:r w:rsidR="003C5ACD">
        <w:t>educed health impacts from air pollution</w:t>
      </w:r>
    </w:p>
    <w:p w:rsidR="003C5ACD" w:rsidRDefault="00CA3936" w:rsidP="00A54D9D">
      <w:pPr>
        <w:pStyle w:val="ListBullet"/>
        <w:ind w:left="397"/>
      </w:pPr>
      <w:r>
        <w:t>i</w:t>
      </w:r>
      <w:r w:rsidR="003C5ACD">
        <w:t>ncreased productivity</w:t>
      </w:r>
    </w:p>
    <w:p w:rsidR="003C5ACD" w:rsidRDefault="00CA3936" w:rsidP="00A54D9D">
      <w:pPr>
        <w:pStyle w:val="ListBullet"/>
        <w:ind w:left="397"/>
      </w:pPr>
      <w:r>
        <w:t>i</w:t>
      </w:r>
      <w:r w:rsidR="003C5ACD">
        <w:t xml:space="preserve">ncreased thermal comfort </w:t>
      </w:r>
    </w:p>
    <w:p w:rsidR="003C5ACD" w:rsidRDefault="00CA3936" w:rsidP="00A54D9D">
      <w:pPr>
        <w:pStyle w:val="ListBullet"/>
        <w:ind w:left="397"/>
      </w:pPr>
      <w:r>
        <w:t>i</w:t>
      </w:r>
      <w:r w:rsidR="003C5ACD">
        <w:t>ncreased disaster resilience</w:t>
      </w:r>
    </w:p>
    <w:p w:rsidR="003C5ACD" w:rsidRDefault="00CA3936" w:rsidP="00A54D9D">
      <w:pPr>
        <w:pStyle w:val="ListBullet"/>
        <w:ind w:left="397"/>
      </w:pPr>
      <w:r>
        <w:t>r</w:t>
      </w:r>
      <w:r w:rsidR="003C5ACD">
        <w:t>educed water consumption/sewage production</w:t>
      </w:r>
    </w:p>
    <w:p w:rsidR="003C5ACD" w:rsidRDefault="00CA3936" w:rsidP="00A54D9D">
      <w:pPr>
        <w:pStyle w:val="ListBullet"/>
        <w:ind w:left="397"/>
      </w:pPr>
      <w:proofErr w:type="gramStart"/>
      <w:r>
        <w:t>r</w:t>
      </w:r>
      <w:r w:rsidR="003C5ACD">
        <w:t>educed</w:t>
      </w:r>
      <w:proofErr w:type="gramEnd"/>
      <w:r w:rsidR="003C5ACD">
        <w:t xml:space="preserve"> Urban Heat Island effect</w:t>
      </w:r>
      <w:r>
        <w:t>.</w:t>
      </w:r>
    </w:p>
    <w:bookmarkEnd w:id="170"/>
    <w:p w:rsidR="00D16A2A" w:rsidRDefault="005A02B8" w:rsidP="00A54D9D">
      <w:pPr>
        <w:spacing w:before="200" w:after="200"/>
      </w:pPr>
      <w:r>
        <w:t xml:space="preserve">Built to Perform, a report by </w:t>
      </w:r>
      <w:r w:rsidR="00672030">
        <w:t xml:space="preserve">Climate Works Australia and </w:t>
      </w:r>
      <w:r>
        <w:t xml:space="preserve">the </w:t>
      </w:r>
      <w:r w:rsidR="00672030">
        <w:t xml:space="preserve">Australian Sustainable Built Environment </w:t>
      </w:r>
      <w:proofErr w:type="gramStart"/>
      <w:r w:rsidR="00672030">
        <w:t>Council</w:t>
      </w:r>
      <w:r>
        <w:t>,</w:t>
      </w:r>
      <w:proofErr w:type="gramEnd"/>
      <w:r w:rsidR="00672030">
        <w:t xml:space="preserve"> </w:t>
      </w:r>
      <w:r w:rsidR="00127BFE">
        <w:t>shows that setting stronger energy standards for new buildings in the N</w:t>
      </w:r>
      <w:r w:rsidR="00672030">
        <w:t>ational Construction Code could</w:t>
      </w:r>
      <w:r w:rsidR="00127BFE">
        <w:t xml:space="preserve"> reduce energy bills by up to $27 billion</w:t>
      </w:r>
      <w:r>
        <w:t>. It could</w:t>
      </w:r>
      <w:r w:rsidR="00127BFE">
        <w:t xml:space="preserve"> cut energy network costs by up to $7 billion and deliver at least 78 million tonnes of cumulative emissions savings</w:t>
      </w:r>
      <w:r w:rsidR="00127BFE" w:rsidRPr="00127BFE">
        <w:t xml:space="preserve"> </w:t>
      </w:r>
      <w:r w:rsidR="00DC5661">
        <w:t>between now and 2050.</w:t>
      </w:r>
      <w:r w:rsidR="00BC6167">
        <w:rPr>
          <w:rStyle w:val="FootnoteReference"/>
        </w:rPr>
        <w:footnoteReference w:customMarkFollows="1" w:id="16"/>
        <w:t>12</w:t>
      </w:r>
    </w:p>
    <w:p w:rsidR="00871A5C" w:rsidRDefault="00871A5C" w:rsidP="00A54D9D">
      <w:pPr>
        <w:spacing w:before="200" w:after="200"/>
      </w:pPr>
    </w:p>
    <w:p w:rsidR="00871A5C" w:rsidRDefault="00871A5C" w:rsidP="00A54D9D">
      <w:pPr>
        <w:spacing w:before="200" w:after="200"/>
      </w:pPr>
    </w:p>
    <w:p w:rsidR="00E32389" w:rsidRDefault="00E32389" w:rsidP="00A54D9D">
      <w:pPr>
        <w:spacing w:before="200" w:after="200"/>
      </w:pPr>
    </w:p>
    <w:p w:rsidR="00E32389" w:rsidRDefault="00E32389" w:rsidP="00A54D9D">
      <w:pPr>
        <w:spacing w:before="200" w:after="200"/>
      </w:pPr>
    </w:p>
    <w:p w:rsidR="00E32389" w:rsidRDefault="00E32389" w:rsidP="00A54D9D">
      <w:pPr>
        <w:spacing w:before="200" w:after="200"/>
      </w:pPr>
    </w:p>
    <w:p w:rsidR="00E32389" w:rsidRDefault="00E32389" w:rsidP="00A54D9D">
      <w:pPr>
        <w:spacing w:before="200" w:after="200"/>
      </w:pPr>
    </w:p>
    <w:p w:rsidR="00E32389" w:rsidRDefault="00E32389" w:rsidP="00A54D9D">
      <w:pPr>
        <w:spacing w:before="200" w:after="200"/>
      </w:pPr>
    </w:p>
    <w:tbl>
      <w:tblPr>
        <w:tblpPr w:leftFromText="180" w:rightFromText="180" w:vertAnchor="text" w:horzAnchor="margin" w:tblpY="11"/>
        <w:tblW w:w="0" w:type="auto"/>
        <w:tblLayout w:type="fixed"/>
        <w:tblCellMar>
          <w:left w:w="0" w:type="dxa"/>
          <w:right w:w="0" w:type="dxa"/>
        </w:tblCellMar>
        <w:tblLook w:val="04A0" w:firstRow="1" w:lastRow="0" w:firstColumn="1" w:lastColumn="0" w:noHBand="0" w:noVBand="1"/>
      </w:tblPr>
      <w:tblGrid>
        <w:gridCol w:w="2797"/>
        <w:gridCol w:w="1275"/>
        <w:gridCol w:w="1588"/>
        <w:gridCol w:w="1418"/>
        <w:gridCol w:w="1417"/>
        <w:gridCol w:w="1134"/>
      </w:tblGrid>
      <w:tr w:rsidR="00C42936" w:rsidTr="00871A5C">
        <w:tc>
          <w:tcPr>
            <w:tcW w:w="2797"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C42936" w:rsidRDefault="00C42936" w:rsidP="00C42936">
            <w:pPr>
              <w:rPr>
                <w:rFonts w:ascii="Calibri" w:eastAsiaTheme="minorHAnsi" w:hAnsi="Calibri"/>
                <w:b/>
                <w:bCs/>
                <w:color w:val="000000"/>
                <w:sz w:val="22"/>
                <w:szCs w:val="22"/>
                <w:lang w:eastAsia="en-US"/>
              </w:rPr>
            </w:pPr>
            <w:bookmarkStart w:id="171" w:name="_Toc518855568"/>
            <w:bookmarkStart w:id="172" w:name="_Toc520749122"/>
            <w:bookmarkEnd w:id="171"/>
            <w:r>
              <w:rPr>
                <w:b/>
                <w:bCs/>
              </w:rPr>
              <w:t>Actions modelled</w:t>
            </w:r>
          </w:p>
        </w:tc>
        <w:tc>
          <w:tcPr>
            <w:tcW w:w="1275"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C42936" w:rsidRDefault="00C42936" w:rsidP="00C42936">
            <w:pPr>
              <w:rPr>
                <w:rFonts w:ascii="Calibri" w:eastAsiaTheme="minorHAnsi" w:hAnsi="Calibri"/>
                <w:b/>
                <w:bCs/>
                <w:color w:val="000000"/>
                <w:sz w:val="22"/>
                <w:szCs w:val="22"/>
                <w:lang w:eastAsia="en-US"/>
              </w:rPr>
            </w:pPr>
            <w:r>
              <w:rPr>
                <w:b/>
                <w:bCs/>
              </w:rPr>
              <w:t>Scenario</w:t>
            </w:r>
          </w:p>
        </w:tc>
        <w:tc>
          <w:tcPr>
            <w:tcW w:w="1588"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C42936" w:rsidRPr="00A54D9D" w:rsidRDefault="00C42936" w:rsidP="00C42936">
            <w:pPr>
              <w:autoSpaceDE w:val="0"/>
              <w:autoSpaceDN w:val="0"/>
              <w:rPr>
                <w:b/>
                <w:bCs/>
              </w:rPr>
            </w:pPr>
            <w:r w:rsidRPr="00A54D9D">
              <w:rPr>
                <w:b/>
                <w:bCs/>
              </w:rPr>
              <w:t xml:space="preserve">Cumulative </w:t>
            </w:r>
            <w:r w:rsidR="00CA3936">
              <w:rPr>
                <w:b/>
                <w:bCs/>
              </w:rPr>
              <w:t>a</w:t>
            </w:r>
            <w:r w:rsidRPr="00A54D9D">
              <w:rPr>
                <w:b/>
                <w:bCs/>
              </w:rPr>
              <w:t xml:space="preserve">batement </w:t>
            </w:r>
            <w:r w:rsidR="00CA3936">
              <w:rPr>
                <w:b/>
                <w:bCs/>
              </w:rPr>
              <w:t>p</w:t>
            </w:r>
            <w:r w:rsidRPr="00A54D9D">
              <w:rPr>
                <w:b/>
                <w:bCs/>
              </w:rPr>
              <w:t xml:space="preserve">otential by </w:t>
            </w:r>
            <w:r w:rsidR="00CA3936">
              <w:rPr>
                <w:b/>
                <w:bCs/>
              </w:rPr>
              <w:t>c</w:t>
            </w:r>
            <w:r w:rsidRPr="00A54D9D">
              <w:rPr>
                <w:b/>
                <w:bCs/>
              </w:rPr>
              <w:t>ategory</w:t>
            </w:r>
          </w:p>
        </w:tc>
        <w:tc>
          <w:tcPr>
            <w:tcW w:w="1418"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rsidR="00BC6167" w:rsidRDefault="00C42936" w:rsidP="00C42936">
            <w:pPr>
              <w:autoSpaceDE w:val="0"/>
              <w:autoSpaceDN w:val="0"/>
              <w:rPr>
                <w:b/>
                <w:bCs/>
              </w:rPr>
            </w:pPr>
            <w:r w:rsidRPr="00A54D9D">
              <w:rPr>
                <w:b/>
                <w:bCs/>
              </w:rPr>
              <w:t xml:space="preserve">Discounted </w:t>
            </w:r>
            <w:r w:rsidR="00CA3936">
              <w:rPr>
                <w:b/>
                <w:bCs/>
              </w:rPr>
              <w:t>b</w:t>
            </w:r>
            <w:r w:rsidRPr="00A54D9D">
              <w:rPr>
                <w:b/>
                <w:bCs/>
              </w:rPr>
              <w:t>enefits</w:t>
            </w:r>
            <w:r w:rsidR="00127A2F">
              <w:rPr>
                <w:rStyle w:val="FootnoteReference"/>
                <w:b/>
                <w:bCs/>
              </w:rPr>
              <w:footnoteReference w:id="17"/>
            </w:r>
            <w:r w:rsidRPr="00A54D9D">
              <w:rPr>
                <w:b/>
                <w:bCs/>
              </w:rPr>
              <w:t xml:space="preserve">    </w:t>
            </w:r>
          </w:p>
          <w:p w:rsidR="00C42936" w:rsidRPr="00A54D9D" w:rsidRDefault="00C42936" w:rsidP="00C42936">
            <w:pPr>
              <w:autoSpaceDE w:val="0"/>
              <w:autoSpaceDN w:val="0"/>
              <w:rPr>
                <w:b/>
                <w:bCs/>
              </w:rPr>
            </w:pPr>
            <w:r w:rsidRPr="00A54D9D">
              <w:rPr>
                <w:b/>
                <w:bCs/>
              </w:rPr>
              <w:t>($ million)</w:t>
            </w:r>
          </w:p>
        </w:tc>
        <w:tc>
          <w:tcPr>
            <w:tcW w:w="1417"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rsidR="00BC6167" w:rsidRDefault="00C42936" w:rsidP="00C42936">
            <w:pPr>
              <w:autoSpaceDE w:val="0"/>
              <w:autoSpaceDN w:val="0"/>
              <w:rPr>
                <w:b/>
                <w:bCs/>
              </w:rPr>
            </w:pPr>
            <w:r w:rsidRPr="00A54D9D">
              <w:rPr>
                <w:b/>
                <w:bCs/>
              </w:rPr>
              <w:t xml:space="preserve">Discounted </w:t>
            </w:r>
            <w:r w:rsidR="00CA3936">
              <w:rPr>
                <w:b/>
                <w:bCs/>
              </w:rPr>
              <w:t>c</w:t>
            </w:r>
            <w:r w:rsidRPr="00A54D9D">
              <w:rPr>
                <w:b/>
                <w:bCs/>
              </w:rPr>
              <w:t xml:space="preserve">osts        </w:t>
            </w:r>
          </w:p>
          <w:p w:rsidR="00C42936" w:rsidRPr="00A54D9D" w:rsidRDefault="00C42936" w:rsidP="00C42936">
            <w:pPr>
              <w:autoSpaceDE w:val="0"/>
              <w:autoSpaceDN w:val="0"/>
              <w:rPr>
                <w:b/>
                <w:bCs/>
              </w:rPr>
            </w:pPr>
            <w:r w:rsidRPr="00A54D9D">
              <w:rPr>
                <w:b/>
                <w:bCs/>
              </w:rPr>
              <w:t>($ million)</w:t>
            </w:r>
          </w:p>
        </w:tc>
        <w:tc>
          <w:tcPr>
            <w:tcW w:w="1134"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rsidR="00C42936" w:rsidRPr="00A54D9D" w:rsidRDefault="00C42936" w:rsidP="00C42936">
            <w:pPr>
              <w:autoSpaceDE w:val="0"/>
              <w:autoSpaceDN w:val="0"/>
              <w:rPr>
                <w:b/>
                <w:bCs/>
              </w:rPr>
            </w:pPr>
            <w:r w:rsidRPr="00A54D9D">
              <w:rPr>
                <w:b/>
                <w:bCs/>
              </w:rPr>
              <w:t xml:space="preserve">Benefit </w:t>
            </w:r>
            <w:r w:rsidR="00CA3936">
              <w:rPr>
                <w:b/>
                <w:bCs/>
              </w:rPr>
              <w:t>c</w:t>
            </w:r>
            <w:r w:rsidRPr="00A54D9D">
              <w:rPr>
                <w:b/>
                <w:bCs/>
              </w:rPr>
              <w:t xml:space="preserve">ost </w:t>
            </w:r>
            <w:r w:rsidR="00CA3936">
              <w:rPr>
                <w:b/>
                <w:bCs/>
              </w:rPr>
              <w:t>r</w:t>
            </w:r>
            <w:r w:rsidRPr="00A54D9D">
              <w:rPr>
                <w:b/>
                <w:bCs/>
              </w:rPr>
              <w:t>atio</w:t>
            </w:r>
          </w:p>
        </w:tc>
      </w:tr>
      <w:tr w:rsidR="00C42936" w:rsidTr="00871A5C">
        <w:trPr>
          <w:trHeight w:val="2367"/>
        </w:trPr>
        <w:tc>
          <w:tcPr>
            <w:tcW w:w="2797" w:type="dxa"/>
            <w:vMerge w:val="restart"/>
            <w:tcBorders>
              <w:top w:val="nil"/>
              <w:left w:val="single" w:sz="8" w:space="0" w:color="auto"/>
              <w:bottom w:val="single" w:sz="8" w:space="0" w:color="auto"/>
              <w:right w:val="single" w:sz="8" w:space="0" w:color="auto"/>
            </w:tcBorders>
            <w:tcMar>
              <w:top w:w="0" w:type="dxa"/>
              <w:left w:w="108" w:type="dxa"/>
              <w:bottom w:w="0" w:type="dxa"/>
              <w:right w:w="108" w:type="dxa"/>
            </w:tcMar>
          </w:tcPr>
          <w:p w:rsidR="00C42936" w:rsidRPr="0042198A" w:rsidRDefault="00C42936" w:rsidP="00C42936">
            <w:pPr>
              <w:pStyle w:val="ListParagraph"/>
              <w:numPr>
                <w:ilvl w:val="0"/>
                <w:numId w:val="77"/>
              </w:numPr>
              <w:autoSpaceDN w:val="0"/>
              <w:spacing w:before="0" w:after="0" w:line="240" w:lineRule="auto"/>
              <w:ind w:left="426"/>
              <w:contextualSpacing/>
              <w:rPr>
                <w:rFonts w:ascii="Calibri" w:eastAsiaTheme="minorHAnsi" w:hAnsi="Calibri"/>
                <w:color w:val="000000"/>
                <w:sz w:val="18"/>
                <w:szCs w:val="18"/>
              </w:rPr>
            </w:pPr>
            <w:r w:rsidRPr="0042198A">
              <w:rPr>
                <w:sz w:val="18"/>
                <w:szCs w:val="18"/>
              </w:rPr>
              <w:t>Advocate and facilitate to transition from gas to electricity</w:t>
            </w:r>
          </w:p>
          <w:p w:rsidR="00CE68C8" w:rsidRPr="0042198A" w:rsidRDefault="00CE68C8" w:rsidP="00A54D9D">
            <w:pPr>
              <w:pStyle w:val="ListParagraph"/>
              <w:autoSpaceDN w:val="0"/>
              <w:spacing w:before="0" w:after="0" w:line="240" w:lineRule="auto"/>
              <w:ind w:left="426"/>
              <w:contextualSpacing/>
              <w:rPr>
                <w:rFonts w:ascii="Calibri" w:eastAsiaTheme="minorHAnsi" w:hAnsi="Calibri"/>
                <w:color w:val="000000"/>
                <w:sz w:val="18"/>
                <w:szCs w:val="18"/>
              </w:rPr>
            </w:pPr>
          </w:p>
          <w:p w:rsidR="00C42936" w:rsidRPr="0042198A" w:rsidRDefault="00C42936" w:rsidP="00C42936">
            <w:pPr>
              <w:pStyle w:val="ListParagraph"/>
              <w:numPr>
                <w:ilvl w:val="0"/>
                <w:numId w:val="77"/>
              </w:numPr>
              <w:autoSpaceDN w:val="0"/>
              <w:spacing w:before="0" w:after="0" w:line="240" w:lineRule="auto"/>
              <w:ind w:left="426"/>
              <w:contextualSpacing/>
              <w:rPr>
                <w:rFonts w:ascii="EYInterstate Light" w:eastAsia="Times New Roman" w:hAnsi="EYInterstate Light"/>
                <w:color w:val="auto"/>
                <w:sz w:val="18"/>
                <w:szCs w:val="18"/>
              </w:rPr>
            </w:pPr>
            <w:r w:rsidRPr="0042198A">
              <w:rPr>
                <w:sz w:val="18"/>
                <w:szCs w:val="18"/>
              </w:rPr>
              <w:t xml:space="preserve">Facilitate </w:t>
            </w:r>
            <w:r w:rsidR="00CE68C8" w:rsidRPr="0042198A">
              <w:rPr>
                <w:sz w:val="18"/>
                <w:szCs w:val="18"/>
              </w:rPr>
              <w:t>and</w:t>
            </w:r>
            <w:r w:rsidRPr="0042198A">
              <w:rPr>
                <w:sz w:val="18"/>
                <w:szCs w:val="18"/>
              </w:rPr>
              <w:t xml:space="preserve"> advocate to ensure all existing residential buildings are zero net by 2050</w:t>
            </w:r>
          </w:p>
          <w:p w:rsidR="00CE68C8" w:rsidRPr="0042198A" w:rsidRDefault="00CE68C8" w:rsidP="00A54D9D">
            <w:pPr>
              <w:pStyle w:val="ListParagraph"/>
              <w:autoSpaceDN w:val="0"/>
              <w:spacing w:before="0" w:after="0" w:line="240" w:lineRule="auto"/>
              <w:ind w:left="426"/>
              <w:contextualSpacing/>
              <w:rPr>
                <w:rFonts w:ascii="EYInterstate Light" w:eastAsia="Times New Roman" w:hAnsi="EYInterstate Light"/>
                <w:color w:val="auto"/>
                <w:sz w:val="18"/>
                <w:szCs w:val="18"/>
              </w:rPr>
            </w:pPr>
          </w:p>
          <w:p w:rsidR="00C42936" w:rsidRPr="0042198A" w:rsidRDefault="00C42936" w:rsidP="00C42936">
            <w:pPr>
              <w:pStyle w:val="ListParagraph"/>
              <w:numPr>
                <w:ilvl w:val="0"/>
                <w:numId w:val="77"/>
              </w:numPr>
              <w:autoSpaceDN w:val="0"/>
              <w:spacing w:before="0" w:after="0" w:line="240" w:lineRule="auto"/>
              <w:ind w:left="426"/>
              <w:contextualSpacing/>
              <w:rPr>
                <w:sz w:val="18"/>
                <w:szCs w:val="18"/>
              </w:rPr>
            </w:pPr>
            <w:r w:rsidRPr="0042198A">
              <w:rPr>
                <w:sz w:val="18"/>
                <w:szCs w:val="18"/>
              </w:rPr>
              <w:t xml:space="preserve">Facilitate </w:t>
            </w:r>
            <w:r w:rsidR="00CE68C8" w:rsidRPr="0042198A">
              <w:rPr>
                <w:sz w:val="18"/>
                <w:szCs w:val="18"/>
              </w:rPr>
              <w:t>and</w:t>
            </w:r>
            <w:r w:rsidRPr="0042198A">
              <w:rPr>
                <w:sz w:val="18"/>
                <w:szCs w:val="18"/>
              </w:rPr>
              <w:t xml:space="preserve"> advocate to ensure all existing commercial buildings are zero net by 2050</w:t>
            </w:r>
          </w:p>
          <w:p w:rsidR="009A26A9" w:rsidRPr="0042198A" w:rsidRDefault="009A26A9" w:rsidP="009A26A9">
            <w:pPr>
              <w:autoSpaceDN w:val="0"/>
              <w:spacing w:line="240" w:lineRule="auto"/>
              <w:contextualSpacing/>
              <w:rPr>
                <w:sz w:val="18"/>
                <w:szCs w:val="18"/>
              </w:rPr>
            </w:pPr>
          </w:p>
          <w:p w:rsidR="00C42936" w:rsidRPr="0042198A" w:rsidRDefault="00C42936" w:rsidP="00C42936">
            <w:pPr>
              <w:pStyle w:val="ListParagraph"/>
              <w:numPr>
                <w:ilvl w:val="0"/>
                <w:numId w:val="77"/>
              </w:numPr>
              <w:autoSpaceDN w:val="0"/>
              <w:spacing w:before="0" w:after="0" w:line="240" w:lineRule="auto"/>
              <w:ind w:left="426"/>
              <w:contextualSpacing/>
              <w:rPr>
                <w:sz w:val="18"/>
                <w:szCs w:val="18"/>
              </w:rPr>
            </w:pPr>
            <w:r w:rsidRPr="0042198A">
              <w:rPr>
                <w:sz w:val="18"/>
                <w:szCs w:val="18"/>
              </w:rPr>
              <w:t xml:space="preserve">Take action, collaborate </w:t>
            </w:r>
            <w:r w:rsidR="00CE68C8" w:rsidRPr="0042198A">
              <w:rPr>
                <w:sz w:val="18"/>
                <w:szCs w:val="18"/>
              </w:rPr>
              <w:t xml:space="preserve">and </w:t>
            </w:r>
            <w:r w:rsidRPr="0042198A">
              <w:rPr>
                <w:sz w:val="18"/>
                <w:szCs w:val="18"/>
              </w:rPr>
              <w:t>advocate to ensure all new residential buildings are zero net by 2030</w:t>
            </w:r>
          </w:p>
          <w:p w:rsidR="009A26A9" w:rsidRPr="0042198A" w:rsidRDefault="009A26A9" w:rsidP="009A26A9">
            <w:pPr>
              <w:autoSpaceDN w:val="0"/>
              <w:spacing w:line="240" w:lineRule="auto"/>
              <w:contextualSpacing/>
              <w:rPr>
                <w:sz w:val="18"/>
                <w:szCs w:val="18"/>
              </w:rPr>
            </w:pPr>
          </w:p>
          <w:p w:rsidR="009A26A9" w:rsidRPr="0042198A" w:rsidRDefault="009A26A9" w:rsidP="00A54D9D">
            <w:pPr>
              <w:pStyle w:val="ListParagraph"/>
              <w:numPr>
                <w:ilvl w:val="0"/>
                <w:numId w:val="77"/>
              </w:numPr>
              <w:autoSpaceDN w:val="0"/>
              <w:spacing w:before="0" w:after="0" w:line="240" w:lineRule="auto"/>
              <w:ind w:left="426"/>
              <w:contextualSpacing/>
              <w:rPr>
                <w:sz w:val="18"/>
                <w:szCs w:val="18"/>
              </w:rPr>
            </w:pPr>
            <w:r w:rsidRPr="0042198A">
              <w:rPr>
                <w:sz w:val="18"/>
                <w:szCs w:val="18"/>
              </w:rPr>
              <w:t xml:space="preserve">Facilitate </w:t>
            </w:r>
            <w:r w:rsidR="00CE68C8" w:rsidRPr="0042198A">
              <w:rPr>
                <w:sz w:val="18"/>
                <w:szCs w:val="18"/>
              </w:rPr>
              <w:t>and</w:t>
            </w:r>
            <w:r w:rsidRPr="0042198A">
              <w:rPr>
                <w:sz w:val="18"/>
                <w:szCs w:val="18"/>
              </w:rPr>
              <w:t xml:space="preserve"> advocate to ensure new commercial buildings are zero emissions by 2030</w:t>
            </w:r>
          </w:p>
          <w:p w:rsidR="00C42936" w:rsidRPr="0042198A" w:rsidRDefault="00C42936" w:rsidP="00C42936">
            <w:pPr>
              <w:rPr>
                <w:rFonts w:ascii="Calibri" w:eastAsiaTheme="minorHAnsi" w:hAnsi="Calibri"/>
                <w:color w:val="000000"/>
                <w:sz w:val="18"/>
                <w:szCs w:val="18"/>
                <w:lang w:eastAsia="en-US"/>
              </w:rPr>
            </w:pPr>
          </w:p>
        </w:tc>
        <w:tc>
          <w:tcPr>
            <w:tcW w:w="127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C42936" w:rsidRPr="0042198A" w:rsidRDefault="009D1DFE" w:rsidP="00C42936">
            <w:pPr>
              <w:rPr>
                <w:rFonts w:ascii="Calibri" w:eastAsiaTheme="minorHAnsi" w:hAnsi="Calibri"/>
                <w:color w:val="000000"/>
                <w:sz w:val="18"/>
                <w:szCs w:val="18"/>
                <w:lang w:eastAsia="en-US"/>
              </w:rPr>
            </w:pPr>
            <w:r>
              <w:rPr>
                <w:sz w:val="18"/>
                <w:szCs w:val="18"/>
              </w:rPr>
              <w:t>Significant</w:t>
            </w:r>
          </w:p>
        </w:tc>
        <w:tc>
          <w:tcPr>
            <w:tcW w:w="1588"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C42936" w:rsidRPr="0042198A" w:rsidRDefault="00D054D6" w:rsidP="00C42936">
            <w:pPr>
              <w:rPr>
                <w:sz w:val="18"/>
                <w:szCs w:val="18"/>
              </w:rPr>
            </w:pPr>
            <w:r w:rsidRPr="0042198A">
              <w:rPr>
                <w:sz w:val="18"/>
                <w:szCs w:val="18"/>
              </w:rPr>
              <w:t xml:space="preserve">16.3 </w:t>
            </w:r>
            <w:proofErr w:type="spellStart"/>
            <w:r w:rsidRPr="0042198A">
              <w:rPr>
                <w:sz w:val="18"/>
                <w:szCs w:val="18"/>
              </w:rPr>
              <w:t>Mt</w:t>
            </w:r>
            <w:r w:rsidR="00C42936" w:rsidRPr="0042198A">
              <w:rPr>
                <w:sz w:val="18"/>
                <w:szCs w:val="18"/>
              </w:rPr>
              <w:t>CO</w:t>
            </w:r>
            <w:proofErr w:type="spellEnd"/>
            <w:r w:rsidR="00CE68C8" w:rsidRPr="0042198A">
              <w:rPr>
                <w:sz w:val="18"/>
                <w:szCs w:val="18"/>
                <w:vertAlign w:val="subscript"/>
                <w:lang w:val="en-US"/>
              </w:rPr>
              <w:t>2</w:t>
            </w:r>
            <w:r w:rsidR="00C42936" w:rsidRPr="0042198A">
              <w:rPr>
                <w:sz w:val="18"/>
                <w:szCs w:val="18"/>
              </w:rPr>
              <w:t>-e</w:t>
            </w:r>
          </w:p>
        </w:tc>
        <w:tc>
          <w:tcPr>
            <w:tcW w:w="1418"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C42936" w:rsidRPr="0042198A" w:rsidRDefault="00C42936" w:rsidP="00C42936">
            <w:pPr>
              <w:autoSpaceDN w:val="0"/>
              <w:rPr>
                <w:sz w:val="18"/>
                <w:szCs w:val="18"/>
              </w:rPr>
            </w:pPr>
            <w:r w:rsidRPr="0042198A">
              <w:rPr>
                <w:sz w:val="18"/>
                <w:szCs w:val="18"/>
              </w:rPr>
              <w:t xml:space="preserve">4,103.93 </w:t>
            </w:r>
          </w:p>
        </w:tc>
        <w:tc>
          <w:tcPr>
            <w:tcW w:w="141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C42936" w:rsidRPr="0042198A" w:rsidRDefault="00C42936" w:rsidP="00C42936">
            <w:pPr>
              <w:autoSpaceDN w:val="0"/>
              <w:rPr>
                <w:sz w:val="18"/>
                <w:szCs w:val="18"/>
              </w:rPr>
            </w:pPr>
            <w:r w:rsidRPr="0042198A">
              <w:rPr>
                <w:sz w:val="18"/>
                <w:szCs w:val="18"/>
              </w:rPr>
              <w:t xml:space="preserve">2,209.44 </w:t>
            </w:r>
          </w:p>
        </w:tc>
        <w:tc>
          <w:tcPr>
            <w:tcW w:w="113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C42936" w:rsidRPr="0042198A" w:rsidRDefault="00C42936" w:rsidP="00C42936">
            <w:pPr>
              <w:autoSpaceDN w:val="0"/>
              <w:rPr>
                <w:sz w:val="18"/>
                <w:szCs w:val="18"/>
              </w:rPr>
            </w:pPr>
            <w:r w:rsidRPr="0042198A">
              <w:rPr>
                <w:sz w:val="18"/>
                <w:szCs w:val="18"/>
              </w:rPr>
              <w:t>1.86</w:t>
            </w:r>
          </w:p>
        </w:tc>
      </w:tr>
      <w:tr w:rsidR="00C42936" w:rsidTr="00871A5C">
        <w:trPr>
          <w:trHeight w:val="2367"/>
        </w:trPr>
        <w:tc>
          <w:tcPr>
            <w:tcW w:w="2797" w:type="dxa"/>
            <w:vMerge/>
            <w:tcBorders>
              <w:top w:val="nil"/>
              <w:left w:val="single" w:sz="8" w:space="0" w:color="auto"/>
              <w:bottom w:val="single" w:sz="8" w:space="0" w:color="auto"/>
              <w:right w:val="single" w:sz="8" w:space="0" w:color="auto"/>
            </w:tcBorders>
            <w:vAlign w:val="center"/>
            <w:hideMark/>
          </w:tcPr>
          <w:p w:rsidR="00C42936" w:rsidRPr="0042198A" w:rsidRDefault="00C42936" w:rsidP="00C42936">
            <w:pPr>
              <w:rPr>
                <w:rFonts w:ascii="Calibri" w:eastAsiaTheme="minorHAnsi" w:hAnsi="Calibri"/>
                <w:color w:val="000000"/>
                <w:sz w:val="18"/>
                <w:szCs w:val="18"/>
                <w:lang w:eastAsia="en-US"/>
              </w:rPr>
            </w:pPr>
          </w:p>
        </w:tc>
        <w:tc>
          <w:tcPr>
            <w:tcW w:w="127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C42936" w:rsidRPr="0042198A" w:rsidRDefault="00C42936" w:rsidP="00C42936">
            <w:pPr>
              <w:rPr>
                <w:rFonts w:ascii="Calibri" w:eastAsiaTheme="minorHAnsi" w:hAnsi="Calibri"/>
                <w:color w:val="000000"/>
                <w:sz w:val="18"/>
                <w:szCs w:val="18"/>
                <w:lang w:eastAsia="en-US"/>
              </w:rPr>
            </w:pPr>
            <w:r w:rsidRPr="0042198A">
              <w:rPr>
                <w:sz w:val="18"/>
                <w:szCs w:val="18"/>
              </w:rPr>
              <w:t>Accelerated</w:t>
            </w:r>
          </w:p>
        </w:tc>
        <w:tc>
          <w:tcPr>
            <w:tcW w:w="1588"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C42936" w:rsidRPr="0042198A" w:rsidRDefault="00D054D6" w:rsidP="00C42936">
            <w:pPr>
              <w:rPr>
                <w:sz w:val="18"/>
                <w:szCs w:val="18"/>
              </w:rPr>
            </w:pPr>
            <w:r w:rsidRPr="0042198A">
              <w:rPr>
                <w:sz w:val="18"/>
                <w:szCs w:val="18"/>
              </w:rPr>
              <w:t xml:space="preserve">33.6 </w:t>
            </w:r>
            <w:proofErr w:type="spellStart"/>
            <w:r w:rsidRPr="0042198A">
              <w:rPr>
                <w:sz w:val="18"/>
                <w:szCs w:val="18"/>
              </w:rPr>
              <w:t>Mt</w:t>
            </w:r>
            <w:r w:rsidR="00C42936" w:rsidRPr="0042198A">
              <w:rPr>
                <w:sz w:val="18"/>
                <w:szCs w:val="18"/>
              </w:rPr>
              <w:t>CO</w:t>
            </w:r>
            <w:proofErr w:type="spellEnd"/>
            <w:r w:rsidR="00CE68C8" w:rsidRPr="0042198A">
              <w:rPr>
                <w:sz w:val="18"/>
                <w:szCs w:val="18"/>
                <w:vertAlign w:val="subscript"/>
                <w:lang w:val="en-US"/>
              </w:rPr>
              <w:t>2</w:t>
            </w:r>
            <w:r w:rsidR="00C42936" w:rsidRPr="0042198A">
              <w:rPr>
                <w:sz w:val="18"/>
                <w:szCs w:val="18"/>
              </w:rPr>
              <w:t>-e</w:t>
            </w:r>
          </w:p>
        </w:tc>
        <w:tc>
          <w:tcPr>
            <w:tcW w:w="1418"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C42936" w:rsidRPr="0042198A" w:rsidRDefault="00C42936" w:rsidP="00C42936">
            <w:pPr>
              <w:autoSpaceDN w:val="0"/>
              <w:rPr>
                <w:sz w:val="18"/>
                <w:szCs w:val="18"/>
              </w:rPr>
            </w:pPr>
            <w:r w:rsidRPr="0042198A">
              <w:rPr>
                <w:sz w:val="18"/>
                <w:szCs w:val="18"/>
              </w:rPr>
              <w:t xml:space="preserve">6,031.80 </w:t>
            </w:r>
          </w:p>
        </w:tc>
        <w:tc>
          <w:tcPr>
            <w:tcW w:w="141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C42936" w:rsidRPr="0042198A" w:rsidRDefault="00C42936" w:rsidP="00C42936">
            <w:pPr>
              <w:autoSpaceDN w:val="0"/>
              <w:rPr>
                <w:sz w:val="18"/>
                <w:szCs w:val="18"/>
              </w:rPr>
            </w:pPr>
            <w:r w:rsidRPr="0042198A">
              <w:rPr>
                <w:sz w:val="18"/>
                <w:szCs w:val="18"/>
              </w:rPr>
              <w:t xml:space="preserve">2,752.55 </w:t>
            </w:r>
          </w:p>
        </w:tc>
        <w:tc>
          <w:tcPr>
            <w:tcW w:w="113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C42936" w:rsidRPr="0042198A" w:rsidRDefault="00C42936" w:rsidP="00C42936">
            <w:pPr>
              <w:autoSpaceDN w:val="0"/>
              <w:rPr>
                <w:sz w:val="18"/>
                <w:szCs w:val="18"/>
              </w:rPr>
            </w:pPr>
            <w:r w:rsidRPr="0042198A">
              <w:rPr>
                <w:sz w:val="18"/>
                <w:szCs w:val="18"/>
              </w:rPr>
              <w:t>2.19</w:t>
            </w:r>
          </w:p>
        </w:tc>
      </w:tr>
    </w:tbl>
    <w:p w:rsidR="009D32CE" w:rsidRDefault="009D32CE" w:rsidP="009D32CE">
      <w:pPr>
        <w:rPr>
          <w:rFonts w:ascii="Arial" w:hAnsi="Arial" w:cs="Arial"/>
          <w:color w:val="1F497D"/>
        </w:rPr>
      </w:pPr>
    </w:p>
    <w:p w:rsidR="00DA662F" w:rsidRDefault="00DA662F" w:rsidP="00A54D9D">
      <w:pPr>
        <w:pStyle w:val="BodyText"/>
        <w:spacing w:before="240" w:after="90"/>
        <w:rPr>
          <w:b/>
        </w:rPr>
      </w:pPr>
    </w:p>
    <w:p w:rsidR="00DA662F" w:rsidRDefault="00DA662F" w:rsidP="00A54D9D">
      <w:pPr>
        <w:pStyle w:val="BodyText"/>
        <w:spacing w:before="240" w:after="90"/>
        <w:rPr>
          <w:b/>
        </w:rPr>
      </w:pPr>
    </w:p>
    <w:p w:rsidR="00DA662F" w:rsidRDefault="00DA662F" w:rsidP="00A54D9D">
      <w:pPr>
        <w:pStyle w:val="BodyText"/>
        <w:spacing w:before="240" w:after="90"/>
        <w:rPr>
          <w:b/>
        </w:rPr>
      </w:pPr>
    </w:p>
    <w:p w:rsidR="00DA662F" w:rsidRDefault="00DA662F" w:rsidP="00A54D9D">
      <w:pPr>
        <w:pStyle w:val="BodyText"/>
        <w:spacing w:before="240" w:after="90"/>
        <w:rPr>
          <w:b/>
          <w:bCs/>
        </w:rPr>
      </w:pPr>
    </w:p>
    <w:p w:rsidR="00DA662F" w:rsidRDefault="00DA662F" w:rsidP="00A54D9D">
      <w:pPr>
        <w:pStyle w:val="BodyText"/>
        <w:spacing w:before="240" w:after="90"/>
        <w:rPr>
          <w:b/>
          <w:bCs/>
        </w:rPr>
      </w:pPr>
    </w:p>
    <w:p w:rsidR="00DA662F" w:rsidRDefault="00DA662F" w:rsidP="00A54D9D">
      <w:pPr>
        <w:pStyle w:val="BodyText"/>
        <w:spacing w:before="240" w:after="90"/>
        <w:rPr>
          <w:b/>
          <w:bCs/>
        </w:rPr>
      </w:pPr>
    </w:p>
    <w:p w:rsidR="00DA662F" w:rsidRDefault="00DA662F" w:rsidP="00A54D9D">
      <w:pPr>
        <w:pStyle w:val="BodyText"/>
        <w:spacing w:before="240" w:after="90"/>
        <w:rPr>
          <w:b/>
          <w:bCs/>
        </w:rPr>
      </w:pPr>
    </w:p>
    <w:p w:rsidR="00DA662F" w:rsidRDefault="00DA662F" w:rsidP="00A54D9D">
      <w:pPr>
        <w:pStyle w:val="BodyText"/>
        <w:spacing w:before="240" w:after="90"/>
        <w:rPr>
          <w:b/>
          <w:bCs/>
        </w:rPr>
      </w:pPr>
    </w:p>
    <w:p w:rsidR="00A54D9D" w:rsidRDefault="00A54D9D" w:rsidP="00A54D9D">
      <w:pPr>
        <w:pStyle w:val="BodyText"/>
        <w:spacing w:before="240" w:after="90"/>
        <w:rPr>
          <w:b/>
          <w:bCs/>
        </w:rPr>
      </w:pPr>
    </w:p>
    <w:p w:rsidR="00E32389" w:rsidRDefault="00E32389" w:rsidP="00FE4A42">
      <w:pPr>
        <w:pStyle w:val="Caption"/>
      </w:pPr>
    </w:p>
    <w:p w:rsidR="00FE4A42" w:rsidRDefault="00FE4A42" w:rsidP="00FE4A42">
      <w:pPr>
        <w:pStyle w:val="Caption"/>
      </w:pPr>
      <w:bookmarkStart w:id="173" w:name="_Toc522633205"/>
      <w:r>
        <w:t xml:space="preserve">Figure </w:t>
      </w:r>
      <w:r w:rsidR="00146855">
        <w:rPr>
          <w:noProof/>
        </w:rPr>
        <w:fldChar w:fldCharType="begin"/>
      </w:r>
      <w:r w:rsidR="00146855">
        <w:rPr>
          <w:noProof/>
        </w:rPr>
        <w:instrText xml:space="preserve"> SEQ Figure \* ARABIC </w:instrText>
      </w:r>
      <w:r w:rsidR="00146855">
        <w:rPr>
          <w:noProof/>
        </w:rPr>
        <w:fldChar w:fldCharType="separate"/>
      </w:r>
      <w:r w:rsidR="0039200A">
        <w:rPr>
          <w:noProof/>
        </w:rPr>
        <w:t>10</w:t>
      </w:r>
      <w:r w:rsidR="00146855">
        <w:rPr>
          <w:noProof/>
        </w:rPr>
        <w:fldChar w:fldCharType="end"/>
      </w:r>
      <w:r>
        <w:t xml:space="preserve"> </w:t>
      </w:r>
      <w:r w:rsidR="00FC02C6">
        <w:t>Z</w:t>
      </w:r>
      <w:r w:rsidRPr="009F3F14">
        <w:t>ero emissions buildings and precincts</w:t>
      </w:r>
      <w:bookmarkEnd w:id="173"/>
    </w:p>
    <w:p w:rsidR="007A3B02" w:rsidRDefault="009D1DFE" w:rsidP="00871A5C">
      <w:pPr>
        <w:pStyle w:val="BodyText"/>
      </w:pPr>
      <w:r>
        <w:t>Significant</w:t>
      </w:r>
      <w:r w:rsidR="007A3B02">
        <w:t xml:space="preserve"> action scenario</w:t>
      </w:r>
    </w:p>
    <w:p w:rsidR="007A3B02" w:rsidRPr="007A3B02" w:rsidRDefault="007A3B02" w:rsidP="00871A5C">
      <w:pPr>
        <w:pStyle w:val="BodyText"/>
      </w:pPr>
      <w:r>
        <w:rPr>
          <w:noProof/>
        </w:rPr>
        <w:drawing>
          <wp:inline distT="0" distB="0" distL="0" distR="0" wp14:anchorId="38C26F89" wp14:editId="28B77CCF">
            <wp:extent cx="5353050" cy="2641600"/>
            <wp:effectExtent l="0" t="0" r="0" b="0"/>
            <wp:docPr id="22" name="Chart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66508A" w:rsidRDefault="0066508A" w:rsidP="0066508A">
      <w:pPr>
        <w:spacing w:after="240"/>
        <w:rPr>
          <w:szCs w:val="24"/>
        </w:rPr>
      </w:pPr>
    </w:p>
    <w:p w:rsidR="00084BF3" w:rsidRDefault="00084BF3" w:rsidP="0066508A">
      <w:pPr>
        <w:spacing w:after="240"/>
        <w:rPr>
          <w:szCs w:val="24"/>
        </w:rPr>
      </w:pPr>
    </w:p>
    <w:p w:rsidR="000D4A41" w:rsidRDefault="000D4A41" w:rsidP="0066508A">
      <w:pPr>
        <w:spacing w:after="240"/>
        <w:rPr>
          <w:szCs w:val="24"/>
        </w:rPr>
      </w:pPr>
    </w:p>
    <w:p w:rsidR="007A3B02" w:rsidRDefault="00BC6167" w:rsidP="0066508A">
      <w:pPr>
        <w:spacing w:after="240"/>
        <w:rPr>
          <w:szCs w:val="24"/>
        </w:rPr>
      </w:pPr>
      <w:r>
        <w:rPr>
          <w:szCs w:val="24"/>
        </w:rPr>
        <w:t>A</w:t>
      </w:r>
      <w:r w:rsidR="007A3B02">
        <w:rPr>
          <w:szCs w:val="24"/>
        </w:rPr>
        <w:t>ccelerated action scenario</w:t>
      </w:r>
    </w:p>
    <w:p w:rsidR="007A3B02" w:rsidRDefault="007A3B02" w:rsidP="0066508A">
      <w:pPr>
        <w:spacing w:after="240"/>
        <w:rPr>
          <w:szCs w:val="24"/>
        </w:rPr>
      </w:pPr>
      <w:r>
        <w:rPr>
          <w:noProof/>
        </w:rPr>
        <w:drawing>
          <wp:inline distT="0" distB="0" distL="0" distR="0" wp14:anchorId="67D325FD" wp14:editId="46BB094E">
            <wp:extent cx="5731510" cy="2341880"/>
            <wp:effectExtent l="0" t="0" r="0" b="0"/>
            <wp:docPr id="25" name="Chart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66508A" w:rsidRDefault="0062112C" w:rsidP="00A54D9D">
      <w:pPr>
        <w:spacing w:before="200" w:after="200"/>
        <w:rPr>
          <w:szCs w:val="24"/>
        </w:rPr>
      </w:pPr>
      <w:r>
        <w:rPr>
          <w:szCs w:val="24"/>
        </w:rPr>
        <w:t>Our long-term aim</w:t>
      </w:r>
      <w:r w:rsidR="0066508A">
        <w:rPr>
          <w:szCs w:val="24"/>
        </w:rPr>
        <w:t xml:space="preserve"> is for new and existing, commercial and residential buildings to become carbon neural by 2050 at the latest. This level of ambition supports the aspirations of the Green Building Council as represented in the </w:t>
      </w:r>
      <w:r>
        <w:rPr>
          <w:szCs w:val="24"/>
        </w:rPr>
        <w:t>a</w:t>
      </w:r>
      <w:r w:rsidR="0066508A">
        <w:rPr>
          <w:szCs w:val="24"/>
        </w:rPr>
        <w:t xml:space="preserve">ccelerated </w:t>
      </w:r>
      <w:r>
        <w:rPr>
          <w:szCs w:val="24"/>
        </w:rPr>
        <w:t>a</w:t>
      </w:r>
      <w:r w:rsidR="0066508A">
        <w:rPr>
          <w:szCs w:val="24"/>
        </w:rPr>
        <w:t xml:space="preserve">ction scenario.  </w:t>
      </w:r>
    </w:p>
    <w:p w:rsidR="00EB33E9" w:rsidRDefault="00C42936" w:rsidP="000D1806">
      <w:pPr>
        <w:pStyle w:val="Heading2"/>
        <w:numPr>
          <w:ilvl w:val="0"/>
          <w:numId w:val="0"/>
        </w:numPr>
        <w:ind w:left="851" w:hanging="851"/>
      </w:pPr>
      <w:bookmarkStart w:id="174" w:name="_Toc523238967"/>
      <w:r>
        <w:t>Proposed actions</w:t>
      </w:r>
      <w:bookmarkEnd w:id="174"/>
    </w:p>
    <w:p w:rsidR="000D1806" w:rsidRDefault="000D1806" w:rsidP="000D1806">
      <w:pPr>
        <w:pStyle w:val="BodyText"/>
        <w:numPr>
          <w:ilvl w:val="0"/>
          <w:numId w:val="107"/>
        </w:numPr>
        <w:spacing w:before="60" w:after="60"/>
        <w:ind w:left="360"/>
      </w:pPr>
      <w:r>
        <w:t>Demonstrate innovative carbon positive design and operation of council-owned buildings and precincts.</w:t>
      </w:r>
    </w:p>
    <w:p w:rsidR="000D1806" w:rsidRDefault="000D1806" w:rsidP="000D1806">
      <w:pPr>
        <w:pStyle w:val="ListNumber"/>
        <w:numPr>
          <w:ilvl w:val="0"/>
          <w:numId w:val="107"/>
        </w:numPr>
        <w:spacing w:before="60" w:after="60"/>
        <w:ind w:left="360"/>
        <w:rPr>
          <w:rFonts w:eastAsia="Arial"/>
        </w:rPr>
      </w:pPr>
      <w:r w:rsidRPr="00D054D6">
        <w:t xml:space="preserve">Partner with industry, Victorian and </w:t>
      </w:r>
      <w:r>
        <w:t>Australian</w:t>
      </w:r>
      <w:r w:rsidRPr="00D054D6">
        <w:t xml:space="preserve"> Government ag</w:t>
      </w:r>
      <w:r>
        <w:t>encies to reduce barriers and deliver</w:t>
      </w:r>
      <w:r w:rsidRPr="00D054D6">
        <w:t xml:space="preserve"> zero emissions buildings and </w:t>
      </w:r>
      <w:r>
        <w:t xml:space="preserve">urban renewal </w:t>
      </w:r>
      <w:r w:rsidRPr="00D054D6">
        <w:t>precincts</w:t>
      </w:r>
      <w:r>
        <w:rPr>
          <w:rFonts w:eastAsia="Arial"/>
        </w:rPr>
        <w:t>.</w:t>
      </w:r>
    </w:p>
    <w:p w:rsidR="000D1806" w:rsidRPr="00D517C5" w:rsidRDefault="000D1806" w:rsidP="000D1806">
      <w:pPr>
        <w:pStyle w:val="ListNumber"/>
        <w:numPr>
          <w:ilvl w:val="0"/>
          <w:numId w:val="107"/>
        </w:numPr>
        <w:spacing w:before="60" w:after="60"/>
        <w:ind w:left="360"/>
        <w:rPr>
          <w:rFonts w:eastAsia="Arial"/>
        </w:rPr>
      </w:pPr>
      <w:r>
        <w:rPr>
          <w:rFonts w:ascii="Arial" w:hAnsi="Arial" w:cs="Arial"/>
        </w:rPr>
        <w:t xml:space="preserve">Accelerate existing commercial buildings and tenants’ energy efficiency programs through </w:t>
      </w:r>
      <w:proofErr w:type="spellStart"/>
      <w:r>
        <w:rPr>
          <w:rFonts w:ascii="Arial" w:hAnsi="Arial" w:cs="Arial"/>
        </w:rPr>
        <w:t>CitySwitch</w:t>
      </w:r>
      <w:proofErr w:type="spellEnd"/>
      <w:r>
        <w:rPr>
          <w:rFonts w:ascii="Arial" w:hAnsi="Arial" w:cs="Arial"/>
        </w:rPr>
        <w:t xml:space="preserve"> and other partnerships</w:t>
      </w:r>
    </w:p>
    <w:p w:rsidR="000D1806" w:rsidRDefault="000D1806" w:rsidP="000D1806">
      <w:pPr>
        <w:pStyle w:val="ListNumber"/>
        <w:numPr>
          <w:ilvl w:val="0"/>
          <w:numId w:val="107"/>
        </w:numPr>
        <w:spacing w:before="60" w:after="60"/>
        <w:ind w:left="360"/>
        <w:rPr>
          <w:rFonts w:eastAsia="Arial"/>
        </w:rPr>
      </w:pPr>
      <w:r>
        <w:rPr>
          <w:rFonts w:ascii="Arial" w:hAnsi="Arial" w:cs="Arial"/>
        </w:rPr>
        <w:t>Advocate for energy performance disclosure for a greater range of commercial buildings, plus residential buildings, at the point of lease and point of sale.</w:t>
      </w:r>
    </w:p>
    <w:p w:rsidR="000D1806" w:rsidRPr="00E017A4" w:rsidRDefault="000D1806" w:rsidP="000D1806">
      <w:pPr>
        <w:pStyle w:val="ListNumber"/>
        <w:numPr>
          <w:ilvl w:val="0"/>
          <w:numId w:val="107"/>
        </w:numPr>
        <w:spacing w:before="60" w:after="60"/>
        <w:ind w:left="360"/>
        <w:rPr>
          <w:rFonts w:eastAsia="Arial"/>
        </w:rPr>
      </w:pPr>
      <w:r>
        <w:rPr>
          <w:rFonts w:ascii="Arial" w:hAnsi="Arial" w:cs="Arial"/>
        </w:rPr>
        <w:t>Facilitate the take up of the National Built Environment Rating Scheme for apartments across the municipality.</w:t>
      </w:r>
    </w:p>
    <w:p w:rsidR="000D1806" w:rsidRDefault="000D1806" w:rsidP="000D1806">
      <w:pPr>
        <w:pStyle w:val="ListNumber"/>
        <w:numPr>
          <w:ilvl w:val="0"/>
          <w:numId w:val="107"/>
        </w:numPr>
        <w:spacing w:before="60" w:after="60"/>
        <w:ind w:left="360"/>
        <w:rPr>
          <w:rFonts w:eastAsia="Arial"/>
        </w:rPr>
      </w:pPr>
      <w:r>
        <w:rPr>
          <w:rFonts w:eastAsia="Arial"/>
        </w:rPr>
        <w:t>Renew and implement planning policies to support the development of zero emissions buildings and precincts.</w:t>
      </w:r>
    </w:p>
    <w:p w:rsidR="000D1806" w:rsidRDefault="000D1806" w:rsidP="000D1806">
      <w:pPr>
        <w:pStyle w:val="ListNumber"/>
        <w:numPr>
          <w:ilvl w:val="0"/>
          <w:numId w:val="107"/>
        </w:numPr>
        <w:spacing w:before="60" w:after="60"/>
        <w:ind w:left="360"/>
        <w:rPr>
          <w:rFonts w:eastAsia="Arial"/>
        </w:rPr>
      </w:pPr>
      <w:r>
        <w:rPr>
          <w:rFonts w:eastAsia="Arial"/>
        </w:rPr>
        <w:t>Partner with industry to advocate for higher energy performance standards in the National Construction Code</w:t>
      </w:r>
      <w:r w:rsidR="00C0297C">
        <w:rPr>
          <w:rFonts w:eastAsia="Arial"/>
        </w:rPr>
        <w:t xml:space="preserve">, </w:t>
      </w:r>
      <w:r w:rsidR="00C0297C" w:rsidRPr="00C0297C">
        <w:rPr>
          <w:rFonts w:eastAsia="Arial"/>
          <w:i/>
        </w:rPr>
        <w:t>Building</w:t>
      </w:r>
      <w:r w:rsidR="00B701B7" w:rsidRPr="00C0297C">
        <w:rPr>
          <w:rFonts w:eastAsia="Arial"/>
          <w:i/>
        </w:rPr>
        <w:t xml:space="preserve"> Act</w:t>
      </w:r>
      <w:r w:rsidR="00773283" w:rsidRPr="00C0297C">
        <w:rPr>
          <w:rFonts w:eastAsia="Arial"/>
          <w:i/>
        </w:rPr>
        <w:t xml:space="preserve"> </w:t>
      </w:r>
      <w:r w:rsidR="00C0297C" w:rsidRPr="00C0297C">
        <w:rPr>
          <w:rFonts w:eastAsia="Arial"/>
          <w:i/>
        </w:rPr>
        <w:t>1993</w:t>
      </w:r>
      <w:r w:rsidR="00C0297C">
        <w:rPr>
          <w:rFonts w:eastAsia="Arial"/>
        </w:rPr>
        <w:t xml:space="preserve"> </w:t>
      </w:r>
      <w:r w:rsidR="00773283">
        <w:rPr>
          <w:rFonts w:eastAsia="Arial"/>
        </w:rPr>
        <w:t>and regulations</w:t>
      </w:r>
      <w:r>
        <w:rPr>
          <w:rFonts w:eastAsia="Arial"/>
        </w:rPr>
        <w:t xml:space="preserve">. </w:t>
      </w:r>
    </w:p>
    <w:p w:rsidR="008858B7" w:rsidRDefault="000D1806" w:rsidP="008858B7">
      <w:pPr>
        <w:pStyle w:val="ListNumber"/>
        <w:numPr>
          <w:ilvl w:val="0"/>
          <w:numId w:val="107"/>
        </w:numPr>
        <w:spacing w:before="60" w:after="60"/>
        <w:ind w:left="360"/>
      </w:pPr>
      <w:r w:rsidRPr="00D054D6">
        <w:rPr>
          <w:rFonts w:eastAsia="Arial"/>
        </w:rPr>
        <w:t>Advocate and facilitate to transition from gas to electricity</w:t>
      </w:r>
      <w:r>
        <w:rPr>
          <w:rFonts w:eastAsia="Arial"/>
        </w:rPr>
        <w:t xml:space="preserve"> in buildings and precincts.</w:t>
      </w:r>
    </w:p>
    <w:p w:rsidR="008858B7" w:rsidRDefault="008858B7" w:rsidP="008858B7">
      <w:pPr>
        <w:pStyle w:val="ListNumber"/>
        <w:numPr>
          <w:ilvl w:val="0"/>
          <w:numId w:val="107"/>
        </w:numPr>
        <w:spacing w:before="60" w:after="60"/>
        <w:ind w:left="360"/>
      </w:pPr>
      <w:r>
        <w:t>Adopt c</w:t>
      </w:r>
      <w:r w:rsidRPr="00115BD5">
        <w:t>ircular economy</w:t>
      </w:r>
      <w:r>
        <w:t xml:space="preserve"> principles to reduce the environmental impact and embodied emissions from products, materials and buildings across the city through procurement, urban design and planning.</w:t>
      </w:r>
    </w:p>
    <w:p w:rsidR="00E348D7" w:rsidRPr="00AD4C7F" w:rsidRDefault="00E348D7" w:rsidP="00E348D7">
      <w:pPr>
        <w:spacing w:before="200" w:after="200"/>
      </w:pPr>
      <w:r>
        <w:t>The above list is a set of indicative actions to address this strategic priority. This list is not exhaustive or final and will be subject to the City of Melbourne’s</w:t>
      </w:r>
      <w:r w:rsidRPr="00CB2077">
        <w:t xml:space="preserve"> Annual Plan and Budget</w:t>
      </w:r>
      <w:r>
        <w:t xml:space="preserve"> process</w:t>
      </w:r>
      <w:r w:rsidRPr="00CB2077">
        <w:t>.</w:t>
      </w:r>
    </w:p>
    <w:p w:rsidR="000D1806" w:rsidRPr="00EB32AF" w:rsidRDefault="0006418E" w:rsidP="00EB33E9">
      <w:pPr>
        <w:pStyle w:val="BodyText"/>
      </w:pPr>
      <w:r>
        <w:rPr>
          <w:rFonts w:ascii="Times New Roman" w:hAnsi="Times New Roman"/>
          <w:noProof/>
          <w:color w:val="auto"/>
          <w:sz w:val="24"/>
          <w:szCs w:val="24"/>
        </w:rPr>
        <mc:AlternateContent>
          <mc:Choice Requires="wps">
            <w:drawing>
              <wp:anchor distT="0" distB="0" distL="114300" distR="114300" simplePos="0" relativeHeight="251666944" behindDoc="0" locked="0" layoutInCell="1" allowOverlap="1" wp14:anchorId="0D35856B" wp14:editId="07716BCD">
                <wp:simplePos x="0" y="0"/>
                <wp:positionH relativeFrom="column">
                  <wp:posOffset>4389</wp:posOffset>
                </wp:positionH>
                <wp:positionV relativeFrom="paragraph">
                  <wp:posOffset>36692</wp:posOffset>
                </wp:positionV>
                <wp:extent cx="5295600" cy="2185200"/>
                <wp:effectExtent l="0" t="0" r="19685" b="24765"/>
                <wp:wrapNone/>
                <wp:docPr id="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95600" cy="2185200"/>
                        </a:xfrm>
                        <a:prstGeom prst="rect">
                          <a:avLst/>
                        </a:prstGeom>
                        <a:solidFill>
                          <a:srgbClr val="FFFFFF"/>
                        </a:solidFill>
                        <a:ln w="9525">
                          <a:solidFill>
                            <a:srgbClr val="000000"/>
                          </a:solidFill>
                          <a:miter lim="800000"/>
                          <a:headEnd/>
                          <a:tailEnd/>
                        </a:ln>
                      </wps:spPr>
                      <wps:txbx>
                        <w:txbxContent>
                          <w:p w:rsidR="00B75FD4" w:rsidRDefault="00B75FD4" w:rsidP="0006418E">
                            <w:pPr>
                              <w:shd w:val="clear" w:color="auto" w:fill="FFFFFF"/>
                              <w:spacing w:before="200" w:after="200" w:line="240" w:lineRule="atLeast"/>
                              <w:rPr>
                                <w:rFonts w:ascii="Arial" w:hAnsi="Arial" w:cs="Arial"/>
                                <w:color w:val="000000"/>
                                <w:lang w:eastAsia="en-US"/>
                              </w:rPr>
                            </w:pPr>
                            <w:r>
                              <w:rPr>
                                <w:rFonts w:ascii="Arial" w:hAnsi="Arial" w:cs="Arial"/>
                                <w:b/>
                                <w:bCs/>
                                <w:color w:val="000000"/>
                                <w:lang w:eastAsia="en-US"/>
                              </w:rPr>
                              <w:t>Case study: Greening our buildings</w:t>
                            </w:r>
                          </w:p>
                          <w:p w:rsidR="00B75FD4" w:rsidRDefault="00B75FD4" w:rsidP="0006418E">
                            <w:r>
                              <w:t>The Council House 2 is Australia's first 6 Star Green Star building. The office building is 10 storeys and houses around 600 employees. It includes sustainable materials, water and energy saving technology, a green roof garden and bike storage and changing facilities in the basement to promote cycling. Energy consumption per employee in Council House 2 is less than half of consumption in Council House 1, which was built in 1970. The City of Melbourne has progressively increased the number of Green Star rated buildings in our portfolio. Examples include East Melbourne Library, Art Play, and Library at the Dock, which was awarded 6 Star Green Star for its design.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8" o:spid="_x0000_s1030" type="#_x0000_t202" style="position:absolute;margin-left:.35pt;margin-top:2.9pt;width:417pt;height:172.0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RVqJQIAAEwEAAAOAAAAZHJzL2Uyb0RvYy54bWysVNuO2yAQfa/Uf0C8N3aseLux4qy22aaq&#10;tL1Iu/0AjHGMCgwFEjv9+g44m01vL1X9gBhmODOcM+PVzagVOQjnJZiazmc5JcJwaKXZ1fTL4/bV&#10;NSU+MNMyBUbU9Cg8vVm/fLEabCUK6EG1whEEMb4abE37EGyVZZ73QjM/AysMOjtwmgU03S5rHRsQ&#10;XausyPOrbADXWgdceI+nd5OTrhN+1wkePnWdF4GommJtIa0urU1cs/WKVTvHbC/5qQz2D1VoJg0m&#10;PUPdscDI3snfoLTkDjx0YcZBZ9B1kov0BnzNPP/lNQ89syK9Bcnx9kyT/3+w/OPhsyOyrSkKZZhG&#10;iR7FGMgbGMl1ZGewvsKgB4thYcRjVDm91Nt74F89MbDpmdmJW+dg6AVrsbp5vJldXJ1wfARphg/Q&#10;Yhq2D5CAxs7pSB2SQRAdVTqelYmlcDwsi2V5laOLo6+YX5eofcrBqqfr1vnwToAmcVNTh9IneHa4&#10;9yGWw6qnkJjNg5LtViqVDLdrNsqRA8M22abvhP5TmDJkqOmyLMqJgb9C5On7E4SWAftdSY2En4NY&#10;FXl7a9rUjYFJNe2xZGVOREbuJhbD2IxJsUVMEEluoD0isw6m9sZxxE0P7jslA7Z2Tf23PXOCEvXe&#10;oDrL+WIRZyEZi/J1gYa79DSXHmY4QtU0UDJtNyHNT+TNwC2q2MnE73Mlp5KxZRPtp/GKM3Fpp6jn&#10;n8D6BwAAAP//AwBQSwMEFAAGAAgAAAAhAHyNoezbAAAABgEAAA8AAABkcnMvZG93bnJldi54bWxM&#10;jsFOwzAQRO9I/IO1SFwQdSChTUI2FUIC0RsUBFc3dpOIeB1sNw1/z3KC42hGb161nu0gJuND7wjh&#10;apGAMNQ43VOL8Pb6cJmDCFGRVoMjg/BtAqzr05NKldod6cVM29gKhlAoFUIX41hKGZrOWBUWbjTE&#10;3d55qyJH30rt1ZHhdpDXSbKUVvXED50azX1nms/twSLk2dP0ETbp83uz3A9FvFhNj18e8fxsvrsF&#10;Ec0c/8bwq8/qULPTzh1IBzEgrHiHcMP6XOZpxnmHkGZFAbKu5H/9+gcAAP//AwBQSwECLQAUAAYA&#10;CAAAACEAtoM4kv4AAADhAQAAEwAAAAAAAAAAAAAAAAAAAAAAW0NvbnRlbnRfVHlwZXNdLnhtbFBL&#10;AQItABQABgAIAAAAIQA4/SH/1gAAAJQBAAALAAAAAAAAAAAAAAAAAC8BAABfcmVscy8ucmVsc1BL&#10;AQItABQABgAIAAAAIQDYKRVqJQIAAEwEAAAOAAAAAAAAAAAAAAAAAC4CAABkcnMvZTJvRG9jLnht&#10;bFBLAQItABQABgAIAAAAIQB8jaHs2wAAAAYBAAAPAAAAAAAAAAAAAAAAAH8EAABkcnMvZG93bnJl&#10;di54bWxQSwUGAAAAAAQABADzAAAAhwUAAAAA&#10;">
                <v:textbox>
                  <w:txbxContent>
                    <w:p w:rsidR="00B75FD4" w:rsidRDefault="00B75FD4" w:rsidP="0006418E">
                      <w:pPr>
                        <w:shd w:val="clear" w:color="auto" w:fill="FFFFFF"/>
                        <w:spacing w:before="200" w:after="200" w:line="240" w:lineRule="atLeast"/>
                        <w:rPr>
                          <w:rFonts w:ascii="Arial" w:hAnsi="Arial" w:cs="Arial"/>
                          <w:color w:val="000000"/>
                          <w:lang w:eastAsia="en-US"/>
                        </w:rPr>
                      </w:pPr>
                      <w:r>
                        <w:rPr>
                          <w:rFonts w:ascii="Arial" w:hAnsi="Arial" w:cs="Arial"/>
                          <w:b/>
                          <w:bCs/>
                          <w:color w:val="000000"/>
                          <w:lang w:eastAsia="en-US"/>
                        </w:rPr>
                        <w:t>Case study: Greening our buildings</w:t>
                      </w:r>
                    </w:p>
                    <w:p w:rsidR="00B75FD4" w:rsidRDefault="00B75FD4" w:rsidP="0006418E">
                      <w:r>
                        <w:t>The Council House 2 is Australia's first 6 Star Green Star building. The office building is 10 storeys and houses around 600 employees. It includes sustainable materials, water and energy saving technology, a green roof garden and bike storage and changing facilities in the basement to promote cycling. Energy consumption per employee in Council House 2 is less than half of consumption in Council House 1, which was built in 1970. The City of Melbourne has progressively increased the number of Green Star rated buildings in our portfolio. Examples include East Melbourne Library, Art Play, and Library at the Dock, which was awarded 6 Star Green Star for its design.</w:t>
                      </w:r>
                    </w:p>
                  </w:txbxContent>
                </v:textbox>
              </v:shape>
            </w:pict>
          </mc:Fallback>
        </mc:AlternateContent>
      </w:r>
    </w:p>
    <w:p w:rsidR="00DD3E1B" w:rsidRDefault="00E93F71" w:rsidP="00E93F71">
      <w:pPr>
        <w:pStyle w:val="Heading1"/>
        <w:numPr>
          <w:ilvl w:val="0"/>
          <w:numId w:val="0"/>
        </w:numPr>
      </w:pPr>
      <w:bookmarkStart w:id="175" w:name="_Toc520749124"/>
      <w:bookmarkStart w:id="176" w:name="_Toc523238968"/>
      <w:bookmarkEnd w:id="172"/>
      <w:r>
        <w:t xml:space="preserve">Priority 3: </w:t>
      </w:r>
      <w:r w:rsidR="00926725">
        <w:t>Zero emissions</w:t>
      </w:r>
      <w:r w:rsidR="00CA2C09">
        <w:t xml:space="preserve"> transport</w:t>
      </w:r>
      <w:bookmarkEnd w:id="175"/>
      <w:bookmarkEnd w:id="176"/>
    </w:p>
    <w:p w:rsidR="00224412" w:rsidRDefault="00224412" w:rsidP="00E93F71">
      <w:pPr>
        <w:pStyle w:val="Heading2"/>
        <w:numPr>
          <w:ilvl w:val="0"/>
          <w:numId w:val="0"/>
        </w:numPr>
        <w:ind w:left="851" w:hanging="851"/>
      </w:pPr>
      <w:bookmarkStart w:id="177" w:name="_Toc520749125"/>
      <w:bookmarkStart w:id="178" w:name="_Toc523238969"/>
      <w:r>
        <w:t>The story so far</w:t>
      </w:r>
      <w:bookmarkEnd w:id="177"/>
      <w:bookmarkEnd w:id="178"/>
    </w:p>
    <w:p w:rsidR="00A4199D" w:rsidRDefault="00A4199D" w:rsidP="00A4199D">
      <w:pPr>
        <w:pStyle w:val="BodyText"/>
      </w:pPr>
      <w:r>
        <w:t xml:space="preserve">Transport accounts for </w:t>
      </w:r>
      <w:r w:rsidR="00844E17">
        <w:t>15 per cent</w:t>
      </w:r>
      <w:r>
        <w:t xml:space="preserve"> of </w:t>
      </w:r>
      <w:r w:rsidR="00D30AAE">
        <w:t xml:space="preserve">the city’s </w:t>
      </w:r>
      <w:r>
        <w:t xml:space="preserve">emissions, the majority from private cars and freight that drive across the city. Public transport into the city also contributes to </w:t>
      </w:r>
      <w:r w:rsidR="00D30AAE">
        <w:t xml:space="preserve">Melbourne’s </w:t>
      </w:r>
      <w:r>
        <w:t>emission</w:t>
      </w:r>
      <w:r w:rsidR="00D30AAE">
        <w:t>s</w:t>
      </w:r>
      <w:r>
        <w:t xml:space="preserve"> profile. </w:t>
      </w:r>
      <w:r w:rsidR="00FD72E5">
        <w:t>The city’s t</w:t>
      </w:r>
      <w:r>
        <w:t xml:space="preserve">rams </w:t>
      </w:r>
      <w:r w:rsidR="00FD72E5">
        <w:t xml:space="preserve">will soon be </w:t>
      </w:r>
      <w:r w:rsidR="005F7EC9">
        <w:t>powered by</w:t>
      </w:r>
      <w:r w:rsidR="00FD72E5">
        <w:t xml:space="preserve"> </w:t>
      </w:r>
      <w:r>
        <w:t>solar</w:t>
      </w:r>
      <w:r w:rsidR="005F7EC9">
        <w:t xml:space="preserve"> energy</w:t>
      </w:r>
      <w:r w:rsidR="00FD72E5">
        <w:t>,</w:t>
      </w:r>
      <w:r>
        <w:t xml:space="preserve"> yet trains still source their power from </w:t>
      </w:r>
      <w:r w:rsidR="00FD72E5">
        <w:t xml:space="preserve">by </w:t>
      </w:r>
      <w:r>
        <w:t>coal</w:t>
      </w:r>
      <w:r w:rsidR="005F7EC9">
        <w:t>-fired</w:t>
      </w:r>
      <w:r>
        <w:t xml:space="preserve"> power. </w:t>
      </w:r>
    </w:p>
    <w:p w:rsidR="00353422" w:rsidRDefault="004E456D" w:rsidP="00224412">
      <w:pPr>
        <w:pStyle w:val="BodyText"/>
      </w:pPr>
      <w:r>
        <w:t>Melbourne has a large week day population of 900,000 people</w:t>
      </w:r>
      <w:r w:rsidR="00844E17">
        <w:t>, including workers, tourists and residents, who</w:t>
      </w:r>
      <w:r>
        <w:t xml:space="preserve"> cycl</w:t>
      </w:r>
      <w:r w:rsidR="00844E17">
        <w:t>e, use</w:t>
      </w:r>
      <w:r>
        <w:t xml:space="preserve"> public transport, and driv</w:t>
      </w:r>
      <w:r w:rsidR="00844E17">
        <w:t>e</w:t>
      </w:r>
      <w:r>
        <w:t xml:space="preserve"> to the city from the surrounding suburbs.</w:t>
      </w:r>
    </w:p>
    <w:p w:rsidR="00FB342D" w:rsidRDefault="00FB342D" w:rsidP="00FB342D">
      <w:pPr>
        <w:pStyle w:val="BodyText"/>
      </w:pPr>
      <w:r>
        <w:t>Our city also has an extensive network of pedes</w:t>
      </w:r>
      <w:r w:rsidR="000B57F5">
        <w:t xml:space="preserve">trian laneways </w:t>
      </w:r>
      <w:r>
        <w:t>that contribute to Melbourne’s retail and café culture. Swanston and Bourke streets are partially closed to traffic and they support major retail precincts in the city. Many people enjoy walking and recreation in public parks and gardens</w:t>
      </w:r>
      <w:r w:rsidR="00692C11">
        <w:t>. However, c</w:t>
      </w:r>
      <w:r w:rsidR="005009CE">
        <w:t xml:space="preserve">ycling levels remain </w:t>
      </w:r>
      <w:r w:rsidR="00692C11">
        <w:t>static</w:t>
      </w:r>
      <w:r>
        <w:t>,</w:t>
      </w:r>
      <w:r w:rsidR="005009CE">
        <w:t xml:space="preserve"> and cycle routes across the city are patchy.</w:t>
      </w:r>
      <w:r>
        <w:t xml:space="preserve"> </w:t>
      </w:r>
    </w:p>
    <w:p w:rsidR="00FB342D" w:rsidRDefault="00FB342D" w:rsidP="00FB342D">
      <w:pPr>
        <w:pStyle w:val="BodyText"/>
      </w:pPr>
      <w:r>
        <w:t>The Victorian Government has invested in major new rail infrastructure for Melbourne</w:t>
      </w:r>
      <w:r w:rsidR="00FD72E5">
        <w:t>. T</w:t>
      </w:r>
      <w:r>
        <w:t>he City of Melbourne is actively involved in planning the public space and infrastructure needed to support pedestrian access to the new train stations.</w:t>
      </w:r>
    </w:p>
    <w:p w:rsidR="002C77D7" w:rsidRDefault="002C77D7" w:rsidP="00E93F71">
      <w:pPr>
        <w:pStyle w:val="Heading2"/>
        <w:numPr>
          <w:ilvl w:val="0"/>
          <w:numId w:val="0"/>
        </w:numPr>
        <w:ind w:left="851" w:hanging="851"/>
      </w:pPr>
      <w:bookmarkStart w:id="179" w:name="_Toc518850878"/>
      <w:bookmarkStart w:id="180" w:name="_Toc518851950"/>
      <w:bookmarkStart w:id="181" w:name="_Toc518855573"/>
      <w:bookmarkStart w:id="182" w:name="_Toc520749126"/>
      <w:bookmarkStart w:id="183" w:name="_Toc523238970"/>
      <w:bookmarkEnd w:id="179"/>
      <w:bookmarkEnd w:id="180"/>
      <w:bookmarkEnd w:id="181"/>
      <w:r>
        <w:t>Challenges</w:t>
      </w:r>
      <w:bookmarkEnd w:id="182"/>
      <w:bookmarkEnd w:id="183"/>
      <w:r>
        <w:t xml:space="preserve"> </w:t>
      </w:r>
    </w:p>
    <w:p w:rsidR="00FC13F8" w:rsidRDefault="008927A2" w:rsidP="00A15099">
      <w:pPr>
        <w:pStyle w:val="BodyText"/>
      </w:pPr>
      <w:r>
        <w:t>Melbourne</w:t>
      </w:r>
      <w:r w:rsidR="00FB342D">
        <w:t xml:space="preserve"> already experience</w:t>
      </w:r>
      <w:r w:rsidR="00A80662">
        <w:t>s</w:t>
      </w:r>
      <w:r w:rsidR="00FB342D">
        <w:t xml:space="preserve"> significant overcrowding at </w:t>
      </w:r>
      <w:r w:rsidR="00E33A86">
        <w:t xml:space="preserve">various </w:t>
      </w:r>
      <w:r w:rsidR="00FB342D">
        <w:t>locations due to substantial growth in the number of people walking</w:t>
      </w:r>
      <w:r w:rsidR="00844E17">
        <w:t>,</w:t>
      </w:r>
      <w:r w:rsidR="00E33A86">
        <w:t xml:space="preserve"> and limited pedestrian space</w:t>
      </w:r>
      <w:r w:rsidR="00FB342D">
        <w:t xml:space="preserve">. </w:t>
      </w:r>
      <w:r w:rsidR="00D30AAE">
        <w:t xml:space="preserve">The </w:t>
      </w:r>
      <w:r>
        <w:t>City of Melbourne</w:t>
      </w:r>
      <w:r w:rsidR="00FB342D">
        <w:t xml:space="preserve"> need</w:t>
      </w:r>
      <w:r w:rsidR="00D30AAE">
        <w:t>s</w:t>
      </w:r>
      <w:r w:rsidR="00FB342D">
        <w:t xml:space="preserve"> to widen</w:t>
      </w:r>
      <w:r w:rsidR="00E33A86">
        <w:t xml:space="preserve"> </w:t>
      </w:r>
      <w:r w:rsidR="00FB342D">
        <w:t xml:space="preserve">footpaths to accommodate the number of pedestrians. Currently, at the street-level, </w:t>
      </w:r>
      <w:r w:rsidR="00D30AAE">
        <w:t xml:space="preserve">more </w:t>
      </w:r>
      <w:r w:rsidR="00FB342D">
        <w:t xml:space="preserve">public space </w:t>
      </w:r>
      <w:r w:rsidR="00D30AAE">
        <w:t xml:space="preserve">is </w:t>
      </w:r>
      <w:r w:rsidR="00FB342D">
        <w:t xml:space="preserve">allocated to driving and parking cars than walking and cycling, even though the number of people walking and cycling is far greater. </w:t>
      </w:r>
    </w:p>
    <w:p w:rsidR="00FC13F8" w:rsidRDefault="00FC13F8" w:rsidP="00FC13F8">
      <w:pPr>
        <w:pStyle w:val="BodyText"/>
      </w:pPr>
      <w:r>
        <w:t>The biggest barrier to increasing the proportion of people riding bicycles is safety. Current routes with dedicated cycle lanes are poorly connected</w:t>
      </w:r>
      <w:r w:rsidR="00FD72E5">
        <w:t xml:space="preserve">. Having only a </w:t>
      </w:r>
      <w:r w:rsidR="00AE5383">
        <w:t>few physically</w:t>
      </w:r>
      <w:r w:rsidR="00C90F6D">
        <w:t xml:space="preserve"> protected lanes</w:t>
      </w:r>
      <w:r w:rsidR="00844E17">
        <w:t xml:space="preserve"> </w:t>
      </w:r>
      <w:r>
        <w:t>contribute</w:t>
      </w:r>
      <w:r w:rsidR="00AE5383">
        <w:t>s</w:t>
      </w:r>
      <w:r>
        <w:t xml:space="preserve"> to a</w:t>
      </w:r>
      <w:r w:rsidR="00934C9E">
        <w:t>n</w:t>
      </w:r>
      <w:r>
        <w:t xml:space="preserve"> </w:t>
      </w:r>
      <w:r w:rsidR="00C90F6D">
        <w:t>unnecessar</w:t>
      </w:r>
      <w:r w:rsidR="00AE5383">
        <w:t>ily</w:t>
      </w:r>
      <w:r w:rsidR="00C90F6D">
        <w:t xml:space="preserve"> </w:t>
      </w:r>
      <w:r>
        <w:t>stressful experience for people riding bicycles in Melbourne.</w:t>
      </w:r>
    </w:p>
    <w:p w:rsidR="00FC13F8" w:rsidRDefault="00FC13F8" w:rsidP="00FC13F8">
      <w:pPr>
        <w:pStyle w:val="BodyText"/>
      </w:pPr>
      <w:r>
        <w:t>As climate change becomes more severe</w:t>
      </w:r>
      <w:r w:rsidR="005009CE">
        <w:t xml:space="preserve">, the city </w:t>
      </w:r>
      <w:r>
        <w:t>need</w:t>
      </w:r>
      <w:r w:rsidR="005009CE">
        <w:t>s</w:t>
      </w:r>
      <w:r>
        <w:t xml:space="preserve"> to prepare for the impact of increased temperatures, flood and drought on people walking, cycling and using public transport. Increasing green infrastructure can cool the city, reduce the impact of floods and provide shade and respite for people while they are travelling around the city. Particular attention can be given to intersections exposed to direct sun, which become hotspots during heatwaves. </w:t>
      </w:r>
      <w:r w:rsidR="00AE5383">
        <w:t>By reducing waiting times p</w:t>
      </w:r>
      <w:r>
        <w:t xml:space="preserve">riority could be given to people walking, riding bicycles and using public transport at </w:t>
      </w:r>
      <w:r w:rsidR="00AE5383">
        <w:t xml:space="preserve">these </w:t>
      </w:r>
      <w:r>
        <w:t>intersections</w:t>
      </w:r>
      <w:r w:rsidR="00C90F6D">
        <w:t>, reducing waiting times and exposure to the weather</w:t>
      </w:r>
      <w:r>
        <w:t>.</w:t>
      </w:r>
    </w:p>
    <w:p w:rsidR="00154CCB" w:rsidRDefault="00FC13F8" w:rsidP="00154CCB">
      <w:pPr>
        <w:pStyle w:val="BodyText"/>
        <w:rPr>
          <w:color w:val="auto"/>
        </w:rPr>
      </w:pPr>
      <w:r>
        <w:t xml:space="preserve">The majority of transport emissions are still from private cars and freight </w:t>
      </w:r>
      <w:r w:rsidR="00AE5383">
        <w:t xml:space="preserve">vehicles </w:t>
      </w:r>
      <w:r>
        <w:t xml:space="preserve">that drive across the city on the freeways. </w:t>
      </w:r>
      <w:r w:rsidR="00154CCB">
        <w:rPr>
          <w:color w:val="auto"/>
        </w:rPr>
        <w:t xml:space="preserve">In the short term, the electrification of vehicles will increase emissions until there is adequate supply of renewable energy in the electricity grid. In the long term, cars, buses and commercial vehicles will need </w:t>
      </w:r>
      <w:r w:rsidR="00FD72E5">
        <w:rPr>
          <w:color w:val="auto"/>
        </w:rPr>
        <w:t xml:space="preserve">to be </w:t>
      </w:r>
      <w:r w:rsidR="00154CCB">
        <w:rPr>
          <w:color w:val="auto"/>
        </w:rPr>
        <w:t xml:space="preserve">powered </w:t>
      </w:r>
      <w:r w:rsidR="00FD72E5">
        <w:rPr>
          <w:color w:val="auto"/>
        </w:rPr>
        <w:t xml:space="preserve">by </w:t>
      </w:r>
      <w:r w:rsidR="00154CCB">
        <w:rPr>
          <w:color w:val="auto"/>
        </w:rPr>
        <w:t xml:space="preserve">100 per cent renewable energy to reduce emissions in line with the Paris Climate Agreement. </w:t>
      </w:r>
      <w:r w:rsidR="00692BE1">
        <w:rPr>
          <w:color w:val="auto"/>
        </w:rPr>
        <w:t>This w</w:t>
      </w:r>
      <w:r w:rsidR="00FD72E5">
        <w:rPr>
          <w:color w:val="auto"/>
        </w:rPr>
        <w:t xml:space="preserve">ill also improve </w:t>
      </w:r>
      <w:r w:rsidR="00692BE1">
        <w:rPr>
          <w:color w:val="auto"/>
        </w:rPr>
        <w:t>air quality</w:t>
      </w:r>
      <w:r w:rsidR="00FD72E5">
        <w:rPr>
          <w:color w:val="auto"/>
        </w:rPr>
        <w:t>.</w:t>
      </w:r>
      <w:r w:rsidR="00692BE1">
        <w:rPr>
          <w:color w:val="auto"/>
        </w:rPr>
        <w:t xml:space="preserve"> </w:t>
      </w:r>
    </w:p>
    <w:p w:rsidR="008766B1" w:rsidRDefault="008766B1" w:rsidP="00E93F71">
      <w:pPr>
        <w:pStyle w:val="Heading2"/>
        <w:numPr>
          <w:ilvl w:val="0"/>
          <w:numId w:val="0"/>
        </w:numPr>
        <w:ind w:left="851" w:hanging="851"/>
      </w:pPr>
      <w:bookmarkStart w:id="184" w:name="_Toc518850880"/>
      <w:bookmarkStart w:id="185" w:name="_Toc518851952"/>
      <w:bookmarkStart w:id="186" w:name="_Toc518855575"/>
      <w:bookmarkStart w:id="187" w:name="_Toc518850881"/>
      <w:bookmarkStart w:id="188" w:name="_Toc518851953"/>
      <w:bookmarkStart w:id="189" w:name="_Toc518855576"/>
      <w:bookmarkStart w:id="190" w:name="_Toc518850885"/>
      <w:bookmarkStart w:id="191" w:name="_Toc518851957"/>
      <w:bookmarkStart w:id="192" w:name="_Toc518855580"/>
      <w:bookmarkStart w:id="193" w:name="_Toc518850886"/>
      <w:bookmarkStart w:id="194" w:name="_Toc518851958"/>
      <w:bookmarkStart w:id="195" w:name="_Toc518855581"/>
      <w:bookmarkStart w:id="196" w:name="_Toc518850887"/>
      <w:bookmarkStart w:id="197" w:name="_Toc518851959"/>
      <w:bookmarkStart w:id="198" w:name="_Toc518855582"/>
      <w:bookmarkStart w:id="199" w:name="_Toc518850889"/>
      <w:bookmarkStart w:id="200" w:name="_Toc518851961"/>
      <w:bookmarkStart w:id="201" w:name="_Toc518855584"/>
      <w:bookmarkStart w:id="202" w:name="_Toc520749127"/>
      <w:bookmarkStart w:id="203" w:name="_Toc523238971"/>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r>
        <w:t>Strategic opportunities</w:t>
      </w:r>
      <w:bookmarkEnd w:id="202"/>
      <w:bookmarkEnd w:id="203"/>
    </w:p>
    <w:p w:rsidR="00FC13F8" w:rsidRDefault="00FC13F8" w:rsidP="00FC13F8">
      <w:pPr>
        <w:pStyle w:val="BodyText"/>
        <w:rPr>
          <w:color w:val="auto"/>
        </w:rPr>
      </w:pPr>
      <w:r w:rsidRPr="00845353">
        <w:rPr>
          <w:color w:val="auto"/>
        </w:rPr>
        <w:t>Melbourne’s rapid population growth means investment in the Melbourne Metro project will only keep up with demand</w:t>
      </w:r>
      <w:r w:rsidR="00FE5841">
        <w:rPr>
          <w:color w:val="auto"/>
        </w:rPr>
        <w:t xml:space="preserve"> for train travel</w:t>
      </w:r>
      <w:r w:rsidRPr="00845353">
        <w:rPr>
          <w:color w:val="auto"/>
        </w:rPr>
        <w:t xml:space="preserve">. </w:t>
      </w:r>
    </w:p>
    <w:p w:rsidR="00FC13F8" w:rsidRDefault="00154CCB" w:rsidP="00FC13F8">
      <w:pPr>
        <w:pStyle w:val="BodyText"/>
        <w:rPr>
          <w:color w:val="auto"/>
        </w:rPr>
      </w:pPr>
      <w:r>
        <w:rPr>
          <w:color w:val="auto"/>
        </w:rPr>
        <w:t>S</w:t>
      </w:r>
      <w:r w:rsidR="00FC13F8" w:rsidRPr="00CD1EF5">
        <w:rPr>
          <w:color w:val="auto"/>
        </w:rPr>
        <w:t>ubstantial investment in walking, cycling and public transport</w:t>
      </w:r>
      <w:r w:rsidR="00FC13F8">
        <w:rPr>
          <w:color w:val="auto"/>
        </w:rPr>
        <w:t>,</w:t>
      </w:r>
      <w:r w:rsidR="00FC13F8" w:rsidRPr="00CD1EF5">
        <w:rPr>
          <w:color w:val="auto"/>
        </w:rPr>
        <w:t xml:space="preserve"> and better use of existing infrastructure</w:t>
      </w:r>
      <w:r w:rsidR="00427323">
        <w:rPr>
          <w:color w:val="auto"/>
        </w:rPr>
        <w:t>,</w:t>
      </w:r>
      <w:r w:rsidR="00FC13F8" w:rsidRPr="00CD1EF5">
        <w:rPr>
          <w:color w:val="auto"/>
        </w:rPr>
        <w:t xml:space="preserve"> is needed to </w:t>
      </w:r>
      <w:r w:rsidRPr="00CD1EF5">
        <w:rPr>
          <w:color w:val="auto"/>
        </w:rPr>
        <w:t xml:space="preserve">reduce </w:t>
      </w:r>
      <w:r w:rsidR="00D9223A">
        <w:rPr>
          <w:color w:val="auto"/>
        </w:rPr>
        <w:t xml:space="preserve">transport </w:t>
      </w:r>
      <w:r w:rsidRPr="00CD1EF5">
        <w:rPr>
          <w:color w:val="auto"/>
        </w:rPr>
        <w:t xml:space="preserve">emissions </w:t>
      </w:r>
      <w:r>
        <w:rPr>
          <w:color w:val="auto"/>
        </w:rPr>
        <w:t>and</w:t>
      </w:r>
      <w:r w:rsidRPr="00CD1EF5">
        <w:rPr>
          <w:color w:val="auto"/>
        </w:rPr>
        <w:t xml:space="preserve"> </w:t>
      </w:r>
      <w:r w:rsidR="00FC13F8" w:rsidRPr="00CD1EF5">
        <w:rPr>
          <w:color w:val="auto"/>
        </w:rPr>
        <w:t xml:space="preserve">meet Melbourne’s growth. </w:t>
      </w:r>
      <w:r w:rsidR="00FC13F8">
        <w:rPr>
          <w:color w:val="auto"/>
        </w:rPr>
        <w:t xml:space="preserve">The City of Melbourne’s Transport Strategy Refresh, </w:t>
      </w:r>
      <w:r w:rsidR="005009CE">
        <w:rPr>
          <w:color w:val="auto"/>
        </w:rPr>
        <w:t xml:space="preserve">being developed </w:t>
      </w:r>
      <w:r w:rsidR="00D9223A">
        <w:rPr>
          <w:color w:val="auto"/>
        </w:rPr>
        <w:t>in parallel with</w:t>
      </w:r>
      <w:r w:rsidR="005009CE">
        <w:rPr>
          <w:color w:val="auto"/>
        </w:rPr>
        <w:t xml:space="preserve"> this </w:t>
      </w:r>
      <w:r w:rsidR="00CB739B">
        <w:rPr>
          <w:color w:val="auto"/>
        </w:rPr>
        <w:t>s</w:t>
      </w:r>
      <w:r w:rsidR="005009CE">
        <w:rPr>
          <w:color w:val="auto"/>
        </w:rPr>
        <w:t xml:space="preserve">trategy, </w:t>
      </w:r>
      <w:r w:rsidR="00FC13F8">
        <w:rPr>
          <w:color w:val="auto"/>
        </w:rPr>
        <w:t>is reviewing options to allocate more public space for people walking and cycling.</w:t>
      </w:r>
    </w:p>
    <w:p w:rsidR="00FC13F8" w:rsidRDefault="00FC13F8" w:rsidP="00FC13F8">
      <w:pPr>
        <w:pStyle w:val="BodyText"/>
      </w:pPr>
      <w:r>
        <w:t>Trains and trams are the original electric vehicles! The Victorian Government recently delivered solar energy to power Melbourne’s tram network, however trains are still powered by coal-fired power. In the future, these could be powered by 100 per cent renewable energy.</w:t>
      </w:r>
    </w:p>
    <w:p w:rsidR="00FC13F8" w:rsidRDefault="000363EB" w:rsidP="00E93F71">
      <w:pPr>
        <w:pStyle w:val="Heading2"/>
        <w:numPr>
          <w:ilvl w:val="0"/>
          <w:numId w:val="0"/>
        </w:numPr>
        <w:ind w:left="851" w:hanging="851"/>
      </w:pPr>
      <w:bookmarkStart w:id="204" w:name="_Toc523238972"/>
      <w:bookmarkStart w:id="205" w:name="_Toc520749128"/>
      <w:r>
        <w:t>The environmental, social and economic benefits of taking action</w:t>
      </w:r>
      <w:bookmarkEnd w:id="204"/>
      <w:r>
        <w:t xml:space="preserve"> </w:t>
      </w:r>
      <w:bookmarkEnd w:id="205"/>
    </w:p>
    <w:p w:rsidR="00084BF3" w:rsidRPr="008D4C41" w:rsidRDefault="00084BF3" w:rsidP="00BC342B">
      <w:pPr>
        <w:pStyle w:val="ListBullet"/>
        <w:numPr>
          <w:ilvl w:val="0"/>
          <w:numId w:val="0"/>
        </w:numPr>
        <w:rPr>
          <w:rFonts w:ascii="Arial" w:hAnsi="Arial" w:cs="Arial"/>
          <w:color w:val="000000"/>
          <w:lang w:eastAsia="en-US"/>
        </w:rPr>
      </w:pPr>
      <w:r w:rsidRPr="008D4C41">
        <w:rPr>
          <w:rFonts w:ascii="Arial" w:hAnsi="Arial" w:cs="Arial"/>
          <w:color w:val="000000"/>
          <w:lang w:eastAsia="en-US"/>
        </w:rPr>
        <w:t>The many benefits of taking action include:</w:t>
      </w:r>
    </w:p>
    <w:p w:rsidR="002C08B6" w:rsidRDefault="0075792B" w:rsidP="00084BF3">
      <w:pPr>
        <w:pStyle w:val="ListParagraph"/>
        <w:numPr>
          <w:ilvl w:val="0"/>
          <w:numId w:val="78"/>
        </w:numPr>
        <w:autoSpaceDE w:val="0"/>
        <w:autoSpaceDN w:val="0"/>
        <w:spacing w:before="60" w:after="60" w:line="240" w:lineRule="auto"/>
        <w:ind w:left="360"/>
        <w:contextualSpacing/>
      </w:pPr>
      <w:r>
        <w:t>i</w:t>
      </w:r>
      <w:r w:rsidR="002C08B6">
        <w:t>ncreased energy security</w:t>
      </w:r>
    </w:p>
    <w:p w:rsidR="002C08B6" w:rsidRDefault="0075792B" w:rsidP="00084BF3">
      <w:pPr>
        <w:pStyle w:val="ListParagraph"/>
        <w:numPr>
          <w:ilvl w:val="0"/>
          <w:numId w:val="78"/>
        </w:numPr>
        <w:autoSpaceDE w:val="0"/>
        <w:autoSpaceDN w:val="0"/>
        <w:spacing w:before="60" w:after="60" w:line="240" w:lineRule="auto"/>
        <w:ind w:left="360"/>
        <w:contextualSpacing/>
      </w:pPr>
      <w:r>
        <w:t>r</w:t>
      </w:r>
      <w:r w:rsidR="002C08B6">
        <w:t xml:space="preserve">educed health impacts from air pollution </w:t>
      </w:r>
    </w:p>
    <w:p w:rsidR="002C08B6" w:rsidRDefault="0075792B" w:rsidP="00427FF6">
      <w:pPr>
        <w:pStyle w:val="ListParagraph"/>
        <w:numPr>
          <w:ilvl w:val="0"/>
          <w:numId w:val="78"/>
        </w:numPr>
        <w:autoSpaceDE w:val="0"/>
        <w:autoSpaceDN w:val="0"/>
        <w:spacing w:before="60" w:after="60" w:line="240" w:lineRule="auto"/>
        <w:ind w:left="360"/>
        <w:contextualSpacing/>
      </w:pPr>
      <w:r>
        <w:t>r</w:t>
      </w:r>
      <w:r w:rsidR="002C08B6">
        <w:t>educed health impacts from noise</w:t>
      </w:r>
    </w:p>
    <w:p w:rsidR="002C08B6" w:rsidRDefault="0075792B" w:rsidP="00427FF6">
      <w:pPr>
        <w:pStyle w:val="ListParagraph"/>
        <w:numPr>
          <w:ilvl w:val="0"/>
          <w:numId w:val="78"/>
        </w:numPr>
        <w:autoSpaceDE w:val="0"/>
        <w:autoSpaceDN w:val="0"/>
        <w:spacing w:before="60" w:after="60" w:line="240" w:lineRule="auto"/>
        <w:ind w:left="360"/>
        <w:contextualSpacing/>
      </w:pPr>
      <w:r>
        <w:t>r</w:t>
      </w:r>
      <w:r w:rsidR="002C08B6">
        <w:t>educed urban congestion</w:t>
      </w:r>
    </w:p>
    <w:p w:rsidR="002C08B6" w:rsidRDefault="0075792B" w:rsidP="00427FF6">
      <w:pPr>
        <w:pStyle w:val="ListParagraph"/>
        <w:numPr>
          <w:ilvl w:val="0"/>
          <w:numId w:val="78"/>
        </w:numPr>
        <w:autoSpaceDE w:val="0"/>
        <w:autoSpaceDN w:val="0"/>
        <w:spacing w:before="60" w:after="60" w:line="240" w:lineRule="auto"/>
        <w:ind w:left="360"/>
        <w:contextualSpacing/>
      </w:pPr>
      <w:r>
        <w:t>r</w:t>
      </w:r>
      <w:r w:rsidR="002C08B6">
        <w:t>educed travel time</w:t>
      </w:r>
    </w:p>
    <w:p w:rsidR="005C5D6E" w:rsidRDefault="0075792B" w:rsidP="009D1630">
      <w:pPr>
        <w:pStyle w:val="ListParagraph"/>
        <w:numPr>
          <w:ilvl w:val="0"/>
          <w:numId w:val="78"/>
        </w:numPr>
        <w:autoSpaceDE w:val="0"/>
        <w:autoSpaceDN w:val="0"/>
        <w:spacing w:before="60" w:after="60" w:line="240" w:lineRule="auto"/>
        <w:ind w:left="360"/>
        <w:contextualSpacing/>
      </w:pPr>
      <w:proofErr w:type="gramStart"/>
      <w:r>
        <w:t>i</w:t>
      </w:r>
      <w:r w:rsidR="002C08B6">
        <w:t>ncreased</w:t>
      </w:r>
      <w:proofErr w:type="gramEnd"/>
      <w:r w:rsidR="002C08B6">
        <w:t xml:space="preserve"> road safety</w:t>
      </w:r>
      <w:r>
        <w:t>.</w:t>
      </w:r>
    </w:p>
    <w:p w:rsidR="002C08B6" w:rsidRDefault="002C08B6" w:rsidP="005C5D6E"/>
    <w:tbl>
      <w:tblPr>
        <w:tblW w:w="0" w:type="auto"/>
        <w:tblCellMar>
          <w:left w:w="0" w:type="dxa"/>
          <w:right w:w="0" w:type="dxa"/>
        </w:tblCellMar>
        <w:tblLook w:val="04A0" w:firstRow="1" w:lastRow="0" w:firstColumn="1" w:lastColumn="0" w:noHBand="0" w:noVBand="1"/>
      </w:tblPr>
      <w:tblGrid>
        <w:gridCol w:w="2147"/>
        <w:gridCol w:w="1167"/>
        <w:gridCol w:w="839"/>
        <w:gridCol w:w="1507"/>
        <w:gridCol w:w="1305"/>
        <w:gridCol w:w="1305"/>
        <w:gridCol w:w="1076"/>
      </w:tblGrid>
      <w:tr w:rsidR="005C5D6E" w:rsidTr="00BC342B">
        <w:tc>
          <w:tcPr>
            <w:tcW w:w="2147"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5C5D6E" w:rsidRDefault="005C5D6E">
            <w:pPr>
              <w:autoSpaceDE w:val="0"/>
              <w:autoSpaceDN w:val="0"/>
              <w:jc w:val="center"/>
              <w:rPr>
                <w:rFonts w:ascii="EYInterstate Light" w:eastAsiaTheme="minorHAnsi" w:hAnsi="EYInterstate Light"/>
                <w:b/>
                <w:bCs/>
                <w:sz w:val="22"/>
                <w:szCs w:val="22"/>
                <w:lang w:val="en-US" w:eastAsia="en-US"/>
              </w:rPr>
            </w:pPr>
            <w:r>
              <w:rPr>
                <w:b/>
                <w:bCs/>
                <w:lang w:val="en-US"/>
              </w:rPr>
              <w:t>Actions</w:t>
            </w:r>
            <w:r w:rsidR="0065050D">
              <w:rPr>
                <w:b/>
                <w:bCs/>
                <w:lang w:val="en-US"/>
              </w:rPr>
              <w:t xml:space="preserve"> modelled</w:t>
            </w:r>
          </w:p>
        </w:tc>
        <w:tc>
          <w:tcPr>
            <w:tcW w:w="1167"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5C5D6E" w:rsidRDefault="005C5D6E">
            <w:pPr>
              <w:autoSpaceDE w:val="0"/>
              <w:autoSpaceDN w:val="0"/>
              <w:jc w:val="center"/>
              <w:rPr>
                <w:rFonts w:ascii="EYInterstate Light" w:eastAsiaTheme="minorHAnsi" w:hAnsi="EYInterstate Light"/>
                <w:b/>
                <w:bCs/>
                <w:sz w:val="22"/>
                <w:szCs w:val="22"/>
                <w:lang w:val="en-US" w:eastAsia="en-US"/>
              </w:rPr>
            </w:pPr>
            <w:r>
              <w:rPr>
                <w:b/>
                <w:bCs/>
                <w:lang w:val="en-US"/>
              </w:rPr>
              <w:t>Scenario</w:t>
            </w:r>
          </w:p>
        </w:tc>
        <w:tc>
          <w:tcPr>
            <w:tcW w:w="839"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5C5D6E" w:rsidRDefault="005C5D6E">
            <w:pPr>
              <w:autoSpaceDE w:val="0"/>
              <w:autoSpaceDN w:val="0"/>
              <w:jc w:val="center"/>
              <w:rPr>
                <w:rFonts w:ascii="Calibri" w:eastAsiaTheme="minorHAnsi" w:hAnsi="Calibri"/>
                <w:b/>
                <w:bCs/>
                <w:color w:val="000000"/>
                <w:sz w:val="22"/>
                <w:szCs w:val="22"/>
                <w:lang w:val="en-US" w:eastAsia="en-US"/>
              </w:rPr>
            </w:pPr>
            <w:r>
              <w:rPr>
                <w:b/>
                <w:bCs/>
                <w:lang w:val="en-US"/>
              </w:rPr>
              <w:t>Year</w:t>
            </w:r>
          </w:p>
        </w:tc>
        <w:tc>
          <w:tcPr>
            <w:tcW w:w="1507"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5C5D6E" w:rsidRDefault="005C5D6E">
            <w:pPr>
              <w:autoSpaceDE w:val="0"/>
              <w:autoSpaceDN w:val="0"/>
              <w:jc w:val="center"/>
              <w:rPr>
                <w:rFonts w:ascii="Calibri" w:eastAsiaTheme="minorHAnsi" w:hAnsi="Calibri"/>
                <w:b/>
                <w:bCs/>
                <w:color w:val="000000"/>
                <w:sz w:val="22"/>
                <w:szCs w:val="22"/>
                <w:lang w:val="en-US" w:eastAsia="en-US"/>
              </w:rPr>
            </w:pPr>
            <w:r>
              <w:rPr>
                <w:b/>
                <w:bCs/>
                <w:lang w:val="en-US"/>
              </w:rPr>
              <w:t>Emissions Reduction</w:t>
            </w:r>
          </w:p>
        </w:tc>
        <w:tc>
          <w:tcPr>
            <w:tcW w:w="1305"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rsidR="0075792B" w:rsidRDefault="005C5D6E">
            <w:pPr>
              <w:autoSpaceDE w:val="0"/>
              <w:autoSpaceDN w:val="0"/>
              <w:jc w:val="center"/>
              <w:rPr>
                <w:b/>
                <w:bCs/>
                <w:lang w:val="en-US"/>
              </w:rPr>
            </w:pPr>
            <w:r>
              <w:rPr>
                <w:b/>
                <w:bCs/>
                <w:lang w:val="en-US"/>
              </w:rPr>
              <w:t xml:space="preserve">Discounted </w:t>
            </w:r>
            <w:r w:rsidR="0075792B">
              <w:rPr>
                <w:b/>
                <w:bCs/>
                <w:lang w:val="en-US"/>
              </w:rPr>
              <w:t>b</w:t>
            </w:r>
            <w:r>
              <w:rPr>
                <w:b/>
                <w:bCs/>
                <w:lang w:val="en-US"/>
              </w:rPr>
              <w:t>enefits</w:t>
            </w:r>
            <w:r w:rsidR="003E24FD">
              <w:rPr>
                <w:rStyle w:val="FootnoteReference"/>
                <w:b/>
                <w:bCs/>
                <w:lang w:val="en-US"/>
              </w:rPr>
              <w:footnoteReference w:id="18"/>
            </w:r>
            <w:r>
              <w:rPr>
                <w:b/>
                <w:bCs/>
                <w:lang w:val="en-US"/>
              </w:rPr>
              <w:t xml:space="preserve"> </w:t>
            </w:r>
          </w:p>
          <w:p w:rsidR="005C5D6E" w:rsidRDefault="005C5D6E">
            <w:pPr>
              <w:autoSpaceDE w:val="0"/>
              <w:autoSpaceDN w:val="0"/>
              <w:jc w:val="center"/>
              <w:rPr>
                <w:rFonts w:ascii="EYInterstate Light" w:eastAsiaTheme="minorHAnsi" w:hAnsi="EYInterstate Light"/>
                <w:b/>
                <w:bCs/>
                <w:sz w:val="22"/>
                <w:szCs w:val="22"/>
                <w:lang w:val="en-US" w:eastAsia="en-US"/>
              </w:rPr>
            </w:pPr>
            <w:r>
              <w:rPr>
                <w:b/>
                <w:bCs/>
                <w:lang w:val="en-US"/>
              </w:rPr>
              <w:t>($ million)</w:t>
            </w:r>
          </w:p>
        </w:tc>
        <w:tc>
          <w:tcPr>
            <w:tcW w:w="1305"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rsidR="0075792B" w:rsidRDefault="005C5D6E">
            <w:pPr>
              <w:autoSpaceDE w:val="0"/>
              <w:autoSpaceDN w:val="0"/>
              <w:jc w:val="center"/>
              <w:rPr>
                <w:b/>
                <w:bCs/>
                <w:lang w:val="en-US"/>
              </w:rPr>
            </w:pPr>
            <w:r>
              <w:rPr>
                <w:b/>
                <w:bCs/>
                <w:lang w:val="en-US"/>
              </w:rPr>
              <w:t xml:space="preserve">Discounted </w:t>
            </w:r>
            <w:r w:rsidR="0075792B">
              <w:rPr>
                <w:b/>
                <w:bCs/>
                <w:lang w:val="en-US"/>
              </w:rPr>
              <w:t>c</w:t>
            </w:r>
            <w:r>
              <w:rPr>
                <w:b/>
                <w:bCs/>
                <w:lang w:val="en-US"/>
              </w:rPr>
              <w:t xml:space="preserve">osts </w:t>
            </w:r>
          </w:p>
          <w:p w:rsidR="005C5D6E" w:rsidRDefault="005C5D6E" w:rsidP="0075792B">
            <w:pPr>
              <w:autoSpaceDE w:val="0"/>
              <w:autoSpaceDN w:val="0"/>
              <w:jc w:val="center"/>
              <w:rPr>
                <w:rFonts w:ascii="EYInterstate Light" w:eastAsiaTheme="minorHAnsi" w:hAnsi="EYInterstate Light"/>
                <w:b/>
                <w:bCs/>
                <w:sz w:val="22"/>
                <w:szCs w:val="22"/>
                <w:lang w:val="en-US" w:eastAsia="en-US"/>
              </w:rPr>
            </w:pPr>
            <w:r>
              <w:rPr>
                <w:b/>
                <w:bCs/>
                <w:lang w:val="en-US"/>
              </w:rPr>
              <w:t>($ million)</w:t>
            </w:r>
          </w:p>
        </w:tc>
        <w:tc>
          <w:tcPr>
            <w:tcW w:w="1076"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rsidR="005C5D6E" w:rsidRDefault="005C5D6E">
            <w:pPr>
              <w:autoSpaceDE w:val="0"/>
              <w:autoSpaceDN w:val="0"/>
              <w:jc w:val="center"/>
              <w:rPr>
                <w:rFonts w:ascii="EYInterstate Light" w:eastAsiaTheme="minorHAnsi" w:hAnsi="EYInterstate Light"/>
                <w:b/>
                <w:bCs/>
                <w:sz w:val="22"/>
                <w:szCs w:val="22"/>
                <w:lang w:val="en-US" w:eastAsia="en-US"/>
              </w:rPr>
            </w:pPr>
            <w:r>
              <w:rPr>
                <w:b/>
                <w:bCs/>
                <w:lang w:val="en-US"/>
              </w:rPr>
              <w:t xml:space="preserve">Benefit </w:t>
            </w:r>
            <w:r w:rsidR="0075792B">
              <w:rPr>
                <w:b/>
                <w:bCs/>
                <w:lang w:val="en-US"/>
              </w:rPr>
              <w:t>c</w:t>
            </w:r>
            <w:r>
              <w:rPr>
                <w:b/>
                <w:bCs/>
                <w:lang w:val="en-US"/>
              </w:rPr>
              <w:t xml:space="preserve">ost </w:t>
            </w:r>
            <w:r w:rsidR="0075792B">
              <w:rPr>
                <w:b/>
                <w:bCs/>
                <w:lang w:val="en-US"/>
              </w:rPr>
              <w:t>r</w:t>
            </w:r>
            <w:r>
              <w:rPr>
                <w:b/>
                <w:bCs/>
                <w:lang w:val="en-US"/>
              </w:rPr>
              <w:t>atio</w:t>
            </w:r>
          </w:p>
        </w:tc>
      </w:tr>
      <w:tr w:rsidR="005C5D6E" w:rsidTr="00BC342B">
        <w:trPr>
          <w:trHeight w:val="1377"/>
        </w:trPr>
        <w:tc>
          <w:tcPr>
            <w:tcW w:w="2147" w:type="dxa"/>
            <w:vMerge w:val="restart"/>
            <w:tcBorders>
              <w:top w:val="nil"/>
              <w:left w:val="single" w:sz="8" w:space="0" w:color="auto"/>
              <w:bottom w:val="single" w:sz="8" w:space="0" w:color="auto"/>
              <w:right w:val="single" w:sz="8" w:space="0" w:color="auto"/>
            </w:tcBorders>
            <w:tcMar>
              <w:top w:w="0" w:type="dxa"/>
              <w:left w:w="108" w:type="dxa"/>
              <w:bottom w:w="0" w:type="dxa"/>
              <w:right w:w="108" w:type="dxa"/>
            </w:tcMar>
          </w:tcPr>
          <w:p w:rsidR="005C5D6E" w:rsidRPr="00D1669E" w:rsidRDefault="005C5D6E">
            <w:pPr>
              <w:rPr>
                <w:rFonts w:ascii="Calibri" w:eastAsiaTheme="minorHAnsi" w:hAnsi="Calibri"/>
                <w:color w:val="000000"/>
                <w:sz w:val="18"/>
                <w:szCs w:val="18"/>
                <w:lang w:val="en-US" w:eastAsia="en-US"/>
              </w:rPr>
            </w:pPr>
            <w:r w:rsidRPr="00D1669E">
              <w:rPr>
                <w:color w:val="000000"/>
                <w:sz w:val="18"/>
                <w:szCs w:val="18"/>
                <w:lang w:val="en-US"/>
              </w:rPr>
              <w:t xml:space="preserve">Reallocate road space for walking, </w:t>
            </w:r>
            <w:r w:rsidR="00784D5F" w:rsidRPr="00D1669E">
              <w:rPr>
                <w:color w:val="000000"/>
                <w:sz w:val="18"/>
                <w:szCs w:val="18"/>
                <w:lang w:val="en-US"/>
              </w:rPr>
              <w:t xml:space="preserve">and </w:t>
            </w:r>
            <w:r w:rsidRPr="00D1669E">
              <w:rPr>
                <w:color w:val="000000"/>
                <w:sz w:val="18"/>
                <w:szCs w:val="18"/>
                <w:lang w:val="en-US"/>
              </w:rPr>
              <w:t xml:space="preserve">cycling </w:t>
            </w:r>
          </w:p>
          <w:p w:rsidR="005C5D6E" w:rsidRPr="00D1669E" w:rsidRDefault="005C5D6E">
            <w:pPr>
              <w:rPr>
                <w:color w:val="000000"/>
                <w:sz w:val="18"/>
                <w:szCs w:val="18"/>
                <w:lang w:val="en-US"/>
              </w:rPr>
            </w:pPr>
          </w:p>
          <w:p w:rsidR="005C5D6E" w:rsidRPr="00D1669E" w:rsidRDefault="005C5D6E">
            <w:pPr>
              <w:rPr>
                <w:color w:val="000000"/>
                <w:sz w:val="18"/>
                <w:szCs w:val="18"/>
                <w:lang w:val="en-US"/>
              </w:rPr>
            </w:pPr>
            <w:r w:rsidRPr="00D1669E">
              <w:rPr>
                <w:color w:val="000000"/>
                <w:sz w:val="18"/>
                <w:szCs w:val="18"/>
                <w:lang w:val="en-US"/>
              </w:rPr>
              <w:t>Implement higher charges for congestion and parking</w:t>
            </w:r>
          </w:p>
          <w:p w:rsidR="005C5D6E" w:rsidRPr="00D1669E" w:rsidRDefault="005C5D6E">
            <w:pPr>
              <w:rPr>
                <w:color w:val="000000"/>
                <w:sz w:val="18"/>
                <w:szCs w:val="18"/>
                <w:lang w:val="en-US"/>
              </w:rPr>
            </w:pPr>
          </w:p>
          <w:p w:rsidR="005C5D6E" w:rsidRPr="00D1669E" w:rsidRDefault="005C5D6E">
            <w:pPr>
              <w:rPr>
                <w:color w:val="000000"/>
                <w:sz w:val="18"/>
                <w:szCs w:val="18"/>
                <w:lang w:val="en-US"/>
              </w:rPr>
            </w:pPr>
            <w:r w:rsidRPr="00D1669E">
              <w:rPr>
                <w:color w:val="000000"/>
                <w:sz w:val="18"/>
                <w:szCs w:val="18"/>
                <w:lang w:val="en-US"/>
              </w:rPr>
              <w:t>Advocate for public transport to be powered by renewable energy</w:t>
            </w:r>
          </w:p>
          <w:p w:rsidR="005C5D6E" w:rsidRPr="00D1669E" w:rsidRDefault="005C5D6E">
            <w:pPr>
              <w:rPr>
                <w:color w:val="000000"/>
                <w:sz w:val="18"/>
                <w:szCs w:val="18"/>
                <w:lang w:val="en-US"/>
              </w:rPr>
            </w:pPr>
          </w:p>
          <w:p w:rsidR="005C5D6E" w:rsidRPr="00D1669E" w:rsidRDefault="005C5D6E">
            <w:pPr>
              <w:rPr>
                <w:color w:val="000000"/>
                <w:sz w:val="18"/>
                <w:szCs w:val="18"/>
                <w:lang w:val="en-US"/>
              </w:rPr>
            </w:pPr>
            <w:r w:rsidRPr="00D1669E">
              <w:rPr>
                <w:color w:val="000000"/>
                <w:sz w:val="18"/>
                <w:szCs w:val="18"/>
                <w:lang w:val="en-US"/>
              </w:rPr>
              <w:t>Advocate for lower intensity of motor vehicles and support transition to electric vehicles</w:t>
            </w:r>
          </w:p>
          <w:p w:rsidR="005C5D6E" w:rsidRPr="00D1669E" w:rsidRDefault="005C5D6E">
            <w:pPr>
              <w:autoSpaceDE w:val="0"/>
              <w:autoSpaceDN w:val="0"/>
              <w:rPr>
                <w:rFonts w:ascii="Calibri" w:eastAsiaTheme="minorHAnsi" w:hAnsi="Calibri"/>
                <w:color w:val="000000"/>
                <w:sz w:val="18"/>
                <w:szCs w:val="18"/>
                <w:lang w:val="en-US" w:eastAsia="en-US"/>
              </w:rPr>
            </w:pPr>
          </w:p>
        </w:tc>
        <w:tc>
          <w:tcPr>
            <w:tcW w:w="1167" w:type="dxa"/>
            <w:tcBorders>
              <w:top w:val="nil"/>
              <w:left w:val="nil"/>
              <w:bottom w:val="single" w:sz="8" w:space="0" w:color="auto"/>
              <w:right w:val="single" w:sz="8" w:space="0" w:color="auto"/>
            </w:tcBorders>
            <w:tcMar>
              <w:top w:w="0" w:type="dxa"/>
              <w:left w:w="108" w:type="dxa"/>
              <w:bottom w:w="0" w:type="dxa"/>
              <w:right w:w="108" w:type="dxa"/>
            </w:tcMar>
          </w:tcPr>
          <w:p w:rsidR="005C5D6E" w:rsidRPr="00D1669E" w:rsidRDefault="005C5D6E">
            <w:pPr>
              <w:jc w:val="center"/>
              <w:rPr>
                <w:rFonts w:ascii="Calibri" w:eastAsiaTheme="minorHAnsi" w:hAnsi="Calibri"/>
                <w:color w:val="000000"/>
                <w:sz w:val="18"/>
                <w:szCs w:val="18"/>
                <w:lang w:val="en-US" w:eastAsia="en-US"/>
              </w:rPr>
            </w:pPr>
          </w:p>
          <w:p w:rsidR="005C5D6E" w:rsidRPr="00D1669E" w:rsidRDefault="005C5D6E">
            <w:pPr>
              <w:jc w:val="center"/>
              <w:rPr>
                <w:color w:val="000000"/>
                <w:sz w:val="18"/>
                <w:szCs w:val="18"/>
                <w:lang w:val="en-US"/>
              </w:rPr>
            </w:pPr>
          </w:p>
          <w:p w:rsidR="0075792B" w:rsidRPr="00D1669E" w:rsidRDefault="0075792B">
            <w:pPr>
              <w:jc w:val="center"/>
              <w:rPr>
                <w:color w:val="000000"/>
                <w:sz w:val="18"/>
                <w:szCs w:val="18"/>
                <w:lang w:val="en-US"/>
              </w:rPr>
            </w:pPr>
          </w:p>
          <w:p w:rsidR="005C5D6E" w:rsidRPr="00D1669E" w:rsidRDefault="009D1DFE" w:rsidP="00D1669E">
            <w:pPr>
              <w:autoSpaceDN w:val="0"/>
              <w:rPr>
                <w:rFonts w:ascii="Calibri" w:eastAsiaTheme="minorHAnsi" w:hAnsi="Calibri"/>
                <w:color w:val="000000"/>
                <w:sz w:val="18"/>
                <w:szCs w:val="18"/>
                <w:lang w:val="en-US" w:eastAsia="en-US"/>
              </w:rPr>
            </w:pPr>
            <w:r>
              <w:rPr>
                <w:color w:val="000000"/>
                <w:sz w:val="18"/>
                <w:szCs w:val="18"/>
                <w:lang w:val="en-US"/>
              </w:rPr>
              <w:t>Significant</w:t>
            </w:r>
          </w:p>
        </w:tc>
        <w:tc>
          <w:tcPr>
            <w:tcW w:w="839" w:type="dxa"/>
            <w:tcBorders>
              <w:top w:val="nil"/>
              <w:left w:val="nil"/>
              <w:bottom w:val="single" w:sz="8" w:space="0" w:color="auto"/>
              <w:right w:val="single" w:sz="8" w:space="0" w:color="auto"/>
            </w:tcBorders>
            <w:tcMar>
              <w:top w:w="0" w:type="dxa"/>
              <w:left w:w="108" w:type="dxa"/>
              <w:bottom w:w="0" w:type="dxa"/>
              <w:right w:w="108" w:type="dxa"/>
            </w:tcMar>
          </w:tcPr>
          <w:p w:rsidR="005C5D6E" w:rsidRPr="00D1669E" w:rsidRDefault="005C5D6E">
            <w:pPr>
              <w:jc w:val="center"/>
              <w:rPr>
                <w:rFonts w:ascii="Calibri" w:eastAsiaTheme="minorHAnsi" w:hAnsi="Calibri"/>
                <w:color w:val="000000"/>
                <w:sz w:val="18"/>
                <w:szCs w:val="18"/>
                <w:lang w:val="en-US" w:eastAsia="en-US"/>
              </w:rPr>
            </w:pPr>
          </w:p>
          <w:p w:rsidR="005C5D6E" w:rsidRPr="00D1669E" w:rsidRDefault="005C5D6E">
            <w:pPr>
              <w:jc w:val="center"/>
              <w:rPr>
                <w:color w:val="000000"/>
                <w:sz w:val="18"/>
                <w:szCs w:val="18"/>
                <w:lang w:val="en-US"/>
              </w:rPr>
            </w:pPr>
          </w:p>
          <w:p w:rsidR="0075792B" w:rsidRPr="00D1669E" w:rsidRDefault="0075792B">
            <w:pPr>
              <w:jc w:val="center"/>
              <w:rPr>
                <w:color w:val="000000"/>
                <w:sz w:val="18"/>
                <w:szCs w:val="18"/>
                <w:lang w:val="en-US"/>
              </w:rPr>
            </w:pPr>
          </w:p>
          <w:p w:rsidR="005C5D6E" w:rsidRPr="00D1669E" w:rsidRDefault="005C5D6E">
            <w:pPr>
              <w:autoSpaceDN w:val="0"/>
              <w:jc w:val="center"/>
              <w:rPr>
                <w:rFonts w:ascii="Calibri" w:eastAsiaTheme="minorHAnsi" w:hAnsi="Calibri"/>
                <w:color w:val="000000"/>
                <w:sz w:val="18"/>
                <w:szCs w:val="18"/>
                <w:lang w:val="en-US" w:eastAsia="en-US"/>
              </w:rPr>
            </w:pPr>
            <w:r w:rsidRPr="00D1669E">
              <w:rPr>
                <w:color w:val="000000"/>
                <w:sz w:val="18"/>
                <w:szCs w:val="18"/>
                <w:lang w:val="en-US"/>
              </w:rPr>
              <w:t>2050</w:t>
            </w:r>
          </w:p>
        </w:tc>
        <w:tc>
          <w:tcPr>
            <w:tcW w:w="1507" w:type="dxa"/>
            <w:tcBorders>
              <w:top w:val="nil"/>
              <w:left w:val="nil"/>
              <w:bottom w:val="single" w:sz="8" w:space="0" w:color="auto"/>
              <w:right w:val="single" w:sz="8" w:space="0" w:color="auto"/>
            </w:tcBorders>
            <w:tcMar>
              <w:top w:w="0" w:type="dxa"/>
              <w:left w:w="108" w:type="dxa"/>
              <w:bottom w:w="0" w:type="dxa"/>
              <w:right w:w="108" w:type="dxa"/>
            </w:tcMar>
          </w:tcPr>
          <w:p w:rsidR="005C5D6E" w:rsidRPr="00D1669E" w:rsidRDefault="005C5D6E">
            <w:pPr>
              <w:jc w:val="center"/>
              <w:rPr>
                <w:rFonts w:ascii="Calibri" w:eastAsiaTheme="minorHAnsi" w:hAnsi="Calibri"/>
                <w:color w:val="000000"/>
                <w:sz w:val="18"/>
                <w:szCs w:val="18"/>
                <w:lang w:val="en-US" w:eastAsia="en-US"/>
              </w:rPr>
            </w:pPr>
          </w:p>
          <w:p w:rsidR="005C5D6E" w:rsidRPr="00D1669E" w:rsidRDefault="005C5D6E">
            <w:pPr>
              <w:jc w:val="center"/>
              <w:rPr>
                <w:color w:val="000000"/>
                <w:sz w:val="18"/>
                <w:szCs w:val="18"/>
                <w:lang w:val="en-US"/>
              </w:rPr>
            </w:pPr>
          </w:p>
          <w:p w:rsidR="005C5D6E" w:rsidRPr="00D1669E" w:rsidRDefault="005C5D6E">
            <w:pPr>
              <w:jc w:val="center"/>
              <w:rPr>
                <w:color w:val="000000"/>
                <w:sz w:val="18"/>
                <w:szCs w:val="18"/>
                <w:lang w:val="en-US"/>
              </w:rPr>
            </w:pPr>
          </w:p>
          <w:p w:rsidR="005C5D6E" w:rsidRPr="00D1669E" w:rsidRDefault="005C5D6E">
            <w:pPr>
              <w:autoSpaceDN w:val="0"/>
              <w:jc w:val="center"/>
              <w:rPr>
                <w:rFonts w:ascii="Calibri" w:eastAsiaTheme="minorHAnsi" w:hAnsi="Calibri"/>
                <w:color w:val="000000"/>
                <w:sz w:val="18"/>
                <w:szCs w:val="18"/>
                <w:lang w:val="en-US" w:eastAsia="en-US"/>
              </w:rPr>
            </w:pPr>
            <w:r w:rsidRPr="00D1669E">
              <w:rPr>
                <w:color w:val="000000"/>
                <w:sz w:val="18"/>
                <w:szCs w:val="18"/>
                <w:lang w:val="en-US"/>
              </w:rPr>
              <w:t>9.7 M</w:t>
            </w:r>
            <w:r w:rsidR="0075792B" w:rsidRPr="00D1669E">
              <w:rPr>
                <w:color w:val="000000"/>
                <w:sz w:val="18"/>
                <w:szCs w:val="18"/>
                <w:lang w:val="en-US"/>
              </w:rPr>
              <w:t>t</w:t>
            </w:r>
            <w:r w:rsidRPr="00D1669E">
              <w:rPr>
                <w:color w:val="000000"/>
                <w:sz w:val="18"/>
                <w:szCs w:val="18"/>
                <w:lang w:val="en-US"/>
              </w:rPr>
              <w:t>CO</w:t>
            </w:r>
            <w:r w:rsidR="00BC6167" w:rsidRPr="00C7569F">
              <w:rPr>
                <w:vertAlign w:val="subscript"/>
                <w:lang w:val="en-US"/>
              </w:rPr>
              <w:t>2</w:t>
            </w:r>
            <w:r w:rsidR="00BC6167">
              <w:rPr>
                <w:vertAlign w:val="subscript"/>
                <w:lang w:val="en-US"/>
              </w:rPr>
              <w:t xml:space="preserve"> </w:t>
            </w:r>
            <w:r w:rsidRPr="00D1669E">
              <w:rPr>
                <w:color w:val="000000"/>
                <w:sz w:val="18"/>
                <w:szCs w:val="18"/>
                <w:lang w:val="en-US"/>
              </w:rPr>
              <w:t>-e</w:t>
            </w:r>
          </w:p>
        </w:tc>
        <w:tc>
          <w:tcPr>
            <w:tcW w:w="130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5C5D6E" w:rsidRPr="00D1669E" w:rsidRDefault="005C5D6E">
            <w:pPr>
              <w:autoSpaceDN w:val="0"/>
              <w:jc w:val="center"/>
              <w:rPr>
                <w:rFonts w:ascii="Calibri" w:eastAsiaTheme="minorHAnsi" w:hAnsi="Calibri"/>
                <w:color w:val="000000"/>
                <w:sz w:val="18"/>
                <w:szCs w:val="18"/>
                <w:lang w:val="en-US"/>
              </w:rPr>
            </w:pPr>
            <w:r w:rsidRPr="00D1669E">
              <w:rPr>
                <w:color w:val="000000"/>
                <w:sz w:val="18"/>
                <w:szCs w:val="18"/>
                <w:lang w:val="en-US"/>
              </w:rPr>
              <w:t>129.15</w:t>
            </w:r>
          </w:p>
        </w:tc>
        <w:tc>
          <w:tcPr>
            <w:tcW w:w="130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5C5D6E" w:rsidRPr="00D1669E" w:rsidRDefault="005C5D6E">
            <w:pPr>
              <w:autoSpaceDN w:val="0"/>
              <w:jc w:val="center"/>
              <w:rPr>
                <w:rFonts w:ascii="Calibri" w:eastAsiaTheme="minorHAnsi" w:hAnsi="Calibri"/>
                <w:color w:val="000000"/>
                <w:sz w:val="18"/>
                <w:szCs w:val="18"/>
                <w:lang w:val="en-US"/>
              </w:rPr>
            </w:pPr>
            <w:r w:rsidRPr="00D1669E">
              <w:rPr>
                <w:color w:val="000000"/>
                <w:sz w:val="18"/>
                <w:szCs w:val="18"/>
                <w:lang w:val="en-US"/>
              </w:rPr>
              <w:t>9.78</w:t>
            </w:r>
          </w:p>
        </w:tc>
        <w:tc>
          <w:tcPr>
            <w:tcW w:w="107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5C5D6E" w:rsidRPr="00D1669E" w:rsidRDefault="005C5D6E">
            <w:pPr>
              <w:autoSpaceDN w:val="0"/>
              <w:jc w:val="center"/>
              <w:rPr>
                <w:rFonts w:ascii="Calibri" w:eastAsiaTheme="minorHAnsi" w:hAnsi="Calibri"/>
                <w:color w:val="000000"/>
                <w:sz w:val="18"/>
                <w:szCs w:val="18"/>
                <w:lang w:val="en-US"/>
              </w:rPr>
            </w:pPr>
            <w:r w:rsidRPr="00D1669E">
              <w:rPr>
                <w:color w:val="000000"/>
                <w:sz w:val="18"/>
                <w:szCs w:val="18"/>
                <w:lang w:val="en-US"/>
              </w:rPr>
              <w:t>13.21</w:t>
            </w:r>
          </w:p>
        </w:tc>
      </w:tr>
      <w:tr w:rsidR="005C5D6E" w:rsidTr="00BC342B">
        <w:tc>
          <w:tcPr>
            <w:tcW w:w="0" w:type="auto"/>
            <w:vMerge/>
            <w:tcBorders>
              <w:top w:val="nil"/>
              <w:left w:val="single" w:sz="8" w:space="0" w:color="auto"/>
              <w:bottom w:val="single" w:sz="8" w:space="0" w:color="auto"/>
              <w:right w:val="single" w:sz="8" w:space="0" w:color="auto"/>
            </w:tcBorders>
            <w:vAlign w:val="center"/>
            <w:hideMark/>
          </w:tcPr>
          <w:p w:rsidR="005C5D6E" w:rsidRPr="00D1669E" w:rsidRDefault="005C5D6E">
            <w:pPr>
              <w:rPr>
                <w:rFonts w:ascii="Calibri" w:eastAsiaTheme="minorHAnsi" w:hAnsi="Calibri"/>
                <w:color w:val="000000"/>
                <w:sz w:val="18"/>
                <w:szCs w:val="18"/>
                <w:lang w:val="en-US" w:eastAsia="en-US"/>
              </w:rPr>
            </w:pPr>
          </w:p>
        </w:tc>
        <w:tc>
          <w:tcPr>
            <w:tcW w:w="1167" w:type="dxa"/>
            <w:tcBorders>
              <w:top w:val="nil"/>
              <w:left w:val="nil"/>
              <w:bottom w:val="single" w:sz="8" w:space="0" w:color="auto"/>
              <w:right w:val="single" w:sz="8" w:space="0" w:color="auto"/>
            </w:tcBorders>
            <w:tcMar>
              <w:top w:w="0" w:type="dxa"/>
              <w:left w:w="108" w:type="dxa"/>
              <w:bottom w:w="0" w:type="dxa"/>
              <w:right w:w="108" w:type="dxa"/>
            </w:tcMar>
          </w:tcPr>
          <w:p w:rsidR="005C5D6E" w:rsidRPr="00D1669E" w:rsidRDefault="005C5D6E">
            <w:pPr>
              <w:jc w:val="center"/>
              <w:rPr>
                <w:rFonts w:ascii="Calibri" w:eastAsiaTheme="minorHAnsi" w:hAnsi="Calibri"/>
                <w:color w:val="000000"/>
                <w:sz w:val="18"/>
                <w:szCs w:val="18"/>
                <w:lang w:val="en-US" w:eastAsia="en-US"/>
              </w:rPr>
            </w:pPr>
          </w:p>
          <w:p w:rsidR="005C5D6E" w:rsidRPr="00D1669E" w:rsidRDefault="005C5D6E">
            <w:pPr>
              <w:jc w:val="center"/>
              <w:rPr>
                <w:color w:val="000000"/>
                <w:sz w:val="18"/>
                <w:szCs w:val="18"/>
                <w:lang w:val="en-US"/>
              </w:rPr>
            </w:pPr>
          </w:p>
          <w:p w:rsidR="005C5D6E" w:rsidRPr="00D1669E" w:rsidRDefault="005C5D6E">
            <w:pPr>
              <w:jc w:val="center"/>
              <w:rPr>
                <w:color w:val="000000"/>
                <w:sz w:val="18"/>
                <w:szCs w:val="18"/>
                <w:lang w:val="en-US"/>
              </w:rPr>
            </w:pPr>
          </w:p>
          <w:p w:rsidR="0075792B" w:rsidRPr="00D1669E" w:rsidRDefault="0075792B">
            <w:pPr>
              <w:autoSpaceDE w:val="0"/>
              <w:autoSpaceDN w:val="0"/>
              <w:jc w:val="center"/>
              <w:rPr>
                <w:color w:val="000000"/>
                <w:sz w:val="18"/>
                <w:szCs w:val="18"/>
                <w:lang w:val="en-US"/>
              </w:rPr>
            </w:pPr>
          </w:p>
          <w:p w:rsidR="00482F12" w:rsidRDefault="00482F12">
            <w:pPr>
              <w:autoSpaceDE w:val="0"/>
              <w:autoSpaceDN w:val="0"/>
              <w:jc w:val="center"/>
              <w:rPr>
                <w:color w:val="000000"/>
                <w:sz w:val="18"/>
                <w:szCs w:val="18"/>
                <w:lang w:val="en-US"/>
              </w:rPr>
            </w:pPr>
          </w:p>
          <w:p w:rsidR="005C5D6E" w:rsidRPr="00D1669E" w:rsidRDefault="005C5D6E">
            <w:pPr>
              <w:autoSpaceDE w:val="0"/>
              <w:autoSpaceDN w:val="0"/>
              <w:jc w:val="center"/>
              <w:rPr>
                <w:rFonts w:ascii="Calibri" w:eastAsiaTheme="minorHAnsi" w:hAnsi="Calibri"/>
                <w:color w:val="000000"/>
                <w:sz w:val="18"/>
                <w:szCs w:val="18"/>
                <w:lang w:val="en-US" w:eastAsia="en-US"/>
              </w:rPr>
            </w:pPr>
            <w:r w:rsidRPr="00D1669E">
              <w:rPr>
                <w:color w:val="000000"/>
                <w:sz w:val="18"/>
                <w:szCs w:val="18"/>
                <w:lang w:val="en-US"/>
              </w:rPr>
              <w:t>Accelerated</w:t>
            </w:r>
          </w:p>
        </w:tc>
        <w:tc>
          <w:tcPr>
            <w:tcW w:w="839" w:type="dxa"/>
            <w:tcBorders>
              <w:top w:val="nil"/>
              <w:left w:val="nil"/>
              <w:bottom w:val="single" w:sz="8" w:space="0" w:color="auto"/>
              <w:right w:val="single" w:sz="8" w:space="0" w:color="auto"/>
            </w:tcBorders>
            <w:tcMar>
              <w:top w:w="0" w:type="dxa"/>
              <w:left w:w="108" w:type="dxa"/>
              <w:bottom w:w="0" w:type="dxa"/>
              <w:right w:w="108" w:type="dxa"/>
            </w:tcMar>
          </w:tcPr>
          <w:p w:rsidR="005C5D6E" w:rsidRPr="00D1669E" w:rsidRDefault="005C5D6E">
            <w:pPr>
              <w:jc w:val="center"/>
              <w:rPr>
                <w:rFonts w:ascii="Calibri" w:eastAsiaTheme="minorHAnsi" w:hAnsi="Calibri"/>
                <w:color w:val="000000"/>
                <w:sz w:val="18"/>
                <w:szCs w:val="18"/>
                <w:lang w:val="en-US" w:eastAsia="en-US"/>
              </w:rPr>
            </w:pPr>
          </w:p>
          <w:p w:rsidR="005C5D6E" w:rsidRPr="00D1669E" w:rsidRDefault="005C5D6E">
            <w:pPr>
              <w:jc w:val="center"/>
              <w:rPr>
                <w:color w:val="000000"/>
                <w:sz w:val="18"/>
                <w:szCs w:val="18"/>
                <w:lang w:val="en-US"/>
              </w:rPr>
            </w:pPr>
          </w:p>
          <w:p w:rsidR="005C5D6E" w:rsidRPr="00D1669E" w:rsidRDefault="005C5D6E">
            <w:pPr>
              <w:jc w:val="center"/>
              <w:rPr>
                <w:color w:val="000000"/>
                <w:sz w:val="18"/>
                <w:szCs w:val="18"/>
                <w:lang w:val="en-US"/>
              </w:rPr>
            </w:pPr>
          </w:p>
          <w:p w:rsidR="0075792B" w:rsidRPr="00D1669E" w:rsidRDefault="0075792B">
            <w:pPr>
              <w:autoSpaceDE w:val="0"/>
              <w:autoSpaceDN w:val="0"/>
              <w:jc w:val="center"/>
              <w:rPr>
                <w:color w:val="000000"/>
                <w:sz w:val="18"/>
                <w:szCs w:val="18"/>
                <w:lang w:val="en-US"/>
              </w:rPr>
            </w:pPr>
          </w:p>
          <w:p w:rsidR="00482F12" w:rsidRDefault="00482F12">
            <w:pPr>
              <w:autoSpaceDE w:val="0"/>
              <w:autoSpaceDN w:val="0"/>
              <w:jc w:val="center"/>
              <w:rPr>
                <w:color w:val="000000"/>
                <w:sz w:val="18"/>
                <w:szCs w:val="18"/>
                <w:lang w:val="en-US"/>
              </w:rPr>
            </w:pPr>
          </w:p>
          <w:p w:rsidR="005C5D6E" w:rsidRPr="00D1669E" w:rsidRDefault="005C5D6E">
            <w:pPr>
              <w:autoSpaceDE w:val="0"/>
              <w:autoSpaceDN w:val="0"/>
              <w:jc w:val="center"/>
              <w:rPr>
                <w:rFonts w:ascii="Calibri" w:eastAsiaTheme="minorHAnsi" w:hAnsi="Calibri"/>
                <w:color w:val="000000"/>
                <w:sz w:val="18"/>
                <w:szCs w:val="18"/>
                <w:lang w:val="en-US" w:eastAsia="en-US"/>
              </w:rPr>
            </w:pPr>
            <w:r w:rsidRPr="00D1669E">
              <w:rPr>
                <w:color w:val="000000"/>
                <w:sz w:val="18"/>
                <w:szCs w:val="18"/>
                <w:lang w:val="en-US"/>
              </w:rPr>
              <w:t>2050</w:t>
            </w:r>
          </w:p>
        </w:tc>
        <w:tc>
          <w:tcPr>
            <w:tcW w:w="1507" w:type="dxa"/>
            <w:tcBorders>
              <w:top w:val="nil"/>
              <w:left w:val="nil"/>
              <w:bottom w:val="single" w:sz="8" w:space="0" w:color="auto"/>
              <w:right w:val="single" w:sz="8" w:space="0" w:color="auto"/>
            </w:tcBorders>
            <w:tcMar>
              <w:top w:w="0" w:type="dxa"/>
              <w:left w:w="108" w:type="dxa"/>
              <w:bottom w:w="0" w:type="dxa"/>
              <w:right w:w="108" w:type="dxa"/>
            </w:tcMar>
          </w:tcPr>
          <w:p w:rsidR="005C5D6E" w:rsidRPr="00D1669E" w:rsidRDefault="005C5D6E">
            <w:pPr>
              <w:jc w:val="center"/>
              <w:rPr>
                <w:rFonts w:ascii="Calibri" w:eastAsiaTheme="minorHAnsi" w:hAnsi="Calibri"/>
                <w:color w:val="000000"/>
                <w:sz w:val="18"/>
                <w:szCs w:val="18"/>
                <w:lang w:val="en-US" w:eastAsia="en-US"/>
              </w:rPr>
            </w:pPr>
          </w:p>
          <w:p w:rsidR="005C5D6E" w:rsidRPr="00D1669E" w:rsidRDefault="005C5D6E">
            <w:pPr>
              <w:jc w:val="center"/>
              <w:rPr>
                <w:color w:val="000000"/>
                <w:sz w:val="18"/>
                <w:szCs w:val="18"/>
                <w:lang w:val="en-US"/>
              </w:rPr>
            </w:pPr>
          </w:p>
          <w:p w:rsidR="005C5D6E" w:rsidRPr="00D1669E" w:rsidRDefault="005C5D6E">
            <w:pPr>
              <w:jc w:val="center"/>
              <w:rPr>
                <w:color w:val="000000"/>
                <w:sz w:val="18"/>
                <w:szCs w:val="18"/>
                <w:lang w:val="en-US"/>
              </w:rPr>
            </w:pPr>
          </w:p>
          <w:p w:rsidR="0075792B" w:rsidRPr="00D1669E" w:rsidRDefault="0075792B">
            <w:pPr>
              <w:autoSpaceDE w:val="0"/>
              <w:autoSpaceDN w:val="0"/>
              <w:jc w:val="center"/>
              <w:rPr>
                <w:color w:val="000000"/>
                <w:sz w:val="18"/>
                <w:szCs w:val="18"/>
                <w:lang w:val="en-US"/>
              </w:rPr>
            </w:pPr>
          </w:p>
          <w:p w:rsidR="00482F12" w:rsidRDefault="00482F12">
            <w:pPr>
              <w:autoSpaceDE w:val="0"/>
              <w:autoSpaceDN w:val="0"/>
              <w:jc w:val="center"/>
              <w:rPr>
                <w:color w:val="000000"/>
                <w:sz w:val="18"/>
                <w:szCs w:val="18"/>
                <w:lang w:val="en-US"/>
              </w:rPr>
            </w:pPr>
          </w:p>
          <w:p w:rsidR="005C5D6E" w:rsidRPr="00D1669E" w:rsidRDefault="005C5D6E">
            <w:pPr>
              <w:autoSpaceDE w:val="0"/>
              <w:autoSpaceDN w:val="0"/>
              <w:jc w:val="center"/>
              <w:rPr>
                <w:rFonts w:ascii="Calibri" w:eastAsiaTheme="minorHAnsi" w:hAnsi="Calibri"/>
                <w:color w:val="000000"/>
                <w:sz w:val="18"/>
                <w:szCs w:val="18"/>
                <w:lang w:val="en-US" w:eastAsia="en-US"/>
              </w:rPr>
            </w:pPr>
            <w:r w:rsidRPr="00D1669E">
              <w:rPr>
                <w:color w:val="000000"/>
                <w:sz w:val="18"/>
                <w:szCs w:val="18"/>
                <w:lang w:val="en-US"/>
              </w:rPr>
              <w:t>14.7 M</w:t>
            </w:r>
            <w:r w:rsidR="0075792B" w:rsidRPr="00D1669E">
              <w:rPr>
                <w:color w:val="000000"/>
                <w:sz w:val="18"/>
                <w:szCs w:val="18"/>
                <w:lang w:val="en-US"/>
              </w:rPr>
              <w:t>t</w:t>
            </w:r>
            <w:r w:rsidRPr="00D1669E">
              <w:rPr>
                <w:color w:val="000000"/>
                <w:sz w:val="18"/>
                <w:szCs w:val="18"/>
                <w:lang w:val="en-US"/>
              </w:rPr>
              <w:t>CO</w:t>
            </w:r>
            <w:r w:rsidR="00BC6167" w:rsidRPr="00C7569F">
              <w:rPr>
                <w:vertAlign w:val="subscript"/>
                <w:lang w:val="en-US"/>
              </w:rPr>
              <w:t>2</w:t>
            </w:r>
            <w:r w:rsidR="00BC6167">
              <w:rPr>
                <w:vertAlign w:val="subscript"/>
                <w:lang w:val="en-US"/>
              </w:rPr>
              <w:t xml:space="preserve"> </w:t>
            </w:r>
            <w:r w:rsidRPr="00D1669E">
              <w:rPr>
                <w:color w:val="000000"/>
                <w:sz w:val="18"/>
                <w:szCs w:val="18"/>
                <w:lang w:val="en-US"/>
              </w:rPr>
              <w:t>-e</w:t>
            </w:r>
          </w:p>
        </w:tc>
        <w:tc>
          <w:tcPr>
            <w:tcW w:w="130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5C5D6E" w:rsidRPr="00D1669E" w:rsidRDefault="005C5D6E">
            <w:pPr>
              <w:autoSpaceDE w:val="0"/>
              <w:autoSpaceDN w:val="0"/>
              <w:jc w:val="center"/>
              <w:rPr>
                <w:rFonts w:ascii="Calibri" w:eastAsiaTheme="minorHAnsi" w:hAnsi="Calibri"/>
                <w:color w:val="000000"/>
                <w:sz w:val="18"/>
                <w:szCs w:val="18"/>
                <w:lang w:val="en-US" w:eastAsia="en-US"/>
              </w:rPr>
            </w:pPr>
            <w:r w:rsidRPr="00D1669E">
              <w:rPr>
                <w:color w:val="000000"/>
                <w:sz w:val="18"/>
                <w:szCs w:val="18"/>
                <w:lang w:val="en-US"/>
              </w:rPr>
              <w:t>227.96</w:t>
            </w:r>
          </w:p>
        </w:tc>
        <w:tc>
          <w:tcPr>
            <w:tcW w:w="130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5C5D6E" w:rsidRPr="00D1669E" w:rsidRDefault="005C5D6E">
            <w:pPr>
              <w:autoSpaceDE w:val="0"/>
              <w:autoSpaceDN w:val="0"/>
              <w:jc w:val="center"/>
              <w:rPr>
                <w:rFonts w:ascii="Calibri" w:eastAsiaTheme="minorHAnsi" w:hAnsi="Calibri"/>
                <w:color w:val="000000"/>
                <w:sz w:val="18"/>
                <w:szCs w:val="18"/>
                <w:lang w:val="en-US" w:eastAsia="en-US"/>
              </w:rPr>
            </w:pPr>
            <w:r w:rsidRPr="00D1669E">
              <w:rPr>
                <w:color w:val="000000"/>
                <w:sz w:val="18"/>
                <w:szCs w:val="18"/>
                <w:lang w:val="en-US"/>
              </w:rPr>
              <w:t>16.60</w:t>
            </w:r>
          </w:p>
        </w:tc>
        <w:tc>
          <w:tcPr>
            <w:tcW w:w="107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5C5D6E" w:rsidRPr="00D1669E" w:rsidRDefault="005C5D6E">
            <w:pPr>
              <w:autoSpaceDE w:val="0"/>
              <w:autoSpaceDN w:val="0"/>
              <w:jc w:val="center"/>
              <w:rPr>
                <w:rFonts w:ascii="Calibri" w:eastAsiaTheme="minorHAnsi" w:hAnsi="Calibri"/>
                <w:color w:val="000000"/>
                <w:sz w:val="18"/>
                <w:szCs w:val="18"/>
                <w:lang w:val="en-US" w:eastAsia="en-US"/>
              </w:rPr>
            </w:pPr>
            <w:r w:rsidRPr="00D1669E">
              <w:rPr>
                <w:color w:val="000000"/>
                <w:sz w:val="18"/>
                <w:szCs w:val="18"/>
                <w:lang w:val="en-US"/>
              </w:rPr>
              <w:t>13.73</w:t>
            </w:r>
          </w:p>
        </w:tc>
      </w:tr>
    </w:tbl>
    <w:p w:rsidR="005C5D6E" w:rsidRDefault="005C5D6E" w:rsidP="005C5D6E">
      <w:pPr>
        <w:rPr>
          <w:rFonts w:ascii="EYInterstate Light" w:eastAsiaTheme="minorHAnsi" w:hAnsi="EYInterstate Light"/>
          <w:lang w:eastAsia="en-US"/>
        </w:rPr>
      </w:pPr>
    </w:p>
    <w:p w:rsidR="00E32389" w:rsidRDefault="00E32389" w:rsidP="005C5D6E">
      <w:pPr>
        <w:rPr>
          <w:rFonts w:ascii="EYInterstate Light" w:eastAsiaTheme="minorHAnsi" w:hAnsi="EYInterstate Light"/>
          <w:lang w:eastAsia="en-US"/>
        </w:rPr>
      </w:pPr>
    </w:p>
    <w:p w:rsidR="00E32389" w:rsidRDefault="00E32389" w:rsidP="005C5D6E">
      <w:pPr>
        <w:rPr>
          <w:rFonts w:ascii="EYInterstate Light" w:eastAsiaTheme="minorHAnsi" w:hAnsi="EYInterstate Light"/>
          <w:lang w:eastAsia="en-US"/>
        </w:rPr>
      </w:pPr>
    </w:p>
    <w:p w:rsidR="00E32389" w:rsidRDefault="00E32389" w:rsidP="005C5D6E">
      <w:pPr>
        <w:rPr>
          <w:rFonts w:ascii="EYInterstate Light" w:eastAsiaTheme="minorHAnsi" w:hAnsi="EYInterstate Light"/>
          <w:lang w:eastAsia="en-US"/>
        </w:rPr>
      </w:pPr>
    </w:p>
    <w:p w:rsidR="00E32389" w:rsidRDefault="00E32389" w:rsidP="005C5D6E">
      <w:pPr>
        <w:rPr>
          <w:rFonts w:ascii="EYInterstate Light" w:eastAsiaTheme="minorHAnsi" w:hAnsi="EYInterstate Light"/>
          <w:lang w:eastAsia="en-US"/>
        </w:rPr>
      </w:pPr>
    </w:p>
    <w:p w:rsidR="00E32389" w:rsidRDefault="00E32389" w:rsidP="005C5D6E">
      <w:pPr>
        <w:rPr>
          <w:rFonts w:ascii="EYInterstate Light" w:eastAsiaTheme="minorHAnsi" w:hAnsi="EYInterstate Light"/>
          <w:lang w:eastAsia="en-US"/>
        </w:rPr>
      </w:pPr>
    </w:p>
    <w:p w:rsidR="00E32389" w:rsidRDefault="00E32389" w:rsidP="005C5D6E">
      <w:pPr>
        <w:rPr>
          <w:rFonts w:ascii="EYInterstate Light" w:eastAsiaTheme="minorHAnsi" w:hAnsi="EYInterstate Light"/>
          <w:lang w:eastAsia="en-US"/>
        </w:rPr>
      </w:pPr>
    </w:p>
    <w:p w:rsidR="00E32389" w:rsidRDefault="00E32389" w:rsidP="005C5D6E">
      <w:pPr>
        <w:rPr>
          <w:rFonts w:ascii="EYInterstate Light" w:eastAsiaTheme="minorHAnsi" w:hAnsi="EYInterstate Light"/>
          <w:lang w:eastAsia="en-US"/>
        </w:rPr>
      </w:pPr>
    </w:p>
    <w:p w:rsidR="00E32389" w:rsidRDefault="00E32389" w:rsidP="005C5D6E">
      <w:pPr>
        <w:rPr>
          <w:rFonts w:ascii="EYInterstate Light" w:eastAsiaTheme="minorHAnsi" w:hAnsi="EYInterstate Light"/>
          <w:lang w:eastAsia="en-US"/>
        </w:rPr>
      </w:pPr>
    </w:p>
    <w:p w:rsidR="00E32389" w:rsidRDefault="00E32389" w:rsidP="005C5D6E">
      <w:pPr>
        <w:rPr>
          <w:rFonts w:ascii="EYInterstate Light" w:eastAsiaTheme="minorHAnsi" w:hAnsi="EYInterstate Light"/>
          <w:lang w:eastAsia="en-US"/>
        </w:rPr>
      </w:pPr>
    </w:p>
    <w:p w:rsidR="00E32389" w:rsidRDefault="00E32389" w:rsidP="005C5D6E">
      <w:pPr>
        <w:rPr>
          <w:rFonts w:ascii="EYInterstate Light" w:eastAsiaTheme="minorHAnsi" w:hAnsi="EYInterstate Light"/>
          <w:lang w:eastAsia="en-US"/>
        </w:rPr>
      </w:pPr>
    </w:p>
    <w:p w:rsidR="00E32389" w:rsidRDefault="00E32389" w:rsidP="005C5D6E">
      <w:pPr>
        <w:rPr>
          <w:rFonts w:ascii="EYInterstate Light" w:eastAsiaTheme="minorHAnsi" w:hAnsi="EYInterstate Light"/>
          <w:lang w:eastAsia="en-US"/>
        </w:rPr>
      </w:pPr>
    </w:p>
    <w:p w:rsidR="00FE4A42" w:rsidRDefault="00FE4A42" w:rsidP="00FE4A42">
      <w:pPr>
        <w:pStyle w:val="Caption"/>
      </w:pPr>
      <w:bookmarkStart w:id="206" w:name="_Toc522633206"/>
      <w:r>
        <w:t xml:space="preserve">Figure </w:t>
      </w:r>
      <w:r w:rsidR="00146855">
        <w:rPr>
          <w:noProof/>
        </w:rPr>
        <w:fldChar w:fldCharType="begin"/>
      </w:r>
      <w:r w:rsidR="00146855">
        <w:rPr>
          <w:noProof/>
        </w:rPr>
        <w:instrText xml:space="preserve"> SEQ Figure \* ARABIC </w:instrText>
      </w:r>
      <w:r w:rsidR="00146855">
        <w:rPr>
          <w:noProof/>
        </w:rPr>
        <w:fldChar w:fldCharType="separate"/>
      </w:r>
      <w:r w:rsidR="0039200A">
        <w:rPr>
          <w:noProof/>
        </w:rPr>
        <w:t>11</w:t>
      </w:r>
      <w:r w:rsidR="00146855">
        <w:rPr>
          <w:noProof/>
        </w:rPr>
        <w:fldChar w:fldCharType="end"/>
      </w:r>
      <w:r>
        <w:t xml:space="preserve"> </w:t>
      </w:r>
      <w:r w:rsidRPr="008E122F">
        <w:t>Transport accelerated action scenario</w:t>
      </w:r>
      <w:bookmarkEnd w:id="206"/>
    </w:p>
    <w:p w:rsidR="007A3B02" w:rsidRDefault="009D1DFE" w:rsidP="00BC342B">
      <w:pPr>
        <w:pStyle w:val="BodyText"/>
      </w:pPr>
      <w:r>
        <w:t>Significant</w:t>
      </w:r>
      <w:r w:rsidR="007A3B02">
        <w:t xml:space="preserve"> action scenario</w:t>
      </w:r>
    </w:p>
    <w:p w:rsidR="007A3B02" w:rsidRPr="007A3B02" w:rsidRDefault="007A3B02" w:rsidP="00BC342B">
      <w:pPr>
        <w:pStyle w:val="BodyText"/>
      </w:pPr>
      <w:r>
        <w:rPr>
          <w:noProof/>
        </w:rPr>
        <w:drawing>
          <wp:inline distT="0" distB="0" distL="0" distR="0" wp14:anchorId="38C3A9F7" wp14:editId="7F867E3C">
            <wp:extent cx="5759450" cy="2552700"/>
            <wp:effectExtent l="0" t="0" r="0" b="0"/>
            <wp:docPr id="26" name="Chart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66508A" w:rsidRDefault="00BC6167" w:rsidP="0066508A">
      <w:pPr>
        <w:pStyle w:val="BodyText"/>
      </w:pPr>
      <w:r>
        <w:t>A</w:t>
      </w:r>
      <w:r w:rsidR="007A3B02">
        <w:t>ccelerated action scenario</w:t>
      </w:r>
    </w:p>
    <w:p w:rsidR="007A3B02" w:rsidRDefault="007A3B02" w:rsidP="00E00A6D">
      <w:pPr>
        <w:spacing w:before="200" w:after="200"/>
        <w:rPr>
          <w:szCs w:val="24"/>
        </w:rPr>
      </w:pPr>
      <w:r>
        <w:rPr>
          <w:noProof/>
        </w:rPr>
        <w:drawing>
          <wp:inline distT="0" distB="0" distL="0" distR="0" wp14:anchorId="131A8CFF" wp14:editId="100B3A27">
            <wp:extent cx="5759450" cy="2235200"/>
            <wp:effectExtent l="0" t="0" r="0" b="0"/>
            <wp:docPr id="30" name="Chart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E93F71" w:rsidRDefault="0065050D" w:rsidP="0065050D">
      <w:pPr>
        <w:pStyle w:val="Heading2"/>
        <w:numPr>
          <w:ilvl w:val="0"/>
          <w:numId w:val="0"/>
        </w:numPr>
        <w:ind w:left="851" w:hanging="851"/>
      </w:pPr>
      <w:bookmarkStart w:id="207" w:name="_Toc523238973"/>
      <w:r>
        <w:t>Proposed actions</w:t>
      </w:r>
      <w:bookmarkEnd w:id="207"/>
    </w:p>
    <w:p w:rsidR="00D1669E" w:rsidRPr="00D1669E" w:rsidRDefault="00D1669E" w:rsidP="00D1669E">
      <w:pPr>
        <w:pStyle w:val="ListNumber"/>
        <w:numPr>
          <w:ilvl w:val="0"/>
          <w:numId w:val="109"/>
        </w:numPr>
        <w:rPr>
          <w:rFonts w:eastAsiaTheme="minorHAnsi"/>
          <w:lang w:val="en-US" w:eastAsia="en-US"/>
        </w:rPr>
      </w:pPr>
      <w:r w:rsidRPr="00D1669E">
        <w:rPr>
          <w:lang w:val="en-US"/>
        </w:rPr>
        <w:t>Reallocate road space to create more space for walking, cycling and green infrastructure</w:t>
      </w:r>
      <w:r w:rsidR="00BC6167">
        <w:rPr>
          <w:lang w:val="en-US"/>
        </w:rPr>
        <w:t>.</w:t>
      </w:r>
    </w:p>
    <w:p w:rsidR="00D1669E" w:rsidRPr="00D1669E" w:rsidRDefault="00D1669E" w:rsidP="00D1669E">
      <w:pPr>
        <w:pStyle w:val="ListNumber"/>
        <w:rPr>
          <w:rFonts w:eastAsiaTheme="minorHAnsi"/>
          <w:lang w:val="en-US" w:eastAsia="en-US"/>
        </w:rPr>
      </w:pPr>
      <w:r w:rsidRPr="00D1669E">
        <w:t>Prioritise active and public transport through dedicated lanes, traffic light priorities, parking controls and road user pricing</w:t>
      </w:r>
      <w:r w:rsidR="00BC6167">
        <w:t>.</w:t>
      </w:r>
      <w:r w:rsidRPr="00D1669E">
        <w:rPr>
          <w:lang w:val="en-US"/>
        </w:rPr>
        <w:t xml:space="preserve"> </w:t>
      </w:r>
    </w:p>
    <w:p w:rsidR="00D1669E" w:rsidRPr="00D1669E" w:rsidRDefault="00D1669E" w:rsidP="00D1669E">
      <w:pPr>
        <w:pStyle w:val="ListNumber"/>
        <w:rPr>
          <w:lang w:val="en-US"/>
        </w:rPr>
      </w:pPr>
      <w:r w:rsidRPr="00D1669E">
        <w:rPr>
          <w:lang w:val="en-US"/>
        </w:rPr>
        <w:t>Advocate for public transport to be powered by renewable energy</w:t>
      </w:r>
      <w:r w:rsidR="00BC6167">
        <w:rPr>
          <w:lang w:val="en-US"/>
        </w:rPr>
        <w:t>.</w:t>
      </w:r>
    </w:p>
    <w:p w:rsidR="00D1669E" w:rsidRPr="00D1669E" w:rsidRDefault="00D1669E" w:rsidP="00D1669E">
      <w:pPr>
        <w:pStyle w:val="ListNumber"/>
        <w:rPr>
          <w:lang w:val="en-US"/>
        </w:rPr>
      </w:pPr>
      <w:r w:rsidRPr="00D1669E">
        <w:rPr>
          <w:lang w:val="en-US"/>
        </w:rPr>
        <w:t>Advocate for the Victorian Government to build “Metro 2” train infrastructure for Melbourne</w:t>
      </w:r>
      <w:r w:rsidR="00BC6167">
        <w:rPr>
          <w:lang w:val="en-US"/>
        </w:rPr>
        <w:t>.</w:t>
      </w:r>
    </w:p>
    <w:p w:rsidR="00D1669E" w:rsidRPr="00D1669E" w:rsidRDefault="00D1669E" w:rsidP="00D1669E">
      <w:pPr>
        <w:pStyle w:val="ListNumber"/>
        <w:rPr>
          <w:lang w:val="en-US"/>
        </w:rPr>
      </w:pPr>
      <w:r w:rsidRPr="00D1669E">
        <w:rPr>
          <w:lang w:val="en-US"/>
        </w:rPr>
        <w:t>Advocate for lower carbon intensity of motor vehicles and support transition to electric vehicles</w:t>
      </w:r>
      <w:r w:rsidR="00BC6167">
        <w:rPr>
          <w:lang w:val="en-US"/>
        </w:rPr>
        <w:t>.</w:t>
      </w:r>
    </w:p>
    <w:p w:rsidR="00E348D7" w:rsidRPr="00AD4C7F" w:rsidRDefault="00E348D7" w:rsidP="00E348D7">
      <w:pPr>
        <w:spacing w:before="200" w:after="200"/>
      </w:pPr>
      <w:r>
        <w:t>The above list is a set of indicative actions to address this strategic priority. This list is not exhaustive or final and will be subject to the City of Melbourne’s</w:t>
      </w:r>
      <w:r w:rsidRPr="00CB2077">
        <w:t xml:space="preserve"> Annual Plan and Budget</w:t>
      </w:r>
      <w:r>
        <w:t xml:space="preserve"> process</w:t>
      </w:r>
      <w:r w:rsidRPr="00CB2077">
        <w:t>.</w:t>
      </w:r>
    </w:p>
    <w:p w:rsidR="0065050D" w:rsidRDefault="0065050D" w:rsidP="00815540">
      <w:pPr>
        <w:pStyle w:val="EYBodytextwithparaspace"/>
        <w:rPr>
          <w:rFonts w:asciiTheme="minorHAnsi" w:hAnsiTheme="minorHAnsi"/>
        </w:rPr>
      </w:pPr>
    </w:p>
    <w:p w:rsidR="00164222" w:rsidRDefault="00164222" w:rsidP="00815540">
      <w:pPr>
        <w:pStyle w:val="EYBodytextwithparaspace"/>
        <w:rPr>
          <w:rFonts w:asciiTheme="minorHAnsi" w:hAnsiTheme="minorHAnsi"/>
        </w:rPr>
      </w:pPr>
    </w:p>
    <w:p w:rsidR="00164222" w:rsidRDefault="00164222" w:rsidP="00815540">
      <w:pPr>
        <w:pStyle w:val="EYBodytextwithparaspace"/>
        <w:rPr>
          <w:rFonts w:asciiTheme="minorHAnsi" w:hAnsiTheme="minorHAnsi"/>
        </w:rPr>
      </w:pPr>
    </w:p>
    <w:p w:rsidR="0065050D" w:rsidRDefault="00164222" w:rsidP="00815540">
      <w:pPr>
        <w:pStyle w:val="EYBodytextwithparaspace"/>
        <w:rPr>
          <w:rFonts w:asciiTheme="minorHAnsi" w:hAnsiTheme="minorHAnsi"/>
        </w:rPr>
      </w:pPr>
      <w:r>
        <w:rPr>
          <w:rFonts w:ascii="Times New Roman" w:hAnsi="Times New Roman"/>
          <w:noProof/>
          <w:color w:val="auto"/>
          <w:sz w:val="24"/>
        </w:rPr>
        <mc:AlternateContent>
          <mc:Choice Requires="wps">
            <w:drawing>
              <wp:anchor distT="0" distB="0" distL="114300" distR="114300" simplePos="0" relativeHeight="251668992" behindDoc="0" locked="0" layoutInCell="1" allowOverlap="1" wp14:anchorId="5532CA2D" wp14:editId="294A027C">
                <wp:simplePos x="0" y="0"/>
                <wp:positionH relativeFrom="column">
                  <wp:posOffset>36195</wp:posOffset>
                </wp:positionH>
                <wp:positionV relativeFrom="paragraph">
                  <wp:posOffset>-22639</wp:posOffset>
                </wp:positionV>
                <wp:extent cx="5295600" cy="2736000"/>
                <wp:effectExtent l="0" t="0" r="19685" b="26670"/>
                <wp:wrapNone/>
                <wp:docPr id="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95600" cy="2736000"/>
                        </a:xfrm>
                        <a:prstGeom prst="rect">
                          <a:avLst/>
                        </a:prstGeom>
                        <a:solidFill>
                          <a:srgbClr val="FFFFFF"/>
                        </a:solidFill>
                        <a:ln w="9525">
                          <a:solidFill>
                            <a:srgbClr val="000000"/>
                          </a:solidFill>
                          <a:miter lim="800000"/>
                          <a:headEnd/>
                          <a:tailEnd/>
                        </a:ln>
                      </wps:spPr>
                      <wps:txbx>
                        <w:txbxContent>
                          <w:p w:rsidR="00B75FD4" w:rsidRDefault="00B75FD4" w:rsidP="00164222">
                            <w:pPr>
                              <w:shd w:val="clear" w:color="auto" w:fill="FFFFFF"/>
                              <w:spacing w:before="200" w:after="200" w:line="240" w:lineRule="atLeast"/>
                              <w:rPr>
                                <w:rFonts w:ascii="Arial" w:hAnsi="Arial" w:cs="Arial"/>
                                <w:color w:val="000000"/>
                                <w:lang w:eastAsia="en-US"/>
                              </w:rPr>
                            </w:pPr>
                            <w:r>
                              <w:rPr>
                                <w:rFonts w:ascii="Arial" w:hAnsi="Arial" w:cs="Arial"/>
                                <w:b/>
                                <w:bCs/>
                                <w:color w:val="000000"/>
                                <w:lang w:eastAsia="en-US"/>
                              </w:rPr>
                              <w:t>Case study: Solar powered trams</w:t>
                            </w:r>
                          </w:p>
                          <w:p w:rsidR="00B75FD4" w:rsidRDefault="00B75FD4" w:rsidP="00164222">
                            <w:r>
                              <w:t xml:space="preserve">In 2017, the Victorian Government ran a tender to help build new large scale solar farms, of which 35 MW will be linked to power Melbourne's tram network. This initiative will reduce more than 80,000 tonnes of greenhouse gas emissions every year to cover 493 trams, and 24 routes across greater Melbourne. </w:t>
                            </w:r>
                          </w:p>
                          <w:p w:rsidR="00B75FD4" w:rsidRDefault="00B75FD4" w:rsidP="00164222">
                            <w:pPr>
                              <w:spacing w:before="200" w:after="200" w:line="240" w:lineRule="atLeast"/>
                              <w:rPr>
                                <w:b/>
                              </w:rPr>
                            </w:pPr>
                            <w:r>
                              <w:rPr>
                                <w:b/>
                              </w:rPr>
                              <w:t>Case study: Congestion prices in Stockholm</w:t>
                            </w:r>
                          </w:p>
                          <w:p w:rsidR="00B75FD4" w:rsidRDefault="00B75FD4" w:rsidP="00164222">
                            <w:r>
                              <w:t xml:space="preserve">Since Stockholm introduced permanent congestion charges in 2007, use of cars and other vehicles has reduced significantly. As a result, carbon dioxide emissions have decreased by 10 to 15 per cent across the inner </w:t>
                            </w:r>
                            <w:proofErr w:type="gramStart"/>
                            <w:r>
                              <w:t>city,</w:t>
                            </w:r>
                            <w:proofErr w:type="gramEnd"/>
                            <w:r>
                              <w:t xml:space="preserve"> and by 2 to 3 per cent in the metropolitan area. Air quality has improved and there has been an estimated reduction in premature deaths of 25 to 30 annually.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9" o:spid="_x0000_s1031" type="#_x0000_t202" style="position:absolute;margin-left:2.85pt;margin-top:-1.8pt;width:417pt;height:215.4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Dn5EJwIAAEwEAAAOAAAAZHJzL2Uyb0RvYy54bWysVF1v2yAUfZ+0/4B4X5x4cdtYcaouXaZJ&#10;3YfU7gdgjGM04DIgsbNfvwtO0qzTXqb5AQH3cjj3nIuXt4NWZC+cl2AqOptMKRGGQyPNtqLfnjZv&#10;bijxgZmGKTCiogfh6e3q9atlb0uRQweqEY4giPFlbyvahWDLLPO8E5r5CVhhMNiC0yzg0m2zxrEe&#10;0bXK8un0KuvBNdYBF97j7v0YpKuE37aChy9t60UgqqLILaTRpbGOY7ZasnLrmO0kP9Jg/8BCM2nw&#10;0jPUPQuM7Jz8A0pL7sBDGyYcdAZtK7lINWA1s+mLah47ZkWqBcXx9iyT/3+w/PP+qyOyqeiCEsM0&#10;WvQkhkDewUAWUZ3e+hKTHi2mhQG30eVUqbcPwL97YmDdMbMVd85B3wnWILtZPJldHB1xfASp+0/Q&#10;4DVsFyABDa3TUToUgyA6unQ4OxOpcNws8kVxNcUQx1h+/RbnybuMlafj1vnwQYAmcVJRh9YneLZ/&#10;8CHSYeUpJd7mQclmI5VKC7et18qRPcM22aQvVfAiTRnSo1BFXowK/BUC2T0T/O0mLQP2u5K6ojfn&#10;JFZG3d6bJnVjYFKNc6SszFHIqN2oYhjqITlWnPypoTmgsg7G9sbniJMO3E9KemztivofO+YEJeqj&#10;QXcWs/k8voW0mBfXOS7cZaS+jDDDEaqigZJxug7p/UTdDNyhi61M+ka7RyZHytiySfbj84pv4nKd&#10;sp5/AqtfAAAA//8DAFBLAwQUAAYACAAAACEA0i/jrd8AAAAIAQAADwAAAGRycy9kb3ducmV2Lnht&#10;bEyPwU7DMBBE70j8g7VIXFDr0JQkDdlUCAlEb9BWcHVjN4mw18F20/D3mBMcZ2c087ZaT0azUTnf&#10;W0K4nSfAFDVW9tQi7HdPswKYD4Kk0JYUwrfysK4vLypRSnumNzVuQ8tiCflSIHQhDCXnvumUEX5u&#10;B0XRO1pnRIjStVw6cY7lRvNFkmTciJ7iQicG9dip5nN7MgjF8mX88Jv09b3JjnoVbvLx+cshXl9N&#10;D/fAgprCXxh+8SM61JHpYE8kPdMId3kMIszSDFi0i3QVDweE5SJPgdcV//9A/QMAAP//AwBQSwEC&#10;LQAUAAYACAAAACEAtoM4kv4AAADhAQAAEwAAAAAAAAAAAAAAAAAAAAAAW0NvbnRlbnRfVHlwZXNd&#10;LnhtbFBLAQItABQABgAIAAAAIQA4/SH/1gAAAJQBAAALAAAAAAAAAAAAAAAAAC8BAABfcmVscy8u&#10;cmVsc1BLAQItABQABgAIAAAAIQC2Dn5EJwIAAEwEAAAOAAAAAAAAAAAAAAAAAC4CAABkcnMvZTJv&#10;RG9jLnhtbFBLAQItABQABgAIAAAAIQDSL+Ot3wAAAAgBAAAPAAAAAAAAAAAAAAAAAIEEAABkcnMv&#10;ZG93bnJldi54bWxQSwUGAAAAAAQABADzAAAAjQUAAAAA&#10;">
                <v:textbox>
                  <w:txbxContent>
                    <w:p w:rsidR="00B75FD4" w:rsidRDefault="00B75FD4" w:rsidP="00164222">
                      <w:pPr>
                        <w:shd w:val="clear" w:color="auto" w:fill="FFFFFF"/>
                        <w:spacing w:before="200" w:after="200" w:line="240" w:lineRule="atLeast"/>
                        <w:rPr>
                          <w:rFonts w:ascii="Arial" w:hAnsi="Arial" w:cs="Arial"/>
                          <w:color w:val="000000"/>
                          <w:lang w:eastAsia="en-US"/>
                        </w:rPr>
                      </w:pPr>
                      <w:r>
                        <w:rPr>
                          <w:rFonts w:ascii="Arial" w:hAnsi="Arial" w:cs="Arial"/>
                          <w:b/>
                          <w:bCs/>
                          <w:color w:val="000000"/>
                          <w:lang w:eastAsia="en-US"/>
                        </w:rPr>
                        <w:t>Case study: Solar powered trams</w:t>
                      </w:r>
                    </w:p>
                    <w:p w:rsidR="00B75FD4" w:rsidRDefault="00B75FD4" w:rsidP="00164222">
                      <w:r>
                        <w:t xml:space="preserve">In 2017, the Victorian Government ran a tender to help build new large scale solar farms, of which 35 MW will be linked to power Melbourne's tram network. This initiative will reduce more than 80,000 tonnes of greenhouse gas emissions every year to cover 493 trams, and 24 routes across greater Melbourne. </w:t>
                      </w:r>
                    </w:p>
                    <w:p w:rsidR="00B75FD4" w:rsidRDefault="00B75FD4" w:rsidP="00164222">
                      <w:pPr>
                        <w:spacing w:before="200" w:after="200" w:line="240" w:lineRule="atLeast"/>
                        <w:rPr>
                          <w:b/>
                        </w:rPr>
                      </w:pPr>
                      <w:r>
                        <w:rPr>
                          <w:b/>
                        </w:rPr>
                        <w:t>Case study: Congestion prices in Stockholm</w:t>
                      </w:r>
                    </w:p>
                    <w:p w:rsidR="00B75FD4" w:rsidRDefault="00B75FD4" w:rsidP="00164222">
                      <w:r>
                        <w:t xml:space="preserve">Since Stockholm introduced permanent congestion charges in 2007, use of cars and other vehicles has reduced significantly. As a result, carbon dioxide emissions have decreased by 10 to 15 per cent across the inner </w:t>
                      </w:r>
                      <w:proofErr w:type="gramStart"/>
                      <w:r>
                        <w:t>city,</w:t>
                      </w:r>
                      <w:proofErr w:type="gramEnd"/>
                      <w:r>
                        <w:t xml:space="preserve"> and by 2 to 3 per cent in the metropolitan area. Air quality has improved and there has been an estimated reduction in premature deaths of 25 to 30 annually.</w:t>
                      </w:r>
                    </w:p>
                  </w:txbxContent>
                </v:textbox>
              </v:shape>
            </w:pict>
          </mc:Fallback>
        </mc:AlternateContent>
      </w:r>
    </w:p>
    <w:p w:rsidR="0065050D" w:rsidRDefault="0065050D" w:rsidP="00815540">
      <w:pPr>
        <w:pStyle w:val="EYBodytextwithparaspace"/>
        <w:rPr>
          <w:rFonts w:asciiTheme="minorHAnsi" w:hAnsiTheme="minorHAnsi"/>
        </w:rPr>
        <w:sectPr w:rsidR="0065050D" w:rsidSect="00932663">
          <w:pgSz w:w="11907" w:h="16839" w:code="9"/>
          <w:pgMar w:top="1440" w:right="992" w:bottom="1440" w:left="709" w:header="454" w:footer="510" w:gutter="0"/>
          <w:cols w:space="708"/>
          <w:docGrid w:linePitch="360"/>
        </w:sectPr>
      </w:pPr>
    </w:p>
    <w:p w:rsidR="005F40FF" w:rsidRDefault="004572AF" w:rsidP="002337E9">
      <w:pPr>
        <w:pStyle w:val="Heading1"/>
        <w:numPr>
          <w:ilvl w:val="0"/>
          <w:numId w:val="0"/>
        </w:numPr>
      </w:pPr>
      <w:bookmarkStart w:id="208" w:name="_Toc520749132"/>
      <w:bookmarkStart w:id="209" w:name="_Toc523238974"/>
      <w:r>
        <w:t xml:space="preserve">Priority 4: </w:t>
      </w:r>
      <w:bookmarkEnd w:id="208"/>
      <w:r w:rsidR="00867A93">
        <w:t xml:space="preserve"> </w:t>
      </w:r>
      <w:r w:rsidR="006D65D4">
        <w:t xml:space="preserve">Reducing the impact of </w:t>
      </w:r>
      <w:r w:rsidR="006246E8">
        <w:t>w</w:t>
      </w:r>
      <w:r w:rsidR="00867A93">
        <w:t>aste</w:t>
      </w:r>
      <w:bookmarkEnd w:id="209"/>
    </w:p>
    <w:p w:rsidR="000942EF" w:rsidRDefault="000942EF" w:rsidP="00EA594F">
      <w:pPr>
        <w:pStyle w:val="Heading2"/>
        <w:numPr>
          <w:ilvl w:val="0"/>
          <w:numId w:val="0"/>
        </w:numPr>
        <w:ind w:left="851" w:hanging="851"/>
      </w:pPr>
      <w:bookmarkStart w:id="210" w:name="_Toc523238975"/>
      <w:r>
        <w:t>The story so far</w:t>
      </w:r>
      <w:bookmarkEnd w:id="210"/>
    </w:p>
    <w:p w:rsidR="006A373E" w:rsidRDefault="006A373E" w:rsidP="005250AD">
      <w:pPr>
        <w:pStyle w:val="BodyText"/>
      </w:pPr>
      <w:r>
        <w:t>More than 800,000 tonnes of waste</w:t>
      </w:r>
      <w:r w:rsidR="00646410">
        <w:t xml:space="preserve"> (including garbage and recycling) is estimated to be generated in the </w:t>
      </w:r>
      <w:r w:rsidR="00231D4A">
        <w:t>municipality</w:t>
      </w:r>
      <w:r w:rsidR="00646410">
        <w:t xml:space="preserve"> each year. Only 6 per cent </w:t>
      </w:r>
      <w:r w:rsidR="009B6414">
        <w:t xml:space="preserve">of this waste </w:t>
      </w:r>
      <w:r w:rsidR="00646410">
        <w:t>is collected by the City of Melbourne.</w:t>
      </w:r>
      <w:r w:rsidR="009B6414">
        <w:t xml:space="preserve"> The total waste produced generate</w:t>
      </w:r>
      <w:r w:rsidR="00231D4A">
        <w:t>d</w:t>
      </w:r>
      <w:r w:rsidR="009B6414">
        <w:t xml:space="preserve"> </w:t>
      </w:r>
      <w:r w:rsidR="00026526">
        <w:t>6 per cent of the greenhouse emissions</w:t>
      </w:r>
      <w:r w:rsidR="009B6414">
        <w:t xml:space="preserve"> from our municipality in 2015</w:t>
      </w:r>
      <w:r w:rsidR="00026526">
        <w:t>.</w:t>
      </w:r>
      <w:r w:rsidR="009B6414">
        <w:t xml:space="preserve"> Emissions from waste are included in our greenhouse inventory even though waste treatment facilities are currently located outside our municipal boundary.</w:t>
      </w:r>
    </w:p>
    <w:p w:rsidR="00A335AA" w:rsidRDefault="00547E97" w:rsidP="005250AD">
      <w:pPr>
        <w:pStyle w:val="BodyText"/>
      </w:pPr>
      <w:r>
        <w:t>The vast majority of waste in the municipality is generated by business activities</w:t>
      </w:r>
      <w:r w:rsidR="00856AC4">
        <w:t>,</w:t>
      </w:r>
      <w:r>
        <w:t xml:space="preserve"> </w:t>
      </w:r>
      <w:r w:rsidR="00646410">
        <w:t>which is collected by private operators</w:t>
      </w:r>
      <w:r w:rsidR="00231D4A">
        <w:t>. T</w:t>
      </w:r>
      <w:r w:rsidR="00646410">
        <w:t xml:space="preserve">hese waste streams have </w:t>
      </w:r>
      <w:r>
        <w:t xml:space="preserve">relatively high rates of recycling. </w:t>
      </w:r>
      <w:r w:rsidR="00231D4A">
        <w:t>The recycling rate is around 61 per cent f</w:t>
      </w:r>
      <w:r>
        <w:t xml:space="preserve">or commercial and industrial waste, and </w:t>
      </w:r>
      <w:r w:rsidR="00231D4A">
        <w:t xml:space="preserve">87 per cent for </w:t>
      </w:r>
      <w:r>
        <w:t>construction and demolition waste.</w:t>
      </w:r>
      <w:r w:rsidR="00C1169A">
        <w:t xml:space="preserve"> The recycling rates are lower for the much smaller volume of waste collected from households (25 per cent) and public places (22 per cent</w:t>
      </w:r>
      <w:r w:rsidR="00976FB3">
        <w:t xml:space="preserve">). </w:t>
      </w:r>
      <w:r w:rsidR="00C1169A">
        <w:t xml:space="preserve"> </w:t>
      </w:r>
    </w:p>
    <w:p w:rsidR="004632E2" w:rsidRDefault="00976FB3" w:rsidP="00951653">
      <w:pPr>
        <w:pStyle w:val="BodyText"/>
      </w:pPr>
      <w:r>
        <w:t xml:space="preserve">The City of Melbourne is </w:t>
      </w:r>
      <w:r w:rsidR="00A335AA">
        <w:t xml:space="preserve">currently developing a new </w:t>
      </w:r>
      <w:r w:rsidR="00695E6C">
        <w:t xml:space="preserve">Waste and Resource Recovery Strategy </w:t>
      </w:r>
      <w:r w:rsidR="00A335AA">
        <w:t xml:space="preserve">with </w:t>
      </w:r>
      <w:r w:rsidR="005250AD">
        <w:t>a goal to develop and introduce cost effective, environmentally responsible waste and resource recovery systems</w:t>
      </w:r>
      <w:r>
        <w:t>.</w:t>
      </w:r>
      <w:r w:rsidR="005250AD">
        <w:t xml:space="preserve"> </w:t>
      </w:r>
      <w:r w:rsidR="007732C3">
        <w:t xml:space="preserve">The </w:t>
      </w:r>
      <w:r>
        <w:t xml:space="preserve">waste </w:t>
      </w:r>
      <w:r w:rsidR="007732C3">
        <w:t xml:space="preserve">strategy </w:t>
      </w:r>
      <w:r w:rsidR="005250AD">
        <w:t>is underpinned by the waste hierarchy and circular economy thinking. A circular economy approach designs out waste wherever possible</w:t>
      </w:r>
      <w:r>
        <w:t xml:space="preserve"> and</w:t>
      </w:r>
      <w:r w:rsidR="005250AD">
        <w:t xml:space="preserve"> keeps materials in use as long as possible </w:t>
      </w:r>
      <w:r w:rsidR="00DF5169">
        <w:t xml:space="preserve">through </w:t>
      </w:r>
      <w:r w:rsidR="005250AD">
        <w:t>repair</w:t>
      </w:r>
      <w:r w:rsidR="00DF5169">
        <w:t xml:space="preserve"> and</w:t>
      </w:r>
      <w:r w:rsidR="005250AD">
        <w:t xml:space="preserve"> reuse)</w:t>
      </w:r>
      <w:r>
        <w:t xml:space="preserve">. It </w:t>
      </w:r>
      <w:r w:rsidR="005250AD">
        <w:t>then returns materials to the economy through efficient recycling processes.</w:t>
      </w:r>
    </w:p>
    <w:p w:rsidR="0013483C" w:rsidRPr="00951653" w:rsidRDefault="009B6414" w:rsidP="00951653">
      <w:pPr>
        <w:pStyle w:val="BodyText"/>
      </w:pPr>
      <w:r>
        <w:t xml:space="preserve">The Victorian Government sets policy for metropolitan waste and resource recovery including landfill levies, and fund waste and resource recovery programs through Sustainability Victoria. In 2017 the </w:t>
      </w:r>
      <w:r w:rsidR="00BC6167">
        <w:t xml:space="preserve">Australian </w:t>
      </w:r>
      <w:r>
        <w:t xml:space="preserve">Government released a National Food Waste Strategy with a goal to halve </w:t>
      </w:r>
      <w:r w:rsidR="00BC6167">
        <w:t xml:space="preserve">Australia’s </w:t>
      </w:r>
      <w:r>
        <w:t>food waste by 2030.</w:t>
      </w:r>
    </w:p>
    <w:p w:rsidR="000942EF" w:rsidRDefault="000942EF" w:rsidP="002337E9">
      <w:pPr>
        <w:pStyle w:val="Heading2"/>
        <w:numPr>
          <w:ilvl w:val="0"/>
          <w:numId w:val="0"/>
        </w:numPr>
        <w:ind w:left="851" w:hanging="851"/>
      </w:pPr>
      <w:bookmarkStart w:id="211" w:name="_Toc518855557"/>
      <w:bookmarkStart w:id="212" w:name="_Toc523238976"/>
      <w:bookmarkStart w:id="213" w:name="_Toc520749135"/>
      <w:bookmarkEnd w:id="211"/>
      <w:r>
        <w:t>Challenges</w:t>
      </w:r>
      <w:bookmarkEnd w:id="212"/>
    </w:p>
    <w:p w:rsidR="00830BD5" w:rsidRDefault="00AE50D1" w:rsidP="00830BD5">
      <w:pPr>
        <w:pStyle w:val="BodyText"/>
      </w:pPr>
      <w:r>
        <w:t xml:space="preserve">Waste generated in the municipality is expected to grow as Melbourne’s population increases over coming decades. </w:t>
      </w:r>
      <w:r w:rsidR="00830BD5">
        <w:t>The City of Melbourne is responsible for collection and recycling or disposal</w:t>
      </w:r>
      <w:r w:rsidR="00811439">
        <w:t>,</w:t>
      </w:r>
      <w:r w:rsidR="00830BD5">
        <w:t xml:space="preserve"> of waste from our operations, residents and public places such as streets and parks.</w:t>
      </w:r>
      <w:r w:rsidR="00811439">
        <w:t xml:space="preserve"> </w:t>
      </w:r>
      <w:r w:rsidR="00DF5169">
        <w:t>W</w:t>
      </w:r>
      <w:r w:rsidR="00811439">
        <w:t xml:space="preserve">e do not have the responsibility for waste collection from restaurants, offices or businesses with commercial waste contracts. </w:t>
      </w:r>
    </w:p>
    <w:p w:rsidR="00830BD5" w:rsidRDefault="009538E4" w:rsidP="00951653">
      <w:pPr>
        <w:pStyle w:val="BodyText"/>
      </w:pPr>
      <w:r>
        <w:t xml:space="preserve">State and local governments across Australia have been impacted by the changes in global recycling markets since early 2018. Councils are facing increased costs as a result of the Chinese Government’s decision to tighten standards for the import of recycled materials. </w:t>
      </w:r>
    </w:p>
    <w:p w:rsidR="005F40FF" w:rsidRDefault="005F40FF" w:rsidP="002337E9">
      <w:pPr>
        <w:pStyle w:val="Heading2"/>
        <w:numPr>
          <w:ilvl w:val="0"/>
          <w:numId w:val="0"/>
        </w:numPr>
        <w:ind w:left="851" w:hanging="851"/>
      </w:pPr>
      <w:bookmarkStart w:id="214" w:name="_Toc523238977"/>
      <w:r>
        <w:t>Strategic opportunities</w:t>
      </w:r>
      <w:bookmarkEnd w:id="213"/>
      <w:bookmarkEnd w:id="214"/>
    </w:p>
    <w:p w:rsidR="007D0E9D" w:rsidRDefault="0013483C" w:rsidP="005F40FF">
      <w:pPr>
        <w:pStyle w:val="BodyText"/>
      </w:pPr>
      <w:r>
        <w:t xml:space="preserve">In 2017 the </w:t>
      </w:r>
      <w:r w:rsidR="00C72EC4">
        <w:t xml:space="preserve">Australian </w:t>
      </w:r>
      <w:r>
        <w:t xml:space="preserve">Government released a National Food Waste Strategy with a goal to halve the nation’s food waste by 2030. </w:t>
      </w:r>
      <w:r w:rsidR="0019237B">
        <w:t>O</w:t>
      </w:r>
      <w:r w:rsidR="00FD0648">
        <w:t xml:space="preserve">rganic waste </w:t>
      </w:r>
      <w:r w:rsidR="0019237B">
        <w:t xml:space="preserve">is </w:t>
      </w:r>
      <w:r w:rsidR="00231D4A">
        <w:t xml:space="preserve">a </w:t>
      </w:r>
      <w:r w:rsidR="0019237B">
        <w:t xml:space="preserve">priority </w:t>
      </w:r>
      <w:r w:rsidR="00FD0648">
        <w:t xml:space="preserve">because it generates greenhouse emissions </w:t>
      </w:r>
      <w:r w:rsidR="0019237B">
        <w:t>twenty-five</w:t>
      </w:r>
      <w:r w:rsidR="00FD0648">
        <w:t xml:space="preserve"> time</w:t>
      </w:r>
      <w:r w:rsidR="00A041A8">
        <w:t>s</w:t>
      </w:r>
      <w:r w:rsidR="00FD0648">
        <w:t xml:space="preserve"> more intense </w:t>
      </w:r>
      <w:r w:rsidR="0019237B">
        <w:t xml:space="preserve">in their global warming potential </w:t>
      </w:r>
      <w:r w:rsidR="00FD0648">
        <w:t xml:space="preserve">than carbon dioxide. </w:t>
      </w:r>
      <w:r w:rsidR="0019237B">
        <w:t>By promoting the health benefits of smaller portion sizes and supporting social enterprises to make use of leftover food, we can help to design out food waste and reduce emissions.</w:t>
      </w:r>
    </w:p>
    <w:p w:rsidR="0019237B" w:rsidRDefault="0019237B" w:rsidP="005F40FF">
      <w:pPr>
        <w:pStyle w:val="BodyText"/>
      </w:pPr>
      <w:r>
        <w:t>The</w:t>
      </w:r>
      <w:r w:rsidR="009B5633">
        <w:t>re is growing community support for reducing waste as a measure to address climate change. The</w:t>
      </w:r>
      <w:r>
        <w:t xml:space="preserve"> Victorian Government recently committed to implement a</w:t>
      </w:r>
      <w:r w:rsidR="00BE4D9C">
        <w:t xml:space="preserve"> ban on single use plastic bags</w:t>
      </w:r>
      <w:r w:rsidR="009B5633">
        <w:t>,</w:t>
      </w:r>
      <w:r w:rsidR="00BE4D9C">
        <w:t xml:space="preserve"> which has already been introduced in other states. The South Australian Government has had container deposit legislation to encourage the recycling of bottles and cans. The Australian Government has the power to regulate </w:t>
      </w:r>
      <w:r w:rsidR="009B5633">
        <w:t>packaging standards that could significantly reduce waste.</w:t>
      </w:r>
    </w:p>
    <w:p w:rsidR="005F40FF" w:rsidRDefault="005F40FF" w:rsidP="005F40FF">
      <w:pPr>
        <w:pStyle w:val="BodyText"/>
      </w:pPr>
      <w:r>
        <w:t xml:space="preserve">A large proportion of materials that are sent to landfill can be reduced through better design and less packaging. Developing new products from recycled materials including building materials can also contribute to reduced emissions and a circular economy. </w:t>
      </w:r>
      <w:r w:rsidR="006E3C6C">
        <w:t>This has the potential for economic gro</w:t>
      </w:r>
      <w:r w:rsidR="00AE50D1">
        <w:t xml:space="preserve">wth in the region and building local capability for recycling </w:t>
      </w:r>
      <w:r w:rsidR="006E3C6C">
        <w:t>rather t</w:t>
      </w:r>
      <w:r w:rsidR="00AE50D1">
        <w:t>han relying on overseas treatment of waste</w:t>
      </w:r>
      <w:r w:rsidR="006E3C6C">
        <w:t xml:space="preserve">. </w:t>
      </w:r>
    </w:p>
    <w:p w:rsidR="007E41FD" w:rsidRDefault="006D65D4" w:rsidP="00EA594F">
      <w:pPr>
        <w:pStyle w:val="Heading2"/>
        <w:numPr>
          <w:ilvl w:val="0"/>
          <w:numId w:val="0"/>
        </w:numPr>
        <w:ind w:left="851" w:hanging="851"/>
      </w:pPr>
      <w:bookmarkStart w:id="215" w:name="_Toc523238978"/>
      <w:bookmarkStart w:id="216" w:name="_Toc520749136"/>
      <w:r>
        <w:t>The environmental, social and economic benefit</w:t>
      </w:r>
      <w:r w:rsidR="00351379">
        <w:t>s</w:t>
      </w:r>
      <w:r>
        <w:t xml:space="preserve"> of taking action</w:t>
      </w:r>
      <w:bookmarkEnd w:id="215"/>
      <w:r>
        <w:t xml:space="preserve"> </w:t>
      </w:r>
      <w:bookmarkEnd w:id="216"/>
    </w:p>
    <w:p w:rsidR="006144F0" w:rsidRDefault="00FC4417" w:rsidP="006144F0">
      <w:pPr>
        <w:pStyle w:val="ListBullet"/>
        <w:numPr>
          <w:ilvl w:val="0"/>
          <w:numId w:val="0"/>
        </w:numPr>
      </w:pPr>
      <w:r>
        <w:t>The benefits of</w:t>
      </w:r>
      <w:r w:rsidR="00B87B25">
        <w:t xml:space="preserve"> taking action to reduce the impact of waste</w:t>
      </w:r>
      <w:r>
        <w:t xml:space="preserve"> include:</w:t>
      </w:r>
    </w:p>
    <w:p w:rsidR="00312BDB" w:rsidRDefault="00B87B25" w:rsidP="006144F0">
      <w:pPr>
        <w:pStyle w:val="ListBullet"/>
      </w:pPr>
      <w:r>
        <w:t>improved amenity and reduced noise</w:t>
      </w:r>
      <w:r w:rsidR="006144F0">
        <w:t xml:space="preserve"> </w:t>
      </w:r>
    </w:p>
    <w:p w:rsidR="00312BDB" w:rsidRDefault="006144F0" w:rsidP="006144F0">
      <w:pPr>
        <w:pStyle w:val="ListBullet"/>
      </w:pPr>
      <w:r>
        <w:t>neighbourhood co-operation and participation</w:t>
      </w:r>
    </w:p>
    <w:p w:rsidR="00312BDB" w:rsidRDefault="006144F0" w:rsidP="006144F0">
      <w:pPr>
        <w:pStyle w:val="ListBullet"/>
      </w:pPr>
      <w:r>
        <w:t xml:space="preserve">improved health outcomes from better outdoor air quality </w:t>
      </w:r>
    </w:p>
    <w:p w:rsidR="006144F0" w:rsidRDefault="006144F0" w:rsidP="006144F0">
      <w:pPr>
        <w:pStyle w:val="ListBullet"/>
      </w:pPr>
      <w:r>
        <w:t>waste education benefits</w:t>
      </w:r>
    </w:p>
    <w:p w:rsidR="00FC4417" w:rsidRPr="00FC4417" w:rsidRDefault="00FC4417" w:rsidP="00FC4417">
      <w:pPr>
        <w:pStyle w:val="BodyText"/>
      </w:pPr>
      <w:r>
        <w:t xml:space="preserve">The economic analysis is based on the macroeconomic benefits of reducing greenhouse emissions from waste. </w:t>
      </w:r>
      <w:r w:rsidR="00A60617">
        <w:t>It does not include the analysis of waste treatment technology.</w:t>
      </w:r>
    </w:p>
    <w:tbl>
      <w:tblPr>
        <w:tblW w:w="0" w:type="auto"/>
        <w:tblCellMar>
          <w:left w:w="0" w:type="dxa"/>
          <w:right w:w="0" w:type="dxa"/>
        </w:tblCellMar>
        <w:tblLook w:val="04A0" w:firstRow="1" w:lastRow="0" w:firstColumn="1" w:lastColumn="0" w:noHBand="0" w:noVBand="1"/>
      </w:tblPr>
      <w:tblGrid>
        <w:gridCol w:w="3227"/>
        <w:gridCol w:w="1276"/>
        <w:gridCol w:w="1295"/>
        <w:gridCol w:w="1305"/>
        <w:gridCol w:w="1305"/>
        <w:gridCol w:w="1054"/>
      </w:tblGrid>
      <w:tr w:rsidR="00E45C63" w:rsidRPr="00E45C63" w:rsidTr="00350955">
        <w:trPr>
          <w:trHeight w:val="1905"/>
        </w:trPr>
        <w:tc>
          <w:tcPr>
            <w:tcW w:w="3227"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C72EC4" w:rsidRDefault="00C72EC4">
            <w:pPr>
              <w:rPr>
                <w:rFonts w:cstheme="minorHAnsi"/>
                <w:b/>
                <w:bCs/>
              </w:rPr>
            </w:pPr>
          </w:p>
          <w:p w:rsidR="00C72EC4" w:rsidRDefault="00C72EC4">
            <w:pPr>
              <w:rPr>
                <w:rFonts w:cstheme="minorHAnsi"/>
                <w:b/>
                <w:bCs/>
              </w:rPr>
            </w:pPr>
          </w:p>
          <w:p w:rsidR="00E45C63" w:rsidRPr="00E45C63" w:rsidRDefault="00E45C63">
            <w:pPr>
              <w:rPr>
                <w:rFonts w:eastAsiaTheme="minorHAnsi" w:cstheme="minorHAnsi"/>
                <w:b/>
                <w:bCs/>
                <w:color w:val="000000"/>
                <w:sz w:val="22"/>
                <w:szCs w:val="22"/>
                <w:lang w:eastAsia="en-US"/>
              </w:rPr>
            </w:pPr>
            <w:r w:rsidRPr="00E45C63">
              <w:rPr>
                <w:rFonts w:cstheme="minorHAnsi"/>
                <w:b/>
                <w:bCs/>
              </w:rPr>
              <w:t>Actions</w:t>
            </w:r>
            <w:r w:rsidR="003B4392">
              <w:rPr>
                <w:rFonts w:cstheme="minorHAnsi"/>
                <w:b/>
                <w:bCs/>
              </w:rPr>
              <w:t xml:space="preserve"> modelled</w:t>
            </w:r>
          </w:p>
        </w:tc>
        <w:tc>
          <w:tcPr>
            <w:tcW w:w="1276"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C72EC4" w:rsidRDefault="00C72EC4">
            <w:pPr>
              <w:rPr>
                <w:rFonts w:cstheme="minorHAnsi"/>
                <w:b/>
                <w:bCs/>
              </w:rPr>
            </w:pPr>
          </w:p>
          <w:p w:rsidR="00C72EC4" w:rsidRDefault="00C72EC4">
            <w:pPr>
              <w:rPr>
                <w:rFonts w:cstheme="minorHAnsi"/>
                <w:b/>
                <w:bCs/>
              </w:rPr>
            </w:pPr>
          </w:p>
          <w:p w:rsidR="00E45C63" w:rsidRPr="00E45C63" w:rsidRDefault="00E45C63">
            <w:pPr>
              <w:rPr>
                <w:rFonts w:eastAsiaTheme="minorHAnsi" w:cstheme="minorHAnsi"/>
                <w:b/>
                <w:bCs/>
                <w:color w:val="000000"/>
                <w:sz w:val="22"/>
                <w:szCs w:val="22"/>
                <w:lang w:eastAsia="en-US"/>
              </w:rPr>
            </w:pPr>
            <w:r w:rsidRPr="00E45C63">
              <w:rPr>
                <w:rFonts w:cstheme="minorHAnsi"/>
                <w:b/>
                <w:bCs/>
              </w:rPr>
              <w:t>Scenario</w:t>
            </w:r>
          </w:p>
        </w:tc>
        <w:tc>
          <w:tcPr>
            <w:tcW w:w="1236"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C72EC4" w:rsidRDefault="00C72EC4">
            <w:pPr>
              <w:autoSpaceDE w:val="0"/>
              <w:autoSpaceDN w:val="0"/>
              <w:rPr>
                <w:rFonts w:cstheme="minorHAnsi"/>
                <w:b/>
                <w:bCs/>
                <w:lang w:val="en-US"/>
              </w:rPr>
            </w:pPr>
          </w:p>
          <w:p w:rsidR="00C72EC4" w:rsidRDefault="00C72EC4">
            <w:pPr>
              <w:autoSpaceDE w:val="0"/>
              <w:autoSpaceDN w:val="0"/>
              <w:rPr>
                <w:rFonts w:cstheme="minorHAnsi"/>
                <w:b/>
                <w:bCs/>
                <w:lang w:val="en-US"/>
              </w:rPr>
            </w:pPr>
          </w:p>
          <w:p w:rsidR="00E45C63" w:rsidRPr="00E45C63" w:rsidRDefault="00E45C63">
            <w:pPr>
              <w:autoSpaceDE w:val="0"/>
              <w:autoSpaceDN w:val="0"/>
              <w:rPr>
                <w:rFonts w:eastAsiaTheme="minorHAnsi" w:cstheme="minorHAnsi"/>
                <w:b/>
                <w:bCs/>
                <w:color w:val="000000"/>
                <w:sz w:val="22"/>
                <w:szCs w:val="22"/>
                <w:lang w:val="en-US" w:eastAsia="en-US"/>
              </w:rPr>
            </w:pPr>
            <w:r w:rsidRPr="00E45C63">
              <w:rPr>
                <w:rFonts w:cstheme="minorHAnsi"/>
                <w:b/>
                <w:bCs/>
                <w:lang w:val="en-US"/>
              </w:rPr>
              <w:t xml:space="preserve">Cumulative </w:t>
            </w:r>
            <w:r w:rsidR="00C72EC4">
              <w:rPr>
                <w:rFonts w:cstheme="minorHAnsi"/>
                <w:b/>
                <w:bCs/>
                <w:lang w:val="en-US"/>
              </w:rPr>
              <w:t>a</w:t>
            </w:r>
            <w:r w:rsidRPr="00E45C63">
              <w:rPr>
                <w:rFonts w:cstheme="minorHAnsi"/>
                <w:b/>
                <w:bCs/>
                <w:lang w:val="en-US"/>
              </w:rPr>
              <w:t xml:space="preserve">batement </w:t>
            </w:r>
            <w:r w:rsidR="00C72EC4">
              <w:rPr>
                <w:rFonts w:cstheme="minorHAnsi"/>
                <w:b/>
                <w:bCs/>
                <w:lang w:val="en-US"/>
              </w:rPr>
              <w:t>p</w:t>
            </w:r>
            <w:r w:rsidRPr="00E45C63">
              <w:rPr>
                <w:rFonts w:cstheme="minorHAnsi"/>
                <w:b/>
                <w:bCs/>
                <w:lang w:val="en-US"/>
              </w:rPr>
              <w:t xml:space="preserve">otential by </w:t>
            </w:r>
            <w:r w:rsidR="00C72EC4">
              <w:rPr>
                <w:rFonts w:cstheme="minorHAnsi"/>
                <w:b/>
                <w:bCs/>
                <w:lang w:val="en-US"/>
              </w:rPr>
              <w:t>c</w:t>
            </w:r>
            <w:r w:rsidRPr="00E45C63">
              <w:rPr>
                <w:rFonts w:cstheme="minorHAnsi"/>
                <w:b/>
                <w:bCs/>
                <w:lang w:val="en-US"/>
              </w:rPr>
              <w:t>ategory</w:t>
            </w:r>
          </w:p>
        </w:tc>
        <w:tc>
          <w:tcPr>
            <w:tcW w:w="1224"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rsidR="00A407B6" w:rsidRDefault="00E45C63">
            <w:pPr>
              <w:autoSpaceDE w:val="0"/>
              <w:autoSpaceDN w:val="0"/>
              <w:rPr>
                <w:rFonts w:cstheme="minorHAnsi"/>
                <w:b/>
                <w:bCs/>
                <w:lang w:val="en-US"/>
              </w:rPr>
            </w:pPr>
            <w:r w:rsidRPr="00E45C63">
              <w:rPr>
                <w:rFonts w:cstheme="minorHAnsi"/>
                <w:b/>
                <w:bCs/>
                <w:lang w:val="en-US"/>
              </w:rPr>
              <w:t xml:space="preserve">Discounted </w:t>
            </w:r>
            <w:r w:rsidR="00A407B6">
              <w:rPr>
                <w:rFonts w:cstheme="minorHAnsi"/>
                <w:b/>
                <w:bCs/>
                <w:lang w:val="en-US"/>
              </w:rPr>
              <w:t>b</w:t>
            </w:r>
            <w:r w:rsidRPr="00E45C63">
              <w:rPr>
                <w:rFonts w:cstheme="minorHAnsi"/>
                <w:b/>
                <w:bCs/>
                <w:lang w:val="en-US"/>
              </w:rPr>
              <w:t>enefits</w:t>
            </w:r>
            <w:r w:rsidR="00473A00">
              <w:rPr>
                <w:rStyle w:val="FootnoteReference"/>
                <w:rFonts w:cstheme="minorHAnsi"/>
                <w:b/>
                <w:bCs/>
                <w:lang w:val="en-US"/>
              </w:rPr>
              <w:footnoteReference w:id="19"/>
            </w:r>
            <w:r w:rsidRPr="00E45C63">
              <w:rPr>
                <w:rFonts w:cstheme="minorHAnsi"/>
                <w:b/>
                <w:bCs/>
                <w:lang w:val="en-US"/>
              </w:rPr>
              <w:t xml:space="preserve">  </w:t>
            </w:r>
          </w:p>
          <w:p w:rsidR="00E45C63" w:rsidRPr="00E45C63" w:rsidRDefault="00E45C63">
            <w:pPr>
              <w:autoSpaceDE w:val="0"/>
              <w:autoSpaceDN w:val="0"/>
              <w:rPr>
                <w:rFonts w:eastAsiaTheme="minorHAnsi" w:cstheme="minorHAnsi"/>
                <w:b/>
                <w:bCs/>
                <w:color w:val="000000"/>
                <w:sz w:val="22"/>
                <w:szCs w:val="22"/>
                <w:lang w:val="en-US" w:eastAsia="en-US"/>
              </w:rPr>
            </w:pPr>
            <w:r w:rsidRPr="00E45C63">
              <w:rPr>
                <w:rFonts w:cstheme="minorHAnsi"/>
                <w:b/>
                <w:bCs/>
                <w:lang w:val="en-US"/>
              </w:rPr>
              <w:t>($ million)</w:t>
            </w:r>
          </w:p>
        </w:tc>
        <w:tc>
          <w:tcPr>
            <w:tcW w:w="1225"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rsidR="00A407B6" w:rsidRDefault="00E45C63">
            <w:pPr>
              <w:autoSpaceDE w:val="0"/>
              <w:autoSpaceDN w:val="0"/>
              <w:rPr>
                <w:rFonts w:cstheme="minorHAnsi"/>
                <w:b/>
                <w:bCs/>
                <w:lang w:val="en-US"/>
              </w:rPr>
            </w:pPr>
            <w:r w:rsidRPr="00E45C63">
              <w:rPr>
                <w:rFonts w:cstheme="minorHAnsi"/>
                <w:b/>
                <w:bCs/>
                <w:lang w:val="en-US"/>
              </w:rPr>
              <w:t xml:space="preserve">Discounted </w:t>
            </w:r>
            <w:r w:rsidR="00A407B6">
              <w:rPr>
                <w:rFonts w:cstheme="minorHAnsi"/>
                <w:b/>
                <w:bCs/>
                <w:lang w:val="en-US"/>
              </w:rPr>
              <w:t>c</w:t>
            </w:r>
            <w:r w:rsidRPr="00E45C63">
              <w:rPr>
                <w:rFonts w:cstheme="minorHAnsi"/>
                <w:b/>
                <w:bCs/>
                <w:lang w:val="en-US"/>
              </w:rPr>
              <w:t xml:space="preserve">osts    </w:t>
            </w:r>
          </w:p>
          <w:p w:rsidR="00E45C63" w:rsidRPr="00E45C63" w:rsidRDefault="00E45C63">
            <w:pPr>
              <w:autoSpaceDE w:val="0"/>
              <w:autoSpaceDN w:val="0"/>
              <w:rPr>
                <w:rFonts w:eastAsiaTheme="minorHAnsi" w:cstheme="minorHAnsi"/>
                <w:b/>
                <w:bCs/>
                <w:color w:val="000000"/>
                <w:sz w:val="22"/>
                <w:szCs w:val="22"/>
                <w:lang w:val="en-US" w:eastAsia="en-US"/>
              </w:rPr>
            </w:pPr>
            <w:r w:rsidRPr="00E45C63">
              <w:rPr>
                <w:rFonts w:cstheme="minorHAnsi"/>
                <w:b/>
                <w:bCs/>
                <w:lang w:val="en-US"/>
              </w:rPr>
              <w:t>($ million)</w:t>
            </w:r>
          </w:p>
        </w:tc>
        <w:tc>
          <w:tcPr>
            <w:tcW w:w="1054"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rsidR="00E45C63" w:rsidRPr="00E45C63" w:rsidRDefault="00E45C63">
            <w:pPr>
              <w:autoSpaceDE w:val="0"/>
              <w:autoSpaceDN w:val="0"/>
              <w:rPr>
                <w:rFonts w:eastAsiaTheme="minorHAnsi" w:cstheme="minorHAnsi"/>
                <w:b/>
                <w:bCs/>
                <w:color w:val="000000"/>
                <w:sz w:val="22"/>
                <w:szCs w:val="22"/>
                <w:lang w:val="en-US" w:eastAsia="en-US"/>
              </w:rPr>
            </w:pPr>
            <w:r w:rsidRPr="00E45C63">
              <w:rPr>
                <w:rFonts w:cstheme="minorHAnsi"/>
                <w:b/>
                <w:bCs/>
                <w:lang w:val="en-US"/>
              </w:rPr>
              <w:t xml:space="preserve">Benefit </w:t>
            </w:r>
            <w:r w:rsidR="00A407B6">
              <w:rPr>
                <w:rFonts w:cstheme="minorHAnsi"/>
                <w:b/>
                <w:bCs/>
                <w:lang w:val="en-US"/>
              </w:rPr>
              <w:t>c</w:t>
            </w:r>
            <w:r w:rsidRPr="00E45C63">
              <w:rPr>
                <w:rFonts w:cstheme="minorHAnsi"/>
                <w:b/>
                <w:bCs/>
                <w:lang w:val="en-US"/>
              </w:rPr>
              <w:t xml:space="preserve">ost </w:t>
            </w:r>
            <w:r w:rsidR="00A407B6">
              <w:rPr>
                <w:rFonts w:cstheme="minorHAnsi"/>
                <w:b/>
                <w:bCs/>
                <w:lang w:val="en-US"/>
              </w:rPr>
              <w:t>r</w:t>
            </w:r>
            <w:r w:rsidRPr="00E45C63">
              <w:rPr>
                <w:rFonts w:cstheme="minorHAnsi"/>
                <w:b/>
                <w:bCs/>
                <w:lang w:val="en-US"/>
              </w:rPr>
              <w:t>atio</w:t>
            </w:r>
          </w:p>
        </w:tc>
      </w:tr>
      <w:tr w:rsidR="00E45C63" w:rsidRPr="00E45C63" w:rsidTr="00350955">
        <w:trPr>
          <w:trHeight w:val="1052"/>
        </w:trPr>
        <w:tc>
          <w:tcPr>
            <w:tcW w:w="3227" w:type="dxa"/>
            <w:vMerge w:val="restar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B47FAD" w:rsidRDefault="00956EB8" w:rsidP="003E2E14">
            <w:pPr>
              <w:autoSpaceDN w:val="0"/>
              <w:spacing w:line="240" w:lineRule="auto"/>
              <w:contextualSpacing/>
              <w:rPr>
                <w:rFonts w:cstheme="minorHAnsi"/>
                <w:sz w:val="18"/>
                <w:szCs w:val="18"/>
              </w:rPr>
            </w:pPr>
            <w:r>
              <w:rPr>
                <w:rFonts w:cstheme="minorHAnsi"/>
                <w:sz w:val="18"/>
                <w:szCs w:val="18"/>
              </w:rPr>
              <w:t>D</w:t>
            </w:r>
            <w:r w:rsidR="00E45C63" w:rsidRPr="003E2E14">
              <w:rPr>
                <w:rFonts w:cstheme="minorHAnsi"/>
                <w:sz w:val="18"/>
                <w:szCs w:val="18"/>
              </w:rPr>
              <w:t>iver</w:t>
            </w:r>
            <w:r>
              <w:rPr>
                <w:rFonts w:cstheme="minorHAnsi"/>
                <w:sz w:val="18"/>
                <w:szCs w:val="18"/>
              </w:rPr>
              <w:t xml:space="preserve">t </w:t>
            </w:r>
            <w:r w:rsidR="00E45C63" w:rsidRPr="003E2E14">
              <w:rPr>
                <w:rFonts w:cstheme="minorHAnsi"/>
                <w:sz w:val="18"/>
                <w:szCs w:val="18"/>
              </w:rPr>
              <w:t>commercial and industrial waste</w:t>
            </w:r>
            <w:r>
              <w:rPr>
                <w:rFonts w:cstheme="minorHAnsi"/>
                <w:sz w:val="18"/>
                <w:szCs w:val="18"/>
              </w:rPr>
              <w:t xml:space="preserve"> from landfill</w:t>
            </w:r>
            <w:r w:rsidR="00B47FAD">
              <w:rPr>
                <w:rFonts w:cstheme="minorHAnsi"/>
                <w:sz w:val="18"/>
                <w:szCs w:val="18"/>
              </w:rPr>
              <w:t xml:space="preserve">: </w:t>
            </w:r>
          </w:p>
          <w:p w:rsidR="00B47FAD" w:rsidRDefault="00B47FAD" w:rsidP="003E2E14">
            <w:pPr>
              <w:autoSpaceDN w:val="0"/>
              <w:spacing w:line="240" w:lineRule="auto"/>
              <w:contextualSpacing/>
              <w:rPr>
                <w:rFonts w:cstheme="minorHAnsi"/>
                <w:sz w:val="18"/>
                <w:szCs w:val="18"/>
              </w:rPr>
            </w:pPr>
            <w:r>
              <w:rPr>
                <w:rFonts w:cstheme="minorHAnsi"/>
                <w:sz w:val="18"/>
                <w:szCs w:val="18"/>
              </w:rPr>
              <w:t xml:space="preserve">70 per cent </w:t>
            </w:r>
            <w:r w:rsidR="009D1DFE">
              <w:rPr>
                <w:rFonts w:cstheme="minorHAnsi"/>
                <w:sz w:val="18"/>
                <w:szCs w:val="18"/>
              </w:rPr>
              <w:t>significant</w:t>
            </w:r>
            <w:r>
              <w:rPr>
                <w:rFonts w:cstheme="minorHAnsi"/>
                <w:sz w:val="18"/>
                <w:szCs w:val="18"/>
              </w:rPr>
              <w:t xml:space="preserve">, </w:t>
            </w:r>
          </w:p>
          <w:p w:rsidR="00E45C63" w:rsidRPr="003E2E14" w:rsidRDefault="00B47FAD" w:rsidP="003E2E14">
            <w:pPr>
              <w:autoSpaceDN w:val="0"/>
              <w:spacing w:line="240" w:lineRule="auto"/>
              <w:contextualSpacing/>
              <w:rPr>
                <w:rFonts w:eastAsiaTheme="minorHAnsi" w:cstheme="minorHAnsi"/>
                <w:color w:val="000000"/>
                <w:sz w:val="18"/>
                <w:szCs w:val="18"/>
              </w:rPr>
            </w:pPr>
            <w:r>
              <w:rPr>
                <w:rFonts w:cstheme="minorHAnsi"/>
                <w:sz w:val="18"/>
                <w:szCs w:val="18"/>
              </w:rPr>
              <w:t>75 per cent accelerated</w:t>
            </w:r>
          </w:p>
          <w:p w:rsidR="00E45C63" w:rsidRPr="003E2E14" w:rsidRDefault="00E45C63" w:rsidP="00E45C63">
            <w:pPr>
              <w:pStyle w:val="ListParagraph"/>
              <w:autoSpaceDN w:val="0"/>
              <w:spacing w:before="0" w:after="0" w:line="240" w:lineRule="auto"/>
              <w:ind w:left="426"/>
              <w:contextualSpacing/>
              <w:rPr>
                <w:rFonts w:eastAsiaTheme="minorHAnsi" w:cstheme="minorHAnsi"/>
                <w:color w:val="000000"/>
                <w:sz w:val="18"/>
                <w:szCs w:val="18"/>
              </w:rPr>
            </w:pPr>
          </w:p>
          <w:p w:rsidR="00B47FAD" w:rsidRPr="00C74584" w:rsidRDefault="00956EB8" w:rsidP="00507E57">
            <w:pPr>
              <w:autoSpaceDN w:val="0"/>
              <w:spacing w:line="240" w:lineRule="auto"/>
              <w:contextualSpacing/>
              <w:rPr>
                <w:rFonts w:cstheme="minorHAnsi"/>
                <w:sz w:val="18"/>
                <w:szCs w:val="18"/>
              </w:rPr>
            </w:pPr>
            <w:r w:rsidRPr="00C74584">
              <w:rPr>
                <w:rFonts w:cstheme="minorHAnsi"/>
                <w:sz w:val="18"/>
                <w:szCs w:val="18"/>
              </w:rPr>
              <w:t>D</w:t>
            </w:r>
            <w:r w:rsidR="00E45C63" w:rsidRPr="00C74584">
              <w:rPr>
                <w:rFonts w:cstheme="minorHAnsi"/>
                <w:sz w:val="18"/>
                <w:szCs w:val="18"/>
              </w:rPr>
              <w:t>iver</w:t>
            </w:r>
            <w:r w:rsidRPr="00C74584">
              <w:rPr>
                <w:rFonts w:cstheme="minorHAnsi"/>
                <w:sz w:val="18"/>
                <w:szCs w:val="18"/>
              </w:rPr>
              <w:t xml:space="preserve">t </w:t>
            </w:r>
            <w:r w:rsidR="00E45C63" w:rsidRPr="00C74584">
              <w:rPr>
                <w:rFonts w:cstheme="minorHAnsi"/>
                <w:sz w:val="18"/>
                <w:szCs w:val="18"/>
              </w:rPr>
              <w:t>residential waste</w:t>
            </w:r>
            <w:r w:rsidRPr="00C74584">
              <w:rPr>
                <w:rFonts w:cstheme="minorHAnsi"/>
                <w:sz w:val="18"/>
                <w:szCs w:val="18"/>
              </w:rPr>
              <w:t xml:space="preserve"> from landfill</w:t>
            </w:r>
            <w:r w:rsidR="00B47FAD" w:rsidRPr="00C74584">
              <w:rPr>
                <w:rFonts w:cstheme="minorHAnsi"/>
                <w:sz w:val="18"/>
                <w:szCs w:val="18"/>
              </w:rPr>
              <w:t xml:space="preserve">: 30 per cent </w:t>
            </w:r>
            <w:r w:rsidR="009D1DFE">
              <w:rPr>
                <w:rFonts w:cstheme="minorHAnsi"/>
                <w:sz w:val="18"/>
                <w:szCs w:val="18"/>
              </w:rPr>
              <w:t>significant</w:t>
            </w:r>
            <w:r w:rsidR="00B47FAD" w:rsidRPr="00C74584">
              <w:rPr>
                <w:rFonts w:cstheme="minorHAnsi"/>
                <w:sz w:val="18"/>
                <w:szCs w:val="18"/>
              </w:rPr>
              <w:t>,</w:t>
            </w:r>
          </w:p>
          <w:p w:rsidR="00E45C63" w:rsidRPr="003E2E14" w:rsidRDefault="00B47FAD" w:rsidP="00507E57">
            <w:pPr>
              <w:autoSpaceDN w:val="0"/>
              <w:spacing w:line="240" w:lineRule="auto"/>
              <w:contextualSpacing/>
              <w:rPr>
                <w:rFonts w:cstheme="minorHAnsi"/>
                <w:sz w:val="18"/>
                <w:szCs w:val="18"/>
              </w:rPr>
            </w:pPr>
            <w:r w:rsidRPr="00C74584">
              <w:rPr>
                <w:rFonts w:cstheme="minorHAnsi"/>
                <w:sz w:val="18"/>
                <w:szCs w:val="18"/>
              </w:rPr>
              <w:t>85 per cent accelerated</w:t>
            </w:r>
            <w:r>
              <w:rPr>
                <w:rFonts w:cstheme="minorHAnsi"/>
                <w:sz w:val="18"/>
                <w:szCs w:val="18"/>
              </w:rPr>
              <w:t xml:space="preserve"> </w:t>
            </w:r>
          </w:p>
        </w:tc>
        <w:tc>
          <w:tcPr>
            <w:tcW w:w="127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507E57" w:rsidRPr="00B47FAD" w:rsidRDefault="009D1DFE">
            <w:pPr>
              <w:rPr>
                <w:rFonts w:cstheme="minorHAnsi"/>
                <w:sz w:val="18"/>
                <w:szCs w:val="18"/>
              </w:rPr>
            </w:pPr>
            <w:r>
              <w:rPr>
                <w:rFonts w:cstheme="minorHAnsi"/>
                <w:sz w:val="18"/>
                <w:szCs w:val="18"/>
              </w:rPr>
              <w:t>Significant</w:t>
            </w:r>
          </w:p>
        </w:tc>
        <w:tc>
          <w:tcPr>
            <w:tcW w:w="123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E45C63" w:rsidRPr="003E2E14" w:rsidRDefault="00E45C63">
            <w:pPr>
              <w:autoSpaceDE w:val="0"/>
              <w:autoSpaceDN w:val="0"/>
              <w:rPr>
                <w:rFonts w:eastAsiaTheme="minorHAnsi" w:cstheme="minorHAnsi"/>
                <w:color w:val="000000"/>
                <w:sz w:val="18"/>
                <w:szCs w:val="18"/>
                <w:lang w:val="en-US" w:eastAsia="en-US"/>
              </w:rPr>
            </w:pPr>
            <w:r w:rsidRPr="003E2E14">
              <w:rPr>
                <w:rFonts w:cstheme="minorHAnsi"/>
                <w:sz w:val="18"/>
                <w:szCs w:val="18"/>
                <w:lang w:val="en-US"/>
              </w:rPr>
              <w:t>4.3 MtCO</w:t>
            </w:r>
            <w:r w:rsidRPr="003E2E14">
              <w:rPr>
                <w:rFonts w:cstheme="minorHAnsi"/>
                <w:sz w:val="18"/>
                <w:szCs w:val="18"/>
                <w:vertAlign w:val="subscript"/>
                <w:lang w:val="en-US"/>
              </w:rPr>
              <w:t>2</w:t>
            </w:r>
            <w:r w:rsidRPr="003E2E14">
              <w:rPr>
                <w:rFonts w:cstheme="minorHAnsi"/>
                <w:sz w:val="18"/>
                <w:szCs w:val="18"/>
                <w:lang w:val="en-US"/>
              </w:rPr>
              <w:t>-e</w:t>
            </w:r>
          </w:p>
        </w:tc>
        <w:tc>
          <w:tcPr>
            <w:tcW w:w="122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E45C63" w:rsidRPr="003E2E14" w:rsidRDefault="00E45C63">
            <w:pPr>
              <w:autoSpaceDN w:val="0"/>
              <w:jc w:val="right"/>
              <w:rPr>
                <w:rFonts w:eastAsiaTheme="minorHAnsi" w:cstheme="minorHAnsi"/>
                <w:color w:val="000000"/>
                <w:sz w:val="18"/>
                <w:szCs w:val="18"/>
                <w:lang w:val="en-US" w:eastAsia="en-US"/>
              </w:rPr>
            </w:pPr>
            <w:r w:rsidRPr="003E2E14">
              <w:rPr>
                <w:rFonts w:cstheme="minorHAnsi"/>
                <w:color w:val="000000"/>
                <w:sz w:val="18"/>
                <w:szCs w:val="18"/>
                <w:lang w:val="en-US"/>
              </w:rPr>
              <w:t xml:space="preserve">444.33 </w:t>
            </w:r>
          </w:p>
        </w:tc>
        <w:tc>
          <w:tcPr>
            <w:tcW w:w="122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E45C63" w:rsidRPr="003E2E14" w:rsidRDefault="00E45C63">
            <w:pPr>
              <w:autoSpaceDN w:val="0"/>
              <w:jc w:val="right"/>
              <w:rPr>
                <w:rFonts w:eastAsiaTheme="minorHAnsi" w:cstheme="minorHAnsi"/>
                <w:color w:val="000000"/>
                <w:sz w:val="18"/>
                <w:szCs w:val="18"/>
                <w:lang w:val="en-US" w:eastAsia="en-US"/>
              </w:rPr>
            </w:pPr>
            <w:r w:rsidRPr="003E2E14">
              <w:rPr>
                <w:rFonts w:cstheme="minorHAnsi"/>
                <w:color w:val="000000"/>
                <w:sz w:val="18"/>
                <w:szCs w:val="18"/>
                <w:lang w:val="en-US"/>
              </w:rPr>
              <w:t xml:space="preserve">36.37 </w:t>
            </w:r>
          </w:p>
        </w:tc>
        <w:tc>
          <w:tcPr>
            <w:tcW w:w="105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E45C63" w:rsidRPr="003E2E14" w:rsidRDefault="00E45C63">
            <w:pPr>
              <w:autoSpaceDN w:val="0"/>
              <w:jc w:val="right"/>
              <w:rPr>
                <w:rFonts w:eastAsiaTheme="minorHAnsi" w:cstheme="minorHAnsi"/>
                <w:color w:val="000000"/>
                <w:sz w:val="18"/>
                <w:szCs w:val="18"/>
                <w:lang w:val="en-US" w:eastAsia="en-US"/>
              </w:rPr>
            </w:pPr>
            <w:r w:rsidRPr="003E2E14">
              <w:rPr>
                <w:rFonts w:cstheme="minorHAnsi"/>
                <w:color w:val="000000"/>
                <w:sz w:val="18"/>
                <w:szCs w:val="18"/>
                <w:lang w:val="en-US"/>
              </w:rPr>
              <w:t>12.22</w:t>
            </w:r>
          </w:p>
        </w:tc>
      </w:tr>
      <w:tr w:rsidR="00E45C63" w:rsidRPr="00E45C63" w:rsidTr="00350955">
        <w:trPr>
          <w:trHeight w:val="1052"/>
        </w:trPr>
        <w:tc>
          <w:tcPr>
            <w:tcW w:w="0" w:type="auto"/>
            <w:vMerge/>
            <w:tcBorders>
              <w:top w:val="nil"/>
              <w:left w:val="single" w:sz="8" w:space="0" w:color="auto"/>
              <w:bottom w:val="single" w:sz="8" w:space="0" w:color="auto"/>
              <w:right w:val="single" w:sz="8" w:space="0" w:color="auto"/>
            </w:tcBorders>
            <w:vAlign w:val="center"/>
            <w:hideMark/>
          </w:tcPr>
          <w:p w:rsidR="00E45C63" w:rsidRPr="003E2E14" w:rsidRDefault="00E45C63">
            <w:pPr>
              <w:rPr>
                <w:rFonts w:cstheme="minorHAnsi"/>
                <w:sz w:val="18"/>
                <w:szCs w:val="18"/>
                <w:lang w:eastAsia="en-US"/>
              </w:rPr>
            </w:pPr>
          </w:p>
        </w:tc>
        <w:tc>
          <w:tcPr>
            <w:tcW w:w="127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47FAD" w:rsidRPr="00B47FAD" w:rsidRDefault="00E45C63">
            <w:pPr>
              <w:rPr>
                <w:rFonts w:cstheme="minorHAnsi"/>
                <w:sz w:val="18"/>
                <w:szCs w:val="18"/>
              </w:rPr>
            </w:pPr>
            <w:r w:rsidRPr="003E2E14">
              <w:rPr>
                <w:rFonts w:cstheme="minorHAnsi"/>
                <w:sz w:val="18"/>
                <w:szCs w:val="18"/>
              </w:rPr>
              <w:t>Accelerated</w:t>
            </w:r>
          </w:p>
        </w:tc>
        <w:tc>
          <w:tcPr>
            <w:tcW w:w="123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E45C63" w:rsidRPr="003E2E14" w:rsidRDefault="00E45C63">
            <w:pPr>
              <w:autoSpaceDE w:val="0"/>
              <w:autoSpaceDN w:val="0"/>
              <w:rPr>
                <w:rFonts w:eastAsiaTheme="minorHAnsi" w:cstheme="minorHAnsi"/>
                <w:color w:val="000000"/>
                <w:sz w:val="18"/>
                <w:szCs w:val="18"/>
                <w:lang w:val="en-US" w:eastAsia="en-US"/>
              </w:rPr>
            </w:pPr>
            <w:r w:rsidRPr="003E2E14">
              <w:rPr>
                <w:rFonts w:cstheme="minorHAnsi"/>
                <w:sz w:val="18"/>
                <w:szCs w:val="18"/>
                <w:lang w:val="en-US"/>
              </w:rPr>
              <w:t>7.5 MtCO</w:t>
            </w:r>
            <w:r w:rsidRPr="003E2E14">
              <w:rPr>
                <w:rFonts w:cstheme="minorHAnsi"/>
                <w:sz w:val="18"/>
                <w:szCs w:val="18"/>
                <w:vertAlign w:val="subscript"/>
                <w:lang w:val="en-US"/>
              </w:rPr>
              <w:t>2</w:t>
            </w:r>
            <w:r w:rsidRPr="003E2E14">
              <w:rPr>
                <w:rFonts w:cstheme="minorHAnsi"/>
                <w:sz w:val="18"/>
                <w:szCs w:val="18"/>
                <w:lang w:val="en-US"/>
              </w:rPr>
              <w:t>-e</w:t>
            </w:r>
          </w:p>
        </w:tc>
        <w:tc>
          <w:tcPr>
            <w:tcW w:w="122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E45C63" w:rsidRPr="003E2E14" w:rsidRDefault="00E45C63">
            <w:pPr>
              <w:autoSpaceDN w:val="0"/>
              <w:jc w:val="right"/>
              <w:rPr>
                <w:rFonts w:eastAsiaTheme="minorHAnsi" w:cstheme="minorHAnsi"/>
                <w:color w:val="000000"/>
                <w:sz w:val="18"/>
                <w:szCs w:val="18"/>
                <w:lang w:val="en-US" w:eastAsia="en-US"/>
              </w:rPr>
            </w:pPr>
            <w:r w:rsidRPr="003E2E14">
              <w:rPr>
                <w:rFonts w:cstheme="minorHAnsi"/>
                <w:color w:val="000000"/>
                <w:sz w:val="18"/>
                <w:szCs w:val="18"/>
                <w:lang w:val="en-US"/>
              </w:rPr>
              <w:t xml:space="preserve">741.24 </w:t>
            </w:r>
          </w:p>
        </w:tc>
        <w:tc>
          <w:tcPr>
            <w:tcW w:w="122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E45C63" w:rsidRPr="003E2E14" w:rsidRDefault="00E45C63">
            <w:pPr>
              <w:autoSpaceDN w:val="0"/>
              <w:jc w:val="right"/>
              <w:rPr>
                <w:rFonts w:eastAsiaTheme="minorHAnsi" w:cstheme="minorHAnsi"/>
                <w:color w:val="000000"/>
                <w:sz w:val="18"/>
                <w:szCs w:val="18"/>
                <w:lang w:val="en-US" w:eastAsia="en-US"/>
              </w:rPr>
            </w:pPr>
            <w:r w:rsidRPr="003E2E14">
              <w:rPr>
                <w:rFonts w:cstheme="minorHAnsi"/>
                <w:color w:val="000000"/>
                <w:sz w:val="18"/>
                <w:szCs w:val="18"/>
                <w:lang w:val="en-US"/>
              </w:rPr>
              <w:t xml:space="preserve">71.57 </w:t>
            </w:r>
          </w:p>
        </w:tc>
        <w:tc>
          <w:tcPr>
            <w:tcW w:w="105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E45C63" w:rsidRPr="003E2E14" w:rsidRDefault="00E45C63">
            <w:pPr>
              <w:autoSpaceDN w:val="0"/>
              <w:jc w:val="right"/>
              <w:rPr>
                <w:rFonts w:eastAsiaTheme="minorHAnsi" w:cstheme="minorHAnsi"/>
                <w:color w:val="000000"/>
                <w:sz w:val="18"/>
                <w:szCs w:val="18"/>
                <w:lang w:val="en-US" w:eastAsia="en-US"/>
              </w:rPr>
            </w:pPr>
            <w:r w:rsidRPr="003E2E14">
              <w:rPr>
                <w:rFonts w:cstheme="minorHAnsi"/>
                <w:color w:val="000000"/>
                <w:sz w:val="18"/>
                <w:szCs w:val="18"/>
                <w:lang w:val="en-US"/>
              </w:rPr>
              <w:t>10.36</w:t>
            </w:r>
          </w:p>
        </w:tc>
      </w:tr>
    </w:tbl>
    <w:p w:rsidR="00A60617" w:rsidRDefault="00A60617" w:rsidP="0015089B">
      <w:pPr>
        <w:pStyle w:val="ListBullet"/>
        <w:numPr>
          <w:ilvl w:val="0"/>
          <w:numId w:val="0"/>
        </w:numPr>
      </w:pPr>
    </w:p>
    <w:p w:rsidR="00A60617" w:rsidRDefault="00A60617">
      <w:r>
        <w:rPr>
          <w:rFonts w:ascii="Times New Roman" w:hAnsi="Times New Roman"/>
          <w:noProof/>
          <w:color w:val="auto"/>
          <w:sz w:val="24"/>
          <w:szCs w:val="24"/>
        </w:rPr>
        <mc:AlternateContent>
          <mc:Choice Requires="wps">
            <w:drawing>
              <wp:anchor distT="0" distB="0" distL="114300" distR="114300" simplePos="0" relativeHeight="251673088" behindDoc="0" locked="0" layoutInCell="1" allowOverlap="1" wp14:anchorId="4CB24DE9" wp14:editId="59FC3C10">
                <wp:simplePos x="0" y="0"/>
                <wp:positionH relativeFrom="column">
                  <wp:posOffset>3810</wp:posOffset>
                </wp:positionH>
                <wp:positionV relativeFrom="paragraph">
                  <wp:posOffset>273796</wp:posOffset>
                </wp:positionV>
                <wp:extent cx="5295600" cy="2264400"/>
                <wp:effectExtent l="0" t="0" r="19685" b="22225"/>
                <wp:wrapNone/>
                <wp:docPr id="1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95600" cy="2264400"/>
                        </a:xfrm>
                        <a:prstGeom prst="rect">
                          <a:avLst/>
                        </a:prstGeom>
                        <a:solidFill>
                          <a:srgbClr val="FFFFFF"/>
                        </a:solidFill>
                        <a:ln w="9525">
                          <a:solidFill>
                            <a:srgbClr val="000000"/>
                          </a:solidFill>
                          <a:miter lim="800000"/>
                          <a:headEnd/>
                          <a:tailEnd/>
                        </a:ln>
                      </wps:spPr>
                      <wps:txbx>
                        <w:txbxContent>
                          <w:p w:rsidR="00B75FD4" w:rsidRDefault="00B75FD4" w:rsidP="00A60617">
                            <w:pPr>
                              <w:shd w:val="clear" w:color="auto" w:fill="FFFFFF"/>
                              <w:spacing w:before="200" w:after="200" w:line="240" w:lineRule="atLeast"/>
                              <w:rPr>
                                <w:rFonts w:ascii="Arial" w:hAnsi="Arial" w:cs="Arial"/>
                                <w:color w:val="000000"/>
                                <w:lang w:eastAsia="en-US"/>
                              </w:rPr>
                            </w:pPr>
                            <w:r>
                              <w:rPr>
                                <w:rFonts w:ascii="Arial" w:hAnsi="Arial" w:cs="Arial"/>
                                <w:b/>
                                <w:bCs/>
                                <w:color w:val="000000"/>
                                <w:lang w:eastAsia="en-US"/>
                              </w:rPr>
                              <w:t xml:space="preserve">Case study: Diverting food waste from </w:t>
                            </w:r>
                            <w:proofErr w:type="spellStart"/>
                            <w:r>
                              <w:rPr>
                                <w:rFonts w:ascii="Arial" w:hAnsi="Arial" w:cs="Arial"/>
                                <w:b/>
                                <w:bCs/>
                                <w:color w:val="000000"/>
                                <w:lang w:eastAsia="en-US"/>
                              </w:rPr>
                              <w:t>Degraves</w:t>
                            </w:r>
                            <w:proofErr w:type="spellEnd"/>
                            <w:r>
                              <w:rPr>
                                <w:rFonts w:ascii="Arial" w:hAnsi="Arial" w:cs="Arial"/>
                                <w:b/>
                                <w:bCs/>
                                <w:color w:val="000000"/>
                                <w:lang w:eastAsia="en-US"/>
                              </w:rPr>
                              <w:t xml:space="preserve"> Street cafes</w:t>
                            </w:r>
                          </w:p>
                          <w:p w:rsidR="00B75FD4" w:rsidRDefault="00B75FD4" w:rsidP="00A60617">
                            <w:r>
                              <w:t xml:space="preserve">One of Melbourne’s most iconic laneways is now one of its </w:t>
                            </w:r>
                            <w:proofErr w:type="gramStart"/>
                            <w:r>
                              <w:t>greenest</w:t>
                            </w:r>
                            <w:proofErr w:type="gramEnd"/>
                            <w:r>
                              <w:t xml:space="preserve">, thanks to the </w:t>
                            </w:r>
                            <w:proofErr w:type="spellStart"/>
                            <w:r>
                              <w:t>Degraves</w:t>
                            </w:r>
                            <w:proofErr w:type="spellEnd"/>
                            <w:r>
                              <w:t xml:space="preserve"> Street Recycling Facility. Waste audits at </w:t>
                            </w:r>
                            <w:proofErr w:type="spellStart"/>
                            <w:r>
                              <w:t>Degraves</w:t>
                            </w:r>
                            <w:proofErr w:type="spellEnd"/>
                            <w:r>
                              <w:t xml:space="preserve"> Street indicated that 90 per cent of waste was either recycling or food waste and could be diverted from landfill. In collaboration with local businesses, the City of Melbourne introduced a shared commercial recycling program and a food dehydrator to turn food waste into a compost-like soil conditioner. The program successfully diverted 237,600 litres of recyclable material from landfill. The organic waste was treated on site and used in the city’s parks and gardens. Businesses on </w:t>
                            </w:r>
                            <w:proofErr w:type="spellStart"/>
                            <w:r>
                              <w:t>Degraves</w:t>
                            </w:r>
                            <w:proofErr w:type="spellEnd"/>
                            <w:r>
                              <w:t xml:space="preserve"> </w:t>
                            </w:r>
                            <w:proofErr w:type="gramStart"/>
                            <w:r>
                              <w:t>street</w:t>
                            </w:r>
                            <w:proofErr w:type="gramEnd"/>
                            <w:r>
                              <w:t xml:space="preserve"> also noticeably improved their efforts to reduce waste.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13" o:spid="_x0000_s1032" type="#_x0000_t202" style="position:absolute;margin-left:.3pt;margin-top:21.55pt;width:417pt;height:178.3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Q6hJgIAAE4EAAAOAAAAZHJzL2Uyb0RvYy54bWysVNtu2zAMfR+wfxD0vtjxkqwx4hRdugwD&#10;ugvQ7gNkWY6FSaImKbGzry8lp2l2exnmB0G86JA8JL26HrQiB+G8BFPR6SSnRBgOjTS7in592L66&#10;osQHZhqmwIiKHoWn1+uXL1a9LUUBHahGOIIgxpe9rWgXgi2zzPNOaOYnYIVBYwtOs4Ci22WNYz2i&#10;a5UVeb7IenCNdcCF96i9HY10nfDbVvDwuW29CERVFHML6XTprOOZrVes3DlmO8lPabB/yEIzaTDo&#10;GeqWBUb2Tv4GpSV34KENEw46g7aVXKQasJpp/ks19x2zItWC5Hh7psn/P1j+6fDFEdlg715TYpjG&#10;Hj2IIZC3MBBUIT+99SW63Vt0DAPq0TfV6u0d8G+eGNh0zOzEjXPQd4I1mN80vswuno44PoLU/Udo&#10;MA7bB0hAQ+t0JA/pIIiOfTqeexNz4aicF8v5IkcTR1tRLGYzFGIMVj49t86H9wI0iZeKOmx+gmeH&#10;Ox9G1yeXGM2Dks1WKpUEt6s3ypEDw0HZpu+E/pObMqSv6HJezEcG/gqRp+9PEFoGnHgldUWvzk6s&#10;jLy9Mw2mycrApBrvWJ0yJyIjdyOLYaiH1LNFDBBJrqE5IrMOxgHHhcRLB+4HJT0Od0X99z1zghL1&#10;wWB3llOkD7chCbP5mwIFd2mpLy3McISqaKBkvG5C2qCYqoEb7GIrE7/PmZxSxqFNHTotWNyKSzl5&#10;Pf8G1o8AAAD//wMAUEsDBBQABgAIAAAAIQCChP9Y3QAAAAcBAAAPAAAAZHJzL2Rvd25yZXYueG1s&#10;TI7NTsMwEITvSLyDtUhcEHVKojQJcSqEBIJbKVW5urGbRNjrYLtpeHuWExznRzNfvZ6tYZP2YXAo&#10;YLlIgGlsnRqwE7B7f7otgIUoUUnjUAv41gHWzeVFLSvlzvimp23sGI1gqKSAPsax4jy0vbYyLNyo&#10;kbKj81ZGkr7jysszjVvD75Ik51YOSA+9HPVjr9vP7ckKKLKX6SO8ppt9mx9NGW9W0/OXF+L6an64&#10;Bxb1HP/K8ItP6NAQ08GdUAVmBOTUE5ClS2CUFmlGxkFAWpYr4E3N//M3PwAAAP//AwBQSwECLQAU&#10;AAYACAAAACEAtoM4kv4AAADhAQAAEwAAAAAAAAAAAAAAAAAAAAAAW0NvbnRlbnRfVHlwZXNdLnht&#10;bFBLAQItABQABgAIAAAAIQA4/SH/1gAAAJQBAAALAAAAAAAAAAAAAAAAAC8BAABfcmVscy8ucmVs&#10;c1BLAQItABQABgAIAAAAIQBQfQ6hJgIAAE4EAAAOAAAAAAAAAAAAAAAAAC4CAABkcnMvZTJvRG9j&#10;LnhtbFBLAQItABQABgAIAAAAIQCChP9Y3QAAAAcBAAAPAAAAAAAAAAAAAAAAAIAEAABkcnMvZG93&#10;bnJldi54bWxQSwUGAAAAAAQABADzAAAAigUAAAAA&#10;">
                <v:textbox>
                  <w:txbxContent>
                    <w:p w:rsidR="00B75FD4" w:rsidRDefault="00B75FD4" w:rsidP="00A60617">
                      <w:pPr>
                        <w:shd w:val="clear" w:color="auto" w:fill="FFFFFF"/>
                        <w:spacing w:before="200" w:after="200" w:line="240" w:lineRule="atLeast"/>
                        <w:rPr>
                          <w:rFonts w:ascii="Arial" w:hAnsi="Arial" w:cs="Arial"/>
                          <w:color w:val="000000"/>
                          <w:lang w:eastAsia="en-US"/>
                        </w:rPr>
                      </w:pPr>
                      <w:r>
                        <w:rPr>
                          <w:rFonts w:ascii="Arial" w:hAnsi="Arial" w:cs="Arial"/>
                          <w:b/>
                          <w:bCs/>
                          <w:color w:val="000000"/>
                          <w:lang w:eastAsia="en-US"/>
                        </w:rPr>
                        <w:t xml:space="preserve">Case study: Diverting food waste from </w:t>
                      </w:r>
                      <w:proofErr w:type="spellStart"/>
                      <w:r>
                        <w:rPr>
                          <w:rFonts w:ascii="Arial" w:hAnsi="Arial" w:cs="Arial"/>
                          <w:b/>
                          <w:bCs/>
                          <w:color w:val="000000"/>
                          <w:lang w:eastAsia="en-US"/>
                        </w:rPr>
                        <w:t>Degraves</w:t>
                      </w:r>
                      <w:proofErr w:type="spellEnd"/>
                      <w:r>
                        <w:rPr>
                          <w:rFonts w:ascii="Arial" w:hAnsi="Arial" w:cs="Arial"/>
                          <w:b/>
                          <w:bCs/>
                          <w:color w:val="000000"/>
                          <w:lang w:eastAsia="en-US"/>
                        </w:rPr>
                        <w:t xml:space="preserve"> Street cafes</w:t>
                      </w:r>
                    </w:p>
                    <w:p w:rsidR="00B75FD4" w:rsidRDefault="00B75FD4" w:rsidP="00A60617">
                      <w:r>
                        <w:t xml:space="preserve">One of Melbourne’s most iconic laneways is now one of its </w:t>
                      </w:r>
                      <w:proofErr w:type="gramStart"/>
                      <w:r>
                        <w:t>greenest</w:t>
                      </w:r>
                      <w:proofErr w:type="gramEnd"/>
                      <w:r>
                        <w:t xml:space="preserve">, thanks to the </w:t>
                      </w:r>
                      <w:proofErr w:type="spellStart"/>
                      <w:r>
                        <w:t>Degraves</w:t>
                      </w:r>
                      <w:proofErr w:type="spellEnd"/>
                      <w:r>
                        <w:t xml:space="preserve"> Street Recycling Facility. Waste audits at </w:t>
                      </w:r>
                      <w:proofErr w:type="spellStart"/>
                      <w:r>
                        <w:t>Degraves</w:t>
                      </w:r>
                      <w:proofErr w:type="spellEnd"/>
                      <w:r>
                        <w:t xml:space="preserve"> Street indicated that 90 per cent of waste was either recycling or food waste and could be diverted from landfill. In collaboration with local businesses, the City of Melbourne introduced a shared commercial recycling program and a food dehydrator to turn food waste into a compost-like soil conditioner. The program successfully diverted 237,600 litres of recyclable material from landfill. The organic waste was treated on site and used in the city’s parks and gardens. Businesses on </w:t>
                      </w:r>
                      <w:proofErr w:type="spellStart"/>
                      <w:r>
                        <w:t>Degraves</w:t>
                      </w:r>
                      <w:proofErr w:type="spellEnd"/>
                      <w:r>
                        <w:t xml:space="preserve"> </w:t>
                      </w:r>
                      <w:proofErr w:type="gramStart"/>
                      <w:r>
                        <w:t>street</w:t>
                      </w:r>
                      <w:proofErr w:type="gramEnd"/>
                      <w:r>
                        <w:t xml:space="preserve"> also noticeably improved their efforts to reduce waste. </w:t>
                      </w:r>
                    </w:p>
                  </w:txbxContent>
                </v:textbox>
              </v:shape>
            </w:pict>
          </mc:Fallback>
        </mc:AlternateContent>
      </w:r>
      <w:r>
        <w:br w:type="page"/>
      </w:r>
    </w:p>
    <w:p w:rsidR="00FE4A42" w:rsidRDefault="00FE4A42" w:rsidP="00A60617">
      <w:pPr>
        <w:pStyle w:val="Caption"/>
        <w:ind w:left="0" w:firstLine="0"/>
      </w:pPr>
      <w:bookmarkStart w:id="217" w:name="_Toc522633207"/>
      <w:r>
        <w:t xml:space="preserve">Figure </w:t>
      </w:r>
      <w:r w:rsidR="00146855">
        <w:rPr>
          <w:noProof/>
        </w:rPr>
        <w:fldChar w:fldCharType="begin"/>
      </w:r>
      <w:r w:rsidR="00146855">
        <w:rPr>
          <w:noProof/>
        </w:rPr>
        <w:instrText xml:space="preserve"> SEQ Figure \* ARABIC </w:instrText>
      </w:r>
      <w:r w:rsidR="00146855">
        <w:rPr>
          <w:noProof/>
        </w:rPr>
        <w:fldChar w:fldCharType="separate"/>
      </w:r>
      <w:r w:rsidR="0039200A">
        <w:rPr>
          <w:noProof/>
        </w:rPr>
        <w:t>12</w:t>
      </w:r>
      <w:r w:rsidR="00146855">
        <w:rPr>
          <w:noProof/>
        </w:rPr>
        <w:fldChar w:fldCharType="end"/>
      </w:r>
      <w:r w:rsidR="00A04B46">
        <w:t xml:space="preserve"> </w:t>
      </w:r>
      <w:r w:rsidRPr="005F3164">
        <w:t>Waste emissions reduction potential</w:t>
      </w:r>
      <w:bookmarkEnd w:id="217"/>
      <w:r w:rsidRPr="005F3164">
        <w:t xml:space="preserve"> </w:t>
      </w:r>
    </w:p>
    <w:p w:rsidR="003E2E14" w:rsidRDefault="009D1DFE" w:rsidP="00350955">
      <w:pPr>
        <w:pStyle w:val="BodyText"/>
      </w:pPr>
      <w:r>
        <w:t>Significant</w:t>
      </w:r>
      <w:r w:rsidR="003E2E14">
        <w:t xml:space="preserve"> scenario</w:t>
      </w:r>
    </w:p>
    <w:p w:rsidR="00664031" w:rsidRDefault="00664031" w:rsidP="00350955">
      <w:pPr>
        <w:pStyle w:val="BodyText"/>
      </w:pPr>
      <w:r>
        <w:rPr>
          <w:noProof/>
        </w:rPr>
        <w:drawing>
          <wp:inline distT="0" distB="0" distL="0" distR="0" wp14:anchorId="7D589C16" wp14:editId="4B69029C">
            <wp:extent cx="5760085" cy="2343150"/>
            <wp:effectExtent l="0" t="0" r="12065" b="19050"/>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3E2E14" w:rsidRDefault="003E2E14" w:rsidP="00350955">
      <w:pPr>
        <w:pStyle w:val="BodyText"/>
      </w:pPr>
    </w:p>
    <w:p w:rsidR="003E2E14" w:rsidRDefault="00F97BAD" w:rsidP="00350955">
      <w:pPr>
        <w:pStyle w:val="BodyText"/>
      </w:pPr>
      <w:r>
        <w:t>A</w:t>
      </w:r>
      <w:r w:rsidR="001742BA">
        <w:t>ccelerated scenario</w:t>
      </w:r>
    </w:p>
    <w:p w:rsidR="003E2E14" w:rsidRPr="003E2E14" w:rsidRDefault="00DF55C2" w:rsidP="001A2142">
      <w:pPr>
        <w:pStyle w:val="BodyText"/>
      </w:pPr>
      <w:r>
        <w:rPr>
          <w:noProof/>
        </w:rPr>
        <w:drawing>
          <wp:inline distT="0" distB="0" distL="0" distR="0" wp14:anchorId="248B366D" wp14:editId="0BB3B5FD">
            <wp:extent cx="5760085" cy="2343150"/>
            <wp:effectExtent l="0" t="0" r="0" b="0"/>
            <wp:docPr id="5"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1E2C04" w:rsidRDefault="001E2C04" w:rsidP="0015089B">
      <w:pPr>
        <w:pStyle w:val="ListBullet"/>
        <w:numPr>
          <w:ilvl w:val="0"/>
          <w:numId w:val="0"/>
        </w:numPr>
      </w:pPr>
    </w:p>
    <w:p w:rsidR="007E7842" w:rsidRDefault="003B4392" w:rsidP="009B5633">
      <w:pPr>
        <w:pStyle w:val="Heading2"/>
        <w:numPr>
          <w:ilvl w:val="0"/>
          <w:numId w:val="0"/>
        </w:numPr>
      </w:pPr>
      <w:bookmarkStart w:id="218" w:name="_Toc523238979"/>
      <w:r>
        <w:t>Proposed actions</w:t>
      </w:r>
      <w:bookmarkEnd w:id="218"/>
    </w:p>
    <w:p w:rsidR="004741EB" w:rsidRDefault="004741EB" w:rsidP="001D7A61">
      <w:pPr>
        <w:pStyle w:val="ListNumber"/>
        <w:numPr>
          <w:ilvl w:val="0"/>
          <w:numId w:val="114"/>
        </w:numPr>
      </w:pPr>
      <w:r>
        <w:t xml:space="preserve">Continue to </w:t>
      </w:r>
      <w:r w:rsidR="00631EFF">
        <w:t>promote and facilitate</w:t>
      </w:r>
      <w:r w:rsidR="00C31247">
        <w:t xml:space="preserve"> waste avoidance,</w:t>
      </w:r>
      <w:r>
        <w:t xml:space="preserve"> recycling</w:t>
      </w:r>
      <w:r w:rsidR="009F4ABD">
        <w:t>, recovery</w:t>
      </w:r>
      <w:r>
        <w:t xml:space="preserve"> and diversion of waste from landfill by implementing the </w:t>
      </w:r>
      <w:r w:rsidR="009F4ABD">
        <w:t xml:space="preserve">City of Melbourne’s </w:t>
      </w:r>
      <w:r>
        <w:t>Waste and Resource Recovery Strategy</w:t>
      </w:r>
      <w:r w:rsidR="0093605B">
        <w:t>.</w:t>
      </w:r>
    </w:p>
    <w:p w:rsidR="0069308E" w:rsidRDefault="0069308E" w:rsidP="0069308E">
      <w:pPr>
        <w:pStyle w:val="ListNumber"/>
        <w:numPr>
          <w:ilvl w:val="0"/>
          <w:numId w:val="0"/>
        </w:numPr>
        <w:ind w:left="397"/>
      </w:pPr>
    </w:p>
    <w:p w:rsidR="00E348D7" w:rsidRPr="00AD4C7F" w:rsidRDefault="00E348D7" w:rsidP="00E348D7">
      <w:pPr>
        <w:spacing w:before="200" w:after="200"/>
      </w:pPr>
      <w:r>
        <w:t>The above list is a set of indicative actions to address this strategic priority. This list is not exhaustive or final and will be subject to the City of Melbourne’s</w:t>
      </w:r>
      <w:r w:rsidRPr="00CB2077">
        <w:t xml:space="preserve"> Annual Plan and Budget</w:t>
      </w:r>
      <w:r>
        <w:t xml:space="preserve"> process</w:t>
      </w:r>
      <w:r w:rsidRPr="00CB2077">
        <w:t>.</w:t>
      </w:r>
    </w:p>
    <w:p w:rsidR="0069308E" w:rsidRPr="003B4392" w:rsidRDefault="0069308E" w:rsidP="0069308E">
      <w:pPr>
        <w:pStyle w:val="ListNumber"/>
        <w:numPr>
          <w:ilvl w:val="0"/>
          <w:numId w:val="0"/>
        </w:numPr>
        <w:ind w:left="397"/>
      </w:pPr>
    </w:p>
    <w:p w:rsidR="003B4392" w:rsidRDefault="005313A9" w:rsidP="005D51A7">
      <w:pPr>
        <w:pStyle w:val="Heading1"/>
      </w:pPr>
      <w:bookmarkStart w:id="219" w:name="_Toc523238980"/>
      <w:bookmarkStart w:id="220" w:name="_Toc520749140"/>
      <w:bookmarkStart w:id="221" w:name="_Toc520881182"/>
      <w:bookmarkStart w:id="222" w:name="_Toc520993402"/>
      <w:r>
        <w:t>How we will implement the strategy</w:t>
      </w:r>
      <w:bookmarkEnd w:id="219"/>
    </w:p>
    <w:p w:rsidR="003C7FB3" w:rsidRDefault="00231D4A" w:rsidP="00CA49BB">
      <w:pPr>
        <w:pStyle w:val="BodyText"/>
      </w:pPr>
      <w:r>
        <w:t>Our</w:t>
      </w:r>
      <w:r w:rsidR="0066498D">
        <w:t xml:space="preserve"> actions </w:t>
      </w:r>
      <w:r>
        <w:t xml:space="preserve">to reduce emissions will be </w:t>
      </w:r>
      <w:r w:rsidR="0066498D">
        <w:t xml:space="preserve">evidence-based and </w:t>
      </w:r>
      <w:r>
        <w:t xml:space="preserve">we will </w:t>
      </w:r>
      <w:r w:rsidR="0066498D">
        <w:t>report our progress publicly. We have proposed actions that are bold and ambitious</w:t>
      </w:r>
      <w:r w:rsidR="0093605B">
        <w:t>,</w:t>
      </w:r>
      <w:r w:rsidR="0066498D">
        <w:t xml:space="preserve"> within our powers as well as policy changes and actions needed by the Victorian and </w:t>
      </w:r>
      <w:r w:rsidR="0093605B">
        <w:t xml:space="preserve">Australian </w:t>
      </w:r>
      <w:r w:rsidR="0066498D">
        <w:t xml:space="preserve">Governments. </w:t>
      </w:r>
    </w:p>
    <w:p w:rsidR="00E73770" w:rsidRDefault="00374930" w:rsidP="00E73770">
      <w:pPr>
        <w:pStyle w:val="BodyText"/>
      </w:pPr>
      <w:r>
        <w:t xml:space="preserve">We will develop a </w:t>
      </w:r>
      <w:r w:rsidR="00F75692">
        <w:t xml:space="preserve">rolling </w:t>
      </w:r>
      <w:r>
        <w:t>5-year implementation plan</w:t>
      </w:r>
      <w:r w:rsidR="00E73770">
        <w:t xml:space="preserve"> </w:t>
      </w:r>
      <w:r>
        <w:t>to fulfil the</w:t>
      </w:r>
      <w:r w:rsidR="00E73770">
        <w:t xml:space="preserve"> requirements of a</w:t>
      </w:r>
      <w:r>
        <w:t xml:space="preserve"> Council P</w:t>
      </w:r>
      <w:r w:rsidR="00E73770">
        <w:t>ledge</w:t>
      </w:r>
      <w:r>
        <w:t xml:space="preserve"> under the </w:t>
      </w:r>
      <w:r w:rsidRPr="009136BE">
        <w:rPr>
          <w:i/>
        </w:rPr>
        <w:t>Climate Change Act 2017</w:t>
      </w:r>
      <w:r w:rsidR="00E73770">
        <w:t>. It will provide interim targets and enable us to adjust our approach as Victorian and Australian Government policy settings change or if the shift to renewable energy technology occurs more quickly than expected.</w:t>
      </w:r>
    </w:p>
    <w:p w:rsidR="008352BB" w:rsidRDefault="00F97BAD" w:rsidP="00C11A00">
      <w:pPr>
        <w:pStyle w:val="BodyText"/>
      </w:pPr>
      <w:r>
        <w:t xml:space="preserve">In implementing </w:t>
      </w:r>
      <w:r w:rsidR="0066498D">
        <w:t xml:space="preserve">the </w:t>
      </w:r>
      <w:r w:rsidR="00630DEA">
        <w:t>Climate Change Mitigation Strategy</w:t>
      </w:r>
      <w:r w:rsidR="0066498D">
        <w:t xml:space="preserve"> 2020</w:t>
      </w:r>
      <w:r w:rsidR="0093605B">
        <w:t>–</w:t>
      </w:r>
      <w:r w:rsidR="0066498D">
        <w:t xml:space="preserve">2050 </w:t>
      </w:r>
      <w:r>
        <w:t xml:space="preserve">we </w:t>
      </w:r>
      <w:r w:rsidR="0066498D">
        <w:t>will</w:t>
      </w:r>
      <w:r w:rsidR="00C11A00">
        <w:t>:</w:t>
      </w:r>
    </w:p>
    <w:p w:rsidR="007003FB" w:rsidRDefault="0066498D" w:rsidP="00350955">
      <w:pPr>
        <w:pStyle w:val="ListBullet"/>
        <w:ind w:left="397"/>
      </w:pPr>
      <w:r>
        <w:t>consider</w:t>
      </w:r>
      <w:r w:rsidR="007003FB">
        <w:t xml:space="preserve"> climate adaptation and mitigation </w:t>
      </w:r>
      <w:r>
        <w:t>in an integrated way, identifying interdependencies to maximise efficiencies and minimise investment risk</w:t>
      </w:r>
    </w:p>
    <w:p w:rsidR="007003FB" w:rsidRDefault="007003FB" w:rsidP="00350955">
      <w:pPr>
        <w:pStyle w:val="ListBullet"/>
        <w:ind w:left="397"/>
      </w:pPr>
      <w:r>
        <w:t>deliver environmental, social and economic benefits to the community</w:t>
      </w:r>
      <w:r w:rsidR="0066498D">
        <w:t xml:space="preserve"> a</w:t>
      </w:r>
      <w:r w:rsidR="00503682">
        <w:t>nd improve the accessibility of these benefits by the community</w:t>
      </w:r>
    </w:p>
    <w:p w:rsidR="007003FB" w:rsidRPr="00CA49BB" w:rsidRDefault="008352BB" w:rsidP="00350955">
      <w:pPr>
        <w:pStyle w:val="ListBullet"/>
        <w:ind w:left="397"/>
      </w:pPr>
      <w:proofErr w:type="gramStart"/>
      <w:r>
        <w:t>take</w:t>
      </w:r>
      <w:proofErr w:type="gramEnd"/>
      <w:r>
        <w:t xml:space="preserve"> an innovative</w:t>
      </w:r>
      <w:r w:rsidR="007003FB">
        <w:t xml:space="preserve">, </w:t>
      </w:r>
      <w:r>
        <w:t xml:space="preserve">transparent and evidence-based approach </w:t>
      </w:r>
      <w:r w:rsidR="0066498D">
        <w:t>to report and evaluate progress in implementing the strategy</w:t>
      </w:r>
      <w:r w:rsidR="00705B86">
        <w:t>.</w:t>
      </w:r>
    </w:p>
    <w:p w:rsidR="00CA49BB" w:rsidRDefault="00002231" w:rsidP="00D004CB">
      <w:pPr>
        <w:pStyle w:val="Heading2"/>
        <w:numPr>
          <w:ilvl w:val="0"/>
          <w:numId w:val="0"/>
        </w:numPr>
        <w:ind w:left="851" w:hanging="851"/>
      </w:pPr>
      <w:bookmarkStart w:id="223" w:name="_Toc523238981"/>
      <w:r>
        <w:t xml:space="preserve">4.1 </w:t>
      </w:r>
      <w:r w:rsidR="00E408E2">
        <w:t>Consider</w:t>
      </w:r>
      <w:r w:rsidR="00CA49BB">
        <w:t xml:space="preserve"> climate adaptation and mitigation </w:t>
      </w:r>
      <w:r w:rsidR="00E408E2">
        <w:t>in an integrated way</w:t>
      </w:r>
      <w:bookmarkEnd w:id="223"/>
    </w:p>
    <w:p w:rsidR="000922B1" w:rsidRDefault="000922B1" w:rsidP="002C367B">
      <w:pPr>
        <w:pStyle w:val="BodyText"/>
      </w:pPr>
      <w:bookmarkStart w:id="224" w:name="_Toc518828123"/>
      <w:bookmarkStart w:id="225" w:name="_Toc518828239"/>
      <w:bookmarkStart w:id="226" w:name="_Toc518850899"/>
      <w:bookmarkStart w:id="227" w:name="_Toc518851971"/>
      <w:bookmarkStart w:id="228" w:name="_Toc518855594"/>
      <w:bookmarkEnd w:id="220"/>
      <w:bookmarkEnd w:id="221"/>
      <w:bookmarkEnd w:id="222"/>
      <w:bookmarkEnd w:id="224"/>
      <w:bookmarkEnd w:id="225"/>
      <w:bookmarkEnd w:id="226"/>
      <w:bookmarkEnd w:id="227"/>
      <w:bookmarkEnd w:id="228"/>
      <w:r>
        <w:t xml:space="preserve">Climate change affects human health, particularly for the young, elderly and vulnerable members of our community. It will impact future generations of Melburnians and the long term environmental, social and economic interests of the municipality. </w:t>
      </w:r>
    </w:p>
    <w:p w:rsidR="000701A8" w:rsidRDefault="000701A8" w:rsidP="002C367B">
      <w:pPr>
        <w:pStyle w:val="BodyText"/>
      </w:pPr>
      <w:r>
        <w:t xml:space="preserve">Managing climate risk requires public institutions, investors and businesses to reduce emissions as part of their social license to operate as well as managing the impacts of climate change on people, assets and infrastructure as well as business operations. </w:t>
      </w:r>
      <w:r w:rsidR="00344DC1">
        <w:t xml:space="preserve">The relationship between heatwaves and power outages in buildings and public transport is a good example of how climate change adaptation and energy supply issues can interact with negative consequences for the community. </w:t>
      </w:r>
    </w:p>
    <w:p w:rsidR="002C367B" w:rsidRDefault="00D806CA" w:rsidP="002C367B">
      <w:pPr>
        <w:pStyle w:val="BodyText"/>
      </w:pPr>
      <w:r>
        <w:t xml:space="preserve">Melbourne is </w:t>
      </w:r>
      <w:r w:rsidR="002C367B" w:rsidRPr="002C367B">
        <w:t xml:space="preserve">already experiencing the impacts of climate change. Increased drought, flooding and extreme heatwaves have been occurring more frequently and the impacts have become more severe. Experts warn that these impacts will continue to worsen in the next few decades. </w:t>
      </w:r>
      <w:r>
        <w:t xml:space="preserve">We </w:t>
      </w:r>
      <w:r w:rsidR="00F95F01">
        <w:t xml:space="preserve">updated </w:t>
      </w:r>
      <w:r>
        <w:t>our</w:t>
      </w:r>
      <w:r w:rsidR="00DB5A49" w:rsidRPr="002C367B">
        <w:t xml:space="preserve"> </w:t>
      </w:r>
      <w:r w:rsidR="002C367B" w:rsidRPr="002C367B">
        <w:t xml:space="preserve">Climate Change Adaptation Strategy in 2017 to respond to these challenges. </w:t>
      </w:r>
      <w:r w:rsidR="000922B1">
        <w:t xml:space="preserve">It identifies climate risks </w:t>
      </w:r>
      <w:r w:rsidR="002C367B" w:rsidRPr="002C367B">
        <w:t xml:space="preserve">and sets </w:t>
      </w:r>
      <w:r w:rsidR="00F95F01">
        <w:t xml:space="preserve">actions and </w:t>
      </w:r>
      <w:r w:rsidR="002C367B" w:rsidRPr="002C367B">
        <w:t xml:space="preserve">priorities to </w:t>
      </w:r>
      <w:r w:rsidR="00E2016B">
        <w:rPr>
          <w:color w:val="auto"/>
        </w:rPr>
        <w:t>ensure we adapt well to the impacts of climate change.</w:t>
      </w:r>
    </w:p>
    <w:p w:rsidR="000922B1" w:rsidRPr="002C367B" w:rsidRDefault="00F97BAD" w:rsidP="002C367B">
      <w:pPr>
        <w:pStyle w:val="BodyText"/>
      </w:pPr>
      <w:r>
        <w:t>The</w:t>
      </w:r>
      <w:r w:rsidR="000922B1" w:rsidRPr="002C367B">
        <w:t xml:space="preserve"> </w:t>
      </w:r>
      <w:r w:rsidR="00630DEA">
        <w:t>Climate Change Mitigation Strategy</w:t>
      </w:r>
      <w:r w:rsidR="000922B1" w:rsidRPr="002C367B">
        <w:t xml:space="preserve"> 2020</w:t>
      </w:r>
      <w:r>
        <w:t>–</w:t>
      </w:r>
      <w:r w:rsidR="000922B1" w:rsidRPr="002C367B">
        <w:t xml:space="preserve">2050 </w:t>
      </w:r>
      <w:r>
        <w:t xml:space="preserve">will </w:t>
      </w:r>
      <w:r w:rsidR="000922B1" w:rsidRPr="002C367B">
        <w:t xml:space="preserve">complement and mutually reinforce the priorities of </w:t>
      </w:r>
      <w:r>
        <w:t>our</w:t>
      </w:r>
      <w:r w:rsidR="001B0CAB" w:rsidRPr="002C367B">
        <w:t xml:space="preserve"> Climate </w:t>
      </w:r>
      <w:r w:rsidR="001B0CAB">
        <w:t>Change Adaptation S</w:t>
      </w:r>
      <w:r w:rsidR="001B0CAB" w:rsidRPr="002C367B">
        <w:t>trategy</w:t>
      </w:r>
      <w:r>
        <w:t xml:space="preserve">. This will </w:t>
      </w:r>
      <w:r w:rsidR="000922B1" w:rsidRPr="002C367B">
        <w:t>enhance the opportunities for synergies and avoid any unintended trade-offs.</w:t>
      </w:r>
      <w:r w:rsidR="000922B1">
        <w:t xml:space="preserve"> </w:t>
      </w:r>
    </w:p>
    <w:p w:rsidR="002C367B" w:rsidRPr="002C367B" w:rsidRDefault="002C367B" w:rsidP="002C367B">
      <w:pPr>
        <w:pStyle w:val="BodyText"/>
      </w:pPr>
      <w:r w:rsidRPr="002C367B">
        <w:t xml:space="preserve">The Climate </w:t>
      </w:r>
      <w:r w:rsidR="00C67105">
        <w:t>Change Adaptation S</w:t>
      </w:r>
      <w:r w:rsidRPr="002C367B">
        <w:t xml:space="preserve">trategy includes five goals: </w:t>
      </w:r>
    </w:p>
    <w:p w:rsidR="002C367B" w:rsidRPr="002C367B" w:rsidRDefault="002C367B" w:rsidP="00350955">
      <w:pPr>
        <w:pStyle w:val="BodyText"/>
        <w:numPr>
          <w:ilvl w:val="0"/>
          <w:numId w:val="40"/>
        </w:numPr>
        <w:spacing w:before="60" w:after="60"/>
        <w:ind w:left="360"/>
      </w:pPr>
      <w:r w:rsidRPr="002C367B">
        <w:t>Enhance natural environment and green spaces in our municipality</w:t>
      </w:r>
      <w:r w:rsidR="00705B86">
        <w:t>.</w:t>
      </w:r>
    </w:p>
    <w:p w:rsidR="002C367B" w:rsidRPr="002C367B" w:rsidRDefault="002C367B" w:rsidP="00350955">
      <w:pPr>
        <w:pStyle w:val="BodyText"/>
        <w:numPr>
          <w:ilvl w:val="0"/>
          <w:numId w:val="40"/>
        </w:numPr>
        <w:spacing w:before="60" w:after="60"/>
        <w:ind w:left="360"/>
      </w:pPr>
      <w:r w:rsidRPr="002C367B">
        <w:t>Shape our built form and urban renewal areas to withstand future climate change impacts</w:t>
      </w:r>
      <w:r w:rsidR="00705B86">
        <w:t>.</w:t>
      </w:r>
    </w:p>
    <w:p w:rsidR="002C367B" w:rsidRPr="002C367B" w:rsidRDefault="002C367B" w:rsidP="00350955">
      <w:pPr>
        <w:pStyle w:val="BodyText"/>
        <w:numPr>
          <w:ilvl w:val="0"/>
          <w:numId w:val="40"/>
        </w:numPr>
        <w:spacing w:before="60" w:after="60"/>
        <w:ind w:left="360"/>
      </w:pPr>
      <w:r w:rsidRPr="002C367B">
        <w:t>Strengthen the resilience of our inclusive, family friendly and culturally diverse community</w:t>
      </w:r>
      <w:r w:rsidR="00705B86">
        <w:t>.</w:t>
      </w:r>
    </w:p>
    <w:p w:rsidR="002C367B" w:rsidRPr="002C367B" w:rsidRDefault="002C367B" w:rsidP="00350955">
      <w:pPr>
        <w:pStyle w:val="BodyText"/>
        <w:numPr>
          <w:ilvl w:val="0"/>
          <w:numId w:val="40"/>
        </w:numPr>
        <w:spacing w:before="60" w:after="60"/>
        <w:ind w:left="360"/>
      </w:pPr>
      <w:r w:rsidRPr="002C367B">
        <w:t>Protect and enhance our diverse economy</w:t>
      </w:r>
      <w:r w:rsidR="00705B86">
        <w:t>.</w:t>
      </w:r>
    </w:p>
    <w:p w:rsidR="002C367B" w:rsidRPr="002C367B" w:rsidRDefault="002C367B" w:rsidP="00350955">
      <w:pPr>
        <w:pStyle w:val="BodyText"/>
        <w:numPr>
          <w:ilvl w:val="0"/>
          <w:numId w:val="40"/>
        </w:numPr>
        <w:spacing w:before="60" w:after="60"/>
        <w:ind w:left="360"/>
      </w:pPr>
      <w:r w:rsidRPr="002C367B">
        <w:t>Continue to build Melbourne’s adaptation capabilities and expertise.</w:t>
      </w:r>
    </w:p>
    <w:p w:rsidR="000922B1" w:rsidRDefault="000922B1" w:rsidP="000922B1">
      <w:pPr>
        <w:pStyle w:val="BodyText"/>
      </w:pPr>
      <w:r>
        <w:t xml:space="preserve">It is supported by the Total Watermark </w:t>
      </w:r>
      <w:r w:rsidR="00CD7AB6">
        <w:t>S</w:t>
      </w:r>
      <w:r>
        <w:t xml:space="preserve">trategy, which integrates water management across the municipality in response to increased drought and flooding; and the Urban Forest Strategy, which addresses the impact of drought and the rising temperatures associated with the urban heat island effect. </w:t>
      </w:r>
      <w:r w:rsidR="00055252">
        <w:rPr>
          <w:color w:val="auto"/>
        </w:rPr>
        <w:t>The Nature in</w:t>
      </w:r>
      <w:r>
        <w:rPr>
          <w:color w:val="auto"/>
        </w:rPr>
        <w:t xml:space="preserve"> the City </w:t>
      </w:r>
      <w:r w:rsidR="00CD7AB6">
        <w:rPr>
          <w:color w:val="auto"/>
        </w:rPr>
        <w:t>S</w:t>
      </w:r>
      <w:r w:rsidRPr="000A7DE8">
        <w:rPr>
          <w:color w:val="auto"/>
        </w:rPr>
        <w:t>trate</w:t>
      </w:r>
      <w:r>
        <w:rPr>
          <w:color w:val="auto"/>
        </w:rPr>
        <w:t>gy aims to improve the health of animal and plant populations</w:t>
      </w:r>
      <w:r w:rsidRPr="000A7DE8">
        <w:rPr>
          <w:color w:val="auto"/>
        </w:rPr>
        <w:t xml:space="preserve"> </w:t>
      </w:r>
      <w:r>
        <w:rPr>
          <w:color w:val="auto"/>
        </w:rPr>
        <w:t>including their resilience to climate change impacts</w:t>
      </w:r>
      <w:r w:rsidRPr="000A7DE8">
        <w:rPr>
          <w:color w:val="auto"/>
        </w:rPr>
        <w:t>.</w:t>
      </w:r>
      <w:r>
        <w:t xml:space="preserve"> </w:t>
      </w:r>
      <w:r w:rsidR="001464E7" w:rsidRPr="001464E7">
        <w:t>These strategies use nature</w:t>
      </w:r>
      <w:r w:rsidR="001464E7">
        <w:t xml:space="preserve"> based solutions to </w:t>
      </w:r>
      <w:r w:rsidR="001464E7" w:rsidRPr="001464E7">
        <w:t>help cool our city on hot days which, improves liveability, resilience and community health</w:t>
      </w:r>
      <w:r w:rsidR="001464E7">
        <w:t xml:space="preserve">. </w:t>
      </w:r>
      <w:r w:rsidR="00E2016B">
        <w:t>This helps to reduce the heat load on buildings during summer, which reduces the energy needed for</w:t>
      </w:r>
      <w:r w:rsidR="001464E7" w:rsidRPr="001464E7">
        <w:t xml:space="preserve"> air conditioning and peak demand on the electricity grid.</w:t>
      </w:r>
    </w:p>
    <w:p w:rsidR="000922B1" w:rsidRDefault="001B0CAB" w:rsidP="000922B1">
      <w:pPr>
        <w:pStyle w:val="BodyText"/>
      </w:pPr>
      <w:bookmarkStart w:id="229" w:name="_Toc518850901"/>
      <w:bookmarkStart w:id="230" w:name="_Toc518851973"/>
      <w:bookmarkStart w:id="231" w:name="_Toc518855596"/>
      <w:bookmarkEnd w:id="229"/>
      <w:bookmarkEnd w:id="230"/>
      <w:bookmarkEnd w:id="231"/>
      <w:r>
        <w:t>As part of our implementation plan for our</w:t>
      </w:r>
      <w:r w:rsidR="000922B1">
        <w:t xml:space="preserve"> </w:t>
      </w:r>
      <w:r>
        <w:t>Climate Change Mitigation Strategy</w:t>
      </w:r>
      <w:r w:rsidR="000922B1">
        <w:t xml:space="preserve"> 2020</w:t>
      </w:r>
      <w:r w:rsidR="00705B86">
        <w:t>–</w:t>
      </w:r>
      <w:r w:rsidR="000922B1">
        <w:t>2050</w:t>
      </w:r>
      <w:r w:rsidR="00CD7AB6">
        <w:t>,</w:t>
      </w:r>
      <w:r w:rsidR="008927A2">
        <w:t xml:space="preserve"> </w:t>
      </w:r>
      <w:r w:rsidR="00CD7AB6">
        <w:t xml:space="preserve">we will consider </w:t>
      </w:r>
      <w:r w:rsidR="000922B1">
        <w:t>the potential for positive or negative synergies, trade-offs and feedback loops between our climate change adaptation and emission reduction goals</w:t>
      </w:r>
      <w:r w:rsidR="00CD7AB6">
        <w:t xml:space="preserve">. This will ensure that we can increase </w:t>
      </w:r>
      <w:r w:rsidR="000922B1">
        <w:t>community benefits</w:t>
      </w:r>
      <w:r w:rsidR="00DB5A49">
        <w:t xml:space="preserve"> </w:t>
      </w:r>
      <w:r w:rsidR="00CD7AB6">
        <w:t>and avoid</w:t>
      </w:r>
      <w:r w:rsidR="000922B1">
        <w:t xml:space="preserve"> unintended negative consequences. </w:t>
      </w:r>
    </w:p>
    <w:p w:rsidR="000922B1" w:rsidRPr="00E17AC1" w:rsidRDefault="00E17AC1" w:rsidP="000922B1">
      <w:pPr>
        <w:pStyle w:val="BodyText"/>
        <w:rPr>
          <w:b/>
        </w:rPr>
      </w:pPr>
      <w:r>
        <w:rPr>
          <w:b/>
        </w:rPr>
        <w:t>Integrating climate adaptation and mitigation</w:t>
      </w:r>
      <w:r w:rsidR="00705B86">
        <w:rPr>
          <w:b/>
        </w:rPr>
        <w:t xml:space="preserve"> actions</w:t>
      </w:r>
    </w:p>
    <w:p w:rsidR="000922B1" w:rsidRDefault="000922B1" w:rsidP="000922B1">
      <w:pPr>
        <w:pStyle w:val="BodyText"/>
      </w:pPr>
      <w:r>
        <w:t xml:space="preserve">Positive synergy: energy efficient buildings that reduce emissions and also stay cooler during heat waves without the use of air conditioning. </w:t>
      </w:r>
    </w:p>
    <w:p w:rsidR="000922B1" w:rsidRDefault="000922B1" w:rsidP="000922B1">
      <w:pPr>
        <w:pStyle w:val="BodyText"/>
      </w:pPr>
      <w:r>
        <w:t>Trade-off: competition for roof space between green infrastructure and solar panels</w:t>
      </w:r>
      <w:r w:rsidR="00CD7AB6">
        <w:t>.</w:t>
      </w:r>
    </w:p>
    <w:p w:rsidR="000922B1" w:rsidRDefault="00FC6335" w:rsidP="000922B1">
      <w:pPr>
        <w:pStyle w:val="BodyText"/>
      </w:pPr>
      <w:r>
        <w:t xml:space="preserve">Positive feedback loop: </w:t>
      </w:r>
      <w:r w:rsidR="000922B1">
        <w:t>enhance the urban forest and use green infrastructure to reduce the urban heat island effect reducing both flood risk and the impact of heat on buildings.</w:t>
      </w:r>
    </w:p>
    <w:p w:rsidR="005931CC" w:rsidRDefault="00FC6335" w:rsidP="000922B1">
      <w:pPr>
        <w:pStyle w:val="BodyText"/>
      </w:pPr>
      <w:r>
        <w:t xml:space="preserve">Negative feedback loop: </w:t>
      </w:r>
      <w:r w:rsidR="000922B1">
        <w:t xml:space="preserve">irrigating green infrastructure increases demand for water and </w:t>
      </w:r>
      <w:r>
        <w:t>can also increase</w:t>
      </w:r>
      <w:r w:rsidR="000922B1">
        <w:t xml:space="preserve"> greenhouse emissions </w:t>
      </w:r>
      <w:r>
        <w:t>for pumping and treatment of water supply</w:t>
      </w:r>
      <w:r w:rsidR="00CD7AB6">
        <w:t>.</w:t>
      </w:r>
    </w:p>
    <w:p w:rsidR="0066498D" w:rsidRDefault="00002231" w:rsidP="00602BEF">
      <w:pPr>
        <w:pStyle w:val="Heading2"/>
        <w:numPr>
          <w:ilvl w:val="0"/>
          <w:numId w:val="0"/>
        </w:numPr>
        <w:ind w:left="851" w:hanging="851"/>
      </w:pPr>
      <w:bookmarkStart w:id="232" w:name="_Toc518850903"/>
      <w:bookmarkStart w:id="233" w:name="_Toc518851975"/>
      <w:bookmarkStart w:id="234" w:name="_Toc518855598"/>
      <w:bookmarkStart w:id="235" w:name="_Toc518850904"/>
      <w:bookmarkStart w:id="236" w:name="_Toc518851976"/>
      <w:bookmarkStart w:id="237" w:name="_Toc518855599"/>
      <w:bookmarkStart w:id="238" w:name="_Toc523238982"/>
      <w:bookmarkEnd w:id="232"/>
      <w:bookmarkEnd w:id="233"/>
      <w:bookmarkEnd w:id="234"/>
      <w:bookmarkEnd w:id="235"/>
      <w:bookmarkEnd w:id="236"/>
      <w:bookmarkEnd w:id="237"/>
      <w:r>
        <w:t xml:space="preserve">4.2 </w:t>
      </w:r>
      <w:r w:rsidR="005507F7">
        <w:t>Social inclusion and community participation</w:t>
      </w:r>
      <w:bookmarkEnd w:id="238"/>
    </w:p>
    <w:p w:rsidR="0066498D" w:rsidRDefault="004F4DAD" w:rsidP="0066498D">
      <w:pPr>
        <w:pStyle w:val="BodyText"/>
      </w:pPr>
      <w:r>
        <w:t>Currently, about 140</w:t>
      </w:r>
      <w:r w:rsidR="00C808D8">
        <w:t>,000 resident</w:t>
      </w:r>
      <w:r>
        <w:t xml:space="preserve">s live in the </w:t>
      </w:r>
      <w:proofErr w:type="gramStart"/>
      <w:r w:rsidR="00C808D8">
        <w:t>municipality,</w:t>
      </w:r>
      <w:proofErr w:type="gramEnd"/>
      <w:r w:rsidR="00C808D8">
        <w:t xml:space="preserve"> while t</w:t>
      </w:r>
      <w:r>
        <w:t>he weekday</w:t>
      </w:r>
      <w:r w:rsidR="0066498D">
        <w:t xml:space="preserve"> population of city workers and visitors is </w:t>
      </w:r>
      <w:r w:rsidR="00C808D8">
        <w:t>900,000 (as at 20</w:t>
      </w:r>
      <w:r>
        <w:t>17</w:t>
      </w:r>
      <w:r w:rsidR="00C808D8">
        <w:t>).</w:t>
      </w:r>
      <w:r w:rsidR="0066498D">
        <w:t>The resident an</w:t>
      </w:r>
      <w:r w:rsidR="00D35E90">
        <w:t>d daily visitor populations are</w:t>
      </w:r>
      <w:r w:rsidR="00C808D8">
        <w:t xml:space="preserve"> </w:t>
      </w:r>
      <w:r w:rsidR="0066498D">
        <w:t xml:space="preserve">expected to </w:t>
      </w:r>
      <w:r w:rsidR="00D35E90">
        <w:t xml:space="preserve">nearly </w:t>
      </w:r>
      <w:r w:rsidR="0066498D">
        <w:t>double by 2036.</w:t>
      </w:r>
      <w:r w:rsidR="0066498D" w:rsidRPr="00676ABB">
        <w:t xml:space="preserve"> </w:t>
      </w:r>
    </w:p>
    <w:p w:rsidR="0066498D" w:rsidRDefault="0066498D" w:rsidP="0066498D">
      <w:pPr>
        <w:pStyle w:val="BodyText"/>
      </w:pPr>
      <w:r>
        <w:t xml:space="preserve">Climate change will impact everyone however some members of our community are more vulnerable to heatwaves, energy bill shock and changes to buildings and transport infrastructure. Melbourne is also a culturally diverse city, well known for its food culture, community festivals and beautiful parks and gardens. These qualities contribute to our reputation as </w:t>
      </w:r>
      <w:r w:rsidR="00F50E05">
        <w:t>a liveable c</w:t>
      </w:r>
      <w:r>
        <w:t xml:space="preserve">ity. </w:t>
      </w:r>
    </w:p>
    <w:p w:rsidR="0037499C" w:rsidRDefault="0037499C" w:rsidP="0037499C">
      <w:pPr>
        <w:pStyle w:val="BodyText"/>
      </w:pPr>
      <w:bookmarkStart w:id="239" w:name="_Toc520993408"/>
      <w:bookmarkStart w:id="240" w:name="_Toc520749146"/>
      <w:r>
        <w:t xml:space="preserve">This </w:t>
      </w:r>
      <w:r w:rsidR="00705B86">
        <w:t xml:space="preserve">draft </w:t>
      </w:r>
      <w:r w:rsidR="00630DEA">
        <w:t>Climate Change Mitigation Strategy</w:t>
      </w:r>
      <w:r>
        <w:t xml:space="preserve"> 2020</w:t>
      </w:r>
      <w:r w:rsidR="00705B86">
        <w:t>–</w:t>
      </w:r>
      <w:r>
        <w:t xml:space="preserve">2050 prioritises actions that support the health and wellbeing of the community including future generations. </w:t>
      </w:r>
    </w:p>
    <w:p w:rsidR="0037499C" w:rsidRDefault="0037499C" w:rsidP="00BD65DC">
      <w:pPr>
        <w:pStyle w:val="BodyText"/>
      </w:pPr>
      <w:r>
        <w:t xml:space="preserve">Our aim is </w:t>
      </w:r>
      <w:r w:rsidR="00705B86">
        <w:t xml:space="preserve">for a </w:t>
      </w:r>
      <w:r>
        <w:t>socially inclusive</w:t>
      </w:r>
      <w:r w:rsidR="00705B86">
        <w:t xml:space="preserve"> strategy</w:t>
      </w:r>
      <w:r>
        <w:t xml:space="preserve">, in keeping with the values of fairness and equity that people </w:t>
      </w:r>
      <w:r w:rsidR="00705B86">
        <w:t xml:space="preserve">expressed </w:t>
      </w:r>
      <w:r>
        <w:t xml:space="preserve">during the Future Melbourne deliberative democracy process in 2016. </w:t>
      </w:r>
    </w:p>
    <w:p w:rsidR="0037499C" w:rsidRDefault="0037499C" w:rsidP="00BD65DC">
      <w:pPr>
        <w:pStyle w:val="BodyText"/>
      </w:pPr>
      <w:r>
        <w:t>The City of Melbourne will consult widely on the ideas presented in this draft strategy</w:t>
      </w:r>
      <w:r w:rsidR="00705B86">
        <w:t xml:space="preserve">, to </w:t>
      </w:r>
      <w:r>
        <w:t>ensure they support community participation and the fair distribution of benefits.</w:t>
      </w:r>
      <w:bookmarkEnd w:id="239"/>
      <w:bookmarkEnd w:id="240"/>
    </w:p>
    <w:p w:rsidR="0066498D" w:rsidRPr="00CA49BB" w:rsidRDefault="0066498D" w:rsidP="001229A6">
      <w:pPr>
        <w:pStyle w:val="Heading3"/>
        <w:numPr>
          <w:ilvl w:val="0"/>
          <w:numId w:val="0"/>
        </w:numPr>
        <w:spacing w:before="200"/>
        <w:ind w:left="851" w:hanging="851"/>
      </w:pPr>
      <w:bookmarkStart w:id="241" w:name="_Toc523238983"/>
      <w:r>
        <w:t xml:space="preserve">Health </w:t>
      </w:r>
      <w:r w:rsidR="005507F7">
        <w:t>benefits</w:t>
      </w:r>
      <w:bookmarkEnd w:id="241"/>
    </w:p>
    <w:p w:rsidR="0066498D" w:rsidRDefault="0066498D" w:rsidP="00BD65DC">
      <w:pPr>
        <w:pStyle w:val="BodyText"/>
      </w:pPr>
      <w:r>
        <w:t xml:space="preserve">Healthy lifestyles can contribute to reducing greenhouse gas emissions through daily activities such as walking and cycling. These activities produce zero greenhouse gas emissions compared to cars and contribute to mental and physical health. Eating a healthy diet, reducing portion sizes to avoid food waste, and consuming less meat can also contribute to lower greenhouse gas emissions. Buying locally produced food, rather than food transported long distances, also reduces greenhouse gas emissions. Energy efficient homes are better at keeping warm in winter and cool in summer, saving money on energy bills and protecting people during heatwaves. </w:t>
      </w:r>
    </w:p>
    <w:p w:rsidR="0037499C" w:rsidRDefault="0037499C" w:rsidP="00BD65DC">
      <w:pPr>
        <w:pStyle w:val="BodyText"/>
      </w:pPr>
      <w:r>
        <w:t>We engaged expert consultants to conduct</w:t>
      </w:r>
      <w:r w:rsidR="005507F7">
        <w:t xml:space="preserve"> </w:t>
      </w:r>
      <w:r>
        <w:t>community focus groups</w:t>
      </w:r>
      <w:r w:rsidR="005507F7">
        <w:t xml:space="preserve">, </w:t>
      </w:r>
      <w:r w:rsidR="00705B86">
        <w:t xml:space="preserve">research </w:t>
      </w:r>
      <w:r w:rsidR="005507F7">
        <w:t>the links between climate change and health</w:t>
      </w:r>
      <w:r>
        <w:t xml:space="preserve"> and identify social impacts of </w:t>
      </w:r>
      <w:r w:rsidR="00705B86">
        <w:t>our</w:t>
      </w:r>
      <w:r>
        <w:t xml:space="preserve"> priorities and actions</w:t>
      </w:r>
      <w:r w:rsidR="00705B86">
        <w:t>.</w:t>
      </w:r>
      <w:r>
        <w:t xml:space="preserve"> The social benefits identified include</w:t>
      </w:r>
      <w:r w:rsidR="00084422">
        <w:t>d</w:t>
      </w:r>
      <w:r>
        <w:t>:</w:t>
      </w:r>
    </w:p>
    <w:p w:rsidR="0066498D" w:rsidRDefault="0066498D" w:rsidP="00705B86">
      <w:pPr>
        <w:pStyle w:val="BodyText"/>
        <w:spacing w:after="0"/>
      </w:pPr>
      <w:r>
        <w:t>Energy supply</w:t>
      </w:r>
    </w:p>
    <w:p w:rsidR="0066498D" w:rsidRDefault="0066498D" w:rsidP="001229A6">
      <w:pPr>
        <w:pStyle w:val="ListBullet"/>
        <w:numPr>
          <w:ilvl w:val="0"/>
          <w:numId w:val="90"/>
        </w:numPr>
        <w:ind w:left="397"/>
      </w:pPr>
      <w:r>
        <w:t>Switching to renewable energy suppliers means less emissions of health damaging air pollutants</w:t>
      </w:r>
      <w:r w:rsidR="00084422">
        <w:t xml:space="preserve"> from fossil fuels</w:t>
      </w:r>
      <w:r w:rsidR="00705B86">
        <w:t>.</w:t>
      </w:r>
    </w:p>
    <w:p w:rsidR="0066498D" w:rsidRDefault="0066498D" w:rsidP="00705B86">
      <w:pPr>
        <w:pStyle w:val="ListBullet"/>
        <w:numPr>
          <w:ilvl w:val="0"/>
          <w:numId w:val="0"/>
        </w:numPr>
        <w:tabs>
          <w:tab w:val="left" w:pos="720"/>
        </w:tabs>
      </w:pPr>
      <w:r>
        <w:t>Buildings</w:t>
      </w:r>
    </w:p>
    <w:p w:rsidR="0066498D" w:rsidRDefault="0066498D" w:rsidP="001229A6">
      <w:pPr>
        <w:pStyle w:val="ListBullet"/>
        <w:numPr>
          <w:ilvl w:val="0"/>
          <w:numId w:val="90"/>
        </w:numPr>
        <w:ind w:left="397"/>
      </w:pPr>
      <w:r>
        <w:t>Transitioning to more energy efficient or carbon neutral buildings supports mental and physical health measures, improved living conditions and thermal comfort, greater productivity, engagement and retention</w:t>
      </w:r>
      <w:r w:rsidR="00705B86">
        <w:t>.</w:t>
      </w:r>
      <w:r>
        <w:t xml:space="preserve"> </w:t>
      </w:r>
    </w:p>
    <w:p w:rsidR="0066498D" w:rsidRDefault="0066498D" w:rsidP="001229A6">
      <w:pPr>
        <w:pStyle w:val="ListBullet"/>
        <w:numPr>
          <w:ilvl w:val="0"/>
          <w:numId w:val="90"/>
        </w:numPr>
        <w:ind w:left="397"/>
      </w:pPr>
      <w:r>
        <w:t xml:space="preserve">Transitioning to greater energy efficient or carbon neutral buildings </w:t>
      </w:r>
      <w:r w:rsidR="004D1EC1">
        <w:t xml:space="preserve">can </w:t>
      </w:r>
      <w:r>
        <w:t xml:space="preserve">also offer improved access, inclusion and affordability for people from low income households.  </w:t>
      </w:r>
    </w:p>
    <w:p w:rsidR="0066498D" w:rsidRDefault="0066498D" w:rsidP="00705B86">
      <w:pPr>
        <w:pStyle w:val="ListBullet"/>
        <w:numPr>
          <w:ilvl w:val="0"/>
          <w:numId w:val="0"/>
        </w:numPr>
        <w:tabs>
          <w:tab w:val="left" w:pos="720"/>
        </w:tabs>
      </w:pPr>
      <w:r>
        <w:t>Transport</w:t>
      </w:r>
    </w:p>
    <w:p w:rsidR="0066498D" w:rsidRDefault="0066498D" w:rsidP="001229A6">
      <w:pPr>
        <w:pStyle w:val="ListBullet"/>
        <w:numPr>
          <w:ilvl w:val="0"/>
          <w:numId w:val="90"/>
        </w:numPr>
        <w:ind w:left="397"/>
      </w:pPr>
      <w:r>
        <w:t>A combination of a reduction in air pollution from reduced vehicles on the road, shift to active transport and switch to electric vehicles presents considerable health savings.</w:t>
      </w:r>
    </w:p>
    <w:p w:rsidR="0066498D" w:rsidRDefault="0066498D" w:rsidP="001229A6">
      <w:pPr>
        <w:pStyle w:val="ListBullet"/>
        <w:numPr>
          <w:ilvl w:val="0"/>
          <w:numId w:val="90"/>
        </w:numPr>
        <w:ind w:left="397"/>
      </w:pPr>
      <w:r>
        <w:t>Health savings due to Quality Adjusted Life Years</w:t>
      </w:r>
      <w:r w:rsidR="00427FF6">
        <w:rPr>
          <w:rStyle w:val="FootnoteReference"/>
        </w:rPr>
        <w:footnoteReference w:customMarkFollows="1" w:id="20"/>
        <w:t>13</w:t>
      </w:r>
      <w:r>
        <w:t xml:space="preserve"> gains from reduced pollution co</w:t>
      </w:r>
      <w:r w:rsidR="0037499C">
        <w:t>uld be up to $120 billion for the</w:t>
      </w:r>
      <w:r>
        <w:t xml:space="preserve"> accelerated scenario.</w:t>
      </w:r>
    </w:p>
    <w:p w:rsidR="0066498D" w:rsidRDefault="0066498D" w:rsidP="001229A6">
      <w:pPr>
        <w:pStyle w:val="ListBullet"/>
        <w:numPr>
          <w:ilvl w:val="0"/>
          <w:numId w:val="90"/>
        </w:numPr>
        <w:ind w:left="397"/>
      </w:pPr>
      <w:r>
        <w:t xml:space="preserve">Increased walking is estimated to produce accumulated savings of up to $6 billion in an accelerated scenario and up to $3.5 billion in a </w:t>
      </w:r>
      <w:r w:rsidR="009D1DFE">
        <w:t>significant</w:t>
      </w:r>
      <w:r>
        <w:t xml:space="preserve"> scenario.</w:t>
      </w:r>
    </w:p>
    <w:p w:rsidR="0066498D" w:rsidRDefault="0066498D" w:rsidP="00705B86">
      <w:pPr>
        <w:pStyle w:val="ListBullet"/>
        <w:numPr>
          <w:ilvl w:val="0"/>
          <w:numId w:val="0"/>
        </w:numPr>
        <w:tabs>
          <w:tab w:val="left" w:pos="2592"/>
        </w:tabs>
      </w:pPr>
      <w:r>
        <w:t>Waste</w:t>
      </w:r>
      <w:r>
        <w:tab/>
      </w:r>
    </w:p>
    <w:p w:rsidR="0066498D" w:rsidRDefault="0037499C" w:rsidP="001229A6">
      <w:pPr>
        <w:pStyle w:val="ListBullet"/>
        <w:numPr>
          <w:ilvl w:val="0"/>
          <w:numId w:val="90"/>
        </w:numPr>
        <w:ind w:left="397"/>
      </w:pPr>
      <w:r>
        <w:t>A</w:t>
      </w:r>
      <w:r w:rsidR="0066498D">
        <w:t xml:space="preserve">ctions that promote </w:t>
      </w:r>
      <w:r w:rsidR="004D1EC1">
        <w:t xml:space="preserve">community </w:t>
      </w:r>
      <w:r w:rsidR="0066498D">
        <w:t xml:space="preserve">engagement and education </w:t>
      </w:r>
      <w:r>
        <w:t>to divert</w:t>
      </w:r>
      <w:r w:rsidR="0066498D">
        <w:t xml:space="preserve"> </w:t>
      </w:r>
      <w:r>
        <w:t>waste from landfill can contribute</w:t>
      </w:r>
      <w:r w:rsidR="0066498D">
        <w:t xml:space="preserve"> to neighbourhood participation, which could be worth up to $26 million by 2050.</w:t>
      </w:r>
    </w:p>
    <w:p w:rsidR="0066498D" w:rsidRDefault="0066498D" w:rsidP="00D8079A">
      <w:pPr>
        <w:spacing w:line="240" w:lineRule="auto"/>
        <w:contextualSpacing/>
        <w:rPr>
          <w:rFonts w:ascii="Arial" w:hAnsi="Arial" w:cs="Arial"/>
          <w:sz w:val="22"/>
          <w:szCs w:val="22"/>
        </w:rPr>
        <w:sectPr w:rsidR="0066498D" w:rsidSect="00932663">
          <w:pgSz w:w="11907" w:h="16839" w:code="9"/>
          <w:pgMar w:top="1440" w:right="992" w:bottom="1440" w:left="709" w:header="454" w:footer="510" w:gutter="0"/>
          <w:cols w:space="708"/>
          <w:docGrid w:linePitch="360"/>
        </w:sectPr>
      </w:pPr>
    </w:p>
    <w:p w:rsidR="00DD3E1B" w:rsidRDefault="00002231" w:rsidP="00DC69D4">
      <w:pPr>
        <w:pStyle w:val="Heading2"/>
        <w:numPr>
          <w:ilvl w:val="0"/>
          <w:numId w:val="0"/>
        </w:numPr>
      </w:pPr>
      <w:bookmarkStart w:id="242" w:name="_Toc518850851"/>
      <w:bookmarkStart w:id="243" w:name="_Toc518851923"/>
      <w:bookmarkStart w:id="244" w:name="_Toc518855543"/>
      <w:bookmarkStart w:id="245" w:name="_Toc518850853"/>
      <w:bookmarkStart w:id="246" w:name="_Toc518851925"/>
      <w:bookmarkStart w:id="247" w:name="_Toc518855545"/>
      <w:bookmarkStart w:id="248" w:name="_Toc518850855"/>
      <w:bookmarkStart w:id="249" w:name="_Toc518851927"/>
      <w:bookmarkStart w:id="250" w:name="_Toc518855547"/>
      <w:bookmarkStart w:id="251" w:name="_Toc520749149"/>
      <w:bookmarkStart w:id="252" w:name="_Toc523238984"/>
      <w:bookmarkEnd w:id="242"/>
      <w:bookmarkEnd w:id="243"/>
      <w:bookmarkEnd w:id="244"/>
      <w:bookmarkEnd w:id="245"/>
      <w:bookmarkEnd w:id="246"/>
      <w:bookmarkEnd w:id="247"/>
      <w:bookmarkEnd w:id="248"/>
      <w:bookmarkEnd w:id="249"/>
      <w:bookmarkEnd w:id="250"/>
      <w:r>
        <w:t xml:space="preserve">4.3 </w:t>
      </w:r>
      <w:r w:rsidR="00CA2C09">
        <w:t>Innovation,</w:t>
      </w:r>
      <w:r w:rsidR="00DD3E1B">
        <w:t xml:space="preserve"> knowledge </w:t>
      </w:r>
      <w:r w:rsidR="00CA2C09">
        <w:t>and transparency</w:t>
      </w:r>
      <w:bookmarkEnd w:id="251"/>
      <w:bookmarkEnd w:id="252"/>
    </w:p>
    <w:p w:rsidR="006831EE" w:rsidRDefault="006831EE" w:rsidP="001229A6">
      <w:pPr>
        <w:pStyle w:val="Heading3"/>
        <w:numPr>
          <w:ilvl w:val="0"/>
          <w:numId w:val="0"/>
        </w:numPr>
        <w:spacing w:before="200"/>
        <w:ind w:left="851" w:hanging="851"/>
      </w:pPr>
      <w:bookmarkStart w:id="253" w:name="_Toc518855606"/>
      <w:bookmarkStart w:id="254" w:name="_Toc520749150"/>
      <w:bookmarkStart w:id="255" w:name="_Toc523238985"/>
      <w:bookmarkEnd w:id="253"/>
      <w:r>
        <w:t>Developing and sharing new solutions</w:t>
      </w:r>
      <w:bookmarkEnd w:id="254"/>
      <w:bookmarkEnd w:id="255"/>
    </w:p>
    <w:p w:rsidR="006831EE" w:rsidRDefault="004D1EC1" w:rsidP="00BD65DC">
      <w:pPr>
        <w:pStyle w:val="BodyText"/>
      </w:pPr>
      <w:r>
        <w:t>A</w:t>
      </w:r>
      <w:r w:rsidR="00CA1AB2">
        <w:t xml:space="preserve">dvances in building intelligence systems provide the foundation for using technology to enable a smarter city. </w:t>
      </w:r>
      <w:r w:rsidR="006831EE">
        <w:t>The City of Melbourne has demonstrated new energy saving technologies including one of the first large solar arrays on the sheds of the Queen Victoria Market</w:t>
      </w:r>
      <w:r w:rsidR="00E6708C">
        <w:t>,</w:t>
      </w:r>
      <w:r w:rsidR="006831EE">
        <w:t xml:space="preserve"> and </w:t>
      </w:r>
      <w:r w:rsidR="00E6708C">
        <w:t>we trialled</w:t>
      </w:r>
      <w:r w:rsidR="00CA1AB2">
        <w:t xml:space="preserve"> </w:t>
      </w:r>
      <w:r w:rsidR="006831EE">
        <w:t>micro-turbines on the rooftop of Council House 2.</w:t>
      </w:r>
      <w:r w:rsidR="006831EE" w:rsidRPr="00CD2877">
        <w:t xml:space="preserve"> </w:t>
      </w:r>
      <w:r w:rsidR="00541D8D">
        <w:t xml:space="preserve">The installation of smart meters in buildings across the city, and technological advances in building intelligence systems provide the foundation for using technology to enable a smarter city. </w:t>
      </w:r>
      <w:r w:rsidR="00CD7AB6">
        <w:t>We</w:t>
      </w:r>
      <w:r w:rsidR="00BA30A9">
        <w:t xml:space="preserve"> collaborated</w:t>
      </w:r>
      <w:r w:rsidR="006831EE">
        <w:t xml:space="preserve"> with the University of Melbourne and Royal Melbourne Institute of Technology</w:t>
      </w:r>
      <w:r w:rsidR="00BA30A9">
        <w:t xml:space="preserve">, launching </w:t>
      </w:r>
      <w:r w:rsidR="00541D8D">
        <w:t>an innovation precinct to test smart city technology.</w:t>
      </w:r>
    </w:p>
    <w:p w:rsidR="006831EE" w:rsidRDefault="00B57FB9" w:rsidP="00BD65DC">
      <w:pPr>
        <w:pStyle w:val="BodyText"/>
      </w:pPr>
      <w:r>
        <w:t>We</w:t>
      </w:r>
      <w:r w:rsidR="006831EE">
        <w:t xml:space="preserve"> work </w:t>
      </w:r>
      <w:r w:rsidR="00705B86">
        <w:t xml:space="preserve">with </w:t>
      </w:r>
      <w:r w:rsidR="006831EE">
        <w:t xml:space="preserve">governments, international and local city networks and university researchers on demonstration projects, pilot programs, and testing new solutions. </w:t>
      </w:r>
      <w:r w:rsidR="00CD7AB6">
        <w:t>We</w:t>
      </w:r>
      <w:r w:rsidR="006831EE">
        <w:t xml:space="preserve"> also sponsor competitions and hack-a-thon events for university students to develop the skills needed for the low carbon economy of the future. </w:t>
      </w:r>
    </w:p>
    <w:p w:rsidR="006831EE" w:rsidRDefault="00B57FB9" w:rsidP="00491BCA">
      <w:pPr>
        <w:pStyle w:val="BodyText"/>
      </w:pPr>
      <w:r>
        <w:t>The City of Melbourne also</w:t>
      </w:r>
      <w:r w:rsidR="00CD7AB6">
        <w:t xml:space="preserve"> </w:t>
      </w:r>
      <w:r w:rsidR="006831EE">
        <w:t>participate</w:t>
      </w:r>
      <w:r>
        <w:t>s</w:t>
      </w:r>
      <w:r w:rsidR="006831EE">
        <w:t xml:space="preserve"> in several international and local city-networks that support knowledge sharing between cities on climate change solutions. The development of this strategy was part of an international pilot program run by C40 for cities to share solutions. </w:t>
      </w:r>
      <w:r>
        <w:t>We</w:t>
      </w:r>
      <w:r w:rsidR="006831EE">
        <w:t xml:space="preserve"> contribute to the international efforts of cities to address climate change through the International Council for Local Environment Initiatives (ICLEI), the Carbon Neutral Cities Alliance and 100 Resilient Cities. </w:t>
      </w:r>
      <w:r w:rsidR="00CD7AB6">
        <w:t xml:space="preserve">We </w:t>
      </w:r>
      <w:r w:rsidR="006831EE">
        <w:t>collaborate with other Australian capital cities and metropolitan Melbourne local governm</w:t>
      </w:r>
      <w:r w:rsidR="00541D8D">
        <w:t>ents in the delivery of programs</w:t>
      </w:r>
      <w:r w:rsidR="006831EE">
        <w:t xml:space="preserve">. </w:t>
      </w:r>
    </w:p>
    <w:p w:rsidR="006831EE" w:rsidRPr="00845353" w:rsidRDefault="003632D6" w:rsidP="005F4FDB">
      <w:pPr>
        <w:spacing w:before="200" w:after="200"/>
      </w:pPr>
      <w:bookmarkStart w:id="256" w:name="_Toc518850914"/>
      <w:bookmarkStart w:id="257" w:name="_Toc518851986"/>
      <w:bookmarkStart w:id="258" w:name="_Toc518855610"/>
      <w:bookmarkStart w:id="259" w:name="_Toc518850918"/>
      <w:bookmarkStart w:id="260" w:name="_Toc518851990"/>
      <w:bookmarkStart w:id="261" w:name="_Toc518855614"/>
      <w:bookmarkStart w:id="262" w:name="_Toc518850923"/>
      <w:bookmarkStart w:id="263" w:name="_Toc518851995"/>
      <w:bookmarkStart w:id="264" w:name="_Toc518855619"/>
      <w:bookmarkStart w:id="265" w:name="_Toc518850924"/>
      <w:bookmarkStart w:id="266" w:name="_Toc518851996"/>
      <w:bookmarkStart w:id="267" w:name="_Toc518855620"/>
      <w:bookmarkStart w:id="268" w:name="_Toc520749151"/>
      <w:bookmarkEnd w:id="256"/>
      <w:bookmarkEnd w:id="257"/>
      <w:bookmarkEnd w:id="258"/>
      <w:bookmarkEnd w:id="259"/>
      <w:bookmarkEnd w:id="260"/>
      <w:bookmarkEnd w:id="261"/>
      <w:bookmarkEnd w:id="262"/>
      <w:bookmarkEnd w:id="263"/>
      <w:bookmarkEnd w:id="264"/>
      <w:bookmarkEnd w:id="265"/>
      <w:bookmarkEnd w:id="266"/>
      <w:bookmarkEnd w:id="267"/>
      <w:r>
        <w:t xml:space="preserve">We could </w:t>
      </w:r>
      <w:bookmarkEnd w:id="268"/>
      <w:r w:rsidR="006831EE" w:rsidRPr="00845353">
        <w:t xml:space="preserve">support innovation by </w:t>
      </w:r>
      <w:r>
        <w:t>using</w:t>
      </w:r>
      <w:r w:rsidRPr="00845353">
        <w:t xml:space="preserve"> </w:t>
      </w:r>
      <w:r w:rsidR="006831EE" w:rsidRPr="00845353">
        <w:t>the city as a lab to test and refine solutions. Real</w:t>
      </w:r>
      <w:r>
        <w:t>-</w:t>
      </w:r>
      <w:r w:rsidR="006831EE" w:rsidRPr="00845353">
        <w:t>time, publicly accessible data about the city’s energy performance and emissions profile would enable people to develop new digital, transport and energy solutions</w:t>
      </w:r>
      <w:r>
        <w:t>.</w:t>
      </w:r>
      <w:r w:rsidR="006831EE" w:rsidRPr="00845353">
        <w:t xml:space="preserve"> </w:t>
      </w:r>
    </w:p>
    <w:p w:rsidR="003632D6" w:rsidRDefault="003632D6" w:rsidP="005F4FDB">
      <w:pPr>
        <w:spacing w:before="200" w:after="200"/>
      </w:pPr>
      <w:r>
        <w:t>M</w:t>
      </w:r>
      <w:r w:rsidR="006831EE" w:rsidRPr="00845353">
        <w:t xml:space="preserve">ultiple research gaps and information barriers </w:t>
      </w:r>
      <w:r>
        <w:t xml:space="preserve">must </w:t>
      </w:r>
      <w:r w:rsidR="006831EE" w:rsidRPr="00845353">
        <w:t>be addressed before real</w:t>
      </w:r>
      <w:r>
        <w:t>-</w:t>
      </w:r>
      <w:r w:rsidR="006831EE" w:rsidRPr="00845353">
        <w:t xml:space="preserve">time city-wide data could be made available. </w:t>
      </w:r>
      <w:r>
        <w:t>S</w:t>
      </w:r>
      <w:r w:rsidR="006831EE" w:rsidRPr="00845353">
        <w:t>ome basic data</w:t>
      </w:r>
      <w:r>
        <w:t xml:space="preserve">, including the </w:t>
      </w:r>
      <w:r w:rsidR="006831EE" w:rsidRPr="00845353">
        <w:t>average energy performance of apartments</w:t>
      </w:r>
      <w:r>
        <w:t>, is not currently available.</w:t>
      </w:r>
      <w:r w:rsidR="006831EE" w:rsidRPr="00845353">
        <w:t xml:space="preserve"> </w:t>
      </w:r>
    </w:p>
    <w:p w:rsidR="005D51A7" w:rsidRPr="002346DD" w:rsidRDefault="00F2440E" w:rsidP="005F4FDB">
      <w:pPr>
        <w:spacing w:before="200" w:after="200"/>
      </w:pPr>
      <w:r>
        <w:t>More r</w:t>
      </w:r>
      <w:r w:rsidR="006831EE" w:rsidRPr="00845353">
        <w:t>esearch is needed to identify the best methods to avoid waste and achieve carbon positive buildings and precincts, zero emissions transport and renewable energy.</w:t>
      </w:r>
      <w:r w:rsidR="003632D6">
        <w:t xml:space="preserve"> </w:t>
      </w:r>
      <w:r w:rsidR="006831EE" w:rsidRPr="00845353">
        <w:t>By collaborating with other cities and urban researchers</w:t>
      </w:r>
      <w:r w:rsidR="00CD7AB6">
        <w:t xml:space="preserve">, we </w:t>
      </w:r>
      <w:r w:rsidR="006831EE" w:rsidRPr="00845353">
        <w:t xml:space="preserve">will be </w:t>
      </w:r>
      <w:r>
        <w:t xml:space="preserve">better </w:t>
      </w:r>
      <w:r w:rsidR="006831EE" w:rsidRPr="00845353">
        <w:t xml:space="preserve">able to identify gaps </w:t>
      </w:r>
      <w:r>
        <w:t xml:space="preserve">and commission urgent research to help us </w:t>
      </w:r>
      <w:r w:rsidR="006831EE" w:rsidRPr="00845353">
        <w:t>track our progress</w:t>
      </w:r>
      <w:r>
        <w:t>.</w:t>
      </w:r>
    </w:p>
    <w:p w:rsidR="00122DEA" w:rsidRDefault="00002231" w:rsidP="00147284">
      <w:pPr>
        <w:pStyle w:val="Heading2"/>
        <w:numPr>
          <w:ilvl w:val="0"/>
          <w:numId w:val="0"/>
        </w:numPr>
        <w:ind w:left="851" w:hanging="851"/>
      </w:pPr>
      <w:bookmarkStart w:id="269" w:name="_Toc520749152"/>
      <w:bookmarkStart w:id="270" w:name="_Toc523238986"/>
      <w:r>
        <w:t xml:space="preserve">4.4 </w:t>
      </w:r>
      <w:r w:rsidR="00122DEA">
        <w:t>Measuring, reporting and evaluating progress</w:t>
      </w:r>
      <w:bookmarkEnd w:id="269"/>
      <w:bookmarkEnd w:id="270"/>
    </w:p>
    <w:p w:rsidR="002250E2" w:rsidRDefault="00F2440E" w:rsidP="00F2440E">
      <w:pPr>
        <w:pStyle w:val="BodyText"/>
      </w:pPr>
      <w:r>
        <w:t>We will develop a</w:t>
      </w:r>
      <w:r w:rsidR="00122DEA">
        <w:t xml:space="preserve"> comprehensive measurement and evaluation plan </w:t>
      </w:r>
      <w:r>
        <w:t>to accompany this strategy.</w:t>
      </w:r>
      <w:r w:rsidR="00122DEA">
        <w:t xml:space="preserve"> </w:t>
      </w:r>
      <w:r w:rsidR="00AD2A42" w:rsidRPr="006831EE">
        <w:t>It</w:t>
      </w:r>
      <w:r w:rsidR="00AD2A42" w:rsidRPr="009136BE">
        <w:rPr>
          <w:i/>
        </w:rPr>
        <w:t xml:space="preserve"> </w:t>
      </w:r>
      <w:r w:rsidR="00AD2A42">
        <w:t xml:space="preserve">will also fulfil the requirements of the Council Pledge made under the </w:t>
      </w:r>
      <w:r w:rsidR="00AD2A42" w:rsidRPr="009136BE">
        <w:rPr>
          <w:i/>
        </w:rPr>
        <w:t>Climate Change Act 2017</w:t>
      </w:r>
      <w:r w:rsidR="00AD2A42">
        <w:t xml:space="preserve">, to evaluate and report on the implementation of emission reductions by 2025. </w:t>
      </w:r>
    </w:p>
    <w:p w:rsidR="002250E2" w:rsidRPr="000861A2" w:rsidRDefault="002250E2" w:rsidP="002250E2">
      <w:pPr>
        <w:pStyle w:val="BodyText"/>
        <w:rPr>
          <w:color w:val="auto"/>
        </w:rPr>
      </w:pPr>
      <w:r w:rsidRPr="000861A2">
        <w:rPr>
          <w:color w:val="auto"/>
        </w:rPr>
        <w:t xml:space="preserve">We will </w:t>
      </w:r>
      <w:r w:rsidR="00CF746A" w:rsidRPr="000861A2">
        <w:rPr>
          <w:color w:val="auto"/>
        </w:rPr>
        <w:t xml:space="preserve">report </w:t>
      </w:r>
      <w:r w:rsidRPr="000861A2">
        <w:rPr>
          <w:color w:val="auto"/>
        </w:rPr>
        <w:t>our p</w:t>
      </w:r>
      <w:r w:rsidR="00CF746A" w:rsidRPr="000861A2">
        <w:rPr>
          <w:color w:val="auto"/>
        </w:rPr>
        <w:t>rogress annually as part of</w:t>
      </w:r>
      <w:r w:rsidRPr="000861A2">
        <w:rPr>
          <w:color w:val="auto"/>
        </w:rPr>
        <w:t xml:space="preserve"> our commitment to the Global Compact of Mayors and Carbon Disclosure Project, supporting the transparency priorities of the Future Melbourne 2026 P</w:t>
      </w:r>
      <w:r w:rsidR="000E28FA">
        <w:rPr>
          <w:color w:val="auto"/>
        </w:rPr>
        <w:t xml:space="preserve">lan and the </w:t>
      </w:r>
      <w:r w:rsidR="000E28FA" w:rsidRPr="00A13A8B">
        <w:rPr>
          <w:i/>
          <w:color w:val="auto"/>
        </w:rPr>
        <w:t>Local Government Bill</w:t>
      </w:r>
      <w:r w:rsidRPr="00A13A8B">
        <w:rPr>
          <w:i/>
          <w:color w:val="auto"/>
        </w:rPr>
        <w:t xml:space="preserve"> 2018</w:t>
      </w:r>
      <w:r w:rsidRPr="000861A2">
        <w:rPr>
          <w:color w:val="auto"/>
        </w:rPr>
        <w:t xml:space="preserve">. </w:t>
      </w:r>
    </w:p>
    <w:p w:rsidR="002250E2" w:rsidRPr="000861A2" w:rsidRDefault="002250E2" w:rsidP="002250E2">
      <w:pPr>
        <w:pStyle w:val="BodyText"/>
        <w:rPr>
          <w:color w:val="auto"/>
        </w:rPr>
      </w:pPr>
      <w:r w:rsidRPr="000861A2">
        <w:rPr>
          <w:color w:val="auto"/>
        </w:rPr>
        <w:t xml:space="preserve">The Carbon Disclosure Project provides a holistic reporting framework for cities to </w:t>
      </w:r>
      <w:r w:rsidR="000861A2" w:rsidRPr="000861A2">
        <w:rPr>
          <w:color w:val="auto"/>
        </w:rPr>
        <w:t>report</w:t>
      </w:r>
      <w:r w:rsidRPr="000861A2">
        <w:rPr>
          <w:color w:val="auto"/>
        </w:rPr>
        <w:t xml:space="preserve"> </w:t>
      </w:r>
      <w:r w:rsidR="003A4B70">
        <w:rPr>
          <w:color w:val="auto"/>
        </w:rPr>
        <w:t xml:space="preserve">the </w:t>
      </w:r>
      <w:r w:rsidRPr="000861A2">
        <w:rPr>
          <w:color w:val="auto"/>
        </w:rPr>
        <w:t>emissions</w:t>
      </w:r>
      <w:r w:rsidR="003A4B70">
        <w:rPr>
          <w:color w:val="auto"/>
        </w:rPr>
        <w:t xml:space="preserve"> profile of the municipality</w:t>
      </w:r>
      <w:r w:rsidRPr="000861A2">
        <w:rPr>
          <w:color w:val="auto"/>
        </w:rPr>
        <w:t xml:space="preserve">, emission reduction actions, greening, and climate adaptation; in order to support the measurement, monitoring and management of environmental impacts. </w:t>
      </w:r>
    </w:p>
    <w:p w:rsidR="00B621E2" w:rsidRPr="00443FB9" w:rsidRDefault="002250E2" w:rsidP="00443FB9">
      <w:pPr>
        <w:pStyle w:val="BodyText"/>
        <w:rPr>
          <w:color w:val="auto"/>
        </w:rPr>
      </w:pPr>
      <w:r w:rsidRPr="000861A2">
        <w:rPr>
          <w:color w:val="auto"/>
        </w:rPr>
        <w:t xml:space="preserve">Our reports will be publically accessible </w:t>
      </w:r>
      <w:r w:rsidR="00E67CDD">
        <w:rPr>
          <w:color w:val="auto"/>
        </w:rPr>
        <w:t xml:space="preserve">on the </w:t>
      </w:r>
      <w:r w:rsidRPr="000861A2">
        <w:rPr>
          <w:color w:val="auto"/>
        </w:rPr>
        <w:t>Carbon Disclosure Project Cities platform</w:t>
      </w:r>
      <w:r w:rsidR="000861A2">
        <w:rPr>
          <w:color w:val="auto"/>
        </w:rPr>
        <w:t xml:space="preserve"> </w:t>
      </w:r>
      <w:r w:rsidRPr="000861A2">
        <w:rPr>
          <w:color w:val="auto"/>
        </w:rPr>
        <w:t>so that our performance can be tracked, evaluated, and benchmarked against o</w:t>
      </w:r>
      <w:r w:rsidR="000861A2" w:rsidRPr="000861A2">
        <w:rPr>
          <w:color w:val="auto"/>
        </w:rPr>
        <w:t>ther cities</w:t>
      </w:r>
      <w:r w:rsidRPr="000861A2">
        <w:rPr>
          <w:color w:val="auto"/>
        </w:rPr>
        <w:t>.</w:t>
      </w:r>
      <w:r w:rsidR="008607BE">
        <w:br w:type="page"/>
      </w:r>
    </w:p>
    <w:p w:rsidR="00B621E2" w:rsidRDefault="00B621E2" w:rsidP="00B621E2">
      <w:pPr>
        <w:pStyle w:val="Heading1"/>
        <w:numPr>
          <w:ilvl w:val="0"/>
          <w:numId w:val="0"/>
        </w:numPr>
        <w:ind w:left="1191" w:hanging="1191"/>
      </w:pPr>
      <w:bookmarkStart w:id="271" w:name="_Toc523238987"/>
      <w:bookmarkStart w:id="272" w:name="_Toc520749143"/>
      <w:r>
        <w:t>List of proposed actions</w:t>
      </w:r>
      <w:bookmarkEnd w:id="271"/>
      <w:r>
        <w:t xml:space="preserve"> </w:t>
      </w:r>
    </w:p>
    <w:p w:rsidR="00501811" w:rsidRDefault="00E348D7" w:rsidP="007078FD">
      <w:pPr>
        <w:spacing w:before="200" w:after="200"/>
      </w:pPr>
      <w:r>
        <w:t>Actions and</w:t>
      </w:r>
      <w:r w:rsidR="00501811" w:rsidRPr="00CB2077">
        <w:t xml:space="preserve"> initiatives outlined in this strategy </w:t>
      </w:r>
      <w:r>
        <w:t>are indicative</w:t>
      </w:r>
      <w:r w:rsidR="00501811">
        <w:t>. The final strategy</w:t>
      </w:r>
      <w:r>
        <w:t xml:space="preserve"> and set of actions</w:t>
      </w:r>
      <w:r w:rsidR="00501811">
        <w:t xml:space="preserve"> will inform the City of Melbourne’s</w:t>
      </w:r>
      <w:r w:rsidR="00501811" w:rsidRPr="00CB2077">
        <w:t xml:space="preserve"> planning and resourcing considerations and</w:t>
      </w:r>
      <w:r w:rsidR="00501811">
        <w:t xml:space="preserve"> </w:t>
      </w:r>
      <w:r>
        <w:t xml:space="preserve">will be subject to </w:t>
      </w:r>
      <w:r w:rsidR="00501811" w:rsidRPr="00CB2077">
        <w:t>Annual Plan and Budget</w:t>
      </w:r>
      <w:r>
        <w:t xml:space="preserve"> processes</w:t>
      </w:r>
      <w:r w:rsidR="00501811" w:rsidRPr="00CB2077">
        <w:t>.</w:t>
      </w:r>
    </w:p>
    <w:p w:rsidR="00E348D7" w:rsidRDefault="00E348D7" w:rsidP="007078FD">
      <w:pPr>
        <w:spacing w:before="200" w:after="200"/>
      </w:pPr>
    </w:p>
    <w:p w:rsidR="00B621E2" w:rsidRDefault="00B621E2" w:rsidP="006466EB">
      <w:pPr>
        <w:pStyle w:val="BoldHeading"/>
        <w:spacing w:before="200"/>
      </w:pPr>
      <w:r>
        <w:t>Priority 1: 100</w:t>
      </w:r>
      <w:r w:rsidR="00CE68C8">
        <w:t xml:space="preserve"> per cent</w:t>
      </w:r>
      <w:r>
        <w:t xml:space="preserve"> renewable energy</w:t>
      </w:r>
    </w:p>
    <w:p w:rsidR="00F46898" w:rsidRPr="00F46898" w:rsidRDefault="00C6680C" w:rsidP="00F46898">
      <w:pPr>
        <w:pStyle w:val="ListNumber"/>
        <w:numPr>
          <w:ilvl w:val="0"/>
          <w:numId w:val="118"/>
        </w:numPr>
        <w:rPr>
          <w:rFonts w:cstheme="minorHAnsi"/>
          <w:lang w:val="en-US"/>
        </w:rPr>
      </w:pPr>
      <w:r w:rsidRPr="00F46898">
        <w:rPr>
          <w:lang w:val="en-US"/>
        </w:rPr>
        <w:t>Advocate for a more ambitious renewable energy target</w:t>
      </w:r>
      <w:r w:rsidR="00CE68C8" w:rsidRPr="00F46898">
        <w:rPr>
          <w:lang w:val="en-US"/>
        </w:rPr>
        <w:t>.</w:t>
      </w:r>
      <w:r w:rsidRPr="00F46898">
        <w:rPr>
          <w:rFonts w:ascii="Calibri" w:eastAsiaTheme="minorHAnsi" w:hAnsi="Calibri"/>
          <w:lang w:val="en-US" w:eastAsia="en-US"/>
        </w:rPr>
        <w:t xml:space="preserve"> </w:t>
      </w:r>
    </w:p>
    <w:p w:rsidR="00F46898" w:rsidRPr="00F46898" w:rsidRDefault="00F46898" w:rsidP="00F46898">
      <w:pPr>
        <w:pStyle w:val="ListNumber"/>
        <w:rPr>
          <w:rFonts w:cstheme="minorHAnsi"/>
          <w:lang w:val="en-US"/>
        </w:rPr>
      </w:pPr>
      <w:r>
        <w:rPr>
          <w:rFonts w:cstheme="minorHAnsi"/>
          <w:lang w:val="en-US"/>
        </w:rPr>
        <w:t>Accelerate</w:t>
      </w:r>
      <w:r w:rsidRPr="004917DF">
        <w:rPr>
          <w:rFonts w:cstheme="minorHAnsi"/>
          <w:lang w:val="en-US"/>
        </w:rPr>
        <w:t xml:space="preserve"> corporate Power Purchase Agreements</w:t>
      </w:r>
      <w:r w:rsidRPr="003B7172">
        <w:rPr>
          <w:rFonts w:cstheme="minorHAnsi"/>
          <w:lang w:val="en-US"/>
        </w:rPr>
        <w:t>.</w:t>
      </w:r>
      <w:r w:rsidRPr="00407CFD">
        <w:rPr>
          <w:rFonts w:cstheme="minorHAnsi"/>
          <w:lang w:val="en-US"/>
        </w:rPr>
        <w:t xml:space="preserve"> </w:t>
      </w:r>
    </w:p>
    <w:p w:rsidR="00192096" w:rsidRDefault="00192096" w:rsidP="00F46898">
      <w:pPr>
        <w:pStyle w:val="ListNumber"/>
        <w:rPr>
          <w:lang w:val="en-US"/>
        </w:rPr>
      </w:pPr>
      <w:r>
        <w:rPr>
          <w:lang w:val="en-US"/>
        </w:rPr>
        <w:t>Facilitate residential purchasing of renewable energy products</w:t>
      </w:r>
      <w:r w:rsidR="00CE68C8">
        <w:rPr>
          <w:lang w:val="en-US"/>
        </w:rPr>
        <w:t>.</w:t>
      </w:r>
    </w:p>
    <w:p w:rsidR="00192096" w:rsidRDefault="00192096" w:rsidP="00F46898">
      <w:pPr>
        <w:pStyle w:val="ListNumber"/>
        <w:rPr>
          <w:lang w:val="en-US"/>
        </w:rPr>
      </w:pPr>
      <w:r>
        <w:rPr>
          <w:lang w:val="en-US"/>
        </w:rPr>
        <w:t>Facilitate a virtual power plant for residents</w:t>
      </w:r>
      <w:r w:rsidR="00CE68C8">
        <w:rPr>
          <w:lang w:val="en-US"/>
        </w:rPr>
        <w:t>.</w:t>
      </w:r>
      <w:r>
        <w:rPr>
          <w:lang w:val="en-US"/>
        </w:rPr>
        <w:t xml:space="preserve"> </w:t>
      </w:r>
    </w:p>
    <w:p w:rsidR="006747CE" w:rsidRDefault="00040BDB" w:rsidP="00F46898">
      <w:pPr>
        <w:pStyle w:val="ListNumber"/>
        <w:rPr>
          <w:rFonts w:eastAsiaTheme="minorHAnsi"/>
          <w:lang w:val="en-US" w:eastAsia="en-US"/>
        </w:rPr>
      </w:pPr>
      <w:r>
        <w:rPr>
          <w:rFonts w:eastAsiaTheme="minorHAnsi"/>
          <w:lang w:val="en-US" w:eastAsia="en-US"/>
        </w:rPr>
        <w:t>Collaborate</w:t>
      </w:r>
      <w:r w:rsidR="006747CE">
        <w:rPr>
          <w:rFonts w:eastAsiaTheme="minorHAnsi"/>
          <w:lang w:val="en-US" w:eastAsia="en-US"/>
        </w:rPr>
        <w:t xml:space="preserve"> with other cities, investors, superannuation companies to accelerate divestment from fossil-fuel energy supply</w:t>
      </w:r>
      <w:r w:rsidR="00CE68C8">
        <w:rPr>
          <w:rFonts w:eastAsiaTheme="minorHAnsi"/>
          <w:lang w:val="en-US" w:eastAsia="en-US"/>
        </w:rPr>
        <w:t>.</w:t>
      </w:r>
    </w:p>
    <w:p w:rsidR="006747CE" w:rsidRPr="00DC58F2" w:rsidRDefault="00865930" w:rsidP="00F46898">
      <w:pPr>
        <w:pStyle w:val="ListNumber"/>
        <w:rPr>
          <w:rFonts w:eastAsiaTheme="minorHAnsi"/>
          <w:lang w:val="en-US" w:eastAsia="en-US"/>
        </w:rPr>
      </w:pPr>
      <w:r>
        <w:rPr>
          <w:rFonts w:eastAsiaTheme="minorHAnsi"/>
          <w:lang w:val="en-US" w:eastAsia="en-US"/>
        </w:rPr>
        <w:t>Partner with businesses and universities to promote innovative renewable energy technology</w:t>
      </w:r>
      <w:r w:rsidR="00742551">
        <w:rPr>
          <w:rFonts w:eastAsiaTheme="minorHAnsi"/>
          <w:lang w:val="en-US" w:eastAsia="en-US"/>
        </w:rPr>
        <w:t xml:space="preserve"> and research</w:t>
      </w:r>
      <w:r w:rsidR="00CE68C8">
        <w:rPr>
          <w:rFonts w:eastAsiaTheme="minorHAnsi"/>
          <w:lang w:val="en-US" w:eastAsia="en-US"/>
        </w:rPr>
        <w:t>.</w:t>
      </w:r>
    </w:p>
    <w:p w:rsidR="00B621E2" w:rsidRDefault="00B621E2" w:rsidP="00132DAE">
      <w:pPr>
        <w:pStyle w:val="BoldHeading"/>
        <w:spacing w:before="200"/>
      </w:pPr>
      <w:r>
        <w:t>Priority 2: Zero emissions buildings and precincts</w:t>
      </w:r>
    </w:p>
    <w:p w:rsidR="00985D62" w:rsidRDefault="00985D62" w:rsidP="00985D62">
      <w:pPr>
        <w:pStyle w:val="ListNumber"/>
        <w:numPr>
          <w:ilvl w:val="0"/>
          <w:numId w:val="119"/>
        </w:numPr>
        <w:spacing w:before="60" w:after="60"/>
      </w:pPr>
      <w:r>
        <w:t>Demonstrate innovative carbon positive design and operation of council-owned buildings and precincts.</w:t>
      </w:r>
    </w:p>
    <w:p w:rsidR="00985D62" w:rsidRPr="00985D62" w:rsidRDefault="00985D62" w:rsidP="00985D62">
      <w:pPr>
        <w:pStyle w:val="ListNumber"/>
        <w:numPr>
          <w:ilvl w:val="0"/>
          <w:numId w:val="119"/>
        </w:numPr>
        <w:spacing w:before="60" w:after="60"/>
        <w:rPr>
          <w:rFonts w:eastAsia="Arial"/>
        </w:rPr>
      </w:pPr>
      <w:r w:rsidRPr="00D054D6">
        <w:t xml:space="preserve">Partner with industry, Victorian and </w:t>
      </w:r>
      <w:r>
        <w:t>Australian</w:t>
      </w:r>
      <w:r w:rsidRPr="00D054D6">
        <w:t xml:space="preserve"> Government ag</w:t>
      </w:r>
      <w:r>
        <w:t>encies to reduce barriers and deliver</w:t>
      </w:r>
      <w:r w:rsidRPr="00D054D6">
        <w:t xml:space="preserve"> zero emissions buildings and </w:t>
      </w:r>
      <w:r>
        <w:t xml:space="preserve">urban renewal </w:t>
      </w:r>
      <w:r w:rsidRPr="00D054D6">
        <w:t>precincts</w:t>
      </w:r>
      <w:r w:rsidRPr="00985D62">
        <w:rPr>
          <w:rFonts w:eastAsia="Arial"/>
        </w:rPr>
        <w:t>.</w:t>
      </w:r>
    </w:p>
    <w:p w:rsidR="00985D62" w:rsidRPr="00985D62" w:rsidRDefault="00985D62" w:rsidP="00985D62">
      <w:pPr>
        <w:pStyle w:val="ListNumber"/>
        <w:numPr>
          <w:ilvl w:val="0"/>
          <w:numId w:val="119"/>
        </w:numPr>
        <w:spacing w:before="60" w:after="60"/>
        <w:rPr>
          <w:rFonts w:eastAsia="Arial"/>
        </w:rPr>
      </w:pPr>
      <w:r w:rsidRPr="00985D62">
        <w:rPr>
          <w:rFonts w:ascii="Arial" w:hAnsi="Arial" w:cs="Arial"/>
        </w:rPr>
        <w:t xml:space="preserve">Accelerate existing commercial buildings and tenants’ energy efficiency programs through </w:t>
      </w:r>
      <w:proofErr w:type="spellStart"/>
      <w:r w:rsidRPr="00985D62">
        <w:rPr>
          <w:rFonts w:ascii="Arial" w:hAnsi="Arial" w:cs="Arial"/>
        </w:rPr>
        <w:t>CitySwitch</w:t>
      </w:r>
      <w:proofErr w:type="spellEnd"/>
      <w:r w:rsidRPr="00985D62">
        <w:rPr>
          <w:rFonts w:ascii="Arial" w:hAnsi="Arial" w:cs="Arial"/>
        </w:rPr>
        <w:t xml:space="preserve"> and other partnerships</w:t>
      </w:r>
    </w:p>
    <w:p w:rsidR="00985D62" w:rsidRPr="00985D62" w:rsidRDefault="00985D62" w:rsidP="00985D62">
      <w:pPr>
        <w:pStyle w:val="ListNumber"/>
        <w:numPr>
          <w:ilvl w:val="0"/>
          <w:numId w:val="119"/>
        </w:numPr>
        <w:spacing w:before="60" w:after="60"/>
        <w:rPr>
          <w:rFonts w:eastAsia="Arial"/>
        </w:rPr>
      </w:pPr>
      <w:r w:rsidRPr="00985D62">
        <w:rPr>
          <w:rFonts w:ascii="Arial" w:hAnsi="Arial" w:cs="Arial"/>
        </w:rPr>
        <w:t>Advocate for energy performance disclosure for a greater range of commercial buildings, plus residential buildings, at the point of lease and point of sale.</w:t>
      </w:r>
    </w:p>
    <w:p w:rsidR="00985D62" w:rsidRPr="00985D62" w:rsidRDefault="00985D62" w:rsidP="00985D62">
      <w:pPr>
        <w:pStyle w:val="ListNumber"/>
        <w:numPr>
          <w:ilvl w:val="0"/>
          <w:numId w:val="119"/>
        </w:numPr>
        <w:spacing w:before="60" w:after="60"/>
        <w:rPr>
          <w:rFonts w:eastAsia="Arial"/>
        </w:rPr>
      </w:pPr>
      <w:r w:rsidRPr="00985D62">
        <w:rPr>
          <w:rFonts w:ascii="Arial" w:hAnsi="Arial" w:cs="Arial"/>
        </w:rPr>
        <w:t>Facilitate the take up of the National Built Environment Rating Scheme for apartments across the municipality.</w:t>
      </w:r>
    </w:p>
    <w:p w:rsidR="00985D62" w:rsidRPr="00985D62" w:rsidRDefault="00985D62" w:rsidP="00985D62">
      <w:pPr>
        <w:pStyle w:val="ListNumber"/>
        <w:numPr>
          <w:ilvl w:val="0"/>
          <w:numId w:val="119"/>
        </w:numPr>
        <w:spacing w:before="60" w:after="60"/>
        <w:rPr>
          <w:rFonts w:eastAsia="Arial"/>
        </w:rPr>
      </w:pPr>
      <w:r w:rsidRPr="00985D62">
        <w:rPr>
          <w:rFonts w:eastAsia="Arial"/>
        </w:rPr>
        <w:t>Renew and implement planning policies to support the development of zero emissions buildings and precincts.</w:t>
      </w:r>
    </w:p>
    <w:p w:rsidR="00985D62" w:rsidRPr="00985D62" w:rsidRDefault="00985D62" w:rsidP="00985D62">
      <w:pPr>
        <w:pStyle w:val="ListNumber"/>
        <w:numPr>
          <w:ilvl w:val="0"/>
          <w:numId w:val="119"/>
        </w:numPr>
        <w:spacing w:before="60" w:after="60"/>
        <w:rPr>
          <w:rFonts w:eastAsia="Arial"/>
        </w:rPr>
      </w:pPr>
      <w:r w:rsidRPr="00985D62">
        <w:rPr>
          <w:rFonts w:eastAsia="Arial"/>
        </w:rPr>
        <w:t>Partner with industry to advocate for higher energy performance standards in the National Con</w:t>
      </w:r>
      <w:r w:rsidR="00C0297C">
        <w:rPr>
          <w:rFonts w:eastAsia="Arial"/>
        </w:rPr>
        <w:t xml:space="preserve">struction Code, </w:t>
      </w:r>
      <w:r w:rsidR="00C0297C" w:rsidRPr="00C0297C">
        <w:rPr>
          <w:rFonts w:eastAsia="Arial"/>
          <w:i/>
        </w:rPr>
        <w:t>Building</w:t>
      </w:r>
      <w:r w:rsidRPr="00C0297C">
        <w:rPr>
          <w:rFonts w:eastAsia="Arial"/>
          <w:i/>
        </w:rPr>
        <w:t xml:space="preserve"> Act </w:t>
      </w:r>
      <w:r w:rsidR="00C0297C" w:rsidRPr="00C0297C">
        <w:rPr>
          <w:rFonts w:eastAsia="Arial"/>
          <w:i/>
        </w:rPr>
        <w:t>1993</w:t>
      </w:r>
      <w:r w:rsidR="00C0297C">
        <w:rPr>
          <w:rFonts w:eastAsia="Arial"/>
        </w:rPr>
        <w:t xml:space="preserve"> </w:t>
      </w:r>
      <w:r w:rsidRPr="00985D62">
        <w:rPr>
          <w:rFonts w:eastAsia="Arial"/>
        </w:rPr>
        <w:t xml:space="preserve">and regulations. </w:t>
      </w:r>
    </w:p>
    <w:p w:rsidR="00985D62" w:rsidRDefault="00985D62" w:rsidP="00985D62">
      <w:pPr>
        <w:pStyle w:val="ListNumber"/>
        <w:numPr>
          <w:ilvl w:val="0"/>
          <w:numId w:val="119"/>
        </w:numPr>
        <w:spacing w:before="60" w:after="60"/>
      </w:pPr>
      <w:r w:rsidRPr="00985D62">
        <w:rPr>
          <w:rFonts w:eastAsia="Arial"/>
        </w:rPr>
        <w:t>Advocate and facilitate to transition from gas to electricity in buildings and precincts.</w:t>
      </w:r>
    </w:p>
    <w:p w:rsidR="00985D62" w:rsidRDefault="00985D62" w:rsidP="00985D62">
      <w:pPr>
        <w:pStyle w:val="ListNumber"/>
        <w:numPr>
          <w:ilvl w:val="0"/>
          <w:numId w:val="119"/>
        </w:numPr>
        <w:spacing w:before="60" w:after="60"/>
      </w:pPr>
      <w:r>
        <w:t>Adopt c</w:t>
      </w:r>
      <w:r w:rsidRPr="00115BD5">
        <w:t>ircular economy</w:t>
      </w:r>
      <w:r>
        <w:t xml:space="preserve"> principles to reduce the environmental impact and embodied emissions from products, materials and buildings across the city through procurement, urban design and planning.</w:t>
      </w:r>
    </w:p>
    <w:p w:rsidR="00B621E2" w:rsidRDefault="00B621E2" w:rsidP="00A81C90">
      <w:pPr>
        <w:pStyle w:val="BoldHeading"/>
        <w:spacing w:before="200"/>
      </w:pPr>
      <w:r>
        <w:t>Priority 3: Zero emissions transport</w:t>
      </w:r>
    </w:p>
    <w:p w:rsidR="006466EB" w:rsidRPr="0065050D" w:rsidRDefault="006466EB" w:rsidP="006466EB">
      <w:pPr>
        <w:pStyle w:val="ListNumber"/>
        <w:numPr>
          <w:ilvl w:val="0"/>
          <w:numId w:val="99"/>
        </w:numPr>
        <w:rPr>
          <w:rFonts w:ascii="Calibri" w:eastAsiaTheme="minorHAnsi" w:hAnsi="Calibri"/>
          <w:lang w:val="en-US" w:eastAsia="en-US"/>
        </w:rPr>
      </w:pPr>
      <w:r w:rsidRPr="0065050D">
        <w:rPr>
          <w:lang w:val="en-US"/>
        </w:rPr>
        <w:t xml:space="preserve">Reallocate road space </w:t>
      </w:r>
      <w:r>
        <w:rPr>
          <w:lang w:val="en-US"/>
        </w:rPr>
        <w:t xml:space="preserve">to create more space </w:t>
      </w:r>
      <w:r w:rsidRPr="0065050D">
        <w:rPr>
          <w:lang w:val="en-US"/>
        </w:rPr>
        <w:t>for walking, cycling and green infrastructure</w:t>
      </w:r>
      <w:r w:rsidR="008E60F9">
        <w:rPr>
          <w:lang w:val="en-US"/>
        </w:rPr>
        <w:t>.</w:t>
      </w:r>
    </w:p>
    <w:p w:rsidR="006466EB" w:rsidRPr="0065050D" w:rsidRDefault="006466EB" w:rsidP="006466EB">
      <w:pPr>
        <w:pStyle w:val="ListNumber"/>
        <w:numPr>
          <w:ilvl w:val="0"/>
          <w:numId w:val="99"/>
        </w:numPr>
        <w:rPr>
          <w:rFonts w:ascii="Calibri" w:eastAsiaTheme="minorHAnsi" w:hAnsi="Calibri"/>
          <w:lang w:val="en-US" w:eastAsia="en-US"/>
        </w:rPr>
      </w:pPr>
      <w:r w:rsidRPr="008766B1">
        <w:t xml:space="preserve">Prioritise active and public transport through </w:t>
      </w:r>
      <w:r>
        <w:t xml:space="preserve">dedicated lanes, traffic light </w:t>
      </w:r>
      <w:r w:rsidRPr="008766B1">
        <w:t>priorit</w:t>
      </w:r>
      <w:r>
        <w:t>ies</w:t>
      </w:r>
      <w:r w:rsidRPr="008766B1">
        <w:t>, parking controls and road user pricing</w:t>
      </w:r>
      <w:r w:rsidR="008E60F9">
        <w:t>.</w:t>
      </w:r>
      <w:r w:rsidRPr="0065050D">
        <w:rPr>
          <w:lang w:val="en-US"/>
        </w:rPr>
        <w:t xml:space="preserve"> </w:t>
      </w:r>
    </w:p>
    <w:p w:rsidR="006466EB" w:rsidRDefault="006466EB" w:rsidP="006466EB">
      <w:pPr>
        <w:pStyle w:val="ListNumber"/>
        <w:numPr>
          <w:ilvl w:val="0"/>
          <w:numId w:val="99"/>
        </w:numPr>
        <w:rPr>
          <w:lang w:val="en-US"/>
        </w:rPr>
      </w:pPr>
      <w:r>
        <w:rPr>
          <w:lang w:val="en-US"/>
        </w:rPr>
        <w:t>Advocate for public transport to be powered by renewable energy</w:t>
      </w:r>
      <w:r w:rsidR="008E60F9">
        <w:rPr>
          <w:lang w:val="en-US"/>
        </w:rPr>
        <w:t>.</w:t>
      </w:r>
    </w:p>
    <w:p w:rsidR="006466EB" w:rsidRPr="0065050D" w:rsidRDefault="006466EB" w:rsidP="006466EB">
      <w:pPr>
        <w:pStyle w:val="ListNumber"/>
        <w:numPr>
          <w:ilvl w:val="0"/>
          <w:numId w:val="99"/>
        </w:numPr>
        <w:rPr>
          <w:lang w:val="en-US"/>
        </w:rPr>
      </w:pPr>
      <w:r>
        <w:rPr>
          <w:lang w:val="en-US"/>
        </w:rPr>
        <w:t>Advocate for the Victorian Government to build “Metro 2” train infrastructure for Melbourne</w:t>
      </w:r>
      <w:r w:rsidR="008E60F9">
        <w:rPr>
          <w:lang w:val="en-US"/>
        </w:rPr>
        <w:t>.</w:t>
      </w:r>
    </w:p>
    <w:p w:rsidR="006466EB" w:rsidRPr="00142E15" w:rsidRDefault="006466EB" w:rsidP="006466EB">
      <w:pPr>
        <w:pStyle w:val="ListNumber"/>
        <w:numPr>
          <w:ilvl w:val="0"/>
          <w:numId w:val="99"/>
        </w:numPr>
        <w:rPr>
          <w:lang w:val="en-US"/>
        </w:rPr>
      </w:pPr>
      <w:r>
        <w:rPr>
          <w:lang w:val="en-US"/>
        </w:rPr>
        <w:t>Advocate for lower carbon intensity of motor vehicles and support transition to electric vehicles</w:t>
      </w:r>
      <w:r w:rsidR="008E60F9">
        <w:rPr>
          <w:lang w:val="en-US"/>
        </w:rPr>
        <w:t>.</w:t>
      </w:r>
    </w:p>
    <w:p w:rsidR="00B621E2" w:rsidRDefault="00B621E2" w:rsidP="006466EB">
      <w:pPr>
        <w:pStyle w:val="BoldHeading"/>
        <w:spacing w:before="200"/>
      </w:pPr>
      <w:r>
        <w:t>Priority 4: Reducing the impact of waste</w:t>
      </w:r>
    </w:p>
    <w:p w:rsidR="00E61336" w:rsidRDefault="00E61336" w:rsidP="00E61336">
      <w:pPr>
        <w:pStyle w:val="ListNumber"/>
        <w:numPr>
          <w:ilvl w:val="0"/>
          <w:numId w:val="115"/>
        </w:numPr>
      </w:pPr>
      <w:r>
        <w:t>Continue to promote and facilitate waste avoidance, recycling, recovery and diversion of waste from landfill by implementing the City of Melbourne’s Waste and Resource Recovery Strategy.</w:t>
      </w:r>
    </w:p>
    <w:p w:rsidR="00B621E2" w:rsidRDefault="008A106D" w:rsidP="00A81C90">
      <w:pPr>
        <w:pStyle w:val="BoldHeading"/>
        <w:spacing w:before="200"/>
      </w:pPr>
      <w:r>
        <w:t>Additional actions to</w:t>
      </w:r>
      <w:r w:rsidR="00DC58F2">
        <w:t xml:space="preserve"> implement the strategy</w:t>
      </w:r>
    </w:p>
    <w:p w:rsidR="00DC58F2" w:rsidRPr="00946792" w:rsidRDefault="007E79BD" w:rsidP="00795E70">
      <w:pPr>
        <w:pStyle w:val="ListNumber"/>
        <w:numPr>
          <w:ilvl w:val="0"/>
          <w:numId w:val="121"/>
        </w:numPr>
      </w:pPr>
      <w:r w:rsidRPr="007E79BD">
        <w:t xml:space="preserve">Identify and address synergies, trade-offs and feedback loops between the implementation of the </w:t>
      </w:r>
      <w:r w:rsidR="00630DEA">
        <w:t>Climate Change Mitigation Strategy</w:t>
      </w:r>
      <w:r w:rsidRPr="007E79BD">
        <w:t xml:space="preserve"> 2020-2050, Climate Change Adaptation</w:t>
      </w:r>
      <w:r w:rsidR="00D2546C">
        <w:t>, Nature in the City Strategy</w:t>
      </w:r>
      <w:r w:rsidRPr="007E79BD">
        <w:t xml:space="preserve"> and other relevant strategies</w:t>
      </w:r>
      <w:r w:rsidR="004F6083">
        <w:t>.</w:t>
      </w:r>
    </w:p>
    <w:p w:rsidR="00D2546C" w:rsidRPr="00795E70" w:rsidRDefault="00D2546C" w:rsidP="00795E70">
      <w:pPr>
        <w:pStyle w:val="ListNumber"/>
      </w:pPr>
      <w:r w:rsidRPr="007E79BD">
        <w:t>T</w:t>
      </w:r>
      <w:r>
        <w:t xml:space="preserve">ake an </w:t>
      </w:r>
      <w:r w:rsidR="00F912A2">
        <w:t xml:space="preserve">innovative, </w:t>
      </w:r>
      <w:r>
        <w:t>evidence-based approach to prioritising actions</w:t>
      </w:r>
      <w:r w:rsidR="00946792">
        <w:t xml:space="preserve"> and open data on our emissions profile for urban researchers to develop new solutions</w:t>
      </w:r>
      <w:r w:rsidR="004F6083">
        <w:t>.</w:t>
      </w:r>
    </w:p>
    <w:p w:rsidR="00795E70" w:rsidRPr="007E79BD" w:rsidRDefault="00795E70" w:rsidP="00795E70">
      <w:pPr>
        <w:pStyle w:val="ListNumber"/>
      </w:pPr>
      <w:r>
        <w:t xml:space="preserve">Participate in city-networks to </w:t>
      </w:r>
      <w:r w:rsidR="008A106D">
        <w:t xml:space="preserve">share knowledge and </w:t>
      </w:r>
      <w:r>
        <w:t xml:space="preserve">continue to co-lead </w:t>
      </w:r>
      <w:r w:rsidRPr="009136BE">
        <w:t>the C40 Low Carbon Distri</w:t>
      </w:r>
      <w:r>
        <w:t>cts and Climate Positive forum</w:t>
      </w:r>
      <w:r w:rsidRPr="009136BE">
        <w:t xml:space="preserve"> </w:t>
      </w:r>
      <w:r w:rsidRPr="003F13B8">
        <w:rPr>
          <w:rFonts w:ascii="Arial" w:hAnsi="Arial" w:cs="Arial"/>
        </w:rPr>
        <w:t>to learn from innovative international projects.</w:t>
      </w:r>
    </w:p>
    <w:bookmarkEnd w:id="272"/>
    <w:p w:rsidR="00B166A2" w:rsidRDefault="00D2546C" w:rsidP="00795E70">
      <w:pPr>
        <w:pStyle w:val="ListNumber"/>
      </w:pPr>
      <w:r>
        <w:t>Report p</w:t>
      </w:r>
      <w:r w:rsidR="002346DD">
        <w:t>rogress in reducing em</w:t>
      </w:r>
      <w:r w:rsidR="002C609D">
        <w:t>issions</w:t>
      </w:r>
      <w:r w:rsidR="00B166A2">
        <w:t xml:space="preserve"> </w:t>
      </w:r>
      <w:r w:rsidR="00894379">
        <w:t xml:space="preserve">annually </w:t>
      </w:r>
      <w:r w:rsidR="00D420F5">
        <w:t>and update</w:t>
      </w:r>
      <w:r w:rsidR="00B166A2">
        <w:t xml:space="preserve"> </w:t>
      </w:r>
      <w:r w:rsidR="00894379">
        <w:t xml:space="preserve">the </w:t>
      </w:r>
      <w:r w:rsidR="006E489D">
        <w:t xml:space="preserve">rolling 5-year </w:t>
      </w:r>
      <w:r w:rsidR="00B166A2">
        <w:t>implementation plan</w:t>
      </w:r>
      <w:r w:rsidR="006E489D">
        <w:t xml:space="preserve"> </w:t>
      </w:r>
      <w:r w:rsidR="00894379">
        <w:t>based on progress</w:t>
      </w:r>
      <w:r w:rsidR="00D420F5">
        <w:t xml:space="preserve">. </w:t>
      </w:r>
    </w:p>
    <w:p w:rsidR="002346DD" w:rsidRDefault="00D420F5" w:rsidP="00795E70">
      <w:pPr>
        <w:pStyle w:val="ListNumber"/>
      </w:pPr>
      <w:r>
        <w:t>E</w:t>
      </w:r>
      <w:r w:rsidR="00D2546C">
        <w:t xml:space="preserve">valuate </w:t>
      </w:r>
      <w:r w:rsidR="002C609D">
        <w:t xml:space="preserve">the implementation of the strategy </w:t>
      </w:r>
      <w:r w:rsidR="00A54EF5">
        <w:t xml:space="preserve">by 2025 </w:t>
      </w:r>
      <w:r w:rsidR="006064C3">
        <w:t xml:space="preserve">to </w:t>
      </w:r>
      <w:r w:rsidR="00B166A2">
        <w:t>meet</w:t>
      </w:r>
      <w:r w:rsidR="004F6083">
        <w:t xml:space="preserve"> </w:t>
      </w:r>
      <w:r w:rsidR="002C609D">
        <w:t xml:space="preserve">the </w:t>
      </w:r>
      <w:r w:rsidR="004F6083">
        <w:t xml:space="preserve">Council Pledge </w:t>
      </w:r>
      <w:r w:rsidR="002C609D">
        <w:t xml:space="preserve">requirements under the </w:t>
      </w:r>
      <w:r w:rsidR="002C609D" w:rsidRPr="00C84E56">
        <w:rPr>
          <w:i/>
        </w:rPr>
        <w:t>Climate Change Act 2017</w:t>
      </w:r>
      <w:r w:rsidR="002C609D">
        <w:t xml:space="preserve">. </w:t>
      </w:r>
    </w:p>
    <w:p w:rsidR="00B621E2" w:rsidRDefault="00B621E2"/>
    <w:p w:rsidR="000708F1" w:rsidRDefault="00F84DD4" w:rsidP="00F84DD4">
      <w:pPr>
        <w:pStyle w:val="Heading1"/>
        <w:numPr>
          <w:ilvl w:val="0"/>
          <w:numId w:val="0"/>
        </w:numPr>
        <w:ind w:left="1191" w:hanging="1191"/>
      </w:pPr>
      <w:bookmarkStart w:id="273" w:name="_Toc523238988"/>
      <w:bookmarkStart w:id="274" w:name="_Toc520749154"/>
      <w:r>
        <w:t xml:space="preserve">Appendix </w:t>
      </w:r>
      <w:r w:rsidR="00F35F0D">
        <w:t>A</w:t>
      </w:r>
      <w:r w:rsidR="00B453B5">
        <w:t>:</w:t>
      </w:r>
      <w:r w:rsidR="006246E8">
        <w:t xml:space="preserve"> </w:t>
      </w:r>
      <w:r w:rsidR="000708F1">
        <w:t>Technical notes</w:t>
      </w:r>
      <w:bookmarkEnd w:id="273"/>
    </w:p>
    <w:p w:rsidR="006246E8" w:rsidRDefault="006246E8" w:rsidP="000708F1">
      <w:pPr>
        <w:pStyle w:val="Heading2"/>
        <w:numPr>
          <w:ilvl w:val="0"/>
          <w:numId w:val="0"/>
        </w:numPr>
        <w:ind w:left="851" w:hanging="851"/>
      </w:pPr>
      <w:bookmarkStart w:id="275" w:name="_Toc523238989"/>
      <w:r>
        <w:t>Melbourne’s greenhouse gas emissions profile</w:t>
      </w:r>
      <w:bookmarkEnd w:id="275"/>
    </w:p>
    <w:p w:rsidR="006246E8" w:rsidRPr="002D4FBC" w:rsidRDefault="006246E8" w:rsidP="00A81C90">
      <w:pPr>
        <w:spacing w:before="200" w:after="200"/>
        <w:rPr>
          <w:rFonts w:ascii="Arial" w:hAnsi="Arial" w:cs="Arial"/>
        </w:rPr>
      </w:pPr>
      <w:r>
        <w:rPr>
          <w:rFonts w:ascii="Arial" w:hAnsi="Arial" w:cs="Arial"/>
        </w:rPr>
        <w:t>The City of Melbourne uses t</w:t>
      </w:r>
      <w:r w:rsidRPr="009136BE">
        <w:rPr>
          <w:rFonts w:ascii="Arial" w:hAnsi="Arial" w:cs="Arial"/>
        </w:rPr>
        <w:t>he Greenhouse Protocol for Communities (GPC)</w:t>
      </w:r>
      <w:r>
        <w:rPr>
          <w:rFonts w:ascii="Arial" w:hAnsi="Arial" w:cs="Arial"/>
        </w:rPr>
        <w:t xml:space="preserve"> </w:t>
      </w:r>
      <w:r w:rsidRPr="009136BE">
        <w:rPr>
          <w:rFonts w:ascii="Arial" w:hAnsi="Arial" w:cs="Arial"/>
        </w:rPr>
        <w:t>to measure and report municipal greenhouse emissions. Emissions are reported annually through the Carbon Disclosure Project (CDP) platform, which is a requirement of Global Covenant of Mayors and C40 membership.</w:t>
      </w:r>
      <w:r>
        <w:rPr>
          <w:rFonts w:ascii="Arial" w:hAnsi="Arial" w:cs="Arial"/>
        </w:rPr>
        <w:t xml:space="preserve"> The sources of emissions that are reported using this method are illustrated in the diagram below.</w:t>
      </w:r>
    </w:p>
    <w:p w:rsidR="007E08EA" w:rsidRDefault="007E08EA" w:rsidP="007E08EA">
      <w:pPr>
        <w:pStyle w:val="Caption"/>
      </w:pPr>
      <w:bookmarkStart w:id="276" w:name="_Toc522633208"/>
      <w:r>
        <w:t xml:space="preserve">Figure </w:t>
      </w:r>
      <w:r w:rsidR="00146855">
        <w:rPr>
          <w:noProof/>
        </w:rPr>
        <w:fldChar w:fldCharType="begin"/>
      </w:r>
      <w:r w:rsidR="00146855">
        <w:rPr>
          <w:noProof/>
        </w:rPr>
        <w:instrText xml:space="preserve"> SEQ Figure \* ARABIC </w:instrText>
      </w:r>
      <w:r w:rsidR="00146855">
        <w:rPr>
          <w:noProof/>
        </w:rPr>
        <w:fldChar w:fldCharType="separate"/>
      </w:r>
      <w:r w:rsidR="0039200A">
        <w:rPr>
          <w:noProof/>
        </w:rPr>
        <w:t>13</w:t>
      </w:r>
      <w:r w:rsidR="00146855">
        <w:rPr>
          <w:noProof/>
        </w:rPr>
        <w:fldChar w:fldCharType="end"/>
      </w:r>
      <w:r>
        <w:t xml:space="preserve"> </w:t>
      </w:r>
      <w:r w:rsidRPr="00914D56">
        <w:t>Greenhouse protocol for community’s emissions boundary</w:t>
      </w:r>
      <w:bookmarkEnd w:id="276"/>
    </w:p>
    <w:p w:rsidR="006246E8" w:rsidRDefault="006246E8" w:rsidP="006246E8">
      <w:pPr>
        <w:pStyle w:val="BodyText"/>
      </w:pPr>
      <w:r>
        <w:rPr>
          <w:noProof/>
        </w:rPr>
        <w:drawing>
          <wp:inline distT="0" distB="0" distL="0" distR="0" wp14:anchorId="7255BD71" wp14:editId="5E5185F8">
            <wp:extent cx="4820948" cy="2348266"/>
            <wp:effectExtent l="0" t="0" r="5080" b="0"/>
            <wp:docPr id="2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823631" cy="2349573"/>
                    </a:xfrm>
                    <a:prstGeom prst="rect">
                      <a:avLst/>
                    </a:prstGeom>
                    <a:noFill/>
                    <a:ln>
                      <a:noFill/>
                    </a:ln>
                  </pic:spPr>
                </pic:pic>
              </a:graphicData>
            </a:graphic>
          </wp:inline>
        </w:drawing>
      </w:r>
    </w:p>
    <w:p w:rsidR="000708F1" w:rsidRPr="000708F1" w:rsidRDefault="006246E8" w:rsidP="00FD6FAD">
      <w:pPr>
        <w:spacing w:before="200" w:after="200"/>
      </w:pPr>
      <w:r>
        <w:t>A second method for measuring emissions is called the consumption-based approach which takes into account the upstream and downstream impacts of products and services that Melbourne consume</w:t>
      </w:r>
      <w:r w:rsidR="004D1EC1">
        <w:t>s</w:t>
      </w:r>
      <w:r>
        <w:t xml:space="preserve"> including imports and exports from the city. Under this method</w:t>
      </w:r>
      <w:r w:rsidR="004D1EC1">
        <w:t>,</w:t>
      </w:r>
      <w:r>
        <w:t xml:space="preserve"> the emissions produced by growing, producing and transporting food, or the manufacture of clothing or building products, and the mining and industrial processing of raw materials are also included.</w:t>
      </w:r>
    </w:p>
    <w:p w:rsidR="000708F1" w:rsidRDefault="000708F1" w:rsidP="000708F1">
      <w:pPr>
        <w:pStyle w:val="Heading2"/>
        <w:numPr>
          <w:ilvl w:val="0"/>
          <w:numId w:val="0"/>
        </w:numPr>
        <w:ind w:left="851" w:hanging="851"/>
        <w:rPr>
          <w:lang w:val="en-GB"/>
        </w:rPr>
      </w:pPr>
      <w:bookmarkStart w:id="277" w:name="_Toc523238990"/>
      <w:r>
        <w:rPr>
          <w:lang w:val="en-GB"/>
        </w:rPr>
        <w:t>Calculating costs and benefits</w:t>
      </w:r>
      <w:bookmarkEnd w:id="277"/>
      <w:r>
        <w:rPr>
          <w:lang w:val="en-GB"/>
        </w:rPr>
        <w:t xml:space="preserve"> </w:t>
      </w:r>
    </w:p>
    <w:p w:rsidR="000708F1" w:rsidRDefault="000708F1" w:rsidP="000708F1">
      <w:pPr>
        <w:pStyle w:val="BodyText"/>
        <w:rPr>
          <w:lang w:val="en-GB"/>
        </w:rPr>
      </w:pPr>
      <w:r>
        <w:rPr>
          <w:lang w:val="en-GB"/>
        </w:rPr>
        <w:t>In this analysis, economic benefits are represented by the avoided social and economic damage costs of greenhouse gas emissions. These benefits are quantified using the Social Cost of Carbon (SCC) in accordance with the Victorian Department of Treasury and Finance guidelines.</w:t>
      </w:r>
      <w:r w:rsidR="00427FF6">
        <w:rPr>
          <w:rStyle w:val="FootnoteReference"/>
          <w:lang w:val="en-GB"/>
        </w:rPr>
        <w:footnoteReference w:customMarkFollows="1" w:id="21"/>
        <w:t>14</w:t>
      </w:r>
      <w:r>
        <w:rPr>
          <w:rStyle w:val="FootnoteReference"/>
          <w:lang w:val="en-GB"/>
        </w:rPr>
        <w:t xml:space="preserve"> </w:t>
      </w:r>
    </w:p>
    <w:p w:rsidR="000708F1" w:rsidRDefault="000708F1" w:rsidP="000708F1">
      <w:pPr>
        <w:pStyle w:val="BodyText"/>
        <w:rPr>
          <w:lang w:val="en-GB"/>
        </w:rPr>
      </w:pPr>
      <w:r>
        <w:rPr>
          <w:lang w:val="en-GB"/>
        </w:rPr>
        <w:t xml:space="preserve">The SCC was developed by the US Environment Protection Authority (EPA) to assess the cost of actions with marginal impacts on cumulative global emissions. It estimates the dollar figure of damages over the next 100 years (or more) from one extra tonne of greenhouse gas emissions. </w:t>
      </w:r>
    </w:p>
    <w:p w:rsidR="000708F1" w:rsidRDefault="000708F1" w:rsidP="000708F1">
      <w:pPr>
        <w:pStyle w:val="BodyText"/>
        <w:rPr>
          <w:lang w:val="en-GB"/>
        </w:rPr>
      </w:pPr>
      <w:r>
        <w:rPr>
          <w:lang w:val="en-GB"/>
        </w:rPr>
        <w:t>This marginal cost is calculated using three integrated assessment models translating emissions into changes in atmospheric greenhouse concentrations, atmospheric concentrations into changes in temperature and changes in temperature into economic damages. A range of plausible socio-economic and emissions trajectories are used.</w:t>
      </w:r>
    </w:p>
    <w:p w:rsidR="000708F1" w:rsidRDefault="000708F1" w:rsidP="000708F1">
      <w:pPr>
        <w:pStyle w:val="BodyText"/>
        <w:rPr>
          <w:vertAlign w:val="superscript"/>
          <w:lang w:val="en-GB"/>
        </w:rPr>
      </w:pPr>
      <w:r>
        <w:rPr>
          <w:lang w:val="en-GB"/>
        </w:rPr>
        <w:t>The SCC “is a comprehensive estimate of climate change damages and includes, among other things, changes in net agricultural productivity, human health, property damages from increased flood risk and changes in energy system costs, such as reduced costs for heating and increased costs for air conditioning.</w:t>
      </w:r>
      <w:r w:rsidR="00427FF6">
        <w:rPr>
          <w:rStyle w:val="FootnoteReference"/>
          <w:lang w:val="en-GB"/>
        </w:rPr>
        <w:footnoteReference w:customMarkFollows="1" w:id="22"/>
        <w:t>15</w:t>
      </w:r>
      <w:r>
        <w:rPr>
          <w:vertAlign w:val="superscript"/>
          <w:lang w:val="en-GB"/>
        </w:rPr>
        <w:t xml:space="preserve"> </w:t>
      </w:r>
    </w:p>
    <w:p w:rsidR="00A77409" w:rsidRPr="007003FB" w:rsidRDefault="000708F1" w:rsidP="007003FB">
      <w:pPr>
        <w:pStyle w:val="BodyText"/>
        <w:rPr>
          <w:lang w:val="en-GB"/>
        </w:rPr>
      </w:pPr>
      <w:r>
        <w:rPr>
          <w:lang w:val="en-GB"/>
        </w:rPr>
        <w:t xml:space="preserve">The EPA’s model looks at the future impacts (out to 2300) of emitting </w:t>
      </w:r>
      <w:r w:rsidR="00AC5A39">
        <w:rPr>
          <w:lang w:val="en-GB"/>
        </w:rPr>
        <w:t>one</w:t>
      </w:r>
      <w:r>
        <w:rPr>
          <w:lang w:val="en-GB"/>
        </w:rPr>
        <w:t xml:space="preserve"> tCO</w:t>
      </w:r>
      <w:r>
        <w:rPr>
          <w:vertAlign w:val="subscript"/>
          <w:lang w:val="en-GB"/>
        </w:rPr>
        <w:t>2</w:t>
      </w:r>
      <w:r>
        <w:rPr>
          <w:lang w:val="en-GB"/>
        </w:rPr>
        <w:t xml:space="preserve">-e today. It quantifies the damage costs caused by global temperature increases due to an additional tonne and discounts this back to today’s value. </w:t>
      </w:r>
      <w:bookmarkEnd w:id="274"/>
    </w:p>
    <w:p w:rsidR="00F25E60" w:rsidRPr="00851AAA" w:rsidRDefault="00F25E60" w:rsidP="00F35F0D">
      <w:pPr>
        <w:pStyle w:val="Heading1"/>
        <w:numPr>
          <w:ilvl w:val="0"/>
          <w:numId w:val="0"/>
        </w:numPr>
        <w:ind w:left="1191" w:hanging="1191"/>
      </w:pPr>
      <w:bookmarkStart w:id="278" w:name="PasteHere"/>
      <w:bookmarkStart w:id="279" w:name="EndPasteHere"/>
      <w:bookmarkStart w:id="280" w:name="xRefStart"/>
      <w:bookmarkStart w:id="281" w:name="xrefEnd"/>
      <w:bookmarkStart w:id="282" w:name="SectionBreakEndHere"/>
      <w:bookmarkStart w:id="283" w:name="_Toc392762218"/>
      <w:bookmarkStart w:id="284" w:name="_Toc412402265"/>
      <w:bookmarkStart w:id="285" w:name="_Toc520749158"/>
      <w:bookmarkStart w:id="286" w:name="_Toc523238991"/>
      <w:bookmarkEnd w:id="18"/>
      <w:bookmarkEnd w:id="278"/>
      <w:bookmarkEnd w:id="279"/>
      <w:bookmarkEnd w:id="280"/>
      <w:bookmarkEnd w:id="281"/>
      <w:bookmarkEnd w:id="282"/>
      <w:r w:rsidRPr="00851AAA">
        <w:t>References</w:t>
      </w:r>
      <w:bookmarkEnd w:id="283"/>
      <w:bookmarkEnd w:id="284"/>
      <w:bookmarkEnd w:id="285"/>
      <w:bookmarkEnd w:id="286"/>
    </w:p>
    <w:p w:rsidR="00C664CE" w:rsidRDefault="00C664CE" w:rsidP="00C664CE">
      <w:pPr>
        <w:pStyle w:val="FootnoteText"/>
      </w:pPr>
      <w:proofErr w:type="gramStart"/>
      <w:r>
        <w:rPr>
          <w:sz w:val="20"/>
        </w:rPr>
        <w:t>A</w:t>
      </w:r>
      <w:r w:rsidR="00B87810">
        <w:rPr>
          <w:sz w:val="20"/>
        </w:rPr>
        <w:t xml:space="preserve">ustralian </w:t>
      </w:r>
      <w:r>
        <w:rPr>
          <w:sz w:val="20"/>
        </w:rPr>
        <w:t>S</w:t>
      </w:r>
      <w:r w:rsidR="00B87810">
        <w:rPr>
          <w:sz w:val="20"/>
        </w:rPr>
        <w:t xml:space="preserve">ustainable </w:t>
      </w:r>
      <w:r>
        <w:rPr>
          <w:sz w:val="20"/>
        </w:rPr>
        <w:t>B</w:t>
      </w:r>
      <w:r w:rsidR="00B87810">
        <w:rPr>
          <w:sz w:val="20"/>
        </w:rPr>
        <w:t xml:space="preserve">uilt </w:t>
      </w:r>
      <w:r>
        <w:rPr>
          <w:sz w:val="20"/>
        </w:rPr>
        <w:t>E</w:t>
      </w:r>
      <w:r w:rsidR="00B87810">
        <w:rPr>
          <w:sz w:val="20"/>
        </w:rPr>
        <w:t xml:space="preserve">nvironment </w:t>
      </w:r>
      <w:r>
        <w:rPr>
          <w:sz w:val="20"/>
        </w:rPr>
        <w:t>C</w:t>
      </w:r>
      <w:r w:rsidR="00B87810">
        <w:rPr>
          <w:sz w:val="20"/>
        </w:rPr>
        <w:t>ouncil</w:t>
      </w:r>
      <w:r>
        <w:rPr>
          <w:sz w:val="20"/>
        </w:rPr>
        <w:t xml:space="preserve"> and Climate</w:t>
      </w:r>
      <w:r w:rsidR="00B87810">
        <w:rPr>
          <w:sz w:val="20"/>
        </w:rPr>
        <w:t xml:space="preserve"> </w:t>
      </w:r>
      <w:r>
        <w:rPr>
          <w:sz w:val="20"/>
        </w:rPr>
        <w:t>Works Australia.</w:t>
      </w:r>
      <w:proofErr w:type="gramEnd"/>
      <w:r>
        <w:rPr>
          <w:sz w:val="20"/>
        </w:rPr>
        <w:t xml:space="preserve"> (2018). </w:t>
      </w:r>
      <w:r>
        <w:rPr>
          <w:i/>
          <w:iCs/>
          <w:sz w:val="20"/>
          <w:lang w:val="en-US"/>
        </w:rPr>
        <w:t xml:space="preserve">Built to Perform: An Industry Led Pathway to a Zero Carbon Ready Building Code. </w:t>
      </w:r>
      <w:r>
        <w:rPr>
          <w:iCs/>
          <w:sz w:val="20"/>
          <w:lang w:val="en-US"/>
        </w:rPr>
        <w:t>Retrieved from https://www.asbec.asn.au/wordpress/wp-content/uploads/2018/07/180703-ASBEC-CWA-Built-to-Perform-Zero-Carbon-Ready-Building-Code-web.pdf</w:t>
      </w:r>
    </w:p>
    <w:p w:rsidR="00C0297C" w:rsidRDefault="00C0297C" w:rsidP="00C664CE">
      <w:pPr>
        <w:pStyle w:val="BodyText"/>
      </w:pPr>
      <w:r w:rsidRPr="00C0297C">
        <w:rPr>
          <w:rFonts w:eastAsia="Arial"/>
          <w:i/>
        </w:rPr>
        <w:t>Building Act 1993</w:t>
      </w:r>
    </w:p>
    <w:p w:rsidR="003B4DAA" w:rsidRDefault="003B4DAA" w:rsidP="00C664CE">
      <w:pPr>
        <w:pStyle w:val="BodyText"/>
      </w:pPr>
      <w:r>
        <w:t xml:space="preserve">City of Melbourne Council </w:t>
      </w:r>
      <w:r>
        <w:rPr>
          <w:color w:val="auto"/>
        </w:rPr>
        <w:t xml:space="preserve">resolution October </w:t>
      </w:r>
      <w:r w:rsidRPr="00B87810">
        <w:rPr>
          <w:color w:val="auto"/>
        </w:rPr>
        <w:t>2015</w:t>
      </w:r>
      <w:r w:rsidRPr="00B87810">
        <w:rPr>
          <w:rFonts w:ascii="Arial" w:hAnsi="Arial" w:cs="Arial"/>
          <w:color w:val="auto"/>
        </w:rPr>
        <w:t xml:space="preserve"> </w:t>
      </w:r>
      <w:proofErr w:type="gramStart"/>
      <w:r w:rsidR="00B87810" w:rsidRPr="00B87810">
        <w:rPr>
          <w:rFonts w:ascii="Arial" w:hAnsi="Arial" w:cs="Arial"/>
          <w:color w:val="auto"/>
        </w:rPr>
        <w:t>Retrieved</w:t>
      </w:r>
      <w:proofErr w:type="gramEnd"/>
      <w:r w:rsidR="00B87810" w:rsidRPr="00B87810">
        <w:rPr>
          <w:rFonts w:ascii="Arial" w:hAnsi="Arial" w:cs="Arial"/>
          <w:color w:val="auto"/>
        </w:rPr>
        <w:t xml:space="preserve"> from </w:t>
      </w:r>
      <w:r w:rsidRPr="00B87810">
        <w:rPr>
          <w:rFonts w:ascii="Arial" w:hAnsi="Arial" w:cs="Arial"/>
          <w:color w:val="auto"/>
        </w:rPr>
        <w:t>https</w:t>
      </w:r>
      <w:r w:rsidRPr="003B4DAA">
        <w:rPr>
          <w:rFonts w:ascii="Arial" w:hAnsi="Arial" w:cs="Arial"/>
          <w:color w:val="auto"/>
        </w:rPr>
        <w:t>://www.melbourne.vic.gov.au/about-coun</w:t>
      </w:r>
      <w:r>
        <w:rPr>
          <w:rFonts w:ascii="Arial" w:hAnsi="Arial" w:cs="Arial"/>
          <w:color w:val="auto"/>
        </w:rPr>
        <w:t>cil/committees-meetings/meeting-</w:t>
      </w:r>
      <w:r w:rsidRPr="003B4DAA">
        <w:rPr>
          <w:rFonts w:ascii="Arial" w:hAnsi="Arial" w:cs="Arial"/>
          <w:color w:val="auto"/>
        </w:rPr>
        <w:t>archive/meetingagendaitemattachments/706/12791/oct15%20ccl%20agenda%20item%207.4.pdf</w:t>
      </w:r>
    </w:p>
    <w:p w:rsidR="00C0297C" w:rsidRPr="00C0297C" w:rsidRDefault="00C0297C" w:rsidP="00C664CE">
      <w:pPr>
        <w:pStyle w:val="BodyText"/>
        <w:rPr>
          <w:i/>
        </w:rPr>
      </w:pPr>
      <w:r w:rsidRPr="00C0297C">
        <w:rPr>
          <w:i/>
        </w:rPr>
        <w:t>Climate Change Act 2017</w:t>
      </w:r>
    </w:p>
    <w:p w:rsidR="00C664CE" w:rsidRDefault="00C664CE" w:rsidP="00C664CE">
      <w:pPr>
        <w:pStyle w:val="BodyText"/>
      </w:pPr>
      <w:proofErr w:type="gramStart"/>
      <w:r>
        <w:t>Commonwealth of Australia.</w:t>
      </w:r>
      <w:proofErr w:type="gramEnd"/>
      <w:r>
        <w:t xml:space="preserve"> Department of the Environment and Energy</w:t>
      </w:r>
      <w:proofErr w:type="gramStart"/>
      <w:r>
        <w:t>.(</w:t>
      </w:r>
      <w:proofErr w:type="gramEnd"/>
      <w:r>
        <w:t xml:space="preserve">2018). </w:t>
      </w:r>
      <w:proofErr w:type="gramStart"/>
      <w:r>
        <w:rPr>
          <w:i/>
        </w:rPr>
        <w:t>Carbon Neutral Network.</w:t>
      </w:r>
      <w:proofErr w:type="gramEnd"/>
      <w:r>
        <w:t xml:space="preserve"> Retrieved from http://www.environment.gov.au/climate-change/government/carbon-neutral/certified-businesses</w:t>
      </w:r>
    </w:p>
    <w:p w:rsidR="00C664CE" w:rsidRDefault="00C664CE" w:rsidP="00C664CE">
      <w:pPr>
        <w:pStyle w:val="BodyText"/>
      </w:pPr>
      <w:r>
        <w:t xml:space="preserve">C40 Cities Climate Leadership Group. </w:t>
      </w:r>
      <w:proofErr w:type="gramStart"/>
      <w:r>
        <w:t xml:space="preserve">(2018). </w:t>
      </w:r>
      <w:r>
        <w:rPr>
          <w:i/>
        </w:rPr>
        <w:t>About C40.</w:t>
      </w:r>
      <w:proofErr w:type="gramEnd"/>
      <w:r>
        <w:t xml:space="preserve"> Retrieved from https://www.c40.org/about</w:t>
      </w:r>
    </w:p>
    <w:p w:rsidR="00725CEA" w:rsidRDefault="00725CEA" w:rsidP="00C664CE">
      <w:pPr>
        <w:pStyle w:val="BodyText"/>
      </w:pPr>
      <w:proofErr w:type="gramStart"/>
      <w:r w:rsidRPr="00A81C90">
        <w:rPr>
          <w:i/>
        </w:rPr>
        <w:t xml:space="preserve">Local </w:t>
      </w:r>
      <w:r w:rsidR="00C0297C">
        <w:rPr>
          <w:i/>
        </w:rPr>
        <w:t>Government Bill</w:t>
      </w:r>
      <w:r w:rsidRPr="00A81C90">
        <w:rPr>
          <w:i/>
        </w:rPr>
        <w:t xml:space="preserve"> 2018.</w:t>
      </w:r>
      <w:proofErr w:type="gramEnd"/>
      <w:r w:rsidRPr="00A81C90">
        <w:rPr>
          <w:i/>
        </w:rPr>
        <w:t xml:space="preserve"> </w:t>
      </w:r>
    </w:p>
    <w:p w:rsidR="00C664CE" w:rsidRDefault="00C664CE" w:rsidP="00C664CE">
      <w:pPr>
        <w:pStyle w:val="BodyText"/>
      </w:pPr>
      <w:proofErr w:type="gramStart"/>
      <w:r>
        <w:t>Saddler, H. (2018).</w:t>
      </w:r>
      <w:proofErr w:type="gramEnd"/>
      <w:r>
        <w:t xml:space="preserve"> </w:t>
      </w:r>
      <w:r>
        <w:rPr>
          <w:i/>
        </w:rPr>
        <w:t xml:space="preserve">National Energy Emissions Audit: Electricity Update. </w:t>
      </w:r>
      <w:r>
        <w:t>Retrieved from http://www.tai.org.au/content/audit-july-electricity-update</w:t>
      </w:r>
    </w:p>
    <w:p w:rsidR="00C664CE" w:rsidRDefault="00C664CE" w:rsidP="00C664CE">
      <w:pPr>
        <w:pStyle w:val="BodyText"/>
      </w:pPr>
      <w:proofErr w:type="spellStart"/>
      <w:r>
        <w:t>Stadler</w:t>
      </w:r>
      <w:proofErr w:type="spellEnd"/>
      <w:r>
        <w:t xml:space="preserve">, A. (2018) </w:t>
      </w:r>
      <w:r>
        <w:rPr>
          <w:i/>
        </w:rPr>
        <w:t>Corporate PPAs already deliver 34% of generation capacity required under the Renewable Energy Target.</w:t>
      </w:r>
      <w:r>
        <w:t xml:space="preserve"> Retrieved from https://www.energetics.com.au/insights/thought-leadership/corporate-ppas-deliver-34-of-generation-capacity-required-under-the-ret/</w:t>
      </w:r>
    </w:p>
    <w:p w:rsidR="00C664CE" w:rsidRDefault="00C664CE" w:rsidP="00C664CE">
      <w:pPr>
        <w:pStyle w:val="BodyText"/>
      </w:pPr>
      <w:proofErr w:type="gramStart"/>
      <w:r>
        <w:t>State of Victoria.</w:t>
      </w:r>
      <w:proofErr w:type="gramEnd"/>
      <w:r>
        <w:t xml:space="preserve"> </w:t>
      </w:r>
      <w:proofErr w:type="gramStart"/>
      <w:r>
        <w:t xml:space="preserve">Department of Treasury and Finance (2013), </w:t>
      </w:r>
      <w:r>
        <w:rPr>
          <w:i/>
        </w:rPr>
        <w:t>Economic Evaluation for Business Cases Technical guidelines</w:t>
      </w:r>
      <w:r>
        <w:t>.</w:t>
      </w:r>
      <w:proofErr w:type="gramEnd"/>
      <w:r>
        <w:t xml:space="preserve"> Retrieved from https://www.dtf.vic.gov.au/investment-lifecycle-and-high-value-high-risk-guidelines/technical-guides</w:t>
      </w:r>
    </w:p>
    <w:p w:rsidR="00C664CE" w:rsidRDefault="00C664CE" w:rsidP="00C664CE">
      <w:pPr>
        <w:pStyle w:val="BodyText"/>
        <w:rPr>
          <w:b/>
          <w:highlight w:val="cyan"/>
        </w:rPr>
      </w:pPr>
      <w:proofErr w:type="gramStart"/>
      <w:r>
        <w:t>State of Victoria</w:t>
      </w:r>
      <w:r>
        <w:rPr>
          <w:color w:val="auto"/>
        </w:rPr>
        <w:t>.</w:t>
      </w:r>
      <w:proofErr w:type="gramEnd"/>
      <w:r>
        <w:rPr>
          <w:color w:val="auto"/>
        </w:rPr>
        <w:t xml:space="preserve"> </w:t>
      </w:r>
      <w:proofErr w:type="gramStart"/>
      <w:r>
        <w:rPr>
          <w:color w:val="auto"/>
        </w:rPr>
        <w:t>Sustainability Victoria.</w:t>
      </w:r>
      <w:proofErr w:type="gramEnd"/>
      <w:r>
        <w:rPr>
          <w:color w:val="auto"/>
        </w:rPr>
        <w:t xml:space="preserve"> </w:t>
      </w:r>
      <w:proofErr w:type="gramStart"/>
      <w:r>
        <w:rPr>
          <w:color w:val="auto"/>
        </w:rPr>
        <w:t>(2016</w:t>
      </w:r>
      <w:r w:rsidRPr="00A81C90">
        <w:rPr>
          <w:color w:val="auto"/>
        </w:rPr>
        <w:t xml:space="preserve">). </w:t>
      </w:r>
      <w:r w:rsidRPr="00A81C90">
        <w:rPr>
          <w:i/>
          <w:szCs w:val="16"/>
        </w:rPr>
        <w:t>Victorian’s Perceptions of Climate Change.</w:t>
      </w:r>
      <w:proofErr w:type="gramEnd"/>
      <w:r w:rsidRPr="00A81C90">
        <w:rPr>
          <w:i/>
          <w:szCs w:val="16"/>
        </w:rPr>
        <w:t xml:space="preserve"> </w:t>
      </w:r>
      <w:r w:rsidRPr="00A81C90">
        <w:rPr>
          <w:szCs w:val="16"/>
        </w:rPr>
        <w:t>Retrieved from http://www.sustainability.vic.gov.au/About-Us/Research/Victorians-perceptions-of-climate-change</w:t>
      </w:r>
    </w:p>
    <w:p w:rsidR="00C664CE" w:rsidRDefault="00C664CE" w:rsidP="00C664CE">
      <w:pPr>
        <w:pStyle w:val="BodyText"/>
      </w:pPr>
      <w:r>
        <w:t xml:space="preserve">United States Environmental Protection Agency. </w:t>
      </w:r>
      <w:proofErr w:type="gramStart"/>
      <w:r>
        <w:t xml:space="preserve">(2016). </w:t>
      </w:r>
      <w:r>
        <w:rPr>
          <w:i/>
        </w:rPr>
        <w:t>Social Cost of Carbon.</w:t>
      </w:r>
      <w:proofErr w:type="gramEnd"/>
      <w:r>
        <w:rPr>
          <w:i/>
        </w:rPr>
        <w:t xml:space="preserve"> </w:t>
      </w:r>
      <w:r>
        <w:t>Retrieved from https://www.epa.gov/sites/production/files/2016-12/documents/social_cost_of_carbon_fact_sheet.pdf</w:t>
      </w:r>
    </w:p>
    <w:p w:rsidR="001D0039" w:rsidRDefault="001D0039" w:rsidP="005B0459">
      <w:pPr>
        <w:pStyle w:val="BodyText"/>
        <w:rPr>
          <w:b/>
          <w:highlight w:val="cyan"/>
        </w:rPr>
      </w:pPr>
    </w:p>
    <w:sectPr w:rsidR="001D0039" w:rsidSect="001229A6">
      <w:pgSz w:w="11907" w:h="16839" w:code="9"/>
      <w:pgMar w:top="1440" w:right="992" w:bottom="1440" w:left="709" w:header="454" w:footer="624" w:gutter="0"/>
      <w:cols w:space="708"/>
      <w:docGrid w:linePitch="360"/>
    </w:sectPr>
  </w:body>
</w:document>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7858FB0D" w15:done="0"/>
  <w15:commentEx w15:paraId="000AFBFB" w15:done="0"/>
  <w15:commentEx w15:paraId="4C7D1B44" w15:done="0"/>
  <w15:commentEx w15:paraId="768BD3EB" w15:done="0"/>
  <w15:commentEx w15:paraId="67B8E53D" w15:done="0"/>
  <w15:commentEx w15:paraId="34D249D8" w15:done="0"/>
  <w15:commentEx w15:paraId="691E0F8E" w15:done="0"/>
  <w15:commentEx w15:paraId="50DC7D75" w15:done="0"/>
  <w15:commentEx w15:paraId="6C163E38" w15:done="0"/>
  <w15:commentEx w15:paraId="7A0C660B" w15:done="0"/>
  <w15:commentEx w15:paraId="768F8749" w15:done="0"/>
  <w15:commentEx w15:paraId="74606A03" w15:done="0"/>
  <w15:commentEx w15:paraId="460099FD" w15:done="0"/>
  <w15:commentEx w15:paraId="7CEF0459" w15:done="0"/>
  <w15:commentEx w15:paraId="028DD289" w15:done="0"/>
  <w15:commentEx w15:paraId="17417C33" w15:done="0"/>
  <w15:commentEx w15:paraId="0A5DC0F4" w15:done="0"/>
  <w15:commentEx w15:paraId="190C539C" w15:done="0"/>
  <w15:commentEx w15:paraId="1CAEF60A" w15:done="0"/>
  <w15:commentEx w15:paraId="19A8CDCE" w15:done="0"/>
  <w15:commentEx w15:paraId="04D7E0F1" w15:done="0"/>
  <w15:commentEx w15:paraId="44E48E37" w15:done="0"/>
  <w15:commentEx w15:paraId="589F3041" w15:done="0"/>
  <w15:commentEx w15:paraId="2E17379A" w15:done="0"/>
  <w15:commentEx w15:paraId="170A9EB9" w15:done="0"/>
  <w15:commentEx w15:paraId="26B3ADD6" w15:done="0"/>
  <w15:commentEx w15:paraId="1BDFF468" w15:done="0"/>
  <w15:commentEx w15:paraId="6F2A46CC" w15:done="0"/>
  <w15:commentEx w15:paraId="3214F7AD" w15:done="0"/>
  <w15:commentEx w15:paraId="71B81981" w15:done="0"/>
  <w15:commentEx w15:paraId="2E0D25E4" w15:done="0"/>
  <w15:commentEx w15:paraId="0BDF2D28" w15:done="0"/>
  <w15:commentEx w15:paraId="259FCBA9" w15:done="0"/>
  <w15:commentEx w15:paraId="04252A81" w15:done="0"/>
  <w15:commentEx w15:paraId="2F649EA1"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000AFBFB" w16cid:durableId="1F0C025E"/>
  <w16cid:commentId w16cid:paraId="4C7D1B44" w16cid:durableId="1F128F4F"/>
  <w16cid:commentId w16cid:paraId="768BD3EB" w16cid:durableId="1F128F50"/>
  <w16cid:commentId w16cid:paraId="67B8E53D" w16cid:durableId="1F12DAE2"/>
  <w16cid:commentId w16cid:paraId="34D249D8" w16cid:durableId="1F12DB2C"/>
  <w16cid:commentId w16cid:paraId="50DC7D75" w16cid:durableId="1F128F51"/>
  <w16cid:commentId w16cid:paraId="6C163E38" w16cid:durableId="1F12A039"/>
  <w16cid:commentId w16cid:paraId="7A0C660B" w16cid:durableId="1F128F54"/>
  <w16cid:commentId w16cid:paraId="768F8749" w16cid:durableId="1F128F55"/>
  <w16cid:commentId w16cid:paraId="74606A03" w16cid:durableId="1F1333C5"/>
  <w16cid:commentId w16cid:paraId="460099FD" w16cid:durableId="1F13360E"/>
  <w16cid:commentId w16cid:paraId="7CEF0459" w16cid:durableId="1F1336BD"/>
  <w16cid:commentId w16cid:paraId="028DD289" w16cid:durableId="1F143BAA"/>
  <w16cid:commentId w16cid:paraId="17417C33" w16cid:durableId="1F128F56"/>
  <w16cid:commentId w16cid:paraId="0A5DC0F4" w16cid:durableId="1F12AB26"/>
  <w16cid:commentId w16cid:paraId="190C539C" w16cid:durableId="1F14327D"/>
  <w16cid:commentId w16cid:paraId="1CAEF60A" w16cid:durableId="1F12B869"/>
  <w16cid:commentId w16cid:paraId="04D7E0F1" w16cid:durableId="1F128F58"/>
  <w16cid:commentId w16cid:paraId="44E48E37" w16cid:durableId="1F128F59"/>
  <w16cid:commentId w16cid:paraId="589F3041" w16cid:durableId="1F141C79"/>
  <w16cid:commentId w16cid:paraId="2E17379A" w16cid:durableId="1F142774"/>
  <w16cid:commentId w16cid:paraId="170A9EB9" w16cid:durableId="1F133011"/>
  <w16cid:commentId w16cid:paraId="26B3ADD6" w16cid:durableId="1F128F5A"/>
  <w16cid:commentId w16cid:paraId="1BDFF468" w16cid:durableId="1F128F5B"/>
  <w16cid:commentId w16cid:paraId="6F2A46CC" w16cid:durableId="1F128F5C"/>
  <w16cid:commentId w16cid:paraId="3214F7AD" w16cid:durableId="1F12C639"/>
  <w16cid:commentId w16cid:paraId="71B81981" w16cid:durableId="1F128F5D"/>
  <w16cid:commentId w16cid:paraId="2E0D25E4" w16cid:durableId="1F128F5E"/>
  <w16cid:commentId w16cid:paraId="0BDF2D28" w16cid:durableId="1F128F5F"/>
  <w16cid:commentId w16cid:paraId="259FCBA9" w16cid:durableId="1F128F60"/>
  <w16cid:commentId w16cid:paraId="2F649EA1" w16cid:durableId="1F13301C"/>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30D4F" w:rsidRPr="00C33C38" w:rsidRDefault="00130D4F" w:rsidP="00256624">
      <w:pPr>
        <w:spacing w:line="240" w:lineRule="auto"/>
        <w:rPr>
          <w:sz w:val="19"/>
          <w:szCs w:val="19"/>
        </w:rPr>
      </w:pPr>
      <w:r w:rsidRPr="00C33C38">
        <w:rPr>
          <w:sz w:val="19"/>
          <w:szCs w:val="19"/>
        </w:rPr>
        <w:separator/>
      </w:r>
    </w:p>
    <w:p w:rsidR="00130D4F" w:rsidRDefault="00130D4F"/>
  </w:endnote>
  <w:endnote w:type="continuationSeparator" w:id="0">
    <w:p w:rsidR="00130D4F" w:rsidRPr="00C33C38" w:rsidRDefault="00130D4F" w:rsidP="00256624">
      <w:pPr>
        <w:spacing w:line="240" w:lineRule="auto"/>
        <w:rPr>
          <w:sz w:val="19"/>
          <w:szCs w:val="19"/>
        </w:rPr>
      </w:pPr>
      <w:r w:rsidRPr="00C33C38">
        <w:rPr>
          <w:sz w:val="19"/>
          <w:szCs w:val="19"/>
        </w:rPr>
        <w:continuationSeparator/>
      </w:r>
    </w:p>
    <w:p w:rsidR="00130D4F" w:rsidRDefault="00130D4F"/>
  </w:endnote>
  <w:endnote w:type="continuationNotice" w:id="1">
    <w:p w:rsidR="00130D4F" w:rsidRDefault="00130D4F">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ＭＳ Ｐゴシック">
    <w:charset w:val="4E"/>
    <w:family w:val="auto"/>
    <w:pitch w:val="variable"/>
    <w:sig w:usb0="E00002FF" w:usb1="6AC7FDFB" w:usb2="00000012" w:usb3="00000000" w:csb0="0002009F" w:csb1="00000000"/>
  </w:font>
  <w:font w:name="Georgia">
    <w:panose1 w:val="02040502050405020303"/>
    <w:charset w:val="00"/>
    <w:family w:val="roman"/>
    <w:pitch w:val="variable"/>
    <w:sig w:usb0="00000287" w:usb1="00000000" w:usb2="00000000" w:usb3="00000000" w:csb0="0000009F" w:csb1="00000000"/>
  </w:font>
  <w:font w:name="Agency FB">
    <w:altName w:val="Cambria"/>
    <w:panose1 w:val="020B0503020202020204"/>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EYInterstate">
    <w:altName w:val="Calibri"/>
    <w:charset w:val="00"/>
    <w:family w:val="auto"/>
    <w:pitch w:val="variable"/>
    <w:sig w:usb0="800002AF" w:usb1="5000204A" w:usb2="00000000" w:usb3="00000000" w:csb0="0000009F" w:csb1="00000000"/>
  </w:font>
  <w:font w:name="EYInterstate Light">
    <w:altName w:val="Calibri"/>
    <w:charset w:val="00"/>
    <w:family w:val="auto"/>
    <w:pitch w:val="variable"/>
    <w:sig w:usb0="A00002AF" w:usb1="5000206A" w:usb2="00000000" w:usb3="00000000" w:csb0="0000009F" w:csb1="00000000"/>
  </w:font>
  <w:font w:name="Adobe Heiti Std R">
    <w:altName w:val="Arial Unicode MS"/>
    <w:panose1 w:val="00000000000000000000"/>
    <w:charset w:val="80"/>
    <w:family w:val="swiss"/>
    <w:notTrueType/>
    <w:pitch w:val="variable"/>
    <w:sig w:usb0="00000207" w:usb1="0A0F1810" w:usb2="00000016" w:usb3="00000000" w:csb0="00060007"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pPr w:leftFromText="181" w:rightFromText="181" w:vertAnchor="text" w:horzAnchor="margin" w:tblpY="86"/>
      <w:tblOverlap w:val="never"/>
      <w:tblW w:w="0" w:type="auto"/>
      <w:tblLook w:val="04A0" w:firstRow="1" w:lastRow="0" w:firstColumn="1" w:lastColumn="0" w:noHBand="0" w:noVBand="1"/>
    </w:tblPr>
    <w:tblGrid>
      <w:gridCol w:w="7196"/>
    </w:tblGrid>
    <w:tr w:rsidR="00B75FD4" w:rsidTr="0096502D">
      <w:tc>
        <w:tcPr>
          <w:tcW w:w="7196" w:type="dxa"/>
          <w:vAlign w:val="bottom"/>
        </w:tcPr>
        <w:p w:rsidR="00B75FD4" w:rsidRDefault="00B75FD4" w:rsidP="00175051">
          <w:pPr>
            <w:pStyle w:val="Footer"/>
          </w:pPr>
          <w:r w:rsidRPr="00A11123">
            <w:t>©JBS&amp;G Australia Pty Ltd | Project/Document No. – Rev No.</w:t>
          </w:r>
        </w:p>
      </w:tc>
    </w:tr>
  </w:tbl>
  <w:p w:rsidR="00B75FD4" w:rsidRPr="00175051" w:rsidRDefault="00B75FD4" w:rsidP="00175051">
    <w:pPr>
      <w:pStyle w:val="Footer"/>
    </w:pPr>
    <w:r>
      <w:fldChar w:fldCharType="begin"/>
    </w:r>
    <w:r>
      <w:instrText xml:space="preserve"> PAGE   \* MERGEFORMAT </w:instrText>
    </w:r>
    <w:r>
      <w:fldChar w:fldCharType="separate"/>
    </w:r>
    <w:r>
      <w:rPr>
        <w:noProof/>
      </w:rPr>
      <w:t>ix</w:t>
    </w:r>
    <w:r>
      <w:rPr>
        <w:noProof/>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pPr w:vertAnchor="page" w:horzAnchor="margin" w:tblpYSpec="bottom"/>
      <w:tblW w:w="6434" w:type="dxa"/>
      <w:tblLayout w:type="fixed"/>
      <w:tblCellMar>
        <w:bottom w:w="283" w:type="dxa"/>
      </w:tblCellMar>
      <w:tblLook w:val="04A0" w:firstRow="1" w:lastRow="0" w:firstColumn="1" w:lastColumn="0" w:noHBand="0" w:noVBand="1"/>
    </w:tblPr>
    <w:tblGrid>
      <w:gridCol w:w="1757"/>
      <w:gridCol w:w="4677"/>
    </w:tblGrid>
    <w:tr w:rsidR="00B75FD4" w:rsidTr="009F5057">
      <w:trPr>
        <w:trHeight w:val="454"/>
      </w:trPr>
      <w:tc>
        <w:tcPr>
          <w:tcW w:w="1757" w:type="dxa"/>
        </w:tcPr>
        <w:p w:rsidR="00B75FD4" w:rsidRDefault="00B75FD4" w:rsidP="00720522">
          <w:pPr>
            <w:pStyle w:val="Footer"/>
          </w:pPr>
          <w:r w:rsidRPr="00720522">
            <w:rPr>
              <w:b/>
            </w:rPr>
            <w:t>City of Melbourne</w:t>
          </w:r>
        </w:p>
      </w:tc>
      <w:tc>
        <w:tcPr>
          <w:tcW w:w="4677" w:type="dxa"/>
        </w:tcPr>
        <w:p w:rsidR="00B75FD4" w:rsidRDefault="00B75FD4" w:rsidP="00720522">
          <w:pPr>
            <w:pStyle w:val="Footer"/>
          </w:pPr>
          <w:r>
            <w:rPr>
              <w:noProof/>
            </w:rPr>
            <w:fldChar w:fldCharType="begin"/>
          </w:r>
          <w:r>
            <w:rPr>
              <w:noProof/>
            </w:rPr>
            <w:instrText xml:space="preserve"> STYLEREF  Title  \* MERGEFORMAT </w:instrText>
          </w:r>
          <w:r>
            <w:rPr>
              <w:noProof/>
            </w:rPr>
            <w:fldChar w:fldCharType="separate"/>
          </w:r>
          <w:r w:rsidR="00175F50">
            <w:rPr>
              <w:noProof/>
            </w:rPr>
            <w:t>Climate Change Mitigation Strategy to 2050</w:t>
          </w:r>
          <w:r>
            <w:rPr>
              <w:noProof/>
            </w:rPr>
            <w:fldChar w:fldCharType="end"/>
          </w:r>
          <w:r>
            <w:t xml:space="preserve"> </w:t>
          </w:r>
          <w:r>
            <w:fldChar w:fldCharType="begin"/>
          </w:r>
          <w:r>
            <w:instrText xml:space="preserve"> IF </w:instrText>
          </w:r>
          <w:r>
            <w:rPr>
              <w:noProof/>
            </w:rPr>
            <w:fldChar w:fldCharType="begin"/>
          </w:r>
          <w:r>
            <w:rPr>
              <w:noProof/>
            </w:rPr>
            <w:instrText xml:space="preserve"> STYLEREF  Subtitle  </w:instrText>
          </w:r>
          <w:r>
            <w:rPr>
              <w:noProof/>
            </w:rPr>
            <w:fldChar w:fldCharType="end"/>
          </w:r>
          <w:r>
            <w:instrText>&lt;&gt;"Error*"</w:instrText>
          </w:r>
          <w:r>
            <w:rPr>
              <w:noProof/>
            </w:rPr>
            <w:fldChar w:fldCharType="begin"/>
          </w:r>
          <w:r>
            <w:rPr>
              <w:noProof/>
            </w:rPr>
            <w:instrText xml:space="preserve"> STYLEREF  Subtitle </w:instrText>
          </w:r>
          <w:r>
            <w:rPr>
              <w:noProof/>
            </w:rPr>
            <w:fldChar w:fldCharType="end"/>
          </w:r>
          <w:r>
            <w:instrText xml:space="preserve">" "" </w:instrText>
          </w:r>
          <w:r>
            <w:fldChar w:fldCharType="end"/>
          </w:r>
        </w:p>
      </w:tc>
    </w:tr>
  </w:tbl>
  <w:p w:rsidR="00B75FD4" w:rsidRDefault="00B75FD4" w:rsidP="00720522">
    <w:pPr>
      <w:pStyle w:val="FooterWithLine"/>
    </w:pPr>
  </w:p>
  <w:tbl>
    <w:tblPr>
      <w:tblpPr w:vertAnchor="page" w:horzAnchor="margin" w:tblpXSpec="right" w:tblpYSpec="bottom"/>
      <w:tblW w:w="907" w:type="dxa"/>
      <w:tblLayout w:type="fixed"/>
      <w:tblCellMar>
        <w:bottom w:w="283" w:type="dxa"/>
        <w:right w:w="0" w:type="dxa"/>
      </w:tblCellMar>
      <w:tblLook w:val="04A0" w:firstRow="1" w:lastRow="0" w:firstColumn="1" w:lastColumn="0" w:noHBand="0" w:noVBand="1"/>
    </w:tblPr>
    <w:tblGrid>
      <w:gridCol w:w="907"/>
    </w:tblGrid>
    <w:tr w:rsidR="00B75FD4" w:rsidTr="000C440D">
      <w:trPr>
        <w:trHeight w:val="454"/>
      </w:trPr>
      <w:tc>
        <w:tcPr>
          <w:tcW w:w="907" w:type="dxa"/>
        </w:tcPr>
        <w:p w:rsidR="00B75FD4" w:rsidRDefault="00B75FD4" w:rsidP="00720522">
          <w:pPr>
            <w:pStyle w:val="FooterPageNumber"/>
          </w:pPr>
          <w:r>
            <w:fldChar w:fldCharType="begin"/>
          </w:r>
          <w:r>
            <w:instrText xml:space="preserve"> PAGE \* MERGEFORMAT </w:instrText>
          </w:r>
          <w:r>
            <w:fldChar w:fldCharType="separate"/>
          </w:r>
          <w:r w:rsidR="00175F50">
            <w:rPr>
              <w:noProof/>
            </w:rPr>
            <w:t>47</w:t>
          </w:r>
          <w:r>
            <w:fldChar w:fldCharType="end"/>
          </w:r>
        </w:p>
      </w:tc>
    </w:tr>
  </w:tbl>
  <w:p w:rsidR="00B75FD4" w:rsidRPr="00720522" w:rsidRDefault="00B75FD4" w:rsidP="00720522">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75FD4" w:rsidRDefault="00B75FD4" w:rsidP="00F25E60">
    <w:pPr>
      <w:pStyle w:val="Footer"/>
    </w:pPr>
  </w:p>
  <w:p w:rsidR="00B75FD4" w:rsidRDefault="00B75FD4"/>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75FD4" w:rsidRDefault="00B75FD4" w:rsidP="00F25E60">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30D4F" w:rsidRPr="0032656F" w:rsidRDefault="00130D4F" w:rsidP="0032656F">
      <w:r w:rsidRPr="0032656F">
        <w:separator/>
      </w:r>
    </w:p>
  </w:footnote>
  <w:footnote w:type="continuationSeparator" w:id="0">
    <w:p w:rsidR="00130D4F" w:rsidRDefault="00130D4F">
      <w:r>
        <w:continuationSeparator/>
      </w:r>
    </w:p>
  </w:footnote>
  <w:footnote w:type="continuationNotice" w:id="1">
    <w:p w:rsidR="00130D4F" w:rsidRDefault="00130D4F">
      <w:pPr>
        <w:spacing w:line="240" w:lineRule="auto"/>
      </w:pPr>
    </w:p>
  </w:footnote>
  <w:footnote w:id="2">
    <w:p w:rsidR="00B75FD4" w:rsidRPr="008A76ED" w:rsidRDefault="00B75FD4" w:rsidP="00500469">
      <w:pPr>
        <w:pStyle w:val="FootnoteText"/>
        <w:rPr>
          <w:szCs w:val="16"/>
        </w:rPr>
      </w:pPr>
      <w:r>
        <w:rPr>
          <w:rStyle w:val="FootnoteReference"/>
        </w:rPr>
        <w:footnoteRef/>
      </w:r>
      <w:r>
        <w:t xml:space="preserve"> </w:t>
      </w:r>
      <w:r w:rsidRPr="008A76ED">
        <w:rPr>
          <w:szCs w:val="16"/>
        </w:rPr>
        <w:t>Sustainability Victoria Social Research on Climate Change 2016</w:t>
      </w:r>
    </w:p>
  </w:footnote>
  <w:footnote w:id="3">
    <w:p w:rsidR="00B75FD4" w:rsidRDefault="00B75FD4" w:rsidP="00824D07">
      <w:r>
        <w:rPr>
          <w:rStyle w:val="FootnoteReference"/>
        </w:rPr>
        <w:footnoteRef/>
      </w:r>
      <w:r>
        <w:t xml:space="preserve"> </w:t>
      </w:r>
      <w:r w:rsidRPr="008A76ED">
        <w:rPr>
          <w:rFonts w:ascii="Arial" w:hAnsi="Arial" w:cs="Arial"/>
          <w:sz w:val="16"/>
          <w:szCs w:val="16"/>
          <w:lang w:val="en-US"/>
        </w:rPr>
        <w:t xml:space="preserve">The calculation for 2030 needs to follows the C40 Deadline 2020 approach with contraction and convergence of emissions by 2030. </w:t>
      </w:r>
      <w:r w:rsidRPr="008A76ED">
        <w:rPr>
          <w:rFonts w:ascii="Arial" w:hAnsi="Arial" w:cs="Arial"/>
          <w:sz w:val="16"/>
          <w:szCs w:val="16"/>
        </w:rPr>
        <w:t xml:space="preserve">This means our target needs to be no more than </w:t>
      </w:r>
      <w:r w:rsidRPr="008A76ED">
        <w:rPr>
          <w:rFonts w:cstheme="minorHAnsi"/>
          <w:color w:val="auto"/>
          <w:sz w:val="16"/>
          <w:szCs w:val="16"/>
        </w:rPr>
        <w:t>14.6 tonnes CO</w:t>
      </w:r>
      <w:r w:rsidRPr="00D44FCF">
        <w:rPr>
          <w:vertAlign w:val="subscript"/>
          <w:lang w:val="en-US" w:eastAsia="en-US"/>
        </w:rPr>
        <w:t>2</w:t>
      </w:r>
      <w:r w:rsidRPr="008A76ED">
        <w:rPr>
          <w:rFonts w:cstheme="minorHAnsi"/>
          <w:color w:val="auto"/>
          <w:sz w:val="16"/>
          <w:szCs w:val="16"/>
        </w:rPr>
        <w:t xml:space="preserve"> equivalent</w:t>
      </w:r>
      <w:r w:rsidRPr="008A76ED">
        <w:rPr>
          <w:rFonts w:cstheme="minorHAnsi"/>
          <w:sz w:val="16"/>
          <w:szCs w:val="16"/>
        </w:rPr>
        <w:t xml:space="preserve"> per</w:t>
      </w:r>
      <w:r w:rsidRPr="008A76ED">
        <w:rPr>
          <w:rFonts w:ascii="Arial" w:hAnsi="Arial" w:cs="Arial"/>
          <w:sz w:val="16"/>
          <w:szCs w:val="16"/>
        </w:rPr>
        <w:t xml:space="preserve"> person by 2030.</w:t>
      </w:r>
    </w:p>
  </w:footnote>
  <w:footnote w:id="4">
    <w:p w:rsidR="00B75FD4" w:rsidRPr="008D4C41" w:rsidRDefault="00B75FD4" w:rsidP="00EB2242">
      <w:pPr>
        <w:spacing w:line="240" w:lineRule="auto"/>
        <w:rPr>
          <w:rFonts w:ascii="Arial" w:hAnsi="Arial" w:cs="Arial"/>
          <w:sz w:val="16"/>
          <w:szCs w:val="16"/>
        </w:rPr>
      </w:pPr>
      <w:r>
        <w:rPr>
          <w:rStyle w:val="FootnoteReference"/>
        </w:rPr>
        <w:footnoteRef/>
      </w:r>
      <w:r>
        <w:t xml:space="preserve"> </w:t>
      </w:r>
      <w:r w:rsidRPr="008D4C41">
        <w:rPr>
          <w:rFonts w:ascii="Arial" w:hAnsi="Arial" w:cs="Arial"/>
          <w:sz w:val="16"/>
          <w:szCs w:val="16"/>
        </w:rPr>
        <w:t xml:space="preserve">The C40 Climate Action Planning Framework supports cities in developing climate action plans. It sets out the essential components of a climate action plan that is </w:t>
      </w:r>
      <w:r>
        <w:rPr>
          <w:rFonts w:ascii="Arial" w:hAnsi="Arial" w:cs="Arial"/>
          <w:sz w:val="16"/>
          <w:szCs w:val="16"/>
        </w:rPr>
        <w:t xml:space="preserve">deemed to be </w:t>
      </w:r>
      <w:r w:rsidRPr="008D4C41">
        <w:rPr>
          <w:rFonts w:ascii="Arial" w:hAnsi="Arial" w:cs="Arial"/>
          <w:sz w:val="16"/>
          <w:szCs w:val="16"/>
        </w:rPr>
        <w:t>compatible with the objectives of the Paris Agreement.</w:t>
      </w:r>
    </w:p>
    <w:p w:rsidR="00B75FD4" w:rsidRDefault="00B75FD4">
      <w:pPr>
        <w:pStyle w:val="FootnoteText"/>
      </w:pPr>
    </w:p>
  </w:footnote>
  <w:footnote w:id="5">
    <w:p w:rsidR="00B75FD4" w:rsidRDefault="00B75FD4">
      <w:pPr>
        <w:pStyle w:val="FootnoteText"/>
      </w:pPr>
      <w:r>
        <w:rPr>
          <w:rStyle w:val="FootnoteReference"/>
        </w:rPr>
        <w:footnoteRef/>
      </w:r>
      <w:r>
        <w:t xml:space="preserve"> Populations correct as at 2017. </w:t>
      </w:r>
      <w:r w:rsidRPr="005B4438">
        <w:rPr>
          <w:rFonts w:ascii="Arial" w:hAnsi="Arial" w:cs="Arial"/>
          <w:szCs w:val="16"/>
        </w:rPr>
        <w:t>Our per capita emissions are calculated by dividing total emissions of the municipality by the number of residents. The central business district is quite energy intensive compared to residential suburbs and this affects the result. This is the standard used internationally to compare the emissions of cities.</w:t>
      </w:r>
    </w:p>
  </w:footnote>
  <w:footnote w:id="6">
    <w:p w:rsidR="00B75FD4" w:rsidRPr="008A76ED" w:rsidRDefault="00B75FD4" w:rsidP="006246E8">
      <w:pPr>
        <w:pStyle w:val="FootnoteText"/>
        <w:rPr>
          <w:szCs w:val="16"/>
        </w:rPr>
      </w:pPr>
      <w:r>
        <w:rPr>
          <w:rStyle w:val="FootnoteReference"/>
        </w:rPr>
        <w:footnoteRef/>
      </w:r>
      <w:r>
        <w:t xml:space="preserve"> </w:t>
      </w:r>
      <w:r w:rsidRPr="008A76ED">
        <w:rPr>
          <w:szCs w:val="16"/>
        </w:rPr>
        <w:t>Sustainability Victoria Social Research on Climate Change 2016</w:t>
      </w:r>
    </w:p>
  </w:footnote>
  <w:footnote w:id="7">
    <w:p w:rsidR="00B75FD4" w:rsidRDefault="00B75FD4" w:rsidP="00A2548C">
      <w:pPr>
        <w:pStyle w:val="FootnoteText"/>
      </w:pPr>
      <w:r>
        <w:rPr>
          <w:rStyle w:val="FootnoteReference"/>
        </w:rPr>
        <w:footnoteRef/>
      </w:r>
      <w:r>
        <w:t xml:space="preserve"> </w:t>
      </w:r>
      <w:r w:rsidRPr="00374100">
        <w:t>https://www.c40.org/</w:t>
      </w:r>
    </w:p>
  </w:footnote>
  <w:footnote w:id="8">
    <w:p w:rsidR="00B75FD4" w:rsidRDefault="00B75FD4">
      <w:pPr>
        <w:pStyle w:val="FootnoteText"/>
      </w:pPr>
      <w:r>
        <w:rPr>
          <w:rStyle w:val="FootnoteReference"/>
        </w:rPr>
        <w:footnoteRef/>
      </w:r>
      <w:r>
        <w:t xml:space="preserve"> Council resolution October 2015</w:t>
      </w:r>
      <w:r w:rsidRPr="00C920D7">
        <w:rPr>
          <w:rFonts w:ascii="Arial" w:hAnsi="Arial" w:cs="Arial"/>
          <w:color w:val="1F497D"/>
        </w:rPr>
        <w:t xml:space="preserve"> </w:t>
      </w:r>
      <w:hyperlink r:id="rId1" w:history="1">
        <w:r>
          <w:rPr>
            <w:rStyle w:val="Hyperlink"/>
            <w:rFonts w:ascii="Arial" w:hAnsi="Arial" w:cs="Arial"/>
          </w:rPr>
          <w:t>https://www.melbourne.vic.gov.au/about-council/committees-meetings/meeting-archive/meetingagendaitemattachments/706/12791/oct15%20ccl%20agenda%20item%207.4.pdf</w:t>
        </w:r>
      </w:hyperlink>
      <w:r>
        <w:rPr>
          <w:rFonts w:ascii="Arial" w:hAnsi="Arial" w:cs="Arial"/>
        </w:rPr>
        <w:t xml:space="preserve"> </w:t>
      </w:r>
    </w:p>
  </w:footnote>
  <w:footnote w:id="9">
    <w:p w:rsidR="00B75FD4" w:rsidRPr="00657489" w:rsidRDefault="00B75FD4">
      <w:pPr>
        <w:pStyle w:val="FootnoteText"/>
        <w:rPr>
          <w:lang w:val="en-US"/>
        </w:rPr>
      </w:pPr>
      <w:r>
        <w:rPr>
          <w:rStyle w:val="FootnoteReference"/>
        </w:rPr>
        <w:footnoteRef/>
      </w:r>
      <w:r>
        <w:t xml:space="preserve"> </w:t>
      </w:r>
      <w:r>
        <w:rPr>
          <w:lang w:val="en-US"/>
        </w:rPr>
        <w:t>These are called “consumption-based” emissions.</w:t>
      </w:r>
    </w:p>
  </w:footnote>
  <w:footnote w:id="10">
    <w:p w:rsidR="00B75FD4" w:rsidRDefault="00B75FD4" w:rsidP="00B6328B">
      <w:pPr>
        <w:spacing w:line="240" w:lineRule="auto"/>
      </w:pPr>
      <w:r>
        <w:rPr>
          <w:rStyle w:val="FootnoteReference"/>
        </w:rPr>
        <w:t>7</w:t>
      </w:r>
      <w:r>
        <w:t xml:space="preserve"> </w:t>
      </w:r>
      <w:r>
        <w:rPr>
          <w:rFonts w:ascii="Arial" w:hAnsi="Arial" w:cs="Arial"/>
          <w:sz w:val="16"/>
          <w:szCs w:val="16"/>
        </w:rPr>
        <w:t xml:space="preserve">City of Melbourne Emission Reduction Plan for our operations </w:t>
      </w:r>
      <w:r w:rsidRPr="008D4C41">
        <w:rPr>
          <w:rFonts w:ascii="Arial" w:hAnsi="Arial" w:cs="Arial"/>
          <w:sz w:val="16"/>
          <w:szCs w:val="16"/>
        </w:rPr>
        <w:t>https://www.melbourne.vic.gov.au/SiteCollectionDocuments/emissions-reduction-plan.pdf</w:t>
      </w:r>
    </w:p>
  </w:footnote>
  <w:footnote w:id="11">
    <w:p w:rsidR="00B75FD4" w:rsidRDefault="00B75FD4" w:rsidP="005F4FDB">
      <w:pPr>
        <w:spacing w:line="240" w:lineRule="auto"/>
      </w:pPr>
      <w:r>
        <w:rPr>
          <w:rStyle w:val="FootnoteReference"/>
        </w:rPr>
        <w:t>8</w:t>
      </w:r>
      <w:r>
        <w:t xml:space="preserve"> </w:t>
      </w:r>
      <w:r w:rsidRPr="005B4438">
        <w:rPr>
          <w:rFonts w:ascii="Arial" w:hAnsi="Arial" w:cs="Arial"/>
          <w:sz w:val="16"/>
          <w:szCs w:val="16"/>
        </w:rPr>
        <w:t xml:space="preserve">Australian Government Carbon Neutral Program </w:t>
      </w:r>
      <w:hyperlink r:id="rId2" w:history="1">
        <w:r w:rsidRPr="000D3744">
          <w:rPr>
            <w:rStyle w:val="Hyperlink"/>
            <w:rFonts w:ascii="Arial" w:hAnsi="Arial" w:cs="Arial"/>
            <w:sz w:val="16"/>
            <w:szCs w:val="16"/>
          </w:rPr>
          <w:t>http://www.environment.gov.au/climate-change/government/carbon-neutral/certified-businesses</w:t>
        </w:r>
      </w:hyperlink>
    </w:p>
  </w:footnote>
  <w:footnote w:id="12">
    <w:p w:rsidR="00B75FD4" w:rsidRDefault="00B75FD4">
      <w:pPr>
        <w:pStyle w:val="FootnoteText"/>
      </w:pPr>
      <w:r>
        <w:rPr>
          <w:rStyle w:val="FootnoteReference"/>
        </w:rPr>
        <w:t>9</w:t>
      </w:r>
      <w:r>
        <w:t xml:space="preserve"> </w:t>
      </w:r>
      <w:r w:rsidRPr="00C6516C">
        <w:rPr>
          <w:rFonts w:ascii="Arial" w:hAnsi="Arial" w:cs="Arial"/>
          <w:i/>
          <w:szCs w:val="16"/>
        </w:rPr>
        <w:t>Local Government Bill 2018</w:t>
      </w:r>
      <w:r w:rsidRPr="005B4438">
        <w:rPr>
          <w:rFonts w:ascii="Arial" w:hAnsi="Arial" w:cs="Arial"/>
          <w:szCs w:val="16"/>
        </w:rPr>
        <w:t xml:space="preserve"> Part 2 Division 1 Section 9</w:t>
      </w:r>
    </w:p>
  </w:footnote>
  <w:footnote w:id="13">
    <w:p w:rsidR="00B75FD4" w:rsidRDefault="00B75FD4">
      <w:pPr>
        <w:pStyle w:val="FootnoteText"/>
      </w:pPr>
      <w:r>
        <w:rPr>
          <w:rStyle w:val="FootnoteReference"/>
        </w:rPr>
        <w:t>10</w:t>
      </w:r>
      <w:r>
        <w:t xml:space="preserve"> </w:t>
      </w:r>
      <w:r w:rsidRPr="005B4438">
        <w:rPr>
          <w:rFonts w:ascii="Arial" w:hAnsi="Arial" w:cs="Arial"/>
          <w:szCs w:val="16"/>
        </w:rPr>
        <w:t>http://www.tai.org.au/sites/defualt/files/National%20Energy%20Emissions%20Audit%20-%20Electricity%20Update%20July%202018.pdf</w:t>
      </w:r>
    </w:p>
  </w:footnote>
  <w:footnote w:id="14">
    <w:p w:rsidR="00B75FD4" w:rsidRDefault="00B75FD4">
      <w:pPr>
        <w:pStyle w:val="FootnoteText"/>
      </w:pPr>
      <w:r>
        <w:rPr>
          <w:rStyle w:val="FootnoteReference"/>
        </w:rPr>
        <w:t>11</w:t>
      </w:r>
      <w:r>
        <w:t xml:space="preserve"> </w:t>
      </w:r>
      <w:r w:rsidRPr="005B4438">
        <w:rPr>
          <w:rFonts w:ascii="Arial" w:hAnsi="Arial" w:cs="Arial"/>
          <w:szCs w:val="16"/>
        </w:rPr>
        <w:t>https://www.energetics.com.au/insights/thought-leadership/corporate-ppas-deliver-34-of-generation-capacity-required-under-the-ret/</w:t>
      </w:r>
    </w:p>
  </w:footnote>
  <w:footnote w:id="15">
    <w:p w:rsidR="00B75FD4" w:rsidRDefault="00B75FD4">
      <w:pPr>
        <w:pStyle w:val="FootnoteText"/>
      </w:pPr>
      <w:r>
        <w:rPr>
          <w:rStyle w:val="FootnoteReference"/>
        </w:rPr>
        <w:footnoteRef/>
      </w:r>
      <w:r>
        <w:t xml:space="preserve"> Benefits to the community compared to the business as usual scenario.</w:t>
      </w:r>
    </w:p>
  </w:footnote>
  <w:footnote w:id="16">
    <w:p w:rsidR="00B75FD4" w:rsidRPr="00581486" w:rsidRDefault="00B75FD4" w:rsidP="00BC6167">
      <w:pPr>
        <w:pStyle w:val="FootnoteText"/>
      </w:pPr>
      <w:r>
        <w:rPr>
          <w:rStyle w:val="FootnoteReference"/>
        </w:rPr>
        <w:t>12</w:t>
      </w:r>
      <w:r>
        <w:t xml:space="preserve"> </w:t>
      </w:r>
      <w:proofErr w:type="gramStart"/>
      <w:r w:rsidRPr="00581486">
        <w:t xml:space="preserve">ASBEC and </w:t>
      </w:r>
      <w:proofErr w:type="spellStart"/>
      <w:r w:rsidRPr="00581486">
        <w:t>ClimateWorks</w:t>
      </w:r>
      <w:proofErr w:type="spellEnd"/>
      <w:r w:rsidRPr="00581486">
        <w:t xml:space="preserve"> Australia.</w:t>
      </w:r>
      <w:proofErr w:type="gramEnd"/>
      <w:r w:rsidRPr="00581486">
        <w:t xml:space="preserve"> 2018. </w:t>
      </w:r>
      <w:hyperlink r:id="rId3" w:history="1">
        <w:r w:rsidRPr="00845353">
          <w:rPr>
            <w:rStyle w:val="Hyperlink"/>
            <w:iCs/>
            <w:color w:val="00798A"/>
            <w:lang w:val="en-US"/>
          </w:rPr>
          <w:t>Built to Perform: An Industry Led Pathway to a Zero Carbon Ready Building Code</w:t>
        </w:r>
      </w:hyperlink>
      <w:r w:rsidRPr="00581486">
        <w:t xml:space="preserve"> </w:t>
      </w:r>
    </w:p>
    <w:p w:rsidR="00B75FD4" w:rsidRDefault="00130D4F" w:rsidP="00BC6167">
      <w:pPr>
        <w:pStyle w:val="FootnoteText"/>
      </w:pPr>
      <w:hyperlink r:id="rId4" w:history="1">
        <w:r w:rsidR="00B75FD4" w:rsidRPr="0041514C">
          <w:rPr>
            <w:rStyle w:val="Hyperlink"/>
          </w:rPr>
          <w:t>http://www.asbec.asn.au/research-items/built-perform/</w:t>
        </w:r>
      </w:hyperlink>
    </w:p>
  </w:footnote>
  <w:footnote w:id="17">
    <w:p w:rsidR="00B75FD4" w:rsidRDefault="00B75FD4">
      <w:pPr>
        <w:pStyle w:val="FootnoteText"/>
      </w:pPr>
      <w:r>
        <w:rPr>
          <w:rStyle w:val="FootnoteReference"/>
        </w:rPr>
        <w:footnoteRef/>
      </w:r>
      <w:r>
        <w:t xml:space="preserve"> Benefits to the community compared to the business as usual scenario.</w:t>
      </w:r>
    </w:p>
  </w:footnote>
  <w:footnote w:id="18">
    <w:p w:rsidR="00B75FD4" w:rsidRDefault="00B75FD4">
      <w:pPr>
        <w:pStyle w:val="FootnoteText"/>
      </w:pPr>
      <w:r>
        <w:rPr>
          <w:rStyle w:val="FootnoteReference"/>
        </w:rPr>
        <w:footnoteRef/>
      </w:r>
      <w:r>
        <w:t xml:space="preserve"> Benefits to the community compared to the business as usual scenario.</w:t>
      </w:r>
    </w:p>
  </w:footnote>
  <w:footnote w:id="19">
    <w:p w:rsidR="00B75FD4" w:rsidRDefault="00B75FD4">
      <w:pPr>
        <w:pStyle w:val="FootnoteText"/>
      </w:pPr>
      <w:r>
        <w:rPr>
          <w:rStyle w:val="FootnoteReference"/>
        </w:rPr>
        <w:footnoteRef/>
      </w:r>
      <w:r>
        <w:t xml:space="preserve"> Benefits to the community compared to the business as usual scenario.</w:t>
      </w:r>
    </w:p>
  </w:footnote>
  <w:footnote w:id="20">
    <w:p w:rsidR="00B75FD4" w:rsidRPr="00725CEA" w:rsidRDefault="00B75FD4" w:rsidP="004D5828">
      <w:pPr>
        <w:rPr>
          <w:rFonts w:ascii="Calibri" w:hAnsi="Calibri"/>
          <w:color w:val="000000"/>
        </w:rPr>
      </w:pPr>
      <w:r>
        <w:rPr>
          <w:rStyle w:val="FootnoteReference"/>
        </w:rPr>
        <w:t>13</w:t>
      </w:r>
      <w:r>
        <w:t xml:space="preserve"> </w:t>
      </w:r>
      <w:r>
        <w:rPr>
          <w:rFonts w:ascii="Arial" w:hAnsi="Arial" w:cs="Arial"/>
          <w:color w:val="222222"/>
          <w:shd w:val="clear" w:color="auto" w:fill="FFFFFF"/>
        </w:rPr>
        <w:t>The quality-adjusted life year is a generic measure of disease burden, including both the quality and the quantity of life lived. It is used in economic evaluation to assess the value for money of medical interventions.</w:t>
      </w:r>
    </w:p>
  </w:footnote>
  <w:footnote w:id="21">
    <w:p w:rsidR="00B75FD4" w:rsidRDefault="00B75FD4">
      <w:pPr>
        <w:pStyle w:val="FootnoteText"/>
      </w:pPr>
      <w:r>
        <w:rPr>
          <w:rStyle w:val="FootnoteReference"/>
        </w:rPr>
        <w:t>14</w:t>
      </w:r>
      <w:r>
        <w:t xml:space="preserve"> </w:t>
      </w:r>
      <w:r w:rsidRPr="005B4438">
        <w:rPr>
          <w:rFonts w:ascii="Arial" w:hAnsi="Arial" w:cs="Arial"/>
          <w:szCs w:val="16"/>
        </w:rPr>
        <w:t>Department of Treasury and Finance, Economic Evaluation for Business Cases Technical guidelines, August 2013</w:t>
      </w:r>
    </w:p>
  </w:footnote>
  <w:footnote w:id="22">
    <w:p w:rsidR="00B75FD4" w:rsidRDefault="00B75FD4">
      <w:pPr>
        <w:pStyle w:val="FootnoteText"/>
      </w:pPr>
      <w:r>
        <w:rPr>
          <w:rStyle w:val="FootnoteReference"/>
        </w:rPr>
        <w:t>15</w:t>
      </w:r>
      <w:r>
        <w:t xml:space="preserve"> </w:t>
      </w:r>
      <w:r w:rsidRPr="005B4438">
        <w:rPr>
          <w:rFonts w:ascii="Arial" w:hAnsi="Arial" w:cs="Arial"/>
          <w:szCs w:val="16"/>
        </w:rPr>
        <w:t>EPA 2015, Social cost of carbon fact sheet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75FD4" w:rsidRPr="003B3D5D" w:rsidRDefault="00B75FD4" w:rsidP="003B3D5D">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75FD4" w:rsidRPr="00720522" w:rsidRDefault="00B75FD4" w:rsidP="00720522">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75FD4" w:rsidRPr="0082737B" w:rsidRDefault="00B75FD4" w:rsidP="0082737B">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8"/>
    <w:multiLevelType w:val="singleLevel"/>
    <w:tmpl w:val="731EEB36"/>
    <w:lvl w:ilvl="0">
      <w:start w:val="1"/>
      <w:numFmt w:val="decimal"/>
      <w:lvlText w:val="%1."/>
      <w:lvlJc w:val="left"/>
      <w:pPr>
        <w:tabs>
          <w:tab w:val="num" w:pos="360"/>
        </w:tabs>
        <w:ind w:left="360" w:hanging="360"/>
      </w:pPr>
    </w:lvl>
  </w:abstractNum>
  <w:abstractNum w:abstractNumId="1">
    <w:nsid w:val="FFFFFF89"/>
    <w:multiLevelType w:val="singleLevel"/>
    <w:tmpl w:val="F43A1792"/>
    <w:lvl w:ilvl="0">
      <w:start w:val="1"/>
      <w:numFmt w:val="bullet"/>
      <w:lvlText w:val=""/>
      <w:lvlJc w:val="left"/>
      <w:pPr>
        <w:tabs>
          <w:tab w:val="num" w:pos="360"/>
        </w:tabs>
        <w:ind w:left="360" w:hanging="360"/>
      </w:pPr>
      <w:rPr>
        <w:rFonts w:ascii="Symbol" w:hAnsi="Symbol" w:hint="default"/>
      </w:rPr>
    </w:lvl>
  </w:abstractNum>
  <w:abstractNum w:abstractNumId="2">
    <w:nsid w:val="0103726A"/>
    <w:multiLevelType w:val="hybridMultilevel"/>
    <w:tmpl w:val="16D0951C"/>
    <w:lvl w:ilvl="0" w:tplc="0C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12C2CC3"/>
    <w:multiLevelType w:val="multilevel"/>
    <w:tmpl w:val="591C1A3C"/>
    <w:name w:val="PullOutBoxNumbering"/>
    <w:lvl w:ilvl="0">
      <w:start w:val="1"/>
      <w:numFmt w:val="decimal"/>
      <w:pStyle w:val="PullOutBoxNumber"/>
      <w:lvlText w:val="%1."/>
      <w:lvlJc w:val="left"/>
      <w:pPr>
        <w:tabs>
          <w:tab w:val="num" w:pos="680"/>
        </w:tabs>
        <w:ind w:left="680" w:hanging="396"/>
      </w:pPr>
      <w:rPr>
        <w:rFonts w:hint="default"/>
      </w:rPr>
    </w:lvl>
    <w:lvl w:ilvl="1">
      <w:start w:val="1"/>
      <w:numFmt w:val="lowerLetter"/>
      <w:pStyle w:val="PullOutBoxNumber2"/>
      <w:lvlText w:val="%2."/>
      <w:lvlJc w:val="left"/>
      <w:pPr>
        <w:tabs>
          <w:tab w:val="num" w:pos="1077"/>
        </w:tabs>
        <w:ind w:left="1077" w:hanging="397"/>
      </w:pPr>
      <w:rPr>
        <w:rFonts w:hint="default"/>
      </w:rPr>
    </w:lvl>
    <w:lvl w:ilvl="2">
      <w:start w:val="1"/>
      <w:numFmt w:val="lowerRoman"/>
      <w:pStyle w:val="PullOutBoxNumber3"/>
      <w:lvlText w:val="%3."/>
      <w:lvlJc w:val="left"/>
      <w:pPr>
        <w:tabs>
          <w:tab w:val="num" w:pos="1474"/>
        </w:tabs>
        <w:ind w:left="1474" w:hanging="397"/>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
    <w:nsid w:val="01CA480E"/>
    <w:multiLevelType w:val="multilevel"/>
    <w:tmpl w:val="B1684EA6"/>
    <w:lvl w:ilvl="0">
      <w:start w:val="1"/>
      <w:numFmt w:val="decimal"/>
      <w:lvlText w:val="%1."/>
      <w:lvlJc w:val="left"/>
      <w:pPr>
        <w:ind w:left="360" w:hanging="360"/>
      </w:pPr>
      <w:rPr>
        <w:color w:val="auto"/>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nsid w:val="036F68CE"/>
    <w:multiLevelType w:val="multilevel"/>
    <w:tmpl w:val="9F2A8B76"/>
    <w:styleLink w:val="MyListNumbering"/>
    <w:lvl w:ilvl="0">
      <w:start w:val="1"/>
      <w:numFmt w:val="lowerLetter"/>
      <w:lvlText w:val="(%1)"/>
      <w:lvlJc w:val="left"/>
      <w:pPr>
        <w:tabs>
          <w:tab w:val="num" w:pos="567"/>
        </w:tabs>
        <w:ind w:left="360" w:hanging="360"/>
      </w:pPr>
      <w:rPr>
        <w:rFonts w:hint="default"/>
      </w:rPr>
    </w:lvl>
    <w:lvl w:ilvl="1">
      <w:start w:val="1"/>
      <w:numFmt w:val="lowerRoman"/>
      <w:lvlText w:val="%2."/>
      <w:lvlJc w:val="left"/>
      <w:pPr>
        <w:ind w:left="1440" w:hanging="360"/>
      </w:pPr>
      <w:rPr>
        <w:rFonts w:hint="default"/>
      </w:rPr>
    </w:lvl>
    <w:lvl w:ilvl="2">
      <w:start w:val="1"/>
      <w:numFmt w:val="decimal"/>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
    <w:nsid w:val="03B57116"/>
    <w:multiLevelType w:val="multilevel"/>
    <w:tmpl w:val="16B44AD4"/>
    <w:name w:val="TableNumbering2"/>
    <w:lvl w:ilvl="0">
      <w:start w:val="1"/>
      <w:numFmt w:val="none"/>
      <w:suff w:val="nothing"/>
      <w:lvlText w:val=""/>
      <w:lvlJc w:val="left"/>
      <w:pPr>
        <w:ind w:left="113" w:firstLine="0"/>
      </w:pPr>
      <w:rPr>
        <w:rFonts w:hint="default"/>
      </w:rPr>
    </w:lvl>
    <w:lvl w:ilvl="1">
      <w:start w:val="1"/>
      <w:numFmt w:val="decimal"/>
      <w:pStyle w:val="Footnotes"/>
      <w:lvlText w:val="(%2)"/>
      <w:lvlJc w:val="left"/>
      <w:pPr>
        <w:tabs>
          <w:tab w:val="num" w:pos="284"/>
        </w:tabs>
        <w:ind w:left="284" w:hanging="284"/>
      </w:pPr>
      <w:rPr>
        <w:rFonts w:hint="default"/>
      </w:rPr>
    </w:lvl>
    <w:lvl w:ilvl="2">
      <w:start w:val="1"/>
      <w:numFmt w:val="none"/>
      <w:lvlText w:val=""/>
      <w:lvlJc w:val="left"/>
      <w:pPr>
        <w:ind w:left="340" w:hanging="340"/>
      </w:pPr>
      <w:rPr>
        <w:rFonts w:hint="default"/>
      </w:rPr>
    </w:lvl>
    <w:lvl w:ilvl="3">
      <w:start w:val="1"/>
      <w:numFmt w:val="none"/>
      <w:lvlText w:val=""/>
      <w:lvlJc w:val="left"/>
      <w:pPr>
        <w:ind w:left="340" w:hanging="340"/>
      </w:pPr>
      <w:rPr>
        <w:rFonts w:hint="default"/>
      </w:rPr>
    </w:lvl>
    <w:lvl w:ilvl="4">
      <w:start w:val="1"/>
      <w:numFmt w:val="none"/>
      <w:lvlText w:val=""/>
      <w:lvlJc w:val="left"/>
      <w:pPr>
        <w:ind w:left="340" w:hanging="340"/>
      </w:pPr>
      <w:rPr>
        <w:rFonts w:hint="default"/>
      </w:rPr>
    </w:lvl>
    <w:lvl w:ilvl="5">
      <w:start w:val="1"/>
      <w:numFmt w:val="none"/>
      <w:lvlText w:val=""/>
      <w:lvlJc w:val="left"/>
      <w:pPr>
        <w:ind w:left="340" w:hanging="340"/>
      </w:pPr>
      <w:rPr>
        <w:rFonts w:hint="default"/>
      </w:rPr>
    </w:lvl>
    <w:lvl w:ilvl="6">
      <w:start w:val="1"/>
      <w:numFmt w:val="none"/>
      <w:lvlText w:val=""/>
      <w:lvlJc w:val="left"/>
      <w:pPr>
        <w:ind w:left="340" w:hanging="340"/>
      </w:pPr>
      <w:rPr>
        <w:rFonts w:hint="default"/>
      </w:rPr>
    </w:lvl>
    <w:lvl w:ilvl="7">
      <w:start w:val="1"/>
      <w:numFmt w:val="none"/>
      <w:lvlText w:val=""/>
      <w:lvlJc w:val="left"/>
      <w:pPr>
        <w:ind w:left="340" w:hanging="340"/>
      </w:pPr>
      <w:rPr>
        <w:rFonts w:hint="default"/>
      </w:rPr>
    </w:lvl>
    <w:lvl w:ilvl="8">
      <w:start w:val="1"/>
      <w:numFmt w:val="none"/>
      <w:lvlText w:val=""/>
      <w:lvlJc w:val="left"/>
      <w:pPr>
        <w:ind w:left="340" w:hanging="340"/>
      </w:pPr>
      <w:rPr>
        <w:rFonts w:hint="default"/>
      </w:rPr>
    </w:lvl>
  </w:abstractNum>
  <w:abstractNum w:abstractNumId="7">
    <w:nsid w:val="067A33DC"/>
    <w:multiLevelType w:val="hybridMultilevel"/>
    <w:tmpl w:val="7730DD82"/>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nsid w:val="07D529CF"/>
    <w:multiLevelType w:val="hybridMultilevel"/>
    <w:tmpl w:val="274866F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087B7E0D"/>
    <w:multiLevelType w:val="hybridMultilevel"/>
    <w:tmpl w:val="2B1674C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0">
    <w:nsid w:val="09263312"/>
    <w:multiLevelType w:val="hybridMultilevel"/>
    <w:tmpl w:val="ECE0E94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0ABB4EAC"/>
    <w:multiLevelType w:val="hybridMultilevel"/>
    <w:tmpl w:val="DAD80A7E"/>
    <w:lvl w:ilvl="0" w:tplc="0C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10C05368"/>
    <w:multiLevelType w:val="hybridMultilevel"/>
    <w:tmpl w:val="2B443E9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3">
    <w:nsid w:val="14890D1D"/>
    <w:multiLevelType w:val="multilevel"/>
    <w:tmpl w:val="9B5A65BA"/>
    <w:name w:val="MyBullets"/>
    <w:lvl w:ilvl="0">
      <w:start w:val="7"/>
      <w:numFmt w:val="bullet"/>
      <w:pStyle w:val="ListBullet"/>
      <w:lvlText w:val=""/>
      <w:lvlJc w:val="left"/>
      <w:pPr>
        <w:tabs>
          <w:tab w:val="num" w:pos="794"/>
        </w:tabs>
        <w:ind w:left="794" w:hanging="397"/>
      </w:pPr>
      <w:rPr>
        <w:rFonts w:ascii="Symbol" w:hAnsi="Symbol" w:hint="default"/>
        <w:color w:val="auto"/>
        <w:position w:val="0"/>
        <w:sz w:val="20"/>
      </w:rPr>
    </w:lvl>
    <w:lvl w:ilvl="1">
      <w:start w:val="5"/>
      <w:numFmt w:val="bullet"/>
      <w:pStyle w:val="ListBullet2"/>
      <w:lvlText w:val="o"/>
      <w:lvlJc w:val="left"/>
      <w:pPr>
        <w:tabs>
          <w:tab w:val="num" w:pos="1191"/>
        </w:tabs>
        <w:ind w:left="1191" w:hanging="397"/>
      </w:pPr>
      <w:rPr>
        <w:rFonts w:ascii="Courier New" w:hAnsi="Courier New" w:hint="default"/>
        <w:b w:val="0"/>
        <w:i w:val="0"/>
        <w:color w:val="auto"/>
        <w:position w:val="2"/>
        <w:sz w:val="18"/>
      </w:rPr>
    </w:lvl>
    <w:lvl w:ilvl="2">
      <w:start w:val="1"/>
      <w:numFmt w:val="bullet"/>
      <w:pStyle w:val="ListBullet3"/>
      <w:lvlText w:val="–"/>
      <w:lvlJc w:val="left"/>
      <w:pPr>
        <w:tabs>
          <w:tab w:val="num" w:pos="1588"/>
        </w:tabs>
        <w:ind w:left="1588" w:hanging="397"/>
      </w:pPr>
      <w:rPr>
        <w:rFonts w:ascii="Calibri" w:hAnsi="Calibri" w:hint="default"/>
        <w:color w:val="auto"/>
        <w:position w:val="0"/>
        <w:sz w:val="20"/>
      </w:rPr>
    </w:lvl>
    <w:lvl w:ilvl="3">
      <w:start w:val="1"/>
      <w:numFmt w:val="none"/>
      <w:lvlText w:val=""/>
      <w:lvlJc w:val="left"/>
      <w:pPr>
        <w:tabs>
          <w:tab w:val="num" w:pos="1825"/>
        </w:tabs>
        <w:ind w:left="1825" w:hanging="357"/>
      </w:pPr>
      <w:rPr>
        <w:rFonts w:hint="default"/>
      </w:rPr>
    </w:lvl>
    <w:lvl w:ilvl="4">
      <w:start w:val="1"/>
      <w:numFmt w:val="none"/>
      <w:lvlText w:val=""/>
      <w:lvlJc w:val="left"/>
      <w:pPr>
        <w:tabs>
          <w:tab w:val="num" w:pos="2182"/>
        </w:tabs>
        <w:ind w:left="2182" w:hanging="357"/>
      </w:pPr>
      <w:rPr>
        <w:rFonts w:hint="default"/>
      </w:rPr>
    </w:lvl>
    <w:lvl w:ilvl="5">
      <w:start w:val="1"/>
      <w:numFmt w:val="none"/>
      <w:lvlText w:val=""/>
      <w:lvlJc w:val="left"/>
      <w:pPr>
        <w:tabs>
          <w:tab w:val="num" w:pos="2539"/>
        </w:tabs>
        <w:ind w:left="2539" w:hanging="357"/>
      </w:pPr>
      <w:rPr>
        <w:rFonts w:hint="default"/>
      </w:rPr>
    </w:lvl>
    <w:lvl w:ilvl="6">
      <w:start w:val="1"/>
      <w:numFmt w:val="none"/>
      <w:lvlText w:val=""/>
      <w:lvlJc w:val="left"/>
      <w:pPr>
        <w:tabs>
          <w:tab w:val="num" w:pos="2896"/>
        </w:tabs>
        <w:ind w:left="2896" w:hanging="357"/>
      </w:pPr>
      <w:rPr>
        <w:rFonts w:hint="default"/>
      </w:rPr>
    </w:lvl>
    <w:lvl w:ilvl="7">
      <w:start w:val="1"/>
      <w:numFmt w:val="none"/>
      <w:lvlText w:val=""/>
      <w:lvlJc w:val="left"/>
      <w:pPr>
        <w:tabs>
          <w:tab w:val="num" w:pos="3253"/>
        </w:tabs>
        <w:ind w:left="3253" w:hanging="357"/>
      </w:pPr>
      <w:rPr>
        <w:rFonts w:hint="default"/>
      </w:rPr>
    </w:lvl>
    <w:lvl w:ilvl="8">
      <w:start w:val="1"/>
      <w:numFmt w:val="none"/>
      <w:lvlText w:val=""/>
      <w:lvlJc w:val="left"/>
      <w:pPr>
        <w:tabs>
          <w:tab w:val="num" w:pos="3610"/>
        </w:tabs>
        <w:ind w:left="3610" w:hanging="357"/>
      </w:pPr>
      <w:rPr>
        <w:rFonts w:hint="default"/>
      </w:rPr>
    </w:lvl>
  </w:abstractNum>
  <w:abstractNum w:abstractNumId="14">
    <w:nsid w:val="18924C30"/>
    <w:multiLevelType w:val="hybridMultilevel"/>
    <w:tmpl w:val="14D2FF8C"/>
    <w:lvl w:ilvl="0" w:tplc="0C09000B">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nsid w:val="1AA4375A"/>
    <w:multiLevelType w:val="multilevel"/>
    <w:tmpl w:val="15049394"/>
    <w:name w:val="PullOutBoxBullets"/>
    <w:lvl w:ilvl="0">
      <w:start w:val="1"/>
      <w:numFmt w:val="bullet"/>
      <w:pStyle w:val="PullOutBoxBullet"/>
      <w:lvlText w:val=""/>
      <w:lvlJc w:val="left"/>
      <w:pPr>
        <w:tabs>
          <w:tab w:val="num" w:pos="680"/>
        </w:tabs>
        <w:ind w:left="680" w:hanging="396"/>
      </w:pPr>
      <w:rPr>
        <w:rFonts w:ascii="Symbol" w:hAnsi="Symbol" w:hint="default"/>
        <w:color w:val="auto"/>
        <w:position w:val="0"/>
        <w:sz w:val="22"/>
      </w:rPr>
    </w:lvl>
    <w:lvl w:ilvl="1">
      <w:start w:val="1"/>
      <w:numFmt w:val="bullet"/>
      <w:pStyle w:val="PullOutBoxBullet2"/>
      <w:lvlText w:val="o"/>
      <w:lvlJc w:val="left"/>
      <w:pPr>
        <w:tabs>
          <w:tab w:val="num" w:pos="1077"/>
        </w:tabs>
        <w:ind w:left="1077" w:hanging="397"/>
      </w:pPr>
      <w:rPr>
        <w:rFonts w:ascii="Courier New" w:hAnsi="Courier New" w:hint="default"/>
        <w:sz w:val="18"/>
      </w:rPr>
    </w:lvl>
    <w:lvl w:ilvl="2">
      <w:start w:val="1"/>
      <w:numFmt w:val="bullet"/>
      <w:pStyle w:val="PullOutBoxBullet3"/>
      <w:lvlText w:val="–"/>
      <w:lvlJc w:val="left"/>
      <w:pPr>
        <w:tabs>
          <w:tab w:val="num" w:pos="1474"/>
        </w:tabs>
        <w:ind w:left="1474" w:hanging="397"/>
      </w:pPr>
      <w:rPr>
        <w:rFonts w:ascii="Arial" w:hAnsi="Arial" w:hint="default"/>
        <w:color w:val="auto"/>
      </w:rPr>
    </w:lvl>
    <w:lvl w:ilvl="3">
      <w:start w:val="1"/>
      <w:numFmt w:val="bullet"/>
      <w:lvlText w:val=""/>
      <w:lvlJc w:val="left"/>
      <w:pPr>
        <w:ind w:left="2993" w:hanging="360"/>
      </w:pPr>
      <w:rPr>
        <w:rFonts w:ascii="Symbol" w:hAnsi="Symbol" w:hint="default"/>
      </w:rPr>
    </w:lvl>
    <w:lvl w:ilvl="4">
      <w:start w:val="1"/>
      <w:numFmt w:val="bullet"/>
      <w:lvlText w:val="o"/>
      <w:lvlJc w:val="left"/>
      <w:pPr>
        <w:ind w:left="3713" w:hanging="360"/>
      </w:pPr>
      <w:rPr>
        <w:rFonts w:ascii="Courier New" w:hAnsi="Courier New" w:cs="Courier New" w:hint="default"/>
      </w:rPr>
    </w:lvl>
    <w:lvl w:ilvl="5">
      <w:start w:val="1"/>
      <w:numFmt w:val="bullet"/>
      <w:lvlText w:val=""/>
      <w:lvlJc w:val="left"/>
      <w:pPr>
        <w:ind w:left="4433" w:hanging="360"/>
      </w:pPr>
      <w:rPr>
        <w:rFonts w:ascii="Wingdings" w:hAnsi="Wingdings" w:hint="default"/>
      </w:rPr>
    </w:lvl>
    <w:lvl w:ilvl="6">
      <w:start w:val="1"/>
      <w:numFmt w:val="bullet"/>
      <w:lvlText w:val=""/>
      <w:lvlJc w:val="left"/>
      <w:pPr>
        <w:ind w:left="5153" w:hanging="360"/>
      </w:pPr>
      <w:rPr>
        <w:rFonts w:ascii="Symbol" w:hAnsi="Symbol" w:hint="default"/>
      </w:rPr>
    </w:lvl>
    <w:lvl w:ilvl="7">
      <w:start w:val="1"/>
      <w:numFmt w:val="bullet"/>
      <w:lvlText w:val="o"/>
      <w:lvlJc w:val="left"/>
      <w:pPr>
        <w:ind w:left="5873" w:hanging="360"/>
      </w:pPr>
      <w:rPr>
        <w:rFonts w:ascii="Courier New" w:hAnsi="Courier New" w:cs="Courier New" w:hint="default"/>
      </w:rPr>
    </w:lvl>
    <w:lvl w:ilvl="8">
      <w:start w:val="1"/>
      <w:numFmt w:val="bullet"/>
      <w:lvlText w:val=""/>
      <w:lvlJc w:val="left"/>
      <w:pPr>
        <w:ind w:left="6593" w:hanging="360"/>
      </w:pPr>
      <w:rPr>
        <w:rFonts w:ascii="Wingdings" w:hAnsi="Wingdings" w:hint="default"/>
      </w:rPr>
    </w:lvl>
  </w:abstractNum>
  <w:abstractNum w:abstractNumId="16">
    <w:nsid w:val="1B0C4532"/>
    <w:multiLevelType w:val="hybridMultilevel"/>
    <w:tmpl w:val="CC8EF2E8"/>
    <w:lvl w:ilvl="0" w:tplc="F27AD556">
      <w:start w:val="1"/>
      <w:numFmt w:val="bullet"/>
      <w:lvlText w:val=""/>
      <w:lvlJc w:val="left"/>
      <w:pPr>
        <w:ind w:left="720" w:hanging="360"/>
      </w:pPr>
      <w:rPr>
        <w:rFonts w:ascii="Symbol" w:eastAsiaTheme="minorEastAsia"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nsid w:val="1CD37006"/>
    <w:multiLevelType w:val="multilevel"/>
    <w:tmpl w:val="74008CE2"/>
    <w:styleLink w:val="Headings"/>
    <w:lvl w:ilvl="0">
      <w:start w:val="1"/>
      <w:numFmt w:val="decimal"/>
      <w:lvlText w:val="%1."/>
      <w:lvlJc w:val="left"/>
      <w:pPr>
        <w:ind w:left="709" w:hanging="709"/>
      </w:pPr>
      <w:rPr>
        <w:rFonts w:hint="default"/>
      </w:rPr>
    </w:lvl>
    <w:lvl w:ilvl="1">
      <w:start w:val="1"/>
      <w:numFmt w:val="decimal"/>
      <w:lvlText w:val="%1.%2"/>
      <w:lvlJc w:val="left"/>
      <w:pPr>
        <w:ind w:left="709" w:hanging="709"/>
      </w:pPr>
      <w:rPr>
        <w:rFonts w:hint="default"/>
      </w:rPr>
    </w:lvl>
    <w:lvl w:ilvl="2">
      <w:start w:val="1"/>
      <w:numFmt w:val="decimal"/>
      <w:lvlText w:val="%1.%2.%3"/>
      <w:lvlJc w:val="left"/>
      <w:pPr>
        <w:ind w:left="709" w:hanging="709"/>
      </w:pPr>
      <w:rPr>
        <w:rFonts w:hint="default"/>
      </w:rPr>
    </w:lvl>
    <w:lvl w:ilvl="3">
      <w:start w:val="1"/>
      <w:numFmt w:val="none"/>
      <w:lvlText w:val=""/>
      <w:lvlJc w:val="left"/>
      <w:pPr>
        <w:ind w:left="709" w:hanging="709"/>
      </w:pPr>
      <w:rPr>
        <w:rFonts w:hint="default"/>
      </w:rPr>
    </w:lvl>
    <w:lvl w:ilvl="4">
      <w:start w:val="1"/>
      <w:numFmt w:val="none"/>
      <w:lvlText w:val=""/>
      <w:lvlJc w:val="left"/>
      <w:pPr>
        <w:ind w:left="709" w:hanging="709"/>
      </w:pPr>
      <w:rPr>
        <w:rFonts w:hint="default"/>
      </w:rPr>
    </w:lvl>
    <w:lvl w:ilvl="5">
      <w:start w:val="1"/>
      <w:numFmt w:val="none"/>
      <w:lvlText w:val=""/>
      <w:lvlJc w:val="left"/>
      <w:pPr>
        <w:ind w:left="709" w:hanging="709"/>
      </w:pPr>
      <w:rPr>
        <w:rFonts w:hint="default"/>
      </w:rPr>
    </w:lvl>
    <w:lvl w:ilvl="6">
      <w:start w:val="1"/>
      <w:numFmt w:val="decimal"/>
      <w:lvlRestart w:val="0"/>
      <w:suff w:val="space"/>
      <w:lvlText w:val="Appendix %7"/>
      <w:lvlJc w:val="left"/>
      <w:pPr>
        <w:ind w:left="0" w:firstLine="0"/>
      </w:pPr>
      <w:rPr>
        <w:rFonts w:hint="default"/>
      </w:rPr>
    </w:lvl>
    <w:lvl w:ilvl="7">
      <w:start w:val="1"/>
      <w:numFmt w:val="none"/>
      <w:lvlText w:val=""/>
      <w:lvlJc w:val="left"/>
      <w:pPr>
        <w:ind w:left="709" w:hanging="709"/>
      </w:pPr>
      <w:rPr>
        <w:rFonts w:hint="default"/>
      </w:rPr>
    </w:lvl>
    <w:lvl w:ilvl="8">
      <w:start w:val="1"/>
      <w:numFmt w:val="none"/>
      <w:lvlText w:val=""/>
      <w:lvlJc w:val="left"/>
      <w:pPr>
        <w:ind w:left="709" w:hanging="709"/>
      </w:pPr>
      <w:rPr>
        <w:rFonts w:hint="default"/>
      </w:rPr>
    </w:lvl>
  </w:abstractNum>
  <w:abstractNum w:abstractNumId="18">
    <w:nsid w:val="20F8712A"/>
    <w:multiLevelType w:val="hybridMultilevel"/>
    <w:tmpl w:val="60EC9AA4"/>
    <w:lvl w:ilvl="0" w:tplc="10BC7036">
      <w:start w:val="1"/>
      <w:numFmt w:val="decimal"/>
      <w:lvlText w:val="%1."/>
      <w:lvlJc w:val="left"/>
      <w:pPr>
        <w:ind w:left="360" w:hanging="360"/>
      </w:pPr>
      <w:rPr>
        <w:rFonts w:cs="Times New Roman"/>
        <w:b/>
      </w:rPr>
    </w:lvl>
    <w:lvl w:ilvl="1" w:tplc="34C85C06">
      <w:start w:val="1"/>
      <w:numFmt w:val="lowerLetter"/>
      <w:lvlText w:val="%2."/>
      <w:lvlJc w:val="left"/>
      <w:pPr>
        <w:ind w:left="1440" w:hanging="720"/>
      </w:pPr>
      <w:rPr>
        <w:rFonts w:cs="Times New Roman" w:hint="default"/>
      </w:rPr>
    </w:lvl>
    <w:lvl w:ilvl="2" w:tplc="0C09001B" w:tentative="1">
      <w:start w:val="1"/>
      <w:numFmt w:val="lowerRoman"/>
      <w:lvlText w:val="%3."/>
      <w:lvlJc w:val="right"/>
      <w:pPr>
        <w:ind w:left="1800" w:hanging="180"/>
      </w:pPr>
      <w:rPr>
        <w:rFonts w:cs="Times New Roman"/>
      </w:rPr>
    </w:lvl>
    <w:lvl w:ilvl="3" w:tplc="0C09000F" w:tentative="1">
      <w:start w:val="1"/>
      <w:numFmt w:val="decimal"/>
      <w:lvlText w:val="%4."/>
      <w:lvlJc w:val="left"/>
      <w:pPr>
        <w:ind w:left="2520" w:hanging="360"/>
      </w:pPr>
      <w:rPr>
        <w:rFonts w:cs="Times New Roman"/>
      </w:rPr>
    </w:lvl>
    <w:lvl w:ilvl="4" w:tplc="0C090019" w:tentative="1">
      <w:start w:val="1"/>
      <w:numFmt w:val="lowerLetter"/>
      <w:lvlText w:val="%5."/>
      <w:lvlJc w:val="left"/>
      <w:pPr>
        <w:ind w:left="3240" w:hanging="360"/>
      </w:pPr>
      <w:rPr>
        <w:rFonts w:cs="Times New Roman"/>
      </w:rPr>
    </w:lvl>
    <w:lvl w:ilvl="5" w:tplc="0C09001B" w:tentative="1">
      <w:start w:val="1"/>
      <w:numFmt w:val="lowerRoman"/>
      <w:lvlText w:val="%6."/>
      <w:lvlJc w:val="right"/>
      <w:pPr>
        <w:ind w:left="3960" w:hanging="180"/>
      </w:pPr>
      <w:rPr>
        <w:rFonts w:cs="Times New Roman"/>
      </w:rPr>
    </w:lvl>
    <w:lvl w:ilvl="6" w:tplc="0C09000F" w:tentative="1">
      <w:start w:val="1"/>
      <w:numFmt w:val="decimal"/>
      <w:lvlText w:val="%7."/>
      <w:lvlJc w:val="left"/>
      <w:pPr>
        <w:ind w:left="4680" w:hanging="360"/>
      </w:pPr>
      <w:rPr>
        <w:rFonts w:cs="Times New Roman"/>
      </w:rPr>
    </w:lvl>
    <w:lvl w:ilvl="7" w:tplc="0C090019" w:tentative="1">
      <w:start w:val="1"/>
      <w:numFmt w:val="lowerLetter"/>
      <w:lvlText w:val="%8."/>
      <w:lvlJc w:val="left"/>
      <w:pPr>
        <w:ind w:left="5400" w:hanging="360"/>
      </w:pPr>
      <w:rPr>
        <w:rFonts w:cs="Times New Roman"/>
      </w:rPr>
    </w:lvl>
    <w:lvl w:ilvl="8" w:tplc="0C09001B" w:tentative="1">
      <w:start w:val="1"/>
      <w:numFmt w:val="lowerRoman"/>
      <w:lvlText w:val="%9."/>
      <w:lvlJc w:val="right"/>
      <w:pPr>
        <w:ind w:left="6120" w:hanging="180"/>
      </w:pPr>
      <w:rPr>
        <w:rFonts w:cs="Times New Roman"/>
      </w:rPr>
    </w:lvl>
  </w:abstractNum>
  <w:abstractNum w:abstractNumId="19">
    <w:nsid w:val="226A6EE6"/>
    <w:multiLevelType w:val="multilevel"/>
    <w:tmpl w:val="951CD05C"/>
    <w:lvl w:ilvl="0">
      <w:start w:val="1"/>
      <w:numFmt w:val="bullet"/>
      <w:pStyle w:val="TableListBullet"/>
      <w:lvlText w:val=""/>
      <w:lvlJc w:val="left"/>
      <w:pPr>
        <w:tabs>
          <w:tab w:val="num" w:pos="198"/>
        </w:tabs>
        <w:ind w:left="198" w:hanging="170"/>
      </w:pPr>
      <w:rPr>
        <w:rFonts w:ascii="Symbol" w:hAnsi="Symbol" w:hint="default"/>
        <w:color w:val="auto"/>
        <w:position w:val="0"/>
        <w:sz w:val="18"/>
      </w:rPr>
    </w:lvl>
    <w:lvl w:ilvl="1">
      <w:start w:val="1"/>
      <w:numFmt w:val="bullet"/>
      <w:pStyle w:val="TableListBullet2"/>
      <w:lvlText w:val="o"/>
      <w:lvlJc w:val="left"/>
      <w:pPr>
        <w:tabs>
          <w:tab w:val="num" w:pos="397"/>
        </w:tabs>
        <w:ind w:left="397" w:hanging="199"/>
      </w:pPr>
      <w:rPr>
        <w:rFonts w:ascii="Courier New" w:hAnsi="Courier New" w:hint="default"/>
        <w:color w:val="auto"/>
        <w:position w:val="2"/>
        <w:sz w:val="14"/>
      </w:rPr>
    </w:lvl>
    <w:lvl w:ilvl="2">
      <w:start w:val="1"/>
      <w:numFmt w:val="bullet"/>
      <w:pStyle w:val="TableListBullet3"/>
      <w:lvlText w:val="–"/>
      <w:lvlJc w:val="left"/>
      <w:pPr>
        <w:tabs>
          <w:tab w:val="num" w:pos="595"/>
        </w:tabs>
        <w:ind w:left="595" w:hanging="198"/>
      </w:pPr>
      <w:rPr>
        <w:rFonts w:ascii="Calibri" w:hAnsi="Calibri" w:hint="default"/>
        <w:color w:val="auto"/>
        <w:position w:val="0"/>
        <w:sz w:val="18"/>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20">
    <w:nsid w:val="25362F92"/>
    <w:multiLevelType w:val="hybridMultilevel"/>
    <w:tmpl w:val="78E20964"/>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1">
    <w:nsid w:val="259B74FF"/>
    <w:multiLevelType w:val="hybridMultilevel"/>
    <w:tmpl w:val="161EC9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26AD0679"/>
    <w:multiLevelType w:val="hybridMultilevel"/>
    <w:tmpl w:val="07F6E0A2"/>
    <w:lvl w:ilvl="0" w:tplc="0C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
    <w:nsid w:val="275D5D75"/>
    <w:multiLevelType w:val="hybridMultilevel"/>
    <w:tmpl w:val="33E2CF0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nsid w:val="27C445F5"/>
    <w:multiLevelType w:val="multilevel"/>
    <w:tmpl w:val="0EDEA0D8"/>
    <w:styleLink w:val="HangingList"/>
    <w:lvl w:ilvl="0">
      <w:start w:val="1"/>
      <w:numFmt w:val="none"/>
      <w:suff w:val="nothing"/>
      <w:lvlText w:val=""/>
      <w:lvlJc w:val="left"/>
      <w:pPr>
        <w:ind w:left="992" w:hanging="992"/>
      </w:pPr>
      <w:rPr>
        <w:rFonts w:hint="default"/>
      </w:rPr>
    </w:lvl>
    <w:lvl w:ilvl="1">
      <w:start w:val="1"/>
      <w:numFmt w:val="none"/>
      <w:suff w:val="nothing"/>
      <w:lvlText w:val=""/>
      <w:lvlJc w:val="left"/>
      <w:pPr>
        <w:ind w:left="1701" w:hanging="709"/>
      </w:pPr>
      <w:rPr>
        <w:rFonts w:hint="default"/>
      </w:rPr>
    </w:lvl>
    <w:lvl w:ilvl="2">
      <w:start w:val="1"/>
      <w:numFmt w:val="none"/>
      <w:suff w:val="nothing"/>
      <w:lvlText w:val=""/>
      <w:lvlJc w:val="left"/>
      <w:pPr>
        <w:ind w:left="2410" w:hanging="709"/>
      </w:pPr>
      <w:rPr>
        <w:rFonts w:hint="default"/>
      </w:rPr>
    </w:lvl>
    <w:lvl w:ilvl="3">
      <w:start w:val="1"/>
      <w:numFmt w:val="none"/>
      <w:suff w:val="nothing"/>
      <w:lvlText w:val=""/>
      <w:lvlJc w:val="left"/>
      <w:pPr>
        <w:ind w:left="3119" w:hanging="709"/>
      </w:pPr>
      <w:rPr>
        <w:rFonts w:hint="default"/>
      </w:rPr>
    </w:lvl>
    <w:lvl w:ilvl="4">
      <w:start w:val="1"/>
      <w:numFmt w:val="none"/>
      <w:suff w:val="nothing"/>
      <w:lvlText w:val=""/>
      <w:lvlJc w:val="left"/>
      <w:pPr>
        <w:ind w:left="3828" w:hanging="709"/>
      </w:pPr>
      <w:rPr>
        <w:rFonts w:hint="default"/>
      </w:rPr>
    </w:lvl>
    <w:lvl w:ilvl="5">
      <w:start w:val="1"/>
      <w:numFmt w:val="none"/>
      <w:suff w:val="nothing"/>
      <w:lvlText w:val=""/>
      <w:lvlJc w:val="left"/>
      <w:pPr>
        <w:ind w:left="4537" w:hanging="710"/>
      </w:pPr>
      <w:rPr>
        <w:rFonts w:hint="default"/>
      </w:rPr>
    </w:lvl>
    <w:lvl w:ilvl="6">
      <w:start w:val="1"/>
      <w:numFmt w:val="none"/>
      <w:suff w:val="nothing"/>
      <w:lvlText w:val=""/>
      <w:lvlJc w:val="left"/>
      <w:pPr>
        <w:ind w:left="5246" w:hanging="710"/>
      </w:pPr>
      <w:rPr>
        <w:rFonts w:hint="default"/>
      </w:rPr>
    </w:lvl>
    <w:lvl w:ilvl="7">
      <w:start w:val="1"/>
      <w:numFmt w:val="none"/>
      <w:suff w:val="nothing"/>
      <w:lvlText w:val=""/>
      <w:lvlJc w:val="left"/>
      <w:pPr>
        <w:ind w:left="5955" w:hanging="992"/>
      </w:pPr>
      <w:rPr>
        <w:rFonts w:hint="default"/>
      </w:rPr>
    </w:lvl>
    <w:lvl w:ilvl="8">
      <w:start w:val="1"/>
      <w:numFmt w:val="none"/>
      <w:suff w:val="nothing"/>
      <w:lvlText w:val=""/>
      <w:lvlJc w:val="left"/>
      <w:pPr>
        <w:ind w:left="6664" w:hanging="992"/>
      </w:pPr>
      <w:rPr>
        <w:rFonts w:hint="default"/>
      </w:rPr>
    </w:lvl>
  </w:abstractNum>
  <w:abstractNum w:abstractNumId="25">
    <w:nsid w:val="2C696240"/>
    <w:multiLevelType w:val="multilevel"/>
    <w:tmpl w:val="05EED632"/>
    <w:lvl w:ilvl="0">
      <w:start w:val="1"/>
      <w:numFmt w:val="bullet"/>
      <w:pStyle w:val="HighlightBoxBullet"/>
      <w:lvlText w:val=""/>
      <w:lvlJc w:val="left"/>
      <w:pPr>
        <w:ind w:left="624" w:hanging="284"/>
      </w:pPr>
      <w:rPr>
        <w:rFonts w:ascii="Symbol" w:hAnsi="Symbol" w:hint="default"/>
      </w:rPr>
    </w:lvl>
    <w:lvl w:ilvl="1">
      <w:start w:val="1"/>
      <w:numFmt w:val="bullet"/>
      <w:lvlText w:val="o"/>
      <w:lvlJc w:val="left"/>
      <w:pPr>
        <w:ind w:left="1724" w:hanging="360"/>
      </w:pPr>
      <w:rPr>
        <w:rFonts w:ascii="Courier New" w:hAnsi="Courier New" w:cs="Courier New" w:hint="default"/>
      </w:rPr>
    </w:lvl>
    <w:lvl w:ilvl="2">
      <w:start w:val="1"/>
      <w:numFmt w:val="bullet"/>
      <w:lvlText w:val=""/>
      <w:lvlJc w:val="left"/>
      <w:pPr>
        <w:ind w:left="2444" w:hanging="360"/>
      </w:pPr>
      <w:rPr>
        <w:rFonts w:ascii="Wingdings" w:hAnsi="Wingdings" w:hint="default"/>
      </w:rPr>
    </w:lvl>
    <w:lvl w:ilvl="3">
      <w:start w:val="1"/>
      <w:numFmt w:val="bullet"/>
      <w:lvlText w:val=""/>
      <w:lvlJc w:val="left"/>
      <w:pPr>
        <w:ind w:left="3164" w:hanging="360"/>
      </w:pPr>
      <w:rPr>
        <w:rFonts w:ascii="Symbol" w:hAnsi="Symbol" w:hint="default"/>
      </w:rPr>
    </w:lvl>
    <w:lvl w:ilvl="4">
      <w:start w:val="1"/>
      <w:numFmt w:val="bullet"/>
      <w:lvlText w:val="o"/>
      <w:lvlJc w:val="left"/>
      <w:pPr>
        <w:ind w:left="3884" w:hanging="360"/>
      </w:pPr>
      <w:rPr>
        <w:rFonts w:ascii="Courier New" w:hAnsi="Courier New" w:cs="Courier New" w:hint="default"/>
      </w:rPr>
    </w:lvl>
    <w:lvl w:ilvl="5">
      <w:start w:val="1"/>
      <w:numFmt w:val="bullet"/>
      <w:lvlText w:val=""/>
      <w:lvlJc w:val="left"/>
      <w:pPr>
        <w:ind w:left="4604" w:hanging="360"/>
      </w:pPr>
      <w:rPr>
        <w:rFonts w:ascii="Wingdings" w:hAnsi="Wingdings" w:hint="default"/>
      </w:rPr>
    </w:lvl>
    <w:lvl w:ilvl="6">
      <w:start w:val="1"/>
      <w:numFmt w:val="bullet"/>
      <w:lvlText w:val=""/>
      <w:lvlJc w:val="left"/>
      <w:pPr>
        <w:ind w:left="5324" w:hanging="360"/>
      </w:pPr>
      <w:rPr>
        <w:rFonts w:ascii="Symbol" w:hAnsi="Symbol" w:hint="default"/>
      </w:rPr>
    </w:lvl>
    <w:lvl w:ilvl="7">
      <w:start w:val="1"/>
      <w:numFmt w:val="bullet"/>
      <w:lvlText w:val="o"/>
      <w:lvlJc w:val="left"/>
      <w:pPr>
        <w:ind w:left="6044" w:hanging="360"/>
      </w:pPr>
      <w:rPr>
        <w:rFonts w:ascii="Courier New" w:hAnsi="Courier New" w:cs="Courier New" w:hint="default"/>
      </w:rPr>
    </w:lvl>
    <w:lvl w:ilvl="8">
      <w:start w:val="1"/>
      <w:numFmt w:val="bullet"/>
      <w:lvlText w:val=""/>
      <w:lvlJc w:val="left"/>
      <w:pPr>
        <w:ind w:left="6764" w:hanging="360"/>
      </w:pPr>
      <w:rPr>
        <w:rFonts w:ascii="Wingdings" w:hAnsi="Wingdings" w:hint="default"/>
      </w:rPr>
    </w:lvl>
  </w:abstractNum>
  <w:abstractNum w:abstractNumId="26">
    <w:nsid w:val="2C976934"/>
    <w:multiLevelType w:val="multilevel"/>
    <w:tmpl w:val="C9881CB4"/>
    <w:name w:val="TableBullets"/>
    <w:styleLink w:val="TableBullets"/>
    <w:lvl w:ilvl="0">
      <w:start w:val="1"/>
      <w:numFmt w:val="bullet"/>
      <w:suff w:val="nothing"/>
      <w:lvlText w:val=""/>
      <w:lvlJc w:val="left"/>
      <w:pPr>
        <w:ind w:left="284" w:hanging="171"/>
      </w:pPr>
      <w:rPr>
        <w:rFonts w:ascii="Symbol" w:hAnsi="Symbol" w:hint="default"/>
        <w:color w:val="auto"/>
      </w:rPr>
    </w:lvl>
    <w:lvl w:ilvl="1">
      <w:start w:val="1"/>
      <w:numFmt w:val="bullet"/>
      <w:lvlText w:val="–"/>
      <w:lvlJc w:val="left"/>
      <w:pPr>
        <w:ind w:left="454" w:hanging="170"/>
      </w:pPr>
      <w:rPr>
        <w:rFonts w:ascii="Georgia" w:hAnsi="Georgia" w:hint="default"/>
        <w:color w:val="auto"/>
      </w:rPr>
    </w:lvl>
    <w:lvl w:ilvl="2">
      <w:start w:val="1"/>
      <w:numFmt w:val="bullet"/>
      <w:lvlText w:val="o"/>
      <w:lvlJc w:val="left"/>
      <w:pPr>
        <w:tabs>
          <w:tab w:val="num" w:pos="454"/>
        </w:tabs>
        <w:ind w:left="624" w:hanging="170"/>
      </w:pPr>
      <w:rPr>
        <w:rFonts w:ascii="Courier New" w:hAnsi="Courier New" w:hint="default"/>
      </w:rPr>
    </w:lvl>
    <w:lvl w:ilvl="3">
      <w:start w:val="1"/>
      <w:numFmt w:val="none"/>
      <w:lvlText w:val=""/>
      <w:lvlJc w:val="left"/>
      <w:pPr>
        <w:ind w:left="340" w:hanging="340"/>
      </w:pPr>
      <w:rPr>
        <w:rFonts w:hint="default"/>
      </w:rPr>
    </w:lvl>
    <w:lvl w:ilvl="4">
      <w:start w:val="1"/>
      <w:numFmt w:val="none"/>
      <w:lvlText w:val=""/>
      <w:lvlJc w:val="left"/>
      <w:pPr>
        <w:ind w:left="340" w:hanging="340"/>
      </w:pPr>
      <w:rPr>
        <w:rFonts w:hint="default"/>
      </w:rPr>
    </w:lvl>
    <w:lvl w:ilvl="5">
      <w:start w:val="1"/>
      <w:numFmt w:val="none"/>
      <w:lvlText w:val=""/>
      <w:lvlJc w:val="left"/>
      <w:pPr>
        <w:ind w:left="340" w:hanging="340"/>
      </w:pPr>
      <w:rPr>
        <w:rFonts w:hint="default"/>
      </w:rPr>
    </w:lvl>
    <w:lvl w:ilvl="6">
      <w:start w:val="1"/>
      <w:numFmt w:val="none"/>
      <w:lvlText w:val=""/>
      <w:lvlJc w:val="left"/>
      <w:pPr>
        <w:ind w:left="340" w:hanging="340"/>
      </w:pPr>
      <w:rPr>
        <w:rFonts w:hint="default"/>
      </w:rPr>
    </w:lvl>
    <w:lvl w:ilvl="7">
      <w:start w:val="1"/>
      <w:numFmt w:val="none"/>
      <w:lvlText w:val=""/>
      <w:lvlJc w:val="left"/>
      <w:pPr>
        <w:ind w:left="340" w:hanging="340"/>
      </w:pPr>
      <w:rPr>
        <w:rFonts w:hint="default"/>
      </w:rPr>
    </w:lvl>
    <w:lvl w:ilvl="8">
      <w:start w:val="1"/>
      <w:numFmt w:val="none"/>
      <w:lvlText w:val=""/>
      <w:lvlJc w:val="left"/>
      <w:pPr>
        <w:ind w:left="340" w:hanging="340"/>
      </w:pPr>
      <w:rPr>
        <w:rFonts w:hint="default"/>
      </w:rPr>
    </w:lvl>
  </w:abstractNum>
  <w:abstractNum w:abstractNumId="27">
    <w:nsid w:val="2D130066"/>
    <w:multiLevelType w:val="hybridMultilevel"/>
    <w:tmpl w:val="CA5004F4"/>
    <w:lvl w:ilvl="0" w:tplc="6EEE34C6">
      <w:start w:val="1"/>
      <w:numFmt w:val="bullet"/>
      <w:lvlText w:val="•"/>
      <w:lvlJc w:val="left"/>
      <w:pPr>
        <w:tabs>
          <w:tab w:val="num" w:pos="360"/>
        </w:tabs>
        <w:ind w:left="360" w:hanging="360"/>
      </w:pPr>
      <w:rPr>
        <w:rFonts w:ascii="Arial" w:hAnsi="Arial" w:cs="Times New Roman" w:hint="default"/>
      </w:rPr>
    </w:lvl>
    <w:lvl w:ilvl="1" w:tplc="EA102CF4">
      <w:start w:val="1"/>
      <w:numFmt w:val="bullet"/>
      <w:lvlText w:val="•"/>
      <w:lvlJc w:val="left"/>
      <w:pPr>
        <w:tabs>
          <w:tab w:val="num" w:pos="1080"/>
        </w:tabs>
        <w:ind w:left="1080" w:hanging="360"/>
      </w:pPr>
      <w:rPr>
        <w:rFonts w:ascii="Arial" w:hAnsi="Arial" w:cs="Times New Roman" w:hint="default"/>
      </w:rPr>
    </w:lvl>
    <w:lvl w:ilvl="2" w:tplc="177C7940">
      <w:start w:val="1"/>
      <w:numFmt w:val="bullet"/>
      <w:lvlText w:val="•"/>
      <w:lvlJc w:val="left"/>
      <w:pPr>
        <w:tabs>
          <w:tab w:val="num" w:pos="1800"/>
        </w:tabs>
        <w:ind w:left="1800" w:hanging="360"/>
      </w:pPr>
      <w:rPr>
        <w:rFonts w:ascii="Arial" w:hAnsi="Arial" w:cs="Times New Roman" w:hint="default"/>
      </w:rPr>
    </w:lvl>
    <w:lvl w:ilvl="3" w:tplc="F2149296">
      <w:start w:val="1"/>
      <w:numFmt w:val="bullet"/>
      <w:lvlText w:val="•"/>
      <w:lvlJc w:val="left"/>
      <w:pPr>
        <w:tabs>
          <w:tab w:val="num" w:pos="2520"/>
        </w:tabs>
        <w:ind w:left="2520" w:hanging="360"/>
      </w:pPr>
      <w:rPr>
        <w:rFonts w:ascii="Arial" w:hAnsi="Arial" w:cs="Times New Roman" w:hint="default"/>
      </w:rPr>
    </w:lvl>
    <w:lvl w:ilvl="4" w:tplc="2730AAC8">
      <w:start w:val="1"/>
      <w:numFmt w:val="bullet"/>
      <w:lvlText w:val="•"/>
      <w:lvlJc w:val="left"/>
      <w:pPr>
        <w:tabs>
          <w:tab w:val="num" w:pos="3240"/>
        </w:tabs>
        <w:ind w:left="3240" w:hanging="360"/>
      </w:pPr>
      <w:rPr>
        <w:rFonts w:ascii="Arial" w:hAnsi="Arial" w:cs="Times New Roman" w:hint="default"/>
      </w:rPr>
    </w:lvl>
    <w:lvl w:ilvl="5" w:tplc="3C226960">
      <w:start w:val="1"/>
      <w:numFmt w:val="bullet"/>
      <w:lvlText w:val="•"/>
      <w:lvlJc w:val="left"/>
      <w:pPr>
        <w:tabs>
          <w:tab w:val="num" w:pos="3960"/>
        </w:tabs>
        <w:ind w:left="3960" w:hanging="360"/>
      </w:pPr>
      <w:rPr>
        <w:rFonts w:ascii="Arial" w:hAnsi="Arial" w:cs="Times New Roman" w:hint="default"/>
      </w:rPr>
    </w:lvl>
    <w:lvl w:ilvl="6" w:tplc="DF50A7F2">
      <w:start w:val="1"/>
      <w:numFmt w:val="bullet"/>
      <w:lvlText w:val="•"/>
      <w:lvlJc w:val="left"/>
      <w:pPr>
        <w:tabs>
          <w:tab w:val="num" w:pos="4680"/>
        </w:tabs>
        <w:ind w:left="4680" w:hanging="360"/>
      </w:pPr>
      <w:rPr>
        <w:rFonts w:ascii="Arial" w:hAnsi="Arial" w:cs="Times New Roman" w:hint="default"/>
      </w:rPr>
    </w:lvl>
    <w:lvl w:ilvl="7" w:tplc="704A41EE">
      <w:start w:val="1"/>
      <w:numFmt w:val="bullet"/>
      <w:lvlText w:val="•"/>
      <w:lvlJc w:val="left"/>
      <w:pPr>
        <w:tabs>
          <w:tab w:val="num" w:pos="5400"/>
        </w:tabs>
        <w:ind w:left="5400" w:hanging="360"/>
      </w:pPr>
      <w:rPr>
        <w:rFonts w:ascii="Arial" w:hAnsi="Arial" w:cs="Times New Roman" w:hint="default"/>
      </w:rPr>
    </w:lvl>
    <w:lvl w:ilvl="8" w:tplc="AB5C5BD0">
      <w:start w:val="1"/>
      <w:numFmt w:val="bullet"/>
      <w:lvlText w:val="•"/>
      <w:lvlJc w:val="left"/>
      <w:pPr>
        <w:tabs>
          <w:tab w:val="num" w:pos="6120"/>
        </w:tabs>
        <w:ind w:left="6120" w:hanging="360"/>
      </w:pPr>
      <w:rPr>
        <w:rFonts w:ascii="Arial" w:hAnsi="Arial" w:cs="Times New Roman" w:hint="default"/>
      </w:rPr>
    </w:lvl>
  </w:abstractNum>
  <w:abstractNum w:abstractNumId="28">
    <w:nsid w:val="2EC62F65"/>
    <w:multiLevelType w:val="hybridMultilevel"/>
    <w:tmpl w:val="096CE9F0"/>
    <w:lvl w:ilvl="0" w:tplc="0C090001">
      <w:start w:val="1"/>
      <w:numFmt w:val="bullet"/>
      <w:lvlText w:val=""/>
      <w:lvlJc w:val="left"/>
      <w:pPr>
        <w:ind w:left="720" w:hanging="360"/>
      </w:pPr>
      <w:rPr>
        <w:rFonts w:ascii="Symbol" w:hAnsi="Symbol" w:hint="default"/>
        <w:color w:val="auto"/>
        <w:sz w:val="18"/>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9">
    <w:nsid w:val="3134491B"/>
    <w:multiLevelType w:val="hybridMultilevel"/>
    <w:tmpl w:val="AD6A3AE4"/>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0">
    <w:nsid w:val="315672CA"/>
    <w:multiLevelType w:val="multilevel"/>
    <w:tmpl w:val="F9C0EF30"/>
    <w:name w:val="Table Numbering"/>
    <w:lvl w:ilvl="0">
      <w:start w:val="1"/>
      <w:numFmt w:val="decimal"/>
      <w:pStyle w:val="TableListNumber"/>
      <w:lvlText w:val="%1."/>
      <w:lvlJc w:val="left"/>
      <w:pPr>
        <w:tabs>
          <w:tab w:val="num" w:pos="312"/>
        </w:tabs>
        <w:ind w:left="312" w:hanging="284"/>
      </w:pPr>
      <w:rPr>
        <w:rFonts w:hint="default"/>
        <w:color w:val="252420"/>
      </w:rPr>
    </w:lvl>
    <w:lvl w:ilvl="1">
      <w:start w:val="1"/>
      <w:numFmt w:val="lowerLetter"/>
      <w:pStyle w:val="TableListNumber2"/>
      <w:lvlText w:val="%2."/>
      <w:lvlJc w:val="left"/>
      <w:pPr>
        <w:tabs>
          <w:tab w:val="num" w:pos="595"/>
        </w:tabs>
        <w:ind w:left="595" w:hanging="283"/>
      </w:pPr>
      <w:rPr>
        <w:rFonts w:hint="default"/>
        <w:color w:val="252420"/>
      </w:rPr>
    </w:lvl>
    <w:lvl w:ilvl="2">
      <w:start w:val="1"/>
      <w:numFmt w:val="lowerRoman"/>
      <w:pStyle w:val="TableListNumber3"/>
      <w:lvlText w:val="%3."/>
      <w:lvlJc w:val="left"/>
      <w:pPr>
        <w:tabs>
          <w:tab w:val="num" w:pos="879"/>
        </w:tabs>
        <w:ind w:left="879" w:hanging="284"/>
      </w:pPr>
      <w:rPr>
        <w:rFonts w:hint="default"/>
        <w:color w:val="252420"/>
        <w:sz w:val="18"/>
      </w:rPr>
    </w:lvl>
    <w:lvl w:ilvl="3">
      <w:start w:val="1"/>
      <w:numFmt w:val="none"/>
      <w:lvlText w:val=""/>
      <w:lvlJc w:val="left"/>
      <w:pPr>
        <w:ind w:left="1682" w:hanging="906"/>
      </w:pPr>
      <w:rPr>
        <w:rFonts w:hint="default"/>
      </w:rPr>
    </w:lvl>
    <w:lvl w:ilvl="4">
      <w:start w:val="1"/>
      <w:numFmt w:val="none"/>
      <w:lvlText w:val=""/>
      <w:lvlJc w:val="left"/>
      <w:pPr>
        <w:ind w:left="1795" w:hanging="1019"/>
      </w:pPr>
      <w:rPr>
        <w:rFonts w:hint="default"/>
      </w:rPr>
    </w:lvl>
    <w:lvl w:ilvl="5">
      <w:start w:val="1"/>
      <w:numFmt w:val="none"/>
      <w:lvlText w:val=""/>
      <w:lvlJc w:val="left"/>
      <w:pPr>
        <w:ind w:left="1908" w:hanging="1132"/>
      </w:pPr>
      <w:rPr>
        <w:rFonts w:hint="default"/>
      </w:rPr>
    </w:lvl>
    <w:lvl w:ilvl="6">
      <w:start w:val="1"/>
      <w:numFmt w:val="none"/>
      <w:lvlText w:val=""/>
      <w:lvlJc w:val="left"/>
      <w:pPr>
        <w:ind w:left="2021" w:hanging="1245"/>
      </w:pPr>
      <w:rPr>
        <w:rFonts w:hint="default"/>
      </w:rPr>
    </w:lvl>
    <w:lvl w:ilvl="7">
      <w:start w:val="1"/>
      <w:numFmt w:val="none"/>
      <w:lvlText w:val=""/>
      <w:lvlJc w:val="left"/>
      <w:pPr>
        <w:tabs>
          <w:tab w:val="num" w:pos="5766"/>
        </w:tabs>
        <w:ind w:left="2134" w:hanging="1358"/>
      </w:pPr>
      <w:rPr>
        <w:rFonts w:hint="default"/>
      </w:rPr>
    </w:lvl>
    <w:lvl w:ilvl="8">
      <w:start w:val="1"/>
      <w:numFmt w:val="none"/>
      <w:lvlText w:val=""/>
      <w:lvlJc w:val="left"/>
      <w:pPr>
        <w:ind w:left="2247" w:hanging="1471"/>
      </w:pPr>
      <w:rPr>
        <w:rFonts w:hint="default"/>
      </w:rPr>
    </w:lvl>
  </w:abstractNum>
  <w:abstractNum w:abstractNumId="31">
    <w:nsid w:val="3420750F"/>
    <w:multiLevelType w:val="hybridMultilevel"/>
    <w:tmpl w:val="FC8C0E66"/>
    <w:lvl w:ilvl="0" w:tplc="0C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2">
    <w:nsid w:val="343A47B4"/>
    <w:multiLevelType w:val="hybridMultilevel"/>
    <w:tmpl w:val="16DAFFE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35E974CE"/>
    <w:multiLevelType w:val="hybridMultilevel"/>
    <w:tmpl w:val="AAFAB8C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37AA2C9B"/>
    <w:multiLevelType w:val="hybridMultilevel"/>
    <w:tmpl w:val="643A80F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5">
    <w:nsid w:val="39ED7AC3"/>
    <w:multiLevelType w:val="hybridMultilevel"/>
    <w:tmpl w:val="060A286A"/>
    <w:lvl w:ilvl="0" w:tplc="E7D09C28">
      <w:start w:val="1"/>
      <w:numFmt w:val="decimal"/>
      <w:lvlText w:val="%1."/>
      <w:lvlJc w:val="left"/>
      <w:pPr>
        <w:ind w:left="360" w:hanging="360"/>
      </w:pPr>
      <w:rPr>
        <w:rFonts w:asciiTheme="minorHAnsi" w:hAnsiTheme="minorHAnsi" w:cstheme="minorHAnsi"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6">
    <w:nsid w:val="3C5D7DAC"/>
    <w:multiLevelType w:val="hybridMultilevel"/>
    <w:tmpl w:val="0DC0DF3E"/>
    <w:lvl w:ilvl="0" w:tplc="EA0C55A4">
      <w:start w:val="1"/>
      <w:numFmt w:val="bullet"/>
      <w:lvlText w:val="•"/>
      <w:lvlJc w:val="left"/>
      <w:pPr>
        <w:tabs>
          <w:tab w:val="num" w:pos="302"/>
        </w:tabs>
        <w:ind w:left="302" w:hanging="360"/>
      </w:pPr>
      <w:rPr>
        <w:rFonts w:ascii="Arial" w:hAnsi="Arial" w:cs="Times New Roman" w:hint="default"/>
      </w:rPr>
    </w:lvl>
    <w:lvl w:ilvl="1" w:tplc="D9C02FBE">
      <w:start w:val="1"/>
      <w:numFmt w:val="bullet"/>
      <w:lvlText w:val="•"/>
      <w:lvlJc w:val="left"/>
      <w:pPr>
        <w:tabs>
          <w:tab w:val="num" w:pos="1022"/>
        </w:tabs>
        <w:ind w:left="1022" w:hanging="360"/>
      </w:pPr>
      <w:rPr>
        <w:rFonts w:ascii="Arial" w:hAnsi="Arial" w:cs="Times New Roman" w:hint="default"/>
      </w:rPr>
    </w:lvl>
    <w:lvl w:ilvl="2" w:tplc="DD76AF2E">
      <w:start w:val="1"/>
      <w:numFmt w:val="bullet"/>
      <w:lvlText w:val="•"/>
      <w:lvlJc w:val="left"/>
      <w:pPr>
        <w:tabs>
          <w:tab w:val="num" w:pos="1742"/>
        </w:tabs>
        <w:ind w:left="1742" w:hanging="360"/>
      </w:pPr>
      <w:rPr>
        <w:rFonts w:ascii="Arial" w:hAnsi="Arial" w:cs="Times New Roman" w:hint="default"/>
      </w:rPr>
    </w:lvl>
    <w:lvl w:ilvl="3" w:tplc="F692043A">
      <w:start w:val="1"/>
      <w:numFmt w:val="bullet"/>
      <w:lvlText w:val="•"/>
      <w:lvlJc w:val="left"/>
      <w:pPr>
        <w:tabs>
          <w:tab w:val="num" w:pos="2462"/>
        </w:tabs>
        <w:ind w:left="2462" w:hanging="360"/>
      </w:pPr>
      <w:rPr>
        <w:rFonts w:ascii="Arial" w:hAnsi="Arial" w:cs="Times New Roman" w:hint="default"/>
      </w:rPr>
    </w:lvl>
    <w:lvl w:ilvl="4" w:tplc="6A7CB016">
      <w:start w:val="1"/>
      <w:numFmt w:val="bullet"/>
      <w:lvlText w:val="•"/>
      <w:lvlJc w:val="left"/>
      <w:pPr>
        <w:tabs>
          <w:tab w:val="num" w:pos="3182"/>
        </w:tabs>
        <w:ind w:left="3182" w:hanging="360"/>
      </w:pPr>
      <w:rPr>
        <w:rFonts w:ascii="Arial" w:hAnsi="Arial" w:cs="Times New Roman" w:hint="default"/>
      </w:rPr>
    </w:lvl>
    <w:lvl w:ilvl="5" w:tplc="B9EC2572">
      <w:start w:val="1"/>
      <w:numFmt w:val="bullet"/>
      <w:lvlText w:val="•"/>
      <w:lvlJc w:val="left"/>
      <w:pPr>
        <w:tabs>
          <w:tab w:val="num" w:pos="3902"/>
        </w:tabs>
        <w:ind w:left="3902" w:hanging="360"/>
      </w:pPr>
      <w:rPr>
        <w:rFonts w:ascii="Arial" w:hAnsi="Arial" w:cs="Times New Roman" w:hint="default"/>
      </w:rPr>
    </w:lvl>
    <w:lvl w:ilvl="6" w:tplc="EAD0E028">
      <w:start w:val="1"/>
      <w:numFmt w:val="bullet"/>
      <w:lvlText w:val="•"/>
      <w:lvlJc w:val="left"/>
      <w:pPr>
        <w:tabs>
          <w:tab w:val="num" w:pos="4622"/>
        </w:tabs>
        <w:ind w:left="4622" w:hanging="360"/>
      </w:pPr>
      <w:rPr>
        <w:rFonts w:ascii="Arial" w:hAnsi="Arial" w:cs="Times New Roman" w:hint="default"/>
      </w:rPr>
    </w:lvl>
    <w:lvl w:ilvl="7" w:tplc="EFD8E076">
      <w:start w:val="1"/>
      <w:numFmt w:val="bullet"/>
      <w:lvlText w:val="•"/>
      <w:lvlJc w:val="left"/>
      <w:pPr>
        <w:tabs>
          <w:tab w:val="num" w:pos="5342"/>
        </w:tabs>
        <w:ind w:left="5342" w:hanging="360"/>
      </w:pPr>
      <w:rPr>
        <w:rFonts w:ascii="Arial" w:hAnsi="Arial" w:cs="Times New Roman" w:hint="default"/>
      </w:rPr>
    </w:lvl>
    <w:lvl w:ilvl="8" w:tplc="9D0EBE38">
      <w:start w:val="1"/>
      <w:numFmt w:val="bullet"/>
      <w:lvlText w:val="•"/>
      <w:lvlJc w:val="left"/>
      <w:pPr>
        <w:tabs>
          <w:tab w:val="num" w:pos="6062"/>
        </w:tabs>
        <w:ind w:left="6062" w:hanging="360"/>
      </w:pPr>
      <w:rPr>
        <w:rFonts w:ascii="Arial" w:hAnsi="Arial" w:cs="Times New Roman" w:hint="default"/>
      </w:rPr>
    </w:lvl>
  </w:abstractNum>
  <w:abstractNum w:abstractNumId="37">
    <w:nsid w:val="3C9561CB"/>
    <w:multiLevelType w:val="hybridMultilevel"/>
    <w:tmpl w:val="3D6269C4"/>
    <w:lvl w:ilvl="0" w:tplc="566031A6">
      <w:start w:val="1"/>
      <w:numFmt w:val="bullet"/>
      <w:lvlText w:val="►"/>
      <w:lvlJc w:val="left"/>
      <w:pPr>
        <w:ind w:left="720" w:hanging="360"/>
      </w:pPr>
      <w:rPr>
        <w:rFonts w:ascii="Arial" w:hAnsi="Arial" w:cs="Times New Roman"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38">
    <w:nsid w:val="3D55226F"/>
    <w:multiLevelType w:val="hybridMultilevel"/>
    <w:tmpl w:val="70B66712"/>
    <w:lvl w:ilvl="0" w:tplc="47921B9A">
      <w:start w:val="1"/>
      <w:numFmt w:val="bullet"/>
      <w:lvlText w:val="►"/>
      <w:lvlJc w:val="left"/>
      <w:pPr>
        <w:ind w:left="720" w:hanging="360"/>
      </w:pPr>
      <w:rPr>
        <w:rFonts w:ascii="Arial" w:hAnsi="Arial" w:cs="Times New Roman" w:hint="default"/>
        <w:color w:val="auto"/>
        <w:sz w:val="18"/>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39">
    <w:nsid w:val="3E9E64F0"/>
    <w:multiLevelType w:val="hybridMultilevel"/>
    <w:tmpl w:val="3B48C0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3EE81803"/>
    <w:multiLevelType w:val="hybridMultilevel"/>
    <w:tmpl w:val="A86E005C"/>
    <w:lvl w:ilvl="0" w:tplc="0C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1">
    <w:nsid w:val="41953EFB"/>
    <w:multiLevelType w:val="hybridMultilevel"/>
    <w:tmpl w:val="526E9BF2"/>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42">
    <w:nsid w:val="41EB1538"/>
    <w:multiLevelType w:val="hybridMultilevel"/>
    <w:tmpl w:val="CD2CCEA4"/>
    <w:lvl w:ilvl="0" w:tplc="5C9A14D6">
      <w:numFmt w:val="bullet"/>
      <w:lvlText w:val="-"/>
      <w:lvlJc w:val="left"/>
      <w:pPr>
        <w:ind w:left="720" w:hanging="360"/>
      </w:pPr>
      <w:rPr>
        <w:rFonts w:ascii="Arial" w:eastAsiaTheme="minorEastAsia"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nsid w:val="45AB6A9B"/>
    <w:multiLevelType w:val="hybridMultilevel"/>
    <w:tmpl w:val="F5FEC65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44">
    <w:nsid w:val="45BA3EBF"/>
    <w:multiLevelType w:val="multilevel"/>
    <w:tmpl w:val="A34AFEE8"/>
    <w:styleLink w:val="PullOutBoxNumbering"/>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5">
    <w:nsid w:val="48ED02C6"/>
    <w:multiLevelType w:val="hybridMultilevel"/>
    <w:tmpl w:val="C9928A4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6">
    <w:nsid w:val="49950BB0"/>
    <w:multiLevelType w:val="hybridMultilevel"/>
    <w:tmpl w:val="16E847F4"/>
    <w:lvl w:ilvl="0" w:tplc="0C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49EE60F0"/>
    <w:multiLevelType w:val="hybridMultilevel"/>
    <w:tmpl w:val="4F9EB44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8">
    <w:nsid w:val="4AAF5D62"/>
    <w:multiLevelType w:val="hybridMultilevel"/>
    <w:tmpl w:val="AB54526C"/>
    <w:lvl w:ilvl="0" w:tplc="E83AC09E">
      <w:start w:val="1"/>
      <w:numFmt w:val="bullet"/>
      <w:lvlText w:val=""/>
      <w:lvlJc w:val="left"/>
      <w:pPr>
        <w:ind w:left="1080" w:hanging="360"/>
      </w:pPr>
      <w:rPr>
        <w:rFonts w:ascii="Wingdings" w:hAnsi="Wingdings" w:hint="default"/>
        <w:color w:val="7F7F7F" w:themeColor="text1" w:themeTint="80"/>
      </w:rPr>
    </w:lvl>
    <w:lvl w:ilvl="1" w:tplc="6DDE5848">
      <w:start w:val="1"/>
      <w:numFmt w:val="bullet"/>
      <w:lvlText w:val="—"/>
      <w:lvlJc w:val="left"/>
      <w:pPr>
        <w:ind w:left="1800" w:hanging="360"/>
      </w:pPr>
      <w:rPr>
        <w:rFonts w:ascii="Agency FB" w:hAnsi="Agency FB"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49">
    <w:nsid w:val="4C063496"/>
    <w:multiLevelType w:val="multilevel"/>
    <w:tmpl w:val="9ADC5578"/>
    <w:styleLink w:val="TableNumbering"/>
    <w:lvl w:ilvl="0">
      <w:start w:val="1"/>
      <w:numFmt w:val="decimal"/>
      <w:lvlText w:val="%1."/>
      <w:lvlJc w:val="left"/>
      <w:pPr>
        <w:ind w:left="680" w:hanging="567"/>
      </w:pPr>
      <w:rPr>
        <w:rFonts w:hint="default"/>
      </w:rPr>
    </w:lvl>
    <w:lvl w:ilvl="1">
      <w:start w:val="1"/>
      <w:numFmt w:val="decimal"/>
      <w:lvlText w:val="%1.%2"/>
      <w:lvlJc w:val="left"/>
      <w:pPr>
        <w:ind w:left="680" w:hanging="567"/>
      </w:pPr>
      <w:rPr>
        <w:rFonts w:hint="default"/>
      </w:rPr>
    </w:lvl>
    <w:lvl w:ilvl="2">
      <w:start w:val="1"/>
      <w:numFmt w:val="decimal"/>
      <w:lvlText w:val="%1.%2.%3"/>
      <w:lvlJc w:val="left"/>
      <w:pPr>
        <w:ind w:left="680" w:hanging="567"/>
      </w:pPr>
      <w:rPr>
        <w:rFonts w:hint="default"/>
      </w:rPr>
    </w:lvl>
    <w:lvl w:ilvl="3">
      <w:start w:val="1"/>
      <w:numFmt w:val="none"/>
      <w:lvlText w:val=""/>
      <w:lvlJc w:val="left"/>
      <w:pPr>
        <w:ind w:left="1019" w:hanging="906"/>
      </w:pPr>
      <w:rPr>
        <w:rFonts w:hint="default"/>
      </w:rPr>
    </w:lvl>
    <w:lvl w:ilvl="4">
      <w:start w:val="1"/>
      <w:numFmt w:val="none"/>
      <w:lvlText w:val=""/>
      <w:lvlJc w:val="left"/>
      <w:pPr>
        <w:ind w:left="1132" w:hanging="1019"/>
      </w:pPr>
      <w:rPr>
        <w:rFonts w:hint="default"/>
      </w:rPr>
    </w:lvl>
    <w:lvl w:ilvl="5">
      <w:start w:val="1"/>
      <w:numFmt w:val="none"/>
      <w:lvlText w:val=""/>
      <w:lvlJc w:val="left"/>
      <w:pPr>
        <w:ind w:left="1245" w:hanging="1132"/>
      </w:pPr>
      <w:rPr>
        <w:rFonts w:hint="default"/>
      </w:rPr>
    </w:lvl>
    <w:lvl w:ilvl="6">
      <w:start w:val="1"/>
      <w:numFmt w:val="none"/>
      <w:lvlText w:val=""/>
      <w:lvlJc w:val="left"/>
      <w:pPr>
        <w:ind w:left="1358" w:hanging="1245"/>
      </w:pPr>
      <w:rPr>
        <w:rFonts w:hint="default"/>
      </w:rPr>
    </w:lvl>
    <w:lvl w:ilvl="7">
      <w:start w:val="1"/>
      <w:numFmt w:val="none"/>
      <w:lvlText w:val=""/>
      <w:lvlJc w:val="left"/>
      <w:pPr>
        <w:tabs>
          <w:tab w:val="num" w:pos="5103"/>
        </w:tabs>
        <w:ind w:left="1471" w:hanging="1358"/>
      </w:pPr>
      <w:rPr>
        <w:rFonts w:hint="default"/>
      </w:rPr>
    </w:lvl>
    <w:lvl w:ilvl="8">
      <w:start w:val="1"/>
      <w:numFmt w:val="none"/>
      <w:lvlText w:val=""/>
      <w:lvlJc w:val="left"/>
      <w:pPr>
        <w:ind w:left="1584" w:hanging="1471"/>
      </w:pPr>
      <w:rPr>
        <w:rFonts w:hint="default"/>
      </w:rPr>
    </w:lvl>
  </w:abstractNum>
  <w:abstractNum w:abstractNumId="50">
    <w:nsid w:val="4F3D3049"/>
    <w:multiLevelType w:val="hybridMultilevel"/>
    <w:tmpl w:val="D800051E"/>
    <w:lvl w:ilvl="0" w:tplc="0C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1">
    <w:nsid w:val="50E35539"/>
    <w:multiLevelType w:val="hybridMultilevel"/>
    <w:tmpl w:val="51465E5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2">
    <w:nsid w:val="50EC227C"/>
    <w:multiLevelType w:val="hybridMultilevel"/>
    <w:tmpl w:val="6EE85D70"/>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3">
    <w:nsid w:val="517C3B9D"/>
    <w:multiLevelType w:val="hybridMultilevel"/>
    <w:tmpl w:val="413E6CE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52456C28"/>
    <w:multiLevelType w:val="multilevel"/>
    <w:tmpl w:val="472A8ED0"/>
    <w:name w:val="U1_Legal Numbering"/>
    <w:lvl w:ilvl="0">
      <w:start w:val="1"/>
      <w:numFmt w:val="decimal"/>
      <w:lvlText w:val="%1."/>
      <w:lvlJc w:val="left"/>
      <w:pPr>
        <w:ind w:left="567" w:hanging="567"/>
      </w:pPr>
      <w:rPr>
        <w:rFonts w:hint="default"/>
      </w:rPr>
    </w:lvl>
    <w:lvl w:ilvl="1">
      <w:start w:val="1"/>
      <w:numFmt w:val="decimal"/>
      <w:lvlText w:val="%1.%2"/>
      <w:lvlJc w:val="left"/>
      <w:pPr>
        <w:ind w:left="1134" w:hanging="567"/>
      </w:pPr>
      <w:rPr>
        <w:rFonts w:hint="default"/>
      </w:rPr>
    </w:lvl>
    <w:lvl w:ilvl="2">
      <w:start w:val="1"/>
      <w:numFmt w:val="decimal"/>
      <w:lvlText w:val="%1.%2.%3"/>
      <w:lvlJc w:val="left"/>
      <w:pPr>
        <w:tabs>
          <w:tab w:val="num" w:pos="1134"/>
        </w:tabs>
        <w:ind w:left="1814" w:hanging="680"/>
      </w:pPr>
      <w:rPr>
        <w:rFonts w:hint="default"/>
      </w:rPr>
    </w:lvl>
    <w:lvl w:ilvl="3">
      <w:start w:val="1"/>
      <w:numFmt w:val="decimal"/>
      <w:suff w:val="space"/>
      <w:lvlText w:val="%1.%2.%3.%4  "/>
      <w:lvlJc w:val="left"/>
      <w:pPr>
        <w:ind w:left="2268" w:hanging="454"/>
      </w:pPr>
      <w:rPr>
        <w:rFonts w:hint="default"/>
      </w:rPr>
    </w:lvl>
    <w:lvl w:ilvl="4">
      <w:start w:val="1"/>
      <w:numFmt w:val="none"/>
      <w:suff w:val="space"/>
      <w:lvlText w:val=""/>
      <w:lvlJc w:val="left"/>
      <w:pPr>
        <w:ind w:left="2835" w:hanging="567"/>
      </w:pPr>
      <w:rPr>
        <w:rFonts w:hint="default"/>
      </w:rPr>
    </w:lvl>
    <w:lvl w:ilvl="5">
      <w:start w:val="1"/>
      <w:numFmt w:val="none"/>
      <w:suff w:val="space"/>
      <w:lvlText w:val=""/>
      <w:lvlJc w:val="left"/>
      <w:pPr>
        <w:ind w:left="3402" w:hanging="567"/>
      </w:pPr>
      <w:rPr>
        <w:rFonts w:hint="default"/>
      </w:rPr>
    </w:lvl>
    <w:lvl w:ilvl="6">
      <w:start w:val="1"/>
      <w:numFmt w:val="none"/>
      <w:suff w:val="space"/>
      <w:lvlText w:val=""/>
      <w:lvlJc w:val="left"/>
      <w:pPr>
        <w:ind w:left="3969" w:hanging="567"/>
      </w:pPr>
      <w:rPr>
        <w:rFonts w:hint="default"/>
      </w:rPr>
    </w:lvl>
    <w:lvl w:ilvl="7">
      <w:start w:val="1"/>
      <w:numFmt w:val="none"/>
      <w:suff w:val="space"/>
      <w:lvlText w:val=""/>
      <w:lvlJc w:val="left"/>
      <w:pPr>
        <w:ind w:left="4536" w:hanging="567"/>
      </w:pPr>
      <w:rPr>
        <w:rFonts w:hint="default"/>
      </w:rPr>
    </w:lvl>
    <w:lvl w:ilvl="8">
      <w:start w:val="1"/>
      <w:numFmt w:val="none"/>
      <w:suff w:val="space"/>
      <w:lvlText w:val=""/>
      <w:lvlJc w:val="left"/>
      <w:pPr>
        <w:ind w:left="5103" w:hanging="567"/>
      </w:pPr>
      <w:rPr>
        <w:rFonts w:hint="default"/>
      </w:rPr>
    </w:lvl>
  </w:abstractNum>
  <w:abstractNum w:abstractNumId="55">
    <w:nsid w:val="53A10137"/>
    <w:multiLevelType w:val="multilevel"/>
    <w:tmpl w:val="60EC9AA4"/>
    <w:name w:val="MyNumbering"/>
    <w:lvl w:ilvl="0">
      <w:start w:val="1"/>
      <w:numFmt w:val="decimal"/>
      <w:lvlText w:val="%1."/>
      <w:lvlJc w:val="left"/>
      <w:pPr>
        <w:ind w:left="360" w:hanging="360"/>
      </w:pPr>
      <w:rPr>
        <w:rFonts w:cs="Times New Roman"/>
        <w:b/>
      </w:rPr>
    </w:lvl>
    <w:lvl w:ilvl="1">
      <w:start w:val="1"/>
      <w:numFmt w:val="lowerLetter"/>
      <w:lvlText w:val="%2."/>
      <w:lvlJc w:val="left"/>
      <w:pPr>
        <w:ind w:left="1440" w:hanging="720"/>
      </w:pPr>
      <w:rPr>
        <w:rFonts w:cs="Times New Roman" w:hint="default"/>
      </w:rPr>
    </w:lvl>
    <w:lvl w:ilvl="2" w:tentative="1">
      <w:start w:val="1"/>
      <w:numFmt w:val="lowerRoman"/>
      <w:lvlText w:val="%3."/>
      <w:lvlJc w:val="right"/>
      <w:pPr>
        <w:ind w:left="1800" w:hanging="180"/>
      </w:pPr>
      <w:rPr>
        <w:rFonts w:cs="Times New Roman"/>
      </w:rPr>
    </w:lvl>
    <w:lvl w:ilvl="3" w:tentative="1">
      <w:start w:val="1"/>
      <w:numFmt w:val="decimal"/>
      <w:lvlText w:val="%4."/>
      <w:lvlJc w:val="left"/>
      <w:pPr>
        <w:ind w:left="2520" w:hanging="360"/>
      </w:pPr>
      <w:rPr>
        <w:rFonts w:cs="Times New Roman"/>
      </w:rPr>
    </w:lvl>
    <w:lvl w:ilvl="4" w:tentative="1">
      <w:start w:val="1"/>
      <w:numFmt w:val="lowerLetter"/>
      <w:lvlText w:val="%5."/>
      <w:lvlJc w:val="left"/>
      <w:pPr>
        <w:ind w:left="3240" w:hanging="360"/>
      </w:pPr>
      <w:rPr>
        <w:rFonts w:cs="Times New Roman"/>
      </w:rPr>
    </w:lvl>
    <w:lvl w:ilvl="5" w:tentative="1">
      <w:start w:val="1"/>
      <w:numFmt w:val="lowerRoman"/>
      <w:lvlText w:val="%6."/>
      <w:lvlJc w:val="right"/>
      <w:pPr>
        <w:ind w:left="3960" w:hanging="180"/>
      </w:pPr>
      <w:rPr>
        <w:rFonts w:cs="Times New Roman"/>
      </w:rPr>
    </w:lvl>
    <w:lvl w:ilvl="6" w:tentative="1">
      <w:start w:val="1"/>
      <w:numFmt w:val="decimal"/>
      <w:lvlText w:val="%7."/>
      <w:lvlJc w:val="left"/>
      <w:pPr>
        <w:ind w:left="4680" w:hanging="360"/>
      </w:pPr>
      <w:rPr>
        <w:rFonts w:cs="Times New Roman"/>
      </w:rPr>
    </w:lvl>
    <w:lvl w:ilvl="7" w:tentative="1">
      <w:start w:val="1"/>
      <w:numFmt w:val="lowerLetter"/>
      <w:lvlText w:val="%8."/>
      <w:lvlJc w:val="left"/>
      <w:pPr>
        <w:ind w:left="5400" w:hanging="360"/>
      </w:pPr>
      <w:rPr>
        <w:rFonts w:cs="Times New Roman"/>
      </w:rPr>
    </w:lvl>
    <w:lvl w:ilvl="8" w:tentative="1">
      <w:start w:val="1"/>
      <w:numFmt w:val="lowerRoman"/>
      <w:lvlText w:val="%9."/>
      <w:lvlJc w:val="right"/>
      <w:pPr>
        <w:ind w:left="6120" w:hanging="180"/>
      </w:pPr>
      <w:rPr>
        <w:rFonts w:cs="Times New Roman"/>
      </w:rPr>
    </w:lvl>
  </w:abstractNum>
  <w:abstractNum w:abstractNumId="56">
    <w:nsid w:val="55625585"/>
    <w:multiLevelType w:val="hybridMultilevel"/>
    <w:tmpl w:val="17185244"/>
    <w:lvl w:ilvl="0" w:tplc="0C09000B">
      <w:start w:val="1"/>
      <w:numFmt w:val="bullet"/>
      <w:lvlText w:val=""/>
      <w:lvlJc w:val="left"/>
      <w:pPr>
        <w:ind w:left="1117" w:hanging="360"/>
      </w:pPr>
      <w:rPr>
        <w:rFonts w:ascii="Wingdings" w:hAnsi="Wingdings" w:hint="default"/>
      </w:rPr>
    </w:lvl>
    <w:lvl w:ilvl="1" w:tplc="0C090003" w:tentative="1">
      <w:start w:val="1"/>
      <w:numFmt w:val="bullet"/>
      <w:lvlText w:val="o"/>
      <w:lvlJc w:val="left"/>
      <w:pPr>
        <w:ind w:left="1837" w:hanging="360"/>
      </w:pPr>
      <w:rPr>
        <w:rFonts w:ascii="Courier New" w:hAnsi="Courier New" w:cs="Courier New" w:hint="default"/>
      </w:rPr>
    </w:lvl>
    <w:lvl w:ilvl="2" w:tplc="0C090005" w:tentative="1">
      <w:start w:val="1"/>
      <w:numFmt w:val="bullet"/>
      <w:lvlText w:val=""/>
      <w:lvlJc w:val="left"/>
      <w:pPr>
        <w:ind w:left="2557" w:hanging="360"/>
      </w:pPr>
      <w:rPr>
        <w:rFonts w:ascii="Wingdings" w:hAnsi="Wingdings" w:hint="default"/>
      </w:rPr>
    </w:lvl>
    <w:lvl w:ilvl="3" w:tplc="0C090001" w:tentative="1">
      <w:start w:val="1"/>
      <w:numFmt w:val="bullet"/>
      <w:lvlText w:val=""/>
      <w:lvlJc w:val="left"/>
      <w:pPr>
        <w:ind w:left="3277" w:hanging="360"/>
      </w:pPr>
      <w:rPr>
        <w:rFonts w:ascii="Symbol" w:hAnsi="Symbol" w:hint="default"/>
      </w:rPr>
    </w:lvl>
    <w:lvl w:ilvl="4" w:tplc="0C090003" w:tentative="1">
      <w:start w:val="1"/>
      <w:numFmt w:val="bullet"/>
      <w:lvlText w:val="o"/>
      <w:lvlJc w:val="left"/>
      <w:pPr>
        <w:ind w:left="3997" w:hanging="360"/>
      </w:pPr>
      <w:rPr>
        <w:rFonts w:ascii="Courier New" w:hAnsi="Courier New" w:cs="Courier New" w:hint="default"/>
      </w:rPr>
    </w:lvl>
    <w:lvl w:ilvl="5" w:tplc="0C090005" w:tentative="1">
      <w:start w:val="1"/>
      <w:numFmt w:val="bullet"/>
      <w:lvlText w:val=""/>
      <w:lvlJc w:val="left"/>
      <w:pPr>
        <w:ind w:left="4717" w:hanging="360"/>
      </w:pPr>
      <w:rPr>
        <w:rFonts w:ascii="Wingdings" w:hAnsi="Wingdings" w:hint="default"/>
      </w:rPr>
    </w:lvl>
    <w:lvl w:ilvl="6" w:tplc="0C090001" w:tentative="1">
      <w:start w:val="1"/>
      <w:numFmt w:val="bullet"/>
      <w:lvlText w:val=""/>
      <w:lvlJc w:val="left"/>
      <w:pPr>
        <w:ind w:left="5437" w:hanging="360"/>
      </w:pPr>
      <w:rPr>
        <w:rFonts w:ascii="Symbol" w:hAnsi="Symbol" w:hint="default"/>
      </w:rPr>
    </w:lvl>
    <w:lvl w:ilvl="7" w:tplc="0C090003" w:tentative="1">
      <w:start w:val="1"/>
      <w:numFmt w:val="bullet"/>
      <w:lvlText w:val="o"/>
      <w:lvlJc w:val="left"/>
      <w:pPr>
        <w:ind w:left="6157" w:hanging="360"/>
      </w:pPr>
      <w:rPr>
        <w:rFonts w:ascii="Courier New" w:hAnsi="Courier New" w:cs="Courier New" w:hint="default"/>
      </w:rPr>
    </w:lvl>
    <w:lvl w:ilvl="8" w:tplc="0C090005" w:tentative="1">
      <w:start w:val="1"/>
      <w:numFmt w:val="bullet"/>
      <w:lvlText w:val=""/>
      <w:lvlJc w:val="left"/>
      <w:pPr>
        <w:ind w:left="6877" w:hanging="360"/>
      </w:pPr>
      <w:rPr>
        <w:rFonts w:ascii="Wingdings" w:hAnsi="Wingdings" w:hint="default"/>
      </w:rPr>
    </w:lvl>
  </w:abstractNum>
  <w:abstractNum w:abstractNumId="57">
    <w:nsid w:val="57897CD5"/>
    <w:multiLevelType w:val="hybridMultilevel"/>
    <w:tmpl w:val="6FFC8CFC"/>
    <w:lvl w:ilvl="0" w:tplc="0C090011">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8">
    <w:nsid w:val="58741D25"/>
    <w:multiLevelType w:val="multilevel"/>
    <w:tmpl w:val="10107B4A"/>
    <w:name w:val="TableNumbering"/>
    <w:styleLink w:val="TableFootnotes"/>
    <w:lvl w:ilvl="0">
      <w:start w:val="1"/>
      <w:numFmt w:val="none"/>
      <w:suff w:val="nothing"/>
      <w:lvlText w:val=""/>
      <w:lvlJc w:val="left"/>
      <w:pPr>
        <w:ind w:left="0" w:firstLine="0"/>
      </w:pPr>
      <w:rPr>
        <w:rFonts w:hint="default"/>
      </w:rPr>
    </w:lvl>
    <w:lvl w:ilvl="1">
      <w:start w:val="1"/>
      <w:numFmt w:val="decimal"/>
      <w:lvlText w:val="(%2)"/>
      <w:lvlJc w:val="left"/>
      <w:pPr>
        <w:ind w:left="340" w:hanging="340"/>
      </w:pPr>
      <w:rPr>
        <w:rFonts w:hint="default"/>
      </w:rPr>
    </w:lvl>
    <w:lvl w:ilvl="2">
      <w:start w:val="1"/>
      <w:numFmt w:val="none"/>
      <w:lvlText w:val=""/>
      <w:lvlJc w:val="left"/>
      <w:pPr>
        <w:ind w:left="340" w:hanging="340"/>
      </w:pPr>
      <w:rPr>
        <w:rFonts w:hint="default"/>
      </w:rPr>
    </w:lvl>
    <w:lvl w:ilvl="3">
      <w:start w:val="1"/>
      <w:numFmt w:val="none"/>
      <w:lvlText w:val=""/>
      <w:lvlJc w:val="left"/>
      <w:pPr>
        <w:ind w:left="340" w:hanging="340"/>
      </w:pPr>
      <w:rPr>
        <w:rFonts w:hint="default"/>
      </w:rPr>
    </w:lvl>
    <w:lvl w:ilvl="4">
      <w:start w:val="1"/>
      <w:numFmt w:val="none"/>
      <w:lvlText w:val=""/>
      <w:lvlJc w:val="left"/>
      <w:pPr>
        <w:ind w:left="340" w:hanging="340"/>
      </w:pPr>
      <w:rPr>
        <w:rFonts w:hint="default"/>
      </w:rPr>
    </w:lvl>
    <w:lvl w:ilvl="5">
      <w:start w:val="1"/>
      <w:numFmt w:val="none"/>
      <w:lvlText w:val=""/>
      <w:lvlJc w:val="left"/>
      <w:pPr>
        <w:ind w:left="340" w:hanging="340"/>
      </w:pPr>
      <w:rPr>
        <w:rFonts w:hint="default"/>
      </w:rPr>
    </w:lvl>
    <w:lvl w:ilvl="6">
      <w:start w:val="1"/>
      <w:numFmt w:val="none"/>
      <w:lvlText w:val=""/>
      <w:lvlJc w:val="left"/>
      <w:pPr>
        <w:ind w:left="340" w:hanging="340"/>
      </w:pPr>
      <w:rPr>
        <w:rFonts w:hint="default"/>
      </w:rPr>
    </w:lvl>
    <w:lvl w:ilvl="7">
      <w:start w:val="1"/>
      <w:numFmt w:val="none"/>
      <w:lvlText w:val=""/>
      <w:lvlJc w:val="left"/>
      <w:pPr>
        <w:ind w:left="340" w:hanging="340"/>
      </w:pPr>
      <w:rPr>
        <w:rFonts w:hint="default"/>
      </w:rPr>
    </w:lvl>
    <w:lvl w:ilvl="8">
      <w:start w:val="1"/>
      <w:numFmt w:val="none"/>
      <w:lvlText w:val=""/>
      <w:lvlJc w:val="left"/>
      <w:pPr>
        <w:ind w:left="340" w:hanging="340"/>
      </w:pPr>
      <w:rPr>
        <w:rFonts w:hint="default"/>
      </w:rPr>
    </w:lvl>
  </w:abstractNum>
  <w:abstractNum w:abstractNumId="59">
    <w:nsid w:val="5AE6625A"/>
    <w:multiLevelType w:val="multilevel"/>
    <w:tmpl w:val="1A5807E6"/>
    <w:lvl w:ilvl="0">
      <w:start w:val="1"/>
      <w:numFmt w:val="decimal"/>
      <w:pStyle w:val="Heading1"/>
      <w:lvlText w:val="%1."/>
      <w:lvlJc w:val="left"/>
      <w:pPr>
        <w:tabs>
          <w:tab w:val="num" w:pos="1191"/>
        </w:tabs>
        <w:ind w:left="1191" w:hanging="1191"/>
      </w:pPr>
      <w:rPr>
        <w:rFonts w:hint="default"/>
        <w:b w:val="0"/>
        <w:i w:val="0"/>
        <w:color w:val="277BB4" w:themeColor="text2"/>
      </w:rPr>
    </w:lvl>
    <w:lvl w:ilvl="1">
      <w:start w:val="1"/>
      <w:numFmt w:val="decimal"/>
      <w:pStyle w:val="Heading2"/>
      <w:lvlText w:val="%1.%2"/>
      <w:lvlJc w:val="left"/>
      <w:pPr>
        <w:tabs>
          <w:tab w:val="num" w:pos="851"/>
        </w:tabs>
        <w:ind w:left="851" w:hanging="851"/>
      </w:pPr>
      <w:rPr>
        <w:rFonts w:hint="default"/>
        <w:i w:val="0"/>
      </w:rPr>
    </w:lvl>
    <w:lvl w:ilvl="2">
      <w:start w:val="1"/>
      <w:numFmt w:val="decimal"/>
      <w:pStyle w:val="Heading3"/>
      <w:lvlText w:val="%1.%2.%3"/>
      <w:lvlJc w:val="left"/>
      <w:pPr>
        <w:tabs>
          <w:tab w:val="num" w:pos="851"/>
        </w:tabs>
        <w:ind w:left="851" w:hanging="851"/>
      </w:pPr>
      <w:rPr>
        <w:rFonts w:hint="default"/>
      </w:rPr>
    </w:lvl>
    <w:lvl w:ilvl="3">
      <w:start w:val="1"/>
      <w:numFmt w:val="decimal"/>
      <w:pStyle w:val="Heading4"/>
      <w:lvlText w:val="%1.%2.%3.%4"/>
      <w:lvlJc w:val="left"/>
      <w:pPr>
        <w:tabs>
          <w:tab w:val="num" w:pos="851"/>
        </w:tabs>
        <w:ind w:left="851" w:hanging="851"/>
      </w:pPr>
      <w:rPr>
        <w:rFonts w:hint="default"/>
      </w:rPr>
    </w:lvl>
    <w:lvl w:ilvl="4">
      <w:start w:val="1"/>
      <w:numFmt w:val="decimal"/>
      <w:suff w:val="space"/>
      <w:lvlText w:val="%1.%2.%3.%4.%5"/>
      <w:lvlJc w:val="left"/>
      <w:pPr>
        <w:ind w:left="709" w:hanging="709"/>
      </w:pPr>
      <w:rPr>
        <w:rFonts w:hint="default"/>
      </w:rPr>
    </w:lvl>
    <w:lvl w:ilvl="5">
      <w:start w:val="1"/>
      <w:numFmt w:val="decimal"/>
      <w:lvlText w:val="%1.%2.%3.%4.%5.%6"/>
      <w:lvlJc w:val="left"/>
      <w:pPr>
        <w:tabs>
          <w:tab w:val="num" w:pos="709"/>
        </w:tabs>
        <w:ind w:left="709" w:hanging="709"/>
      </w:pPr>
      <w:rPr>
        <w:rFonts w:hint="default"/>
      </w:rPr>
    </w:lvl>
    <w:lvl w:ilvl="6">
      <w:start w:val="1"/>
      <w:numFmt w:val="decimal"/>
      <w:lvlText w:val="%1.%2.%3.%4.%5.%6.%7"/>
      <w:lvlJc w:val="left"/>
      <w:pPr>
        <w:tabs>
          <w:tab w:val="num" w:pos="709"/>
        </w:tabs>
        <w:ind w:left="709" w:hanging="709"/>
      </w:pPr>
      <w:rPr>
        <w:rFonts w:hint="default"/>
      </w:rPr>
    </w:lvl>
    <w:lvl w:ilvl="7">
      <w:start w:val="1"/>
      <w:numFmt w:val="decimal"/>
      <w:lvlText w:val="%1.%2.%3.%4.%5.%6.%7.%8"/>
      <w:lvlJc w:val="left"/>
      <w:pPr>
        <w:tabs>
          <w:tab w:val="num" w:pos="709"/>
        </w:tabs>
        <w:ind w:left="709" w:hanging="709"/>
      </w:pPr>
      <w:rPr>
        <w:rFonts w:hint="default"/>
      </w:rPr>
    </w:lvl>
    <w:lvl w:ilvl="8">
      <w:start w:val="1"/>
      <w:numFmt w:val="decimal"/>
      <w:lvlText w:val="%1.%2.%3.%4.%5.%6.%7.%8.%9"/>
      <w:lvlJc w:val="left"/>
      <w:pPr>
        <w:tabs>
          <w:tab w:val="num" w:pos="709"/>
        </w:tabs>
        <w:ind w:left="709" w:hanging="709"/>
      </w:pPr>
      <w:rPr>
        <w:rFonts w:hint="default"/>
      </w:rPr>
    </w:lvl>
  </w:abstractNum>
  <w:abstractNum w:abstractNumId="60">
    <w:nsid w:val="5BAD4B54"/>
    <w:multiLevelType w:val="hybridMultilevel"/>
    <w:tmpl w:val="46126C5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1">
    <w:nsid w:val="5D0540A9"/>
    <w:multiLevelType w:val="multilevel"/>
    <w:tmpl w:val="690A1638"/>
    <w:name w:val="MyAppendicesNumbering"/>
    <w:lvl w:ilvl="0">
      <w:start w:val="1"/>
      <w:numFmt w:val="upperLetter"/>
      <w:lvlRestart w:val="0"/>
      <w:pStyle w:val="Heading8"/>
      <w:suff w:val="nothing"/>
      <w:lvlText w:val="Appendix %1"/>
      <w:lvlJc w:val="left"/>
      <w:pPr>
        <w:ind w:left="0" w:firstLine="0"/>
      </w:pPr>
      <w:rPr>
        <w:rFonts w:asciiTheme="majorHAnsi" w:hAnsiTheme="majorHAnsi" w:hint="default"/>
        <w:b w:val="0"/>
        <w:i w:val="0"/>
        <w:color w:val="auto"/>
        <w:sz w:val="38"/>
      </w:rPr>
    </w:lvl>
    <w:lvl w:ilvl="1">
      <w:start w:val="1"/>
      <w:numFmt w:val="decimal"/>
      <w:pStyle w:val="Heading9"/>
      <w:lvlText w:val="%1.%2"/>
      <w:lvlJc w:val="left"/>
      <w:pPr>
        <w:tabs>
          <w:tab w:val="num" w:pos="851"/>
        </w:tabs>
        <w:ind w:left="851" w:hanging="851"/>
      </w:pPr>
      <w:rPr>
        <w:rFonts w:hint="default"/>
        <w:sz w:val="24"/>
      </w:rPr>
    </w:lvl>
    <w:lvl w:ilvl="2">
      <w:start w:val="1"/>
      <w:numFmt w:val="decimal"/>
      <w:pStyle w:val="AppendixHeading2"/>
      <w:lvlText w:val="%1.%2.%3"/>
      <w:lvlJc w:val="left"/>
      <w:pPr>
        <w:tabs>
          <w:tab w:val="num" w:pos="851"/>
        </w:tabs>
        <w:ind w:left="851" w:hanging="851"/>
      </w:pPr>
      <w:rPr>
        <w:rFonts w:hint="default"/>
      </w:rPr>
    </w:lvl>
    <w:lvl w:ilvl="3">
      <w:start w:val="1"/>
      <w:numFmt w:val="decimal"/>
      <w:pStyle w:val="AppendixHeading3"/>
      <w:lvlText w:val="%1.%2.%3.%4"/>
      <w:lvlJc w:val="left"/>
      <w:pPr>
        <w:tabs>
          <w:tab w:val="num" w:pos="851"/>
        </w:tabs>
        <w:ind w:left="851" w:hanging="851"/>
      </w:pPr>
      <w:rPr>
        <w:rFonts w:hint="default"/>
      </w:rPr>
    </w:lvl>
    <w:lvl w:ilvl="4">
      <w:start w:val="1"/>
      <w:numFmt w:val="decimal"/>
      <w:suff w:val="space"/>
      <w:lvlText w:val="%1.%2.%3.%4.%5"/>
      <w:lvlJc w:val="left"/>
      <w:pPr>
        <w:ind w:left="709" w:hanging="709"/>
      </w:pPr>
      <w:rPr>
        <w:rFonts w:hint="default"/>
      </w:rPr>
    </w:lvl>
    <w:lvl w:ilvl="5">
      <w:start w:val="1"/>
      <w:numFmt w:val="none"/>
      <w:lvlText w:val=""/>
      <w:lvlJc w:val="right"/>
      <w:pPr>
        <w:tabs>
          <w:tab w:val="num" w:pos="709"/>
        </w:tabs>
        <w:ind w:left="709" w:hanging="709"/>
      </w:pPr>
      <w:rPr>
        <w:rFonts w:hint="default"/>
      </w:rPr>
    </w:lvl>
    <w:lvl w:ilvl="6">
      <w:start w:val="1"/>
      <w:numFmt w:val="none"/>
      <w:lvlText w:val=""/>
      <w:lvlJc w:val="left"/>
      <w:pPr>
        <w:tabs>
          <w:tab w:val="num" w:pos="709"/>
        </w:tabs>
        <w:ind w:left="709" w:hanging="709"/>
      </w:pPr>
      <w:rPr>
        <w:rFonts w:hint="default"/>
      </w:rPr>
    </w:lvl>
    <w:lvl w:ilvl="7">
      <w:start w:val="1"/>
      <w:numFmt w:val="none"/>
      <w:lvlText w:val=""/>
      <w:lvlJc w:val="left"/>
      <w:pPr>
        <w:tabs>
          <w:tab w:val="num" w:pos="709"/>
        </w:tabs>
        <w:ind w:left="709" w:hanging="709"/>
      </w:pPr>
      <w:rPr>
        <w:rFonts w:hint="default"/>
      </w:rPr>
    </w:lvl>
    <w:lvl w:ilvl="8">
      <w:start w:val="1"/>
      <w:numFmt w:val="none"/>
      <w:lvlText w:val=""/>
      <w:lvlJc w:val="right"/>
      <w:pPr>
        <w:tabs>
          <w:tab w:val="num" w:pos="709"/>
        </w:tabs>
        <w:ind w:left="709" w:hanging="709"/>
      </w:pPr>
      <w:rPr>
        <w:rFonts w:hint="default"/>
      </w:rPr>
    </w:lvl>
  </w:abstractNum>
  <w:abstractNum w:abstractNumId="62">
    <w:nsid w:val="5F883DB1"/>
    <w:multiLevelType w:val="multilevel"/>
    <w:tmpl w:val="8FF89C38"/>
    <w:lvl w:ilvl="0">
      <w:start w:val="1"/>
      <w:numFmt w:val="upperLetter"/>
      <w:pStyle w:val="ListAlpha"/>
      <w:lvlText w:val="%1."/>
      <w:lvlJc w:val="left"/>
      <w:pPr>
        <w:tabs>
          <w:tab w:val="num" w:pos="397"/>
        </w:tabs>
        <w:ind w:left="397" w:hanging="397"/>
      </w:pPr>
      <w:rPr>
        <w:rFonts w:hint="default"/>
      </w:rPr>
    </w:lvl>
    <w:lvl w:ilvl="1">
      <w:start w:val="1"/>
      <w:numFmt w:val="lowerLetter"/>
      <w:pStyle w:val="ListAlpha2"/>
      <w:lvlText w:val="%2."/>
      <w:lvlJc w:val="left"/>
      <w:pPr>
        <w:tabs>
          <w:tab w:val="num" w:pos="794"/>
        </w:tabs>
        <w:ind w:left="794" w:hanging="397"/>
      </w:pPr>
      <w:rPr>
        <w:rFonts w:hint="default"/>
      </w:rPr>
    </w:lvl>
    <w:lvl w:ilvl="2">
      <w:start w:val="1"/>
      <w:numFmt w:val="lowerRoman"/>
      <w:pStyle w:val="ListAlpha3"/>
      <w:lvlText w:val="%3."/>
      <w:lvlJc w:val="left"/>
      <w:pPr>
        <w:ind w:left="1191" w:hanging="397"/>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3">
    <w:nsid w:val="65623CEA"/>
    <w:multiLevelType w:val="hybridMultilevel"/>
    <w:tmpl w:val="2EB2AC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nsid w:val="67D77C93"/>
    <w:multiLevelType w:val="hybridMultilevel"/>
    <w:tmpl w:val="C4600E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nsid w:val="68A26683"/>
    <w:multiLevelType w:val="hybridMultilevel"/>
    <w:tmpl w:val="385EEC0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nsid w:val="68A72623"/>
    <w:multiLevelType w:val="hybridMultilevel"/>
    <w:tmpl w:val="03D0AEE2"/>
    <w:lvl w:ilvl="0" w:tplc="612E7848">
      <w:start w:val="1"/>
      <w:numFmt w:val="decimal"/>
      <w:lvlText w:val="%1."/>
      <w:lvlJc w:val="left"/>
      <w:pPr>
        <w:ind w:left="720" w:hanging="360"/>
      </w:pPr>
      <w:rPr>
        <w:rFonts w:asciiTheme="minorHAnsi" w:eastAsia="Times New Roman" w:hAnsiTheme="minorHAns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nsid w:val="690F3C43"/>
    <w:multiLevelType w:val="hybridMultilevel"/>
    <w:tmpl w:val="31060F4C"/>
    <w:lvl w:ilvl="0" w:tplc="0C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nsid w:val="6DA825E4"/>
    <w:multiLevelType w:val="hybridMultilevel"/>
    <w:tmpl w:val="BED474BC"/>
    <w:lvl w:ilvl="0" w:tplc="47921B9A">
      <w:start w:val="1"/>
      <w:numFmt w:val="bullet"/>
      <w:lvlText w:val="►"/>
      <w:lvlJc w:val="left"/>
      <w:pPr>
        <w:ind w:left="720" w:hanging="360"/>
      </w:pPr>
      <w:rPr>
        <w:rFonts w:ascii="Arial" w:hAnsi="Arial" w:cs="Times New Roman" w:hint="default"/>
        <w:color w:val="auto"/>
        <w:sz w:val="18"/>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69">
    <w:nsid w:val="6E6320C7"/>
    <w:multiLevelType w:val="hybridMultilevel"/>
    <w:tmpl w:val="DF622BD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0">
    <w:nsid w:val="6E660796"/>
    <w:multiLevelType w:val="hybridMultilevel"/>
    <w:tmpl w:val="67A2335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nsid w:val="6F705FEA"/>
    <w:multiLevelType w:val="hybridMultilevel"/>
    <w:tmpl w:val="BCD23EC6"/>
    <w:lvl w:ilvl="0" w:tplc="0C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2">
    <w:nsid w:val="70250B03"/>
    <w:multiLevelType w:val="multilevel"/>
    <w:tmpl w:val="5D1EC8C4"/>
    <w:name w:val="quotebullets"/>
    <w:lvl w:ilvl="0">
      <w:start w:val="1"/>
      <w:numFmt w:val="bullet"/>
      <w:pStyle w:val="QuoteBullet"/>
      <w:lvlText w:val="•"/>
      <w:lvlJc w:val="left"/>
      <w:pPr>
        <w:tabs>
          <w:tab w:val="num" w:pos="851"/>
        </w:tabs>
        <w:ind w:left="851" w:hanging="284"/>
      </w:pPr>
      <w:rPr>
        <w:rFonts w:ascii="Calibri" w:hAnsi="Calibri" w:hint="default"/>
        <w:color w:val="auto"/>
      </w:rPr>
    </w:lvl>
    <w:lvl w:ilvl="1">
      <w:start w:val="1"/>
      <w:numFmt w:val="bullet"/>
      <w:pStyle w:val="QuoteBullet2"/>
      <w:lvlText w:val="‒"/>
      <w:lvlJc w:val="left"/>
      <w:pPr>
        <w:tabs>
          <w:tab w:val="num" w:pos="1134"/>
        </w:tabs>
        <w:ind w:left="1134" w:hanging="283"/>
      </w:pPr>
      <w:rPr>
        <w:rFonts w:ascii="Calibri" w:hAnsi="Calibri" w:hint="default"/>
        <w:color w:val="auto"/>
      </w:rPr>
    </w:lvl>
    <w:lvl w:ilvl="2">
      <w:start w:val="1"/>
      <w:numFmt w:val="bullet"/>
      <w:lvlText w:val="‒"/>
      <w:lvlJc w:val="left"/>
      <w:pPr>
        <w:tabs>
          <w:tab w:val="num" w:pos="1418"/>
        </w:tabs>
        <w:ind w:left="1418" w:hanging="283"/>
      </w:pPr>
      <w:rPr>
        <w:rFonts w:ascii="Calibri" w:hAnsi="Calibri" w:hint="default"/>
        <w:color w:val="277BB4" w:themeColor="text2"/>
      </w:rPr>
    </w:lvl>
    <w:lvl w:ilvl="3">
      <w:start w:val="1"/>
      <w:numFmt w:val="bullet"/>
      <w:lvlText w:val=""/>
      <w:lvlJc w:val="left"/>
      <w:pPr>
        <w:ind w:left="1136" w:firstLine="283"/>
      </w:pPr>
      <w:rPr>
        <w:rFonts w:ascii="Symbol" w:hAnsi="Symbol" w:hint="default"/>
      </w:rPr>
    </w:lvl>
    <w:lvl w:ilvl="4">
      <w:start w:val="1"/>
      <w:numFmt w:val="bullet"/>
      <w:lvlText w:val=""/>
      <w:lvlJc w:val="left"/>
      <w:pPr>
        <w:ind w:left="1420" w:firstLine="283"/>
      </w:pPr>
      <w:rPr>
        <w:rFonts w:ascii="Symbol" w:hAnsi="Symbol" w:hint="default"/>
      </w:rPr>
    </w:lvl>
    <w:lvl w:ilvl="5">
      <w:start w:val="1"/>
      <w:numFmt w:val="bullet"/>
      <w:lvlText w:val=""/>
      <w:lvlJc w:val="left"/>
      <w:pPr>
        <w:ind w:left="1704" w:firstLine="283"/>
      </w:pPr>
      <w:rPr>
        <w:rFonts w:ascii="Wingdings" w:hAnsi="Wingdings" w:hint="default"/>
      </w:rPr>
    </w:lvl>
    <w:lvl w:ilvl="6">
      <w:start w:val="1"/>
      <w:numFmt w:val="bullet"/>
      <w:lvlText w:val=""/>
      <w:lvlJc w:val="left"/>
      <w:pPr>
        <w:ind w:left="1988" w:firstLine="283"/>
      </w:pPr>
      <w:rPr>
        <w:rFonts w:ascii="Wingdings" w:hAnsi="Wingdings" w:hint="default"/>
      </w:rPr>
    </w:lvl>
    <w:lvl w:ilvl="7">
      <w:start w:val="1"/>
      <w:numFmt w:val="bullet"/>
      <w:lvlText w:val=""/>
      <w:lvlJc w:val="left"/>
      <w:pPr>
        <w:ind w:left="2272" w:firstLine="283"/>
      </w:pPr>
      <w:rPr>
        <w:rFonts w:ascii="Symbol" w:hAnsi="Symbol" w:hint="default"/>
      </w:rPr>
    </w:lvl>
    <w:lvl w:ilvl="8">
      <w:start w:val="1"/>
      <w:numFmt w:val="bullet"/>
      <w:lvlText w:val=""/>
      <w:lvlJc w:val="left"/>
      <w:pPr>
        <w:ind w:left="2556" w:firstLine="283"/>
      </w:pPr>
      <w:rPr>
        <w:rFonts w:ascii="Symbol" w:hAnsi="Symbol" w:hint="default"/>
      </w:rPr>
    </w:lvl>
  </w:abstractNum>
  <w:abstractNum w:abstractNumId="73">
    <w:nsid w:val="74F07409"/>
    <w:multiLevelType w:val="multilevel"/>
    <w:tmpl w:val="947AB530"/>
    <w:lvl w:ilvl="0">
      <w:start w:val="1"/>
      <w:numFmt w:val="decimal"/>
      <w:lvlText w:val="%1."/>
      <w:lvlJc w:val="left"/>
      <w:pPr>
        <w:tabs>
          <w:tab w:val="num" w:pos="397"/>
        </w:tabs>
        <w:ind w:left="397" w:hanging="397"/>
      </w:pPr>
      <w:rPr>
        <w:rFonts w:cs="Times New Roman" w:hint="default"/>
        <w:color w:val="000000" w:themeColor="text1"/>
        <w:sz w:val="20"/>
      </w:rPr>
    </w:lvl>
    <w:lvl w:ilvl="1">
      <w:start w:val="1"/>
      <w:numFmt w:val="lowerLetter"/>
      <w:lvlText w:val="%2."/>
      <w:lvlJc w:val="left"/>
      <w:pPr>
        <w:tabs>
          <w:tab w:val="num" w:pos="794"/>
        </w:tabs>
        <w:ind w:left="794" w:hanging="397"/>
      </w:pPr>
      <w:rPr>
        <w:rFonts w:hint="default"/>
        <w:color w:val="000000" w:themeColor="text1"/>
        <w:sz w:val="20"/>
      </w:rPr>
    </w:lvl>
    <w:lvl w:ilvl="2">
      <w:start w:val="1"/>
      <w:numFmt w:val="lowerRoman"/>
      <w:lvlText w:val="%3."/>
      <w:lvlJc w:val="left"/>
      <w:pPr>
        <w:tabs>
          <w:tab w:val="num" w:pos="1191"/>
        </w:tabs>
        <w:ind w:left="1191" w:hanging="397"/>
      </w:pPr>
      <w:rPr>
        <w:rFonts w:hint="default"/>
        <w:color w:val="000000" w:themeColor="text1"/>
        <w:sz w:val="20"/>
      </w:rPr>
    </w:lvl>
    <w:lvl w:ilvl="3">
      <w:start w:val="1"/>
      <w:numFmt w:val="none"/>
      <w:lvlText w:val=""/>
      <w:lvlJc w:val="left"/>
      <w:pPr>
        <w:tabs>
          <w:tab w:val="num" w:pos="1428"/>
        </w:tabs>
        <w:ind w:left="1428" w:hanging="357"/>
      </w:pPr>
      <w:rPr>
        <w:rFonts w:hint="default"/>
      </w:rPr>
    </w:lvl>
    <w:lvl w:ilvl="4">
      <w:start w:val="1"/>
      <w:numFmt w:val="none"/>
      <w:lvlText w:val=""/>
      <w:lvlJc w:val="left"/>
      <w:pPr>
        <w:tabs>
          <w:tab w:val="num" w:pos="1785"/>
        </w:tabs>
        <w:ind w:left="1785" w:hanging="357"/>
      </w:pPr>
      <w:rPr>
        <w:rFonts w:hint="default"/>
      </w:rPr>
    </w:lvl>
    <w:lvl w:ilvl="5">
      <w:start w:val="1"/>
      <w:numFmt w:val="none"/>
      <w:lvlText w:val=""/>
      <w:lvlJc w:val="right"/>
      <w:pPr>
        <w:tabs>
          <w:tab w:val="num" w:pos="2142"/>
        </w:tabs>
        <w:ind w:left="2142" w:hanging="357"/>
      </w:pPr>
      <w:rPr>
        <w:rFonts w:hint="default"/>
      </w:rPr>
    </w:lvl>
    <w:lvl w:ilvl="6">
      <w:start w:val="1"/>
      <w:numFmt w:val="none"/>
      <w:lvlText w:val=""/>
      <w:lvlJc w:val="left"/>
      <w:pPr>
        <w:tabs>
          <w:tab w:val="num" w:pos="2499"/>
        </w:tabs>
        <w:ind w:left="2499" w:hanging="357"/>
      </w:pPr>
      <w:rPr>
        <w:rFonts w:hint="default"/>
      </w:rPr>
    </w:lvl>
    <w:lvl w:ilvl="7">
      <w:start w:val="1"/>
      <w:numFmt w:val="none"/>
      <w:lvlText w:val=""/>
      <w:lvlJc w:val="left"/>
      <w:pPr>
        <w:tabs>
          <w:tab w:val="num" w:pos="2856"/>
        </w:tabs>
        <w:ind w:left="2856" w:hanging="357"/>
      </w:pPr>
      <w:rPr>
        <w:rFonts w:hint="default"/>
      </w:rPr>
    </w:lvl>
    <w:lvl w:ilvl="8">
      <w:start w:val="1"/>
      <w:numFmt w:val="none"/>
      <w:lvlText w:val=""/>
      <w:lvlJc w:val="right"/>
      <w:pPr>
        <w:tabs>
          <w:tab w:val="num" w:pos="3213"/>
        </w:tabs>
        <w:ind w:left="3213" w:hanging="357"/>
      </w:pPr>
      <w:rPr>
        <w:rFonts w:hint="default"/>
      </w:rPr>
    </w:lvl>
  </w:abstractNum>
  <w:abstractNum w:abstractNumId="74">
    <w:nsid w:val="78285FB0"/>
    <w:multiLevelType w:val="hybridMultilevel"/>
    <w:tmpl w:val="44863CC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75">
    <w:nsid w:val="7E030DAE"/>
    <w:multiLevelType w:val="multilevel"/>
    <w:tmpl w:val="0EBCC1C4"/>
    <w:lvl w:ilvl="0">
      <w:start w:val="1"/>
      <w:numFmt w:val="decimal"/>
      <w:pStyle w:val="ListNumber"/>
      <w:lvlText w:val="%1."/>
      <w:lvlJc w:val="left"/>
      <w:pPr>
        <w:tabs>
          <w:tab w:val="num" w:pos="397"/>
        </w:tabs>
        <w:ind w:left="397" w:hanging="397"/>
      </w:pPr>
      <w:rPr>
        <w:rFonts w:hint="default"/>
        <w:color w:val="000000" w:themeColor="text1"/>
        <w:sz w:val="20"/>
      </w:rPr>
    </w:lvl>
    <w:lvl w:ilvl="1">
      <w:start w:val="1"/>
      <w:numFmt w:val="lowerLetter"/>
      <w:pStyle w:val="ListNumber2"/>
      <w:lvlText w:val="%2."/>
      <w:lvlJc w:val="left"/>
      <w:pPr>
        <w:tabs>
          <w:tab w:val="num" w:pos="794"/>
        </w:tabs>
        <w:ind w:left="794" w:hanging="397"/>
      </w:pPr>
      <w:rPr>
        <w:rFonts w:hint="default"/>
        <w:color w:val="000000" w:themeColor="text1"/>
        <w:sz w:val="20"/>
      </w:rPr>
    </w:lvl>
    <w:lvl w:ilvl="2">
      <w:start w:val="1"/>
      <w:numFmt w:val="lowerRoman"/>
      <w:pStyle w:val="ListNumber3"/>
      <w:lvlText w:val="%3."/>
      <w:lvlJc w:val="left"/>
      <w:pPr>
        <w:tabs>
          <w:tab w:val="num" w:pos="1191"/>
        </w:tabs>
        <w:ind w:left="1191" w:hanging="397"/>
      </w:pPr>
      <w:rPr>
        <w:rFonts w:hint="default"/>
        <w:color w:val="000000" w:themeColor="text1"/>
        <w:sz w:val="20"/>
      </w:rPr>
    </w:lvl>
    <w:lvl w:ilvl="3">
      <w:start w:val="1"/>
      <w:numFmt w:val="none"/>
      <w:lvlText w:val=""/>
      <w:lvlJc w:val="left"/>
      <w:pPr>
        <w:tabs>
          <w:tab w:val="num" w:pos="1428"/>
        </w:tabs>
        <w:ind w:left="1428" w:hanging="357"/>
      </w:pPr>
      <w:rPr>
        <w:rFonts w:hint="default"/>
      </w:rPr>
    </w:lvl>
    <w:lvl w:ilvl="4">
      <w:start w:val="1"/>
      <w:numFmt w:val="none"/>
      <w:lvlText w:val=""/>
      <w:lvlJc w:val="left"/>
      <w:pPr>
        <w:tabs>
          <w:tab w:val="num" w:pos="1785"/>
        </w:tabs>
        <w:ind w:left="1785" w:hanging="357"/>
      </w:pPr>
      <w:rPr>
        <w:rFonts w:hint="default"/>
      </w:rPr>
    </w:lvl>
    <w:lvl w:ilvl="5">
      <w:start w:val="1"/>
      <w:numFmt w:val="none"/>
      <w:lvlText w:val=""/>
      <w:lvlJc w:val="right"/>
      <w:pPr>
        <w:tabs>
          <w:tab w:val="num" w:pos="2142"/>
        </w:tabs>
        <w:ind w:left="2142" w:hanging="357"/>
      </w:pPr>
      <w:rPr>
        <w:rFonts w:hint="default"/>
      </w:rPr>
    </w:lvl>
    <w:lvl w:ilvl="6">
      <w:start w:val="1"/>
      <w:numFmt w:val="none"/>
      <w:lvlText w:val=""/>
      <w:lvlJc w:val="left"/>
      <w:pPr>
        <w:tabs>
          <w:tab w:val="num" w:pos="2499"/>
        </w:tabs>
        <w:ind w:left="2499" w:hanging="357"/>
      </w:pPr>
      <w:rPr>
        <w:rFonts w:hint="default"/>
      </w:rPr>
    </w:lvl>
    <w:lvl w:ilvl="7">
      <w:start w:val="1"/>
      <w:numFmt w:val="none"/>
      <w:lvlText w:val=""/>
      <w:lvlJc w:val="left"/>
      <w:pPr>
        <w:tabs>
          <w:tab w:val="num" w:pos="2856"/>
        </w:tabs>
        <w:ind w:left="2856" w:hanging="357"/>
      </w:pPr>
      <w:rPr>
        <w:rFonts w:hint="default"/>
      </w:rPr>
    </w:lvl>
    <w:lvl w:ilvl="8">
      <w:start w:val="1"/>
      <w:numFmt w:val="none"/>
      <w:lvlText w:val=""/>
      <w:lvlJc w:val="right"/>
      <w:pPr>
        <w:tabs>
          <w:tab w:val="num" w:pos="3213"/>
        </w:tabs>
        <w:ind w:left="3213" w:hanging="357"/>
      </w:pPr>
      <w:rPr>
        <w:rFonts w:hint="default"/>
      </w:rPr>
    </w:lvl>
  </w:abstractNum>
  <w:num w:numId="1">
    <w:abstractNumId w:val="24"/>
  </w:num>
  <w:num w:numId="2">
    <w:abstractNumId w:val="17"/>
  </w:num>
  <w:num w:numId="3">
    <w:abstractNumId w:val="75"/>
  </w:num>
  <w:num w:numId="4">
    <w:abstractNumId w:val="5"/>
  </w:num>
  <w:num w:numId="5">
    <w:abstractNumId w:val="6"/>
  </w:num>
  <w:num w:numId="6">
    <w:abstractNumId w:val="19"/>
  </w:num>
  <w:num w:numId="7">
    <w:abstractNumId w:val="30"/>
  </w:num>
  <w:num w:numId="8">
    <w:abstractNumId w:val="26"/>
  </w:num>
  <w:num w:numId="9">
    <w:abstractNumId w:val="58"/>
  </w:num>
  <w:num w:numId="10">
    <w:abstractNumId w:val="49"/>
  </w:num>
  <w:num w:numId="11">
    <w:abstractNumId w:val="61"/>
  </w:num>
  <w:num w:numId="12">
    <w:abstractNumId w:val="59"/>
  </w:num>
  <w:num w:numId="13">
    <w:abstractNumId w:val="13"/>
  </w:num>
  <w:num w:numId="14">
    <w:abstractNumId w:val="44"/>
  </w:num>
  <w:num w:numId="15">
    <w:abstractNumId w:val="62"/>
  </w:num>
  <w:num w:numId="16">
    <w:abstractNumId w:val="15"/>
  </w:num>
  <w:num w:numId="17">
    <w:abstractNumId w:val="3"/>
  </w:num>
  <w:num w:numId="18">
    <w:abstractNumId w:val="25"/>
  </w:num>
  <w:num w:numId="19">
    <w:abstractNumId w:val="72"/>
  </w:num>
  <w:num w:numId="20">
    <w:abstractNumId w:val="63"/>
  </w:num>
  <w:num w:numId="21">
    <w:abstractNumId w:val="18"/>
  </w:num>
  <w:num w:numId="22">
    <w:abstractNumId w:val="48"/>
  </w:num>
  <w:num w:numId="23">
    <w:abstractNumId w:val="27"/>
  </w:num>
  <w:num w:numId="24">
    <w:abstractNumId w:val="43"/>
  </w:num>
  <w:num w:numId="25">
    <w:abstractNumId w:val="59"/>
  </w:num>
  <w:num w:numId="26">
    <w:abstractNumId w:val="34"/>
  </w:num>
  <w:num w:numId="27">
    <w:abstractNumId w:val="51"/>
  </w:num>
  <w:num w:numId="28">
    <w:abstractNumId w:val="69"/>
  </w:num>
  <w:num w:numId="29">
    <w:abstractNumId w:val="71"/>
  </w:num>
  <w:num w:numId="30">
    <w:abstractNumId w:val="11"/>
  </w:num>
  <w:num w:numId="31">
    <w:abstractNumId w:val="50"/>
  </w:num>
  <w:num w:numId="32">
    <w:abstractNumId w:val="40"/>
  </w:num>
  <w:num w:numId="33">
    <w:abstractNumId w:val="2"/>
  </w:num>
  <w:num w:numId="34">
    <w:abstractNumId w:val="67"/>
  </w:num>
  <w:num w:numId="35">
    <w:abstractNumId w:val="55"/>
  </w:num>
  <w:num w:numId="36">
    <w:abstractNumId w:val="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20"/>
  </w:num>
  <w:num w:numId="41">
    <w:abstractNumId w:val="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59"/>
  </w:num>
  <w:num w:numId="44">
    <w:abstractNumId w:val="59"/>
  </w:num>
  <w:num w:numId="45">
    <w:abstractNumId w:val="59"/>
  </w:num>
  <w:num w:numId="46">
    <w:abstractNumId w:val="59"/>
  </w:num>
  <w:num w:numId="47">
    <w:abstractNumId w:val="75"/>
  </w:num>
  <w:num w:numId="48">
    <w:abstractNumId w:val="39"/>
  </w:num>
  <w:num w:numId="49">
    <w:abstractNumId w:val="33"/>
  </w:num>
  <w:num w:numId="50">
    <w:abstractNumId w:val="32"/>
  </w:num>
  <w:num w:numId="51">
    <w:abstractNumId w:val="70"/>
  </w:num>
  <w:num w:numId="52">
    <w:abstractNumId w:val="8"/>
  </w:num>
  <w:num w:numId="53">
    <w:abstractNumId w:val="53"/>
  </w:num>
  <w:num w:numId="54">
    <w:abstractNumId w:val="21"/>
  </w:num>
  <w:num w:numId="55">
    <w:abstractNumId w:val="10"/>
  </w:num>
  <w:num w:numId="56">
    <w:abstractNumId w:val="36"/>
  </w:num>
  <w:num w:numId="57">
    <w:abstractNumId w:val="13"/>
  </w:num>
  <w:num w:numId="58">
    <w:abstractNumId w:val="37"/>
  </w:num>
  <w:num w:numId="59">
    <w:abstractNumId w:val="38"/>
  </w:num>
  <w:num w:numId="60">
    <w:abstractNumId w:val="13"/>
  </w:num>
  <w:num w:numId="61">
    <w:abstractNumId w:val="1"/>
  </w:num>
  <w:num w:numId="62">
    <w:abstractNumId w:val="68"/>
  </w:num>
  <w:num w:numId="63">
    <w:abstractNumId w:val="14"/>
  </w:num>
  <w:num w:numId="64">
    <w:abstractNumId w:val="56"/>
  </w:num>
  <w:num w:numId="65">
    <w:abstractNumId w:val="0"/>
  </w:num>
  <w:num w:numId="66">
    <w:abstractNumId w:val="45"/>
  </w:num>
  <w:num w:numId="67">
    <w:abstractNumId w:val="45"/>
  </w:num>
  <w:num w:numId="68">
    <w:abstractNumId w:val="13"/>
  </w:num>
  <w:num w:numId="69">
    <w:abstractNumId w:val="13"/>
  </w:num>
  <w:num w:numId="70">
    <w:abstractNumId w:val="42"/>
  </w:num>
  <w:num w:numId="7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57"/>
  </w:num>
  <w:num w:numId="73">
    <w:abstractNumId w:val="28"/>
  </w:num>
  <w:num w:numId="74">
    <w:abstractNumId w:val="23"/>
  </w:num>
  <w:num w:numId="75">
    <w:abstractNumId w:val="16"/>
  </w:num>
  <w:num w:numId="76">
    <w:abstractNumId w:val="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12"/>
  </w:num>
  <w:num w:numId="78">
    <w:abstractNumId w:val="9"/>
  </w:num>
  <w:num w:numId="79">
    <w:abstractNumId w:val="9"/>
  </w:num>
  <w:num w:numId="80">
    <w:abstractNumId w:val="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abstractNumId w:val="52"/>
  </w:num>
  <w:num w:numId="82">
    <w:abstractNumId w:val="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abstractNumId w:val="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abstractNumId w:val="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abstractNumId w:val="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abstractNumId w:val="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13"/>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abstractNumId w:val="56"/>
  </w:num>
  <w:num w:numId="92">
    <w:abstractNumId w:val="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abstractNumId w:val="75"/>
  </w:num>
  <w:num w:numId="94">
    <w:abstractNumId w:val="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abstractNumId w:val="73"/>
  </w:num>
  <w:num w:numId="96">
    <w:abstractNumId w:val="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abstractNumId w:val="64"/>
  </w:num>
  <w:num w:numId="98">
    <w:abstractNumId w:val="22"/>
  </w:num>
  <w:num w:numId="99">
    <w:abstractNumId w:val="35"/>
  </w:num>
  <w:num w:numId="100">
    <w:abstractNumId w:val="31"/>
  </w:num>
  <w:num w:numId="101">
    <w:abstractNumId w:val="47"/>
  </w:num>
  <w:num w:numId="102">
    <w:abstractNumId w:val="7"/>
  </w:num>
  <w:num w:numId="103">
    <w:abstractNumId w:val="60"/>
  </w:num>
  <w:num w:numId="104">
    <w:abstractNumId w:val="29"/>
  </w:num>
  <w:num w:numId="105">
    <w:abstractNumId w:val="46"/>
  </w:num>
  <w:num w:numId="106">
    <w:abstractNumId w:val="66"/>
  </w:num>
  <w:num w:numId="107">
    <w:abstractNumId w:val="65"/>
  </w:num>
  <w:num w:numId="108">
    <w:abstractNumId w:val="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9">
    <w:abstractNumId w:val="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
    <w:abstractNumId w:val="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
    <w:abstractNumId w:val="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
    <w:abstractNumId w:val="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3">
    <w:abstractNumId w:val="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4">
    <w:abstractNumId w:val="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5">
    <w:abstractNumId w:val="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6">
    <w:abstractNumId w:val="74"/>
  </w:num>
  <w:num w:numId="117">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8">
    <w:abstractNumId w:val="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9">
    <w:abstractNumId w:val="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0">
    <w:abstractNumId w:val="43"/>
  </w:num>
  <w:num w:numId="121">
    <w:abstractNumId w:val="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14"/>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Caroline Green">
    <w15:presenceInfo w15:providerId="Windows Live" w15:userId="d16c99005f166a82"/>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embedSystemFonts/>
  <w:proofState w:spelling="clean" w:grammar="clean"/>
  <w:attachedTemplate r:id="rId1"/>
  <w:styleLockQFSet/>
  <w:defaultTabStop w:val="720"/>
  <w:drawingGridHorizontalSpacing w:val="110"/>
  <w:displayHorizontalDrawingGridEvery w:val="2"/>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AppendixName" w:val="Appendix"/>
    <w:docVar w:name="Heading1Numbered" w:val="True"/>
    <w:docVar w:name="Heading2Numbered" w:val="True"/>
    <w:docVar w:name="Heading3Numbered" w:val="True"/>
    <w:docVar w:name="Heading4Numbered" w:val="True"/>
    <w:docVar w:name="Heading5Numbered" w:val="False"/>
    <w:docVar w:name="Para" w:val="_x000d__x000a_"/>
  </w:docVars>
  <w:rsids>
    <w:rsidRoot w:val="005909AF"/>
    <w:rsid w:val="00000194"/>
    <w:rsid w:val="00000648"/>
    <w:rsid w:val="000009B8"/>
    <w:rsid w:val="000019EA"/>
    <w:rsid w:val="00001BB3"/>
    <w:rsid w:val="00001BF8"/>
    <w:rsid w:val="00001DF1"/>
    <w:rsid w:val="00002231"/>
    <w:rsid w:val="000035F6"/>
    <w:rsid w:val="000043B6"/>
    <w:rsid w:val="00004810"/>
    <w:rsid w:val="000048E1"/>
    <w:rsid w:val="00004A68"/>
    <w:rsid w:val="0000533E"/>
    <w:rsid w:val="00007510"/>
    <w:rsid w:val="00007614"/>
    <w:rsid w:val="0001021B"/>
    <w:rsid w:val="000105A9"/>
    <w:rsid w:val="00011166"/>
    <w:rsid w:val="000123D2"/>
    <w:rsid w:val="000125A5"/>
    <w:rsid w:val="000142A8"/>
    <w:rsid w:val="000146F4"/>
    <w:rsid w:val="00014C43"/>
    <w:rsid w:val="000163DE"/>
    <w:rsid w:val="0001659D"/>
    <w:rsid w:val="00017DD0"/>
    <w:rsid w:val="0002036A"/>
    <w:rsid w:val="00020409"/>
    <w:rsid w:val="00020425"/>
    <w:rsid w:val="00020A25"/>
    <w:rsid w:val="00021E0F"/>
    <w:rsid w:val="000229B3"/>
    <w:rsid w:val="00022CDB"/>
    <w:rsid w:val="00023619"/>
    <w:rsid w:val="000237FA"/>
    <w:rsid w:val="000246C0"/>
    <w:rsid w:val="00024DED"/>
    <w:rsid w:val="00026526"/>
    <w:rsid w:val="000269E4"/>
    <w:rsid w:val="00027B80"/>
    <w:rsid w:val="00031D0A"/>
    <w:rsid w:val="0003266E"/>
    <w:rsid w:val="00032711"/>
    <w:rsid w:val="00032B1D"/>
    <w:rsid w:val="00032F6A"/>
    <w:rsid w:val="00033D04"/>
    <w:rsid w:val="00033ED6"/>
    <w:rsid w:val="000342E3"/>
    <w:rsid w:val="000343D3"/>
    <w:rsid w:val="000348BD"/>
    <w:rsid w:val="0003490B"/>
    <w:rsid w:val="00035C28"/>
    <w:rsid w:val="000363EB"/>
    <w:rsid w:val="0003651D"/>
    <w:rsid w:val="00036D45"/>
    <w:rsid w:val="000374B0"/>
    <w:rsid w:val="000374E9"/>
    <w:rsid w:val="00037589"/>
    <w:rsid w:val="00037E39"/>
    <w:rsid w:val="00040184"/>
    <w:rsid w:val="00040291"/>
    <w:rsid w:val="0004069A"/>
    <w:rsid w:val="00040BDB"/>
    <w:rsid w:val="00040F46"/>
    <w:rsid w:val="00041613"/>
    <w:rsid w:val="000418C1"/>
    <w:rsid w:val="000434DB"/>
    <w:rsid w:val="000436A1"/>
    <w:rsid w:val="00043823"/>
    <w:rsid w:val="0004432E"/>
    <w:rsid w:val="00045C3B"/>
    <w:rsid w:val="0004683E"/>
    <w:rsid w:val="000469FF"/>
    <w:rsid w:val="00047905"/>
    <w:rsid w:val="00050713"/>
    <w:rsid w:val="00050C4B"/>
    <w:rsid w:val="00050FA5"/>
    <w:rsid w:val="00051135"/>
    <w:rsid w:val="00051D5C"/>
    <w:rsid w:val="00052454"/>
    <w:rsid w:val="0005252A"/>
    <w:rsid w:val="00052FBA"/>
    <w:rsid w:val="00053432"/>
    <w:rsid w:val="00053577"/>
    <w:rsid w:val="0005444D"/>
    <w:rsid w:val="00054770"/>
    <w:rsid w:val="00054DC7"/>
    <w:rsid w:val="00055252"/>
    <w:rsid w:val="000559AC"/>
    <w:rsid w:val="00055F1B"/>
    <w:rsid w:val="0005621C"/>
    <w:rsid w:val="00056B4D"/>
    <w:rsid w:val="000574CC"/>
    <w:rsid w:val="000579E6"/>
    <w:rsid w:val="00057CAE"/>
    <w:rsid w:val="00057FA5"/>
    <w:rsid w:val="00060B9F"/>
    <w:rsid w:val="00061256"/>
    <w:rsid w:val="0006169E"/>
    <w:rsid w:val="00061F59"/>
    <w:rsid w:val="00062A77"/>
    <w:rsid w:val="000634B5"/>
    <w:rsid w:val="0006418E"/>
    <w:rsid w:val="000641AE"/>
    <w:rsid w:val="00064D4C"/>
    <w:rsid w:val="000650B5"/>
    <w:rsid w:val="00065F04"/>
    <w:rsid w:val="00066A4B"/>
    <w:rsid w:val="00066DA8"/>
    <w:rsid w:val="00067454"/>
    <w:rsid w:val="00067A55"/>
    <w:rsid w:val="00067AD0"/>
    <w:rsid w:val="00067FE6"/>
    <w:rsid w:val="000701A8"/>
    <w:rsid w:val="000708F1"/>
    <w:rsid w:val="00070A44"/>
    <w:rsid w:val="00072585"/>
    <w:rsid w:val="00072E55"/>
    <w:rsid w:val="000747F3"/>
    <w:rsid w:val="00074EF6"/>
    <w:rsid w:val="00074F68"/>
    <w:rsid w:val="000763BB"/>
    <w:rsid w:val="000764DD"/>
    <w:rsid w:val="000768F7"/>
    <w:rsid w:val="00076CEC"/>
    <w:rsid w:val="000776F8"/>
    <w:rsid w:val="00077758"/>
    <w:rsid w:val="00077A9C"/>
    <w:rsid w:val="000818A1"/>
    <w:rsid w:val="000821D8"/>
    <w:rsid w:val="00082583"/>
    <w:rsid w:val="00082CAC"/>
    <w:rsid w:val="00083976"/>
    <w:rsid w:val="00084022"/>
    <w:rsid w:val="000840C4"/>
    <w:rsid w:val="00084422"/>
    <w:rsid w:val="00084488"/>
    <w:rsid w:val="000847CB"/>
    <w:rsid w:val="00084BF3"/>
    <w:rsid w:val="00084C6D"/>
    <w:rsid w:val="000861A2"/>
    <w:rsid w:val="00086400"/>
    <w:rsid w:val="00086C5B"/>
    <w:rsid w:val="00086F29"/>
    <w:rsid w:val="00087D4A"/>
    <w:rsid w:val="00090D68"/>
    <w:rsid w:val="00090EF6"/>
    <w:rsid w:val="0009129D"/>
    <w:rsid w:val="000917DE"/>
    <w:rsid w:val="00091E67"/>
    <w:rsid w:val="000922B1"/>
    <w:rsid w:val="000942EF"/>
    <w:rsid w:val="000946E4"/>
    <w:rsid w:val="00094BAA"/>
    <w:rsid w:val="000961D0"/>
    <w:rsid w:val="000A043A"/>
    <w:rsid w:val="000A08F4"/>
    <w:rsid w:val="000A0D39"/>
    <w:rsid w:val="000A0F51"/>
    <w:rsid w:val="000A1838"/>
    <w:rsid w:val="000A1A10"/>
    <w:rsid w:val="000A2042"/>
    <w:rsid w:val="000A2A5F"/>
    <w:rsid w:val="000A3C4B"/>
    <w:rsid w:val="000A4D96"/>
    <w:rsid w:val="000A523F"/>
    <w:rsid w:val="000A5379"/>
    <w:rsid w:val="000A64D2"/>
    <w:rsid w:val="000A6675"/>
    <w:rsid w:val="000A6D08"/>
    <w:rsid w:val="000A700C"/>
    <w:rsid w:val="000B13CF"/>
    <w:rsid w:val="000B1F7F"/>
    <w:rsid w:val="000B39B1"/>
    <w:rsid w:val="000B4200"/>
    <w:rsid w:val="000B44A4"/>
    <w:rsid w:val="000B57F5"/>
    <w:rsid w:val="000B59CB"/>
    <w:rsid w:val="000B65EE"/>
    <w:rsid w:val="000B77E0"/>
    <w:rsid w:val="000B7C4E"/>
    <w:rsid w:val="000C036C"/>
    <w:rsid w:val="000C043D"/>
    <w:rsid w:val="000C04B1"/>
    <w:rsid w:val="000C1ABD"/>
    <w:rsid w:val="000C22B1"/>
    <w:rsid w:val="000C269E"/>
    <w:rsid w:val="000C3138"/>
    <w:rsid w:val="000C3390"/>
    <w:rsid w:val="000C3691"/>
    <w:rsid w:val="000C3981"/>
    <w:rsid w:val="000C440D"/>
    <w:rsid w:val="000C5285"/>
    <w:rsid w:val="000C53ED"/>
    <w:rsid w:val="000C582A"/>
    <w:rsid w:val="000C7566"/>
    <w:rsid w:val="000C7BB4"/>
    <w:rsid w:val="000D01DB"/>
    <w:rsid w:val="000D03EE"/>
    <w:rsid w:val="000D0972"/>
    <w:rsid w:val="000D1806"/>
    <w:rsid w:val="000D1978"/>
    <w:rsid w:val="000D1DA0"/>
    <w:rsid w:val="000D27EA"/>
    <w:rsid w:val="000D2C3A"/>
    <w:rsid w:val="000D2DCC"/>
    <w:rsid w:val="000D35A6"/>
    <w:rsid w:val="000D3881"/>
    <w:rsid w:val="000D41C7"/>
    <w:rsid w:val="000D48CA"/>
    <w:rsid w:val="000D4A41"/>
    <w:rsid w:val="000D5967"/>
    <w:rsid w:val="000D6336"/>
    <w:rsid w:val="000D66AF"/>
    <w:rsid w:val="000D66B3"/>
    <w:rsid w:val="000D66CF"/>
    <w:rsid w:val="000D6A96"/>
    <w:rsid w:val="000D73BF"/>
    <w:rsid w:val="000D7E18"/>
    <w:rsid w:val="000E0068"/>
    <w:rsid w:val="000E0CD5"/>
    <w:rsid w:val="000E28FA"/>
    <w:rsid w:val="000E2931"/>
    <w:rsid w:val="000E294E"/>
    <w:rsid w:val="000E2B8B"/>
    <w:rsid w:val="000E2E35"/>
    <w:rsid w:val="000E2F22"/>
    <w:rsid w:val="000E3622"/>
    <w:rsid w:val="000E3F49"/>
    <w:rsid w:val="000E434A"/>
    <w:rsid w:val="000E5431"/>
    <w:rsid w:val="000E7057"/>
    <w:rsid w:val="000E70E9"/>
    <w:rsid w:val="000E78AE"/>
    <w:rsid w:val="000E7FB7"/>
    <w:rsid w:val="000F04AC"/>
    <w:rsid w:val="000F1017"/>
    <w:rsid w:val="000F1C65"/>
    <w:rsid w:val="000F241F"/>
    <w:rsid w:val="000F2ADC"/>
    <w:rsid w:val="000F3362"/>
    <w:rsid w:val="000F3809"/>
    <w:rsid w:val="000F39EA"/>
    <w:rsid w:val="000F3DD5"/>
    <w:rsid w:val="000F47F5"/>
    <w:rsid w:val="000F4B1A"/>
    <w:rsid w:val="000F4D26"/>
    <w:rsid w:val="000F4DE1"/>
    <w:rsid w:val="000F59FB"/>
    <w:rsid w:val="000F5E55"/>
    <w:rsid w:val="000F60A1"/>
    <w:rsid w:val="000F669B"/>
    <w:rsid w:val="000F73AB"/>
    <w:rsid w:val="000F7466"/>
    <w:rsid w:val="000F7FBB"/>
    <w:rsid w:val="00100193"/>
    <w:rsid w:val="00101C2D"/>
    <w:rsid w:val="00101C4D"/>
    <w:rsid w:val="00101F47"/>
    <w:rsid w:val="0010297B"/>
    <w:rsid w:val="0010305F"/>
    <w:rsid w:val="001030B1"/>
    <w:rsid w:val="001042E1"/>
    <w:rsid w:val="00105DA9"/>
    <w:rsid w:val="0010618D"/>
    <w:rsid w:val="00106E78"/>
    <w:rsid w:val="00107129"/>
    <w:rsid w:val="0011087C"/>
    <w:rsid w:val="00110DC1"/>
    <w:rsid w:val="0011109A"/>
    <w:rsid w:val="001115CD"/>
    <w:rsid w:val="00112611"/>
    <w:rsid w:val="00112813"/>
    <w:rsid w:val="0011371C"/>
    <w:rsid w:val="00114377"/>
    <w:rsid w:val="001146CA"/>
    <w:rsid w:val="00115646"/>
    <w:rsid w:val="00115BD5"/>
    <w:rsid w:val="00116264"/>
    <w:rsid w:val="001172AE"/>
    <w:rsid w:val="00117584"/>
    <w:rsid w:val="001176AC"/>
    <w:rsid w:val="00120296"/>
    <w:rsid w:val="00120459"/>
    <w:rsid w:val="00120CB6"/>
    <w:rsid w:val="001213D6"/>
    <w:rsid w:val="001229A6"/>
    <w:rsid w:val="00122DEA"/>
    <w:rsid w:val="001230A0"/>
    <w:rsid w:val="00124E02"/>
    <w:rsid w:val="00126002"/>
    <w:rsid w:val="001260F6"/>
    <w:rsid w:val="00126984"/>
    <w:rsid w:val="00127A2F"/>
    <w:rsid w:val="00127BFE"/>
    <w:rsid w:val="00127C8A"/>
    <w:rsid w:val="00127D0A"/>
    <w:rsid w:val="0013044E"/>
    <w:rsid w:val="0013099A"/>
    <w:rsid w:val="00130D13"/>
    <w:rsid w:val="00130D4F"/>
    <w:rsid w:val="00130D7B"/>
    <w:rsid w:val="001320DB"/>
    <w:rsid w:val="00132DAE"/>
    <w:rsid w:val="00132E2D"/>
    <w:rsid w:val="00133CEB"/>
    <w:rsid w:val="00133DFD"/>
    <w:rsid w:val="0013483C"/>
    <w:rsid w:val="00135FD4"/>
    <w:rsid w:val="00136233"/>
    <w:rsid w:val="001369AB"/>
    <w:rsid w:val="00136B64"/>
    <w:rsid w:val="00136F1B"/>
    <w:rsid w:val="001376E6"/>
    <w:rsid w:val="00137A24"/>
    <w:rsid w:val="0014026A"/>
    <w:rsid w:val="0014067A"/>
    <w:rsid w:val="00140BB8"/>
    <w:rsid w:val="00141428"/>
    <w:rsid w:val="00141758"/>
    <w:rsid w:val="0014220A"/>
    <w:rsid w:val="0014275E"/>
    <w:rsid w:val="00142E15"/>
    <w:rsid w:val="00143675"/>
    <w:rsid w:val="00144399"/>
    <w:rsid w:val="00144DE1"/>
    <w:rsid w:val="00145CA6"/>
    <w:rsid w:val="00146133"/>
    <w:rsid w:val="001464E7"/>
    <w:rsid w:val="00146855"/>
    <w:rsid w:val="001468AB"/>
    <w:rsid w:val="00146947"/>
    <w:rsid w:val="0014722D"/>
    <w:rsid w:val="00147284"/>
    <w:rsid w:val="0014791C"/>
    <w:rsid w:val="001503F4"/>
    <w:rsid w:val="001504CF"/>
    <w:rsid w:val="0015089B"/>
    <w:rsid w:val="0015093F"/>
    <w:rsid w:val="00151120"/>
    <w:rsid w:val="00152AF0"/>
    <w:rsid w:val="001530B5"/>
    <w:rsid w:val="001536B2"/>
    <w:rsid w:val="00154CCB"/>
    <w:rsid w:val="00155B40"/>
    <w:rsid w:val="00155B41"/>
    <w:rsid w:val="001571C1"/>
    <w:rsid w:val="00157F04"/>
    <w:rsid w:val="00160873"/>
    <w:rsid w:val="00162508"/>
    <w:rsid w:val="0016271B"/>
    <w:rsid w:val="00164222"/>
    <w:rsid w:val="001646FC"/>
    <w:rsid w:val="00164716"/>
    <w:rsid w:val="00164AFB"/>
    <w:rsid w:val="001653A5"/>
    <w:rsid w:val="00165CC0"/>
    <w:rsid w:val="00166097"/>
    <w:rsid w:val="001662C8"/>
    <w:rsid w:val="00166E6D"/>
    <w:rsid w:val="0016704C"/>
    <w:rsid w:val="0016779D"/>
    <w:rsid w:val="00170F73"/>
    <w:rsid w:val="00171E9C"/>
    <w:rsid w:val="0017238F"/>
    <w:rsid w:val="001726D4"/>
    <w:rsid w:val="00173569"/>
    <w:rsid w:val="0017371D"/>
    <w:rsid w:val="001742BA"/>
    <w:rsid w:val="00174E6D"/>
    <w:rsid w:val="00175051"/>
    <w:rsid w:val="001750A0"/>
    <w:rsid w:val="001752D2"/>
    <w:rsid w:val="001759D5"/>
    <w:rsid w:val="00175F50"/>
    <w:rsid w:val="0017706B"/>
    <w:rsid w:val="00177237"/>
    <w:rsid w:val="00177800"/>
    <w:rsid w:val="001816F2"/>
    <w:rsid w:val="001827CC"/>
    <w:rsid w:val="0018280D"/>
    <w:rsid w:val="001837C4"/>
    <w:rsid w:val="00183C63"/>
    <w:rsid w:val="00184211"/>
    <w:rsid w:val="0018426D"/>
    <w:rsid w:val="00184490"/>
    <w:rsid w:val="001844C6"/>
    <w:rsid w:val="001845EF"/>
    <w:rsid w:val="00184FAE"/>
    <w:rsid w:val="00184FF7"/>
    <w:rsid w:val="001854C9"/>
    <w:rsid w:val="001874D7"/>
    <w:rsid w:val="00190351"/>
    <w:rsid w:val="00190F39"/>
    <w:rsid w:val="0019155C"/>
    <w:rsid w:val="00192096"/>
    <w:rsid w:val="0019237B"/>
    <w:rsid w:val="001933BA"/>
    <w:rsid w:val="00193CE4"/>
    <w:rsid w:val="001948DE"/>
    <w:rsid w:val="00194B60"/>
    <w:rsid w:val="00194B89"/>
    <w:rsid w:val="00195A1A"/>
    <w:rsid w:val="00195CFA"/>
    <w:rsid w:val="00195D19"/>
    <w:rsid w:val="001969FB"/>
    <w:rsid w:val="0019760C"/>
    <w:rsid w:val="00197DE3"/>
    <w:rsid w:val="001A093A"/>
    <w:rsid w:val="001A0C3F"/>
    <w:rsid w:val="001A0C85"/>
    <w:rsid w:val="001A0E1D"/>
    <w:rsid w:val="001A1876"/>
    <w:rsid w:val="001A2142"/>
    <w:rsid w:val="001A26DA"/>
    <w:rsid w:val="001A2ECD"/>
    <w:rsid w:val="001A3352"/>
    <w:rsid w:val="001A3695"/>
    <w:rsid w:val="001A3A5D"/>
    <w:rsid w:val="001A4056"/>
    <w:rsid w:val="001A6CF4"/>
    <w:rsid w:val="001A7CCD"/>
    <w:rsid w:val="001B0CAB"/>
    <w:rsid w:val="001B0E58"/>
    <w:rsid w:val="001B1992"/>
    <w:rsid w:val="001B1B2B"/>
    <w:rsid w:val="001B1BF4"/>
    <w:rsid w:val="001B1D98"/>
    <w:rsid w:val="001B3405"/>
    <w:rsid w:val="001B38D8"/>
    <w:rsid w:val="001B3BFE"/>
    <w:rsid w:val="001B4310"/>
    <w:rsid w:val="001B495F"/>
    <w:rsid w:val="001B50B2"/>
    <w:rsid w:val="001B5EAD"/>
    <w:rsid w:val="001B667B"/>
    <w:rsid w:val="001B688C"/>
    <w:rsid w:val="001B6D41"/>
    <w:rsid w:val="001B7151"/>
    <w:rsid w:val="001B7983"/>
    <w:rsid w:val="001B7CFF"/>
    <w:rsid w:val="001C0BAE"/>
    <w:rsid w:val="001C0C07"/>
    <w:rsid w:val="001C145F"/>
    <w:rsid w:val="001C2043"/>
    <w:rsid w:val="001C2358"/>
    <w:rsid w:val="001C2511"/>
    <w:rsid w:val="001C2C9D"/>
    <w:rsid w:val="001C3204"/>
    <w:rsid w:val="001C513E"/>
    <w:rsid w:val="001C7946"/>
    <w:rsid w:val="001C79A2"/>
    <w:rsid w:val="001C7D02"/>
    <w:rsid w:val="001D0039"/>
    <w:rsid w:val="001D0BEA"/>
    <w:rsid w:val="001D1255"/>
    <w:rsid w:val="001D1921"/>
    <w:rsid w:val="001D238A"/>
    <w:rsid w:val="001D2467"/>
    <w:rsid w:val="001D2A69"/>
    <w:rsid w:val="001D39F8"/>
    <w:rsid w:val="001D3B02"/>
    <w:rsid w:val="001D504B"/>
    <w:rsid w:val="001D5300"/>
    <w:rsid w:val="001D5C3F"/>
    <w:rsid w:val="001D6279"/>
    <w:rsid w:val="001D63D0"/>
    <w:rsid w:val="001D7A61"/>
    <w:rsid w:val="001E04BC"/>
    <w:rsid w:val="001E062C"/>
    <w:rsid w:val="001E13A2"/>
    <w:rsid w:val="001E2412"/>
    <w:rsid w:val="001E274C"/>
    <w:rsid w:val="001E2C04"/>
    <w:rsid w:val="001E3A18"/>
    <w:rsid w:val="001E3E6C"/>
    <w:rsid w:val="001E46F6"/>
    <w:rsid w:val="001E4712"/>
    <w:rsid w:val="001E4905"/>
    <w:rsid w:val="001E539A"/>
    <w:rsid w:val="001E56FB"/>
    <w:rsid w:val="001E6421"/>
    <w:rsid w:val="001E6674"/>
    <w:rsid w:val="001E7225"/>
    <w:rsid w:val="001E768A"/>
    <w:rsid w:val="001F0944"/>
    <w:rsid w:val="001F1965"/>
    <w:rsid w:val="001F1AB7"/>
    <w:rsid w:val="001F2D6F"/>
    <w:rsid w:val="001F2D7D"/>
    <w:rsid w:val="001F334A"/>
    <w:rsid w:val="001F3D7B"/>
    <w:rsid w:val="001F44D3"/>
    <w:rsid w:val="001F5040"/>
    <w:rsid w:val="001F537A"/>
    <w:rsid w:val="001F55A0"/>
    <w:rsid w:val="001F60FB"/>
    <w:rsid w:val="001F6B0F"/>
    <w:rsid w:val="001F75ED"/>
    <w:rsid w:val="001F797E"/>
    <w:rsid w:val="001F7B16"/>
    <w:rsid w:val="002001B1"/>
    <w:rsid w:val="00200A6F"/>
    <w:rsid w:val="002010A0"/>
    <w:rsid w:val="0020137D"/>
    <w:rsid w:val="00201E95"/>
    <w:rsid w:val="00202628"/>
    <w:rsid w:val="00202D57"/>
    <w:rsid w:val="00206566"/>
    <w:rsid w:val="002068CE"/>
    <w:rsid w:val="002071C2"/>
    <w:rsid w:val="00207596"/>
    <w:rsid w:val="002076E7"/>
    <w:rsid w:val="00207B08"/>
    <w:rsid w:val="00207DED"/>
    <w:rsid w:val="0021007B"/>
    <w:rsid w:val="00210629"/>
    <w:rsid w:val="002114AD"/>
    <w:rsid w:val="00211B7F"/>
    <w:rsid w:val="0021200B"/>
    <w:rsid w:val="00212389"/>
    <w:rsid w:val="0021394F"/>
    <w:rsid w:val="002142D0"/>
    <w:rsid w:val="002146AD"/>
    <w:rsid w:val="002157D7"/>
    <w:rsid w:val="00215847"/>
    <w:rsid w:val="0022074F"/>
    <w:rsid w:val="00221C0A"/>
    <w:rsid w:val="00222422"/>
    <w:rsid w:val="0022311D"/>
    <w:rsid w:val="00224412"/>
    <w:rsid w:val="002249AF"/>
    <w:rsid w:val="002250E2"/>
    <w:rsid w:val="00225D9A"/>
    <w:rsid w:val="00225FD7"/>
    <w:rsid w:val="00226225"/>
    <w:rsid w:val="002266B7"/>
    <w:rsid w:val="00226EDE"/>
    <w:rsid w:val="0023001D"/>
    <w:rsid w:val="0023053F"/>
    <w:rsid w:val="00230874"/>
    <w:rsid w:val="00230E5C"/>
    <w:rsid w:val="0023106C"/>
    <w:rsid w:val="00231D4A"/>
    <w:rsid w:val="00231F56"/>
    <w:rsid w:val="002322B8"/>
    <w:rsid w:val="00232720"/>
    <w:rsid w:val="00232D3E"/>
    <w:rsid w:val="002330E4"/>
    <w:rsid w:val="002337E9"/>
    <w:rsid w:val="002340CC"/>
    <w:rsid w:val="0023450B"/>
    <w:rsid w:val="002346DD"/>
    <w:rsid w:val="00234CDD"/>
    <w:rsid w:val="00235903"/>
    <w:rsid w:val="0023624D"/>
    <w:rsid w:val="002410D9"/>
    <w:rsid w:val="00242A7F"/>
    <w:rsid w:val="00242B92"/>
    <w:rsid w:val="00243399"/>
    <w:rsid w:val="002433C8"/>
    <w:rsid w:val="002434E7"/>
    <w:rsid w:val="00243751"/>
    <w:rsid w:val="00244228"/>
    <w:rsid w:val="002448CB"/>
    <w:rsid w:val="00245A76"/>
    <w:rsid w:val="0024629C"/>
    <w:rsid w:val="00246892"/>
    <w:rsid w:val="00247DAF"/>
    <w:rsid w:val="00251264"/>
    <w:rsid w:val="002515DA"/>
    <w:rsid w:val="00252442"/>
    <w:rsid w:val="0025275B"/>
    <w:rsid w:val="00252E17"/>
    <w:rsid w:val="002530B3"/>
    <w:rsid w:val="0025456B"/>
    <w:rsid w:val="00254E76"/>
    <w:rsid w:val="00255756"/>
    <w:rsid w:val="00255B5B"/>
    <w:rsid w:val="0025626D"/>
    <w:rsid w:val="00256560"/>
    <w:rsid w:val="00256624"/>
    <w:rsid w:val="00256D19"/>
    <w:rsid w:val="00257454"/>
    <w:rsid w:val="002574B6"/>
    <w:rsid w:val="00257F30"/>
    <w:rsid w:val="002606CC"/>
    <w:rsid w:val="00260CB3"/>
    <w:rsid w:val="00261D30"/>
    <w:rsid w:val="0026239B"/>
    <w:rsid w:val="002624C3"/>
    <w:rsid w:val="0026291B"/>
    <w:rsid w:val="00262A91"/>
    <w:rsid w:val="00262ACE"/>
    <w:rsid w:val="002630FB"/>
    <w:rsid w:val="00263A5F"/>
    <w:rsid w:val="00263ACD"/>
    <w:rsid w:val="00265C0D"/>
    <w:rsid w:val="00265D70"/>
    <w:rsid w:val="00266435"/>
    <w:rsid w:val="0026655E"/>
    <w:rsid w:val="00266DC2"/>
    <w:rsid w:val="002722EC"/>
    <w:rsid w:val="0027240B"/>
    <w:rsid w:val="002726B6"/>
    <w:rsid w:val="00274D13"/>
    <w:rsid w:val="00274DED"/>
    <w:rsid w:val="002754BF"/>
    <w:rsid w:val="00275B22"/>
    <w:rsid w:val="00276250"/>
    <w:rsid w:val="0027759D"/>
    <w:rsid w:val="00280075"/>
    <w:rsid w:val="002817B0"/>
    <w:rsid w:val="0028219A"/>
    <w:rsid w:val="002834E2"/>
    <w:rsid w:val="0028357F"/>
    <w:rsid w:val="00283E16"/>
    <w:rsid w:val="00283EA9"/>
    <w:rsid w:val="00284193"/>
    <w:rsid w:val="00284AA5"/>
    <w:rsid w:val="002857D1"/>
    <w:rsid w:val="002859D1"/>
    <w:rsid w:val="00285C02"/>
    <w:rsid w:val="00286ED2"/>
    <w:rsid w:val="00287FD0"/>
    <w:rsid w:val="0029015B"/>
    <w:rsid w:val="00290C42"/>
    <w:rsid w:val="00294544"/>
    <w:rsid w:val="002949CF"/>
    <w:rsid w:val="002953E2"/>
    <w:rsid w:val="00296514"/>
    <w:rsid w:val="00297B10"/>
    <w:rsid w:val="00297C2D"/>
    <w:rsid w:val="002A04E1"/>
    <w:rsid w:val="002A0A44"/>
    <w:rsid w:val="002A11B8"/>
    <w:rsid w:val="002A175E"/>
    <w:rsid w:val="002A2554"/>
    <w:rsid w:val="002A3C32"/>
    <w:rsid w:val="002A68DC"/>
    <w:rsid w:val="002A7180"/>
    <w:rsid w:val="002A72F5"/>
    <w:rsid w:val="002A7D81"/>
    <w:rsid w:val="002B118F"/>
    <w:rsid w:val="002B23F8"/>
    <w:rsid w:val="002B2916"/>
    <w:rsid w:val="002B349C"/>
    <w:rsid w:val="002B440E"/>
    <w:rsid w:val="002B4A7C"/>
    <w:rsid w:val="002B4A82"/>
    <w:rsid w:val="002B5A41"/>
    <w:rsid w:val="002B5DBC"/>
    <w:rsid w:val="002B646F"/>
    <w:rsid w:val="002B6788"/>
    <w:rsid w:val="002B68E2"/>
    <w:rsid w:val="002B6B22"/>
    <w:rsid w:val="002B6DA8"/>
    <w:rsid w:val="002B7038"/>
    <w:rsid w:val="002B742D"/>
    <w:rsid w:val="002B77BD"/>
    <w:rsid w:val="002B7B5A"/>
    <w:rsid w:val="002B7F31"/>
    <w:rsid w:val="002C017A"/>
    <w:rsid w:val="002C02B3"/>
    <w:rsid w:val="002C08B6"/>
    <w:rsid w:val="002C0A65"/>
    <w:rsid w:val="002C0F54"/>
    <w:rsid w:val="002C2571"/>
    <w:rsid w:val="002C367B"/>
    <w:rsid w:val="002C37A5"/>
    <w:rsid w:val="002C3B94"/>
    <w:rsid w:val="002C5139"/>
    <w:rsid w:val="002C578C"/>
    <w:rsid w:val="002C5D6F"/>
    <w:rsid w:val="002C5FE4"/>
    <w:rsid w:val="002C609D"/>
    <w:rsid w:val="002C6DEC"/>
    <w:rsid w:val="002C6E02"/>
    <w:rsid w:val="002C6E0E"/>
    <w:rsid w:val="002C77D7"/>
    <w:rsid w:val="002D21C9"/>
    <w:rsid w:val="002D2577"/>
    <w:rsid w:val="002D2751"/>
    <w:rsid w:val="002D277A"/>
    <w:rsid w:val="002D2A80"/>
    <w:rsid w:val="002D2D1D"/>
    <w:rsid w:val="002D31B5"/>
    <w:rsid w:val="002D36E7"/>
    <w:rsid w:val="002D44EE"/>
    <w:rsid w:val="002D4C04"/>
    <w:rsid w:val="002D4C6A"/>
    <w:rsid w:val="002D4FBC"/>
    <w:rsid w:val="002D525E"/>
    <w:rsid w:val="002D5A8E"/>
    <w:rsid w:val="002D7740"/>
    <w:rsid w:val="002D7AA5"/>
    <w:rsid w:val="002D7B07"/>
    <w:rsid w:val="002E02AA"/>
    <w:rsid w:val="002E0ED2"/>
    <w:rsid w:val="002E1030"/>
    <w:rsid w:val="002E1DA7"/>
    <w:rsid w:val="002E3000"/>
    <w:rsid w:val="002E34C5"/>
    <w:rsid w:val="002E3829"/>
    <w:rsid w:val="002E4582"/>
    <w:rsid w:val="002E4C49"/>
    <w:rsid w:val="002E4E4D"/>
    <w:rsid w:val="002E5E0C"/>
    <w:rsid w:val="002E5E5D"/>
    <w:rsid w:val="002E6528"/>
    <w:rsid w:val="002E674E"/>
    <w:rsid w:val="002E7197"/>
    <w:rsid w:val="002F00B2"/>
    <w:rsid w:val="002F07D0"/>
    <w:rsid w:val="002F0D9F"/>
    <w:rsid w:val="002F143F"/>
    <w:rsid w:val="002F3731"/>
    <w:rsid w:val="002F3782"/>
    <w:rsid w:val="002F398F"/>
    <w:rsid w:val="002F3DCA"/>
    <w:rsid w:val="002F3ED9"/>
    <w:rsid w:val="002F47C0"/>
    <w:rsid w:val="002F498A"/>
    <w:rsid w:val="0030018A"/>
    <w:rsid w:val="003001F2"/>
    <w:rsid w:val="0030048B"/>
    <w:rsid w:val="00301647"/>
    <w:rsid w:val="00301A75"/>
    <w:rsid w:val="00302002"/>
    <w:rsid w:val="0030259D"/>
    <w:rsid w:val="00302D23"/>
    <w:rsid w:val="0030427C"/>
    <w:rsid w:val="003064BD"/>
    <w:rsid w:val="003068DE"/>
    <w:rsid w:val="00306C20"/>
    <w:rsid w:val="00307296"/>
    <w:rsid w:val="003107AE"/>
    <w:rsid w:val="00310E69"/>
    <w:rsid w:val="003111F1"/>
    <w:rsid w:val="00311C37"/>
    <w:rsid w:val="00311E6C"/>
    <w:rsid w:val="0031211F"/>
    <w:rsid w:val="0031234D"/>
    <w:rsid w:val="00312918"/>
    <w:rsid w:val="00312BDB"/>
    <w:rsid w:val="003135D8"/>
    <w:rsid w:val="00314734"/>
    <w:rsid w:val="00315198"/>
    <w:rsid w:val="00315D95"/>
    <w:rsid w:val="00316518"/>
    <w:rsid w:val="003169E1"/>
    <w:rsid w:val="003172A7"/>
    <w:rsid w:val="00317D2D"/>
    <w:rsid w:val="00317D46"/>
    <w:rsid w:val="00317E6C"/>
    <w:rsid w:val="00320076"/>
    <w:rsid w:val="003204E3"/>
    <w:rsid w:val="0032074B"/>
    <w:rsid w:val="0032084F"/>
    <w:rsid w:val="0032151D"/>
    <w:rsid w:val="00322344"/>
    <w:rsid w:val="00322BAB"/>
    <w:rsid w:val="00323F1E"/>
    <w:rsid w:val="00325018"/>
    <w:rsid w:val="00325069"/>
    <w:rsid w:val="003253FC"/>
    <w:rsid w:val="00325E0A"/>
    <w:rsid w:val="0032602F"/>
    <w:rsid w:val="0032656F"/>
    <w:rsid w:val="00326E64"/>
    <w:rsid w:val="00327081"/>
    <w:rsid w:val="003270E8"/>
    <w:rsid w:val="003277A7"/>
    <w:rsid w:val="00327AA1"/>
    <w:rsid w:val="0033034B"/>
    <w:rsid w:val="003305DD"/>
    <w:rsid w:val="003307F2"/>
    <w:rsid w:val="00330CB6"/>
    <w:rsid w:val="00331625"/>
    <w:rsid w:val="00331931"/>
    <w:rsid w:val="00332609"/>
    <w:rsid w:val="00332CF5"/>
    <w:rsid w:val="003337C6"/>
    <w:rsid w:val="0033380E"/>
    <w:rsid w:val="00333E39"/>
    <w:rsid w:val="00334447"/>
    <w:rsid w:val="003347F7"/>
    <w:rsid w:val="00334CD9"/>
    <w:rsid w:val="00334EDC"/>
    <w:rsid w:val="00335083"/>
    <w:rsid w:val="0033555D"/>
    <w:rsid w:val="003379B1"/>
    <w:rsid w:val="003404EF"/>
    <w:rsid w:val="003405C2"/>
    <w:rsid w:val="00340873"/>
    <w:rsid w:val="00340878"/>
    <w:rsid w:val="00340895"/>
    <w:rsid w:val="00340F88"/>
    <w:rsid w:val="00340FE7"/>
    <w:rsid w:val="003411E6"/>
    <w:rsid w:val="00341858"/>
    <w:rsid w:val="00341BE8"/>
    <w:rsid w:val="00341D4C"/>
    <w:rsid w:val="003421BB"/>
    <w:rsid w:val="003425C3"/>
    <w:rsid w:val="00343100"/>
    <w:rsid w:val="00343F93"/>
    <w:rsid w:val="0034413F"/>
    <w:rsid w:val="00344548"/>
    <w:rsid w:val="00344DC1"/>
    <w:rsid w:val="00344FFE"/>
    <w:rsid w:val="0034506E"/>
    <w:rsid w:val="003452AF"/>
    <w:rsid w:val="003459BB"/>
    <w:rsid w:val="00345F29"/>
    <w:rsid w:val="00346ADF"/>
    <w:rsid w:val="00347812"/>
    <w:rsid w:val="00347937"/>
    <w:rsid w:val="00347D4C"/>
    <w:rsid w:val="00350955"/>
    <w:rsid w:val="00350C05"/>
    <w:rsid w:val="00351379"/>
    <w:rsid w:val="003516D3"/>
    <w:rsid w:val="0035206E"/>
    <w:rsid w:val="00352831"/>
    <w:rsid w:val="00353422"/>
    <w:rsid w:val="003536B2"/>
    <w:rsid w:val="0035469B"/>
    <w:rsid w:val="00356BBC"/>
    <w:rsid w:val="00356DEF"/>
    <w:rsid w:val="00360AA2"/>
    <w:rsid w:val="00361ECA"/>
    <w:rsid w:val="0036258B"/>
    <w:rsid w:val="003626FB"/>
    <w:rsid w:val="003632D6"/>
    <w:rsid w:val="003635ED"/>
    <w:rsid w:val="003636AA"/>
    <w:rsid w:val="00363D7A"/>
    <w:rsid w:val="003647D0"/>
    <w:rsid w:val="00366113"/>
    <w:rsid w:val="003667EB"/>
    <w:rsid w:val="00366E1B"/>
    <w:rsid w:val="003670C0"/>
    <w:rsid w:val="00367CC9"/>
    <w:rsid w:val="00370000"/>
    <w:rsid w:val="00370140"/>
    <w:rsid w:val="003720BE"/>
    <w:rsid w:val="00372529"/>
    <w:rsid w:val="003725D5"/>
    <w:rsid w:val="00372CFD"/>
    <w:rsid w:val="0037354A"/>
    <w:rsid w:val="00374100"/>
    <w:rsid w:val="00374930"/>
    <w:rsid w:val="0037499C"/>
    <w:rsid w:val="003756A1"/>
    <w:rsid w:val="0037582C"/>
    <w:rsid w:val="003763C4"/>
    <w:rsid w:val="0037652A"/>
    <w:rsid w:val="003777CD"/>
    <w:rsid w:val="00377A68"/>
    <w:rsid w:val="003803B9"/>
    <w:rsid w:val="003803CA"/>
    <w:rsid w:val="00380461"/>
    <w:rsid w:val="003804B4"/>
    <w:rsid w:val="00380F4A"/>
    <w:rsid w:val="00381B72"/>
    <w:rsid w:val="00382081"/>
    <w:rsid w:val="003824AA"/>
    <w:rsid w:val="00382C4B"/>
    <w:rsid w:val="0038455A"/>
    <w:rsid w:val="00384A8F"/>
    <w:rsid w:val="003863C9"/>
    <w:rsid w:val="00387621"/>
    <w:rsid w:val="003915C3"/>
    <w:rsid w:val="003915E7"/>
    <w:rsid w:val="0039200A"/>
    <w:rsid w:val="003930BB"/>
    <w:rsid w:val="00393DFF"/>
    <w:rsid w:val="00393E5D"/>
    <w:rsid w:val="00394117"/>
    <w:rsid w:val="0039477E"/>
    <w:rsid w:val="003962DA"/>
    <w:rsid w:val="0039701A"/>
    <w:rsid w:val="003972DF"/>
    <w:rsid w:val="00397F7A"/>
    <w:rsid w:val="003A02AE"/>
    <w:rsid w:val="003A0B18"/>
    <w:rsid w:val="003A0B7C"/>
    <w:rsid w:val="003A0F33"/>
    <w:rsid w:val="003A1B18"/>
    <w:rsid w:val="003A205E"/>
    <w:rsid w:val="003A31FE"/>
    <w:rsid w:val="003A362B"/>
    <w:rsid w:val="003A3836"/>
    <w:rsid w:val="003A3FB4"/>
    <w:rsid w:val="003A4666"/>
    <w:rsid w:val="003A4B70"/>
    <w:rsid w:val="003A6115"/>
    <w:rsid w:val="003A76AB"/>
    <w:rsid w:val="003A7E6D"/>
    <w:rsid w:val="003B198A"/>
    <w:rsid w:val="003B1D62"/>
    <w:rsid w:val="003B2299"/>
    <w:rsid w:val="003B2D62"/>
    <w:rsid w:val="003B2E0D"/>
    <w:rsid w:val="003B3578"/>
    <w:rsid w:val="003B3B5C"/>
    <w:rsid w:val="003B3D5D"/>
    <w:rsid w:val="003B4392"/>
    <w:rsid w:val="003B4569"/>
    <w:rsid w:val="003B4A71"/>
    <w:rsid w:val="003B4DAA"/>
    <w:rsid w:val="003B53BD"/>
    <w:rsid w:val="003B5CFA"/>
    <w:rsid w:val="003B5F79"/>
    <w:rsid w:val="003B600B"/>
    <w:rsid w:val="003B663F"/>
    <w:rsid w:val="003B7172"/>
    <w:rsid w:val="003B74BE"/>
    <w:rsid w:val="003B7B62"/>
    <w:rsid w:val="003B7BCB"/>
    <w:rsid w:val="003B7BD6"/>
    <w:rsid w:val="003C02AC"/>
    <w:rsid w:val="003C0E4B"/>
    <w:rsid w:val="003C18F9"/>
    <w:rsid w:val="003C1DCD"/>
    <w:rsid w:val="003C1E76"/>
    <w:rsid w:val="003C25F9"/>
    <w:rsid w:val="003C2C0D"/>
    <w:rsid w:val="003C2C66"/>
    <w:rsid w:val="003C300B"/>
    <w:rsid w:val="003C34DF"/>
    <w:rsid w:val="003C3B57"/>
    <w:rsid w:val="003C3E74"/>
    <w:rsid w:val="003C4A9F"/>
    <w:rsid w:val="003C4BEE"/>
    <w:rsid w:val="003C4C72"/>
    <w:rsid w:val="003C5282"/>
    <w:rsid w:val="003C5ACD"/>
    <w:rsid w:val="003C7894"/>
    <w:rsid w:val="003C7989"/>
    <w:rsid w:val="003C79B3"/>
    <w:rsid w:val="003C7FB3"/>
    <w:rsid w:val="003D0C62"/>
    <w:rsid w:val="003D1A3A"/>
    <w:rsid w:val="003D1B95"/>
    <w:rsid w:val="003D37C4"/>
    <w:rsid w:val="003D4187"/>
    <w:rsid w:val="003D7071"/>
    <w:rsid w:val="003D70B4"/>
    <w:rsid w:val="003D70C8"/>
    <w:rsid w:val="003D7E3D"/>
    <w:rsid w:val="003E1BAD"/>
    <w:rsid w:val="003E2145"/>
    <w:rsid w:val="003E24FD"/>
    <w:rsid w:val="003E2CD1"/>
    <w:rsid w:val="003E2D32"/>
    <w:rsid w:val="003E2E14"/>
    <w:rsid w:val="003E31A8"/>
    <w:rsid w:val="003E329B"/>
    <w:rsid w:val="003E3D3F"/>
    <w:rsid w:val="003E4269"/>
    <w:rsid w:val="003E47D2"/>
    <w:rsid w:val="003E4809"/>
    <w:rsid w:val="003E4A11"/>
    <w:rsid w:val="003E4DF0"/>
    <w:rsid w:val="003E5011"/>
    <w:rsid w:val="003E55A4"/>
    <w:rsid w:val="003E563C"/>
    <w:rsid w:val="003E5979"/>
    <w:rsid w:val="003E6391"/>
    <w:rsid w:val="003E76D4"/>
    <w:rsid w:val="003E7BA2"/>
    <w:rsid w:val="003E7C37"/>
    <w:rsid w:val="003E7DB2"/>
    <w:rsid w:val="003F07B2"/>
    <w:rsid w:val="003F0B33"/>
    <w:rsid w:val="003F0C6C"/>
    <w:rsid w:val="003F138B"/>
    <w:rsid w:val="003F13B8"/>
    <w:rsid w:val="003F1A32"/>
    <w:rsid w:val="003F1A4D"/>
    <w:rsid w:val="003F38A2"/>
    <w:rsid w:val="003F3E07"/>
    <w:rsid w:val="003F4343"/>
    <w:rsid w:val="003F4892"/>
    <w:rsid w:val="003F5238"/>
    <w:rsid w:val="003F5645"/>
    <w:rsid w:val="003F591F"/>
    <w:rsid w:val="003F6639"/>
    <w:rsid w:val="003F68F8"/>
    <w:rsid w:val="003F6E41"/>
    <w:rsid w:val="003F71C4"/>
    <w:rsid w:val="003F7547"/>
    <w:rsid w:val="003F782D"/>
    <w:rsid w:val="003F78FC"/>
    <w:rsid w:val="00400350"/>
    <w:rsid w:val="00400CB1"/>
    <w:rsid w:val="004014C6"/>
    <w:rsid w:val="004019F9"/>
    <w:rsid w:val="00401FBC"/>
    <w:rsid w:val="0040292D"/>
    <w:rsid w:val="004038A4"/>
    <w:rsid w:val="0040423B"/>
    <w:rsid w:val="00404736"/>
    <w:rsid w:val="00404AE5"/>
    <w:rsid w:val="00404CC3"/>
    <w:rsid w:val="00404DA7"/>
    <w:rsid w:val="004050BA"/>
    <w:rsid w:val="0040616E"/>
    <w:rsid w:val="00406CE3"/>
    <w:rsid w:val="004070BE"/>
    <w:rsid w:val="0040743E"/>
    <w:rsid w:val="00407885"/>
    <w:rsid w:val="00407CFD"/>
    <w:rsid w:val="004100F3"/>
    <w:rsid w:val="004103C8"/>
    <w:rsid w:val="00410EBD"/>
    <w:rsid w:val="0041156D"/>
    <w:rsid w:val="00411865"/>
    <w:rsid w:val="00411C72"/>
    <w:rsid w:val="00412898"/>
    <w:rsid w:val="00412ABA"/>
    <w:rsid w:val="0041376D"/>
    <w:rsid w:val="0041413D"/>
    <w:rsid w:val="00414C7D"/>
    <w:rsid w:val="0041514C"/>
    <w:rsid w:val="004164F2"/>
    <w:rsid w:val="00416EB7"/>
    <w:rsid w:val="00417333"/>
    <w:rsid w:val="004175F4"/>
    <w:rsid w:val="004178B0"/>
    <w:rsid w:val="00417EBE"/>
    <w:rsid w:val="0042169D"/>
    <w:rsid w:val="0042198A"/>
    <w:rsid w:val="00421B2F"/>
    <w:rsid w:val="00422C19"/>
    <w:rsid w:val="00422D7F"/>
    <w:rsid w:val="00423068"/>
    <w:rsid w:val="0042336A"/>
    <w:rsid w:val="00423BE8"/>
    <w:rsid w:val="004243DC"/>
    <w:rsid w:val="00425417"/>
    <w:rsid w:val="0042583F"/>
    <w:rsid w:val="00425CB8"/>
    <w:rsid w:val="00426D1D"/>
    <w:rsid w:val="00426F5A"/>
    <w:rsid w:val="00427323"/>
    <w:rsid w:val="00427FF6"/>
    <w:rsid w:val="00430175"/>
    <w:rsid w:val="00430A40"/>
    <w:rsid w:val="00430D28"/>
    <w:rsid w:val="00431D8B"/>
    <w:rsid w:val="004323A5"/>
    <w:rsid w:val="004335DB"/>
    <w:rsid w:val="004335F0"/>
    <w:rsid w:val="00433F43"/>
    <w:rsid w:val="00434060"/>
    <w:rsid w:val="004342FF"/>
    <w:rsid w:val="00434E9E"/>
    <w:rsid w:val="004351BC"/>
    <w:rsid w:val="004352F7"/>
    <w:rsid w:val="00436175"/>
    <w:rsid w:val="00436F59"/>
    <w:rsid w:val="00437842"/>
    <w:rsid w:val="0043786F"/>
    <w:rsid w:val="00440496"/>
    <w:rsid w:val="0044145F"/>
    <w:rsid w:val="004418A6"/>
    <w:rsid w:val="00441C6D"/>
    <w:rsid w:val="0044257C"/>
    <w:rsid w:val="004435BE"/>
    <w:rsid w:val="00443FB9"/>
    <w:rsid w:val="00444688"/>
    <w:rsid w:val="00444FA2"/>
    <w:rsid w:val="004452A1"/>
    <w:rsid w:val="004453D7"/>
    <w:rsid w:val="004458A6"/>
    <w:rsid w:val="00445BFF"/>
    <w:rsid w:val="00446A75"/>
    <w:rsid w:val="00446A79"/>
    <w:rsid w:val="00446AF1"/>
    <w:rsid w:val="0045080F"/>
    <w:rsid w:val="00450C2D"/>
    <w:rsid w:val="00450F63"/>
    <w:rsid w:val="004515B4"/>
    <w:rsid w:val="00452294"/>
    <w:rsid w:val="00452568"/>
    <w:rsid w:val="00452E74"/>
    <w:rsid w:val="00454250"/>
    <w:rsid w:val="004546D1"/>
    <w:rsid w:val="004547DD"/>
    <w:rsid w:val="00454A41"/>
    <w:rsid w:val="00455603"/>
    <w:rsid w:val="00455994"/>
    <w:rsid w:val="0045640F"/>
    <w:rsid w:val="0045691B"/>
    <w:rsid w:val="00456BDA"/>
    <w:rsid w:val="004571BB"/>
    <w:rsid w:val="004572AF"/>
    <w:rsid w:val="0045796F"/>
    <w:rsid w:val="00457DEB"/>
    <w:rsid w:val="00457E74"/>
    <w:rsid w:val="00460B70"/>
    <w:rsid w:val="00461467"/>
    <w:rsid w:val="0046149F"/>
    <w:rsid w:val="0046152D"/>
    <w:rsid w:val="00461991"/>
    <w:rsid w:val="00461A4E"/>
    <w:rsid w:val="004620C7"/>
    <w:rsid w:val="004628C4"/>
    <w:rsid w:val="004632E2"/>
    <w:rsid w:val="0046350C"/>
    <w:rsid w:val="00463E1E"/>
    <w:rsid w:val="00466199"/>
    <w:rsid w:val="004664F8"/>
    <w:rsid w:val="004675D5"/>
    <w:rsid w:val="004676D0"/>
    <w:rsid w:val="00467742"/>
    <w:rsid w:val="0047062D"/>
    <w:rsid w:val="00470804"/>
    <w:rsid w:val="00470D18"/>
    <w:rsid w:val="00471615"/>
    <w:rsid w:val="00472083"/>
    <w:rsid w:val="004732F9"/>
    <w:rsid w:val="00473606"/>
    <w:rsid w:val="00473A00"/>
    <w:rsid w:val="00473FAC"/>
    <w:rsid w:val="004741EB"/>
    <w:rsid w:val="004743B6"/>
    <w:rsid w:val="004744DC"/>
    <w:rsid w:val="00475145"/>
    <w:rsid w:val="00475624"/>
    <w:rsid w:val="00475AED"/>
    <w:rsid w:val="004766E7"/>
    <w:rsid w:val="004779A0"/>
    <w:rsid w:val="00477C86"/>
    <w:rsid w:val="004801AC"/>
    <w:rsid w:val="004804F8"/>
    <w:rsid w:val="004807F0"/>
    <w:rsid w:val="00481250"/>
    <w:rsid w:val="00481673"/>
    <w:rsid w:val="00481819"/>
    <w:rsid w:val="00481A08"/>
    <w:rsid w:val="0048263F"/>
    <w:rsid w:val="00482F12"/>
    <w:rsid w:val="0048370C"/>
    <w:rsid w:val="00483A93"/>
    <w:rsid w:val="00484F7A"/>
    <w:rsid w:val="004857A3"/>
    <w:rsid w:val="00485859"/>
    <w:rsid w:val="00485D7A"/>
    <w:rsid w:val="004862B1"/>
    <w:rsid w:val="00486331"/>
    <w:rsid w:val="004863E2"/>
    <w:rsid w:val="0048667B"/>
    <w:rsid w:val="004867EE"/>
    <w:rsid w:val="004868B8"/>
    <w:rsid w:val="00486F6C"/>
    <w:rsid w:val="00486FC9"/>
    <w:rsid w:val="00487320"/>
    <w:rsid w:val="00487590"/>
    <w:rsid w:val="004877C8"/>
    <w:rsid w:val="00487817"/>
    <w:rsid w:val="00490510"/>
    <w:rsid w:val="0049062D"/>
    <w:rsid w:val="004907F4"/>
    <w:rsid w:val="00491654"/>
    <w:rsid w:val="004917DF"/>
    <w:rsid w:val="00491BCA"/>
    <w:rsid w:val="00491DD5"/>
    <w:rsid w:val="00492527"/>
    <w:rsid w:val="004928D6"/>
    <w:rsid w:val="00493160"/>
    <w:rsid w:val="00493164"/>
    <w:rsid w:val="0049478A"/>
    <w:rsid w:val="00494D37"/>
    <w:rsid w:val="00496E0D"/>
    <w:rsid w:val="004A02C3"/>
    <w:rsid w:val="004A12EC"/>
    <w:rsid w:val="004A24CE"/>
    <w:rsid w:val="004A2EA2"/>
    <w:rsid w:val="004A3769"/>
    <w:rsid w:val="004A42E3"/>
    <w:rsid w:val="004A4B42"/>
    <w:rsid w:val="004A4EB1"/>
    <w:rsid w:val="004A7F4A"/>
    <w:rsid w:val="004B0498"/>
    <w:rsid w:val="004B2721"/>
    <w:rsid w:val="004B2755"/>
    <w:rsid w:val="004B279B"/>
    <w:rsid w:val="004B35FF"/>
    <w:rsid w:val="004B3C1F"/>
    <w:rsid w:val="004B40AB"/>
    <w:rsid w:val="004B49B3"/>
    <w:rsid w:val="004B4BCA"/>
    <w:rsid w:val="004B5875"/>
    <w:rsid w:val="004B5E17"/>
    <w:rsid w:val="004B61BF"/>
    <w:rsid w:val="004B663D"/>
    <w:rsid w:val="004B7293"/>
    <w:rsid w:val="004B7790"/>
    <w:rsid w:val="004C0249"/>
    <w:rsid w:val="004C04ED"/>
    <w:rsid w:val="004C1248"/>
    <w:rsid w:val="004C1399"/>
    <w:rsid w:val="004C2263"/>
    <w:rsid w:val="004C31A4"/>
    <w:rsid w:val="004C4381"/>
    <w:rsid w:val="004C4521"/>
    <w:rsid w:val="004C53CE"/>
    <w:rsid w:val="004C5440"/>
    <w:rsid w:val="004C59B5"/>
    <w:rsid w:val="004C6A21"/>
    <w:rsid w:val="004C6E0D"/>
    <w:rsid w:val="004C7B70"/>
    <w:rsid w:val="004D085E"/>
    <w:rsid w:val="004D0F69"/>
    <w:rsid w:val="004D1D39"/>
    <w:rsid w:val="004D1EC1"/>
    <w:rsid w:val="004D227E"/>
    <w:rsid w:val="004D457F"/>
    <w:rsid w:val="004D5828"/>
    <w:rsid w:val="004D5882"/>
    <w:rsid w:val="004D59A9"/>
    <w:rsid w:val="004D5E29"/>
    <w:rsid w:val="004D6FD4"/>
    <w:rsid w:val="004D777B"/>
    <w:rsid w:val="004D7A9B"/>
    <w:rsid w:val="004E0C0A"/>
    <w:rsid w:val="004E128B"/>
    <w:rsid w:val="004E23A6"/>
    <w:rsid w:val="004E2B69"/>
    <w:rsid w:val="004E4150"/>
    <w:rsid w:val="004E456D"/>
    <w:rsid w:val="004E5DA7"/>
    <w:rsid w:val="004E60F4"/>
    <w:rsid w:val="004E78B5"/>
    <w:rsid w:val="004F02A8"/>
    <w:rsid w:val="004F03F3"/>
    <w:rsid w:val="004F06E6"/>
    <w:rsid w:val="004F0DFE"/>
    <w:rsid w:val="004F2932"/>
    <w:rsid w:val="004F2A3D"/>
    <w:rsid w:val="004F4DAD"/>
    <w:rsid w:val="004F50D8"/>
    <w:rsid w:val="004F583A"/>
    <w:rsid w:val="004F6083"/>
    <w:rsid w:val="004F659E"/>
    <w:rsid w:val="004F6971"/>
    <w:rsid w:val="004F6D5C"/>
    <w:rsid w:val="00500469"/>
    <w:rsid w:val="0050046B"/>
    <w:rsid w:val="0050057A"/>
    <w:rsid w:val="00500958"/>
    <w:rsid w:val="005009CE"/>
    <w:rsid w:val="00500C6B"/>
    <w:rsid w:val="0050119F"/>
    <w:rsid w:val="0050134F"/>
    <w:rsid w:val="00501811"/>
    <w:rsid w:val="00501CBA"/>
    <w:rsid w:val="00501F08"/>
    <w:rsid w:val="00502126"/>
    <w:rsid w:val="005021BD"/>
    <w:rsid w:val="00503342"/>
    <w:rsid w:val="00503682"/>
    <w:rsid w:val="005038A3"/>
    <w:rsid w:val="00503E43"/>
    <w:rsid w:val="00504037"/>
    <w:rsid w:val="005040D3"/>
    <w:rsid w:val="005047D7"/>
    <w:rsid w:val="00506106"/>
    <w:rsid w:val="0050628A"/>
    <w:rsid w:val="00506C1C"/>
    <w:rsid w:val="00507008"/>
    <w:rsid w:val="0050772F"/>
    <w:rsid w:val="00507966"/>
    <w:rsid w:val="00507E57"/>
    <w:rsid w:val="00510BF0"/>
    <w:rsid w:val="00513088"/>
    <w:rsid w:val="005134D4"/>
    <w:rsid w:val="00513D22"/>
    <w:rsid w:val="00513E47"/>
    <w:rsid w:val="00516102"/>
    <w:rsid w:val="0051655D"/>
    <w:rsid w:val="00517E9C"/>
    <w:rsid w:val="005202C1"/>
    <w:rsid w:val="005207C1"/>
    <w:rsid w:val="00522412"/>
    <w:rsid w:val="0052330F"/>
    <w:rsid w:val="00523561"/>
    <w:rsid w:val="00523946"/>
    <w:rsid w:val="00523EB2"/>
    <w:rsid w:val="00524FCC"/>
    <w:rsid w:val="00525080"/>
    <w:rsid w:val="005250AD"/>
    <w:rsid w:val="0052700E"/>
    <w:rsid w:val="005272DD"/>
    <w:rsid w:val="00527BD6"/>
    <w:rsid w:val="005313A9"/>
    <w:rsid w:val="00531BE4"/>
    <w:rsid w:val="0053266B"/>
    <w:rsid w:val="005327B9"/>
    <w:rsid w:val="005338E4"/>
    <w:rsid w:val="00533ED7"/>
    <w:rsid w:val="00534179"/>
    <w:rsid w:val="005348C1"/>
    <w:rsid w:val="00535041"/>
    <w:rsid w:val="00535361"/>
    <w:rsid w:val="00535586"/>
    <w:rsid w:val="00536364"/>
    <w:rsid w:val="005367BF"/>
    <w:rsid w:val="0053703D"/>
    <w:rsid w:val="00537683"/>
    <w:rsid w:val="0053776D"/>
    <w:rsid w:val="005379D1"/>
    <w:rsid w:val="00540346"/>
    <w:rsid w:val="00541545"/>
    <w:rsid w:val="00541C27"/>
    <w:rsid w:val="00541D8D"/>
    <w:rsid w:val="00542301"/>
    <w:rsid w:val="005423F5"/>
    <w:rsid w:val="00544D97"/>
    <w:rsid w:val="00545192"/>
    <w:rsid w:val="005458BF"/>
    <w:rsid w:val="00547687"/>
    <w:rsid w:val="00547E97"/>
    <w:rsid w:val="005507F7"/>
    <w:rsid w:val="00550CF5"/>
    <w:rsid w:val="005515F9"/>
    <w:rsid w:val="005516A4"/>
    <w:rsid w:val="0055198C"/>
    <w:rsid w:val="0055254F"/>
    <w:rsid w:val="005542F9"/>
    <w:rsid w:val="00554375"/>
    <w:rsid w:val="00554A12"/>
    <w:rsid w:val="00554CC8"/>
    <w:rsid w:val="00555A78"/>
    <w:rsid w:val="00556349"/>
    <w:rsid w:val="00557481"/>
    <w:rsid w:val="00557726"/>
    <w:rsid w:val="00560B95"/>
    <w:rsid w:val="00560EE5"/>
    <w:rsid w:val="00561458"/>
    <w:rsid w:val="0056195F"/>
    <w:rsid w:val="00561DAB"/>
    <w:rsid w:val="00561FA0"/>
    <w:rsid w:val="00562907"/>
    <w:rsid w:val="00565168"/>
    <w:rsid w:val="00565214"/>
    <w:rsid w:val="005664B7"/>
    <w:rsid w:val="00566786"/>
    <w:rsid w:val="00566E04"/>
    <w:rsid w:val="005709E3"/>
    <w:rsid w:val="00570F6F"/>
    <w:rsid w:val="00571029"/>
    <w:rsid w:val="0057108A"/>
    <w:rsid w:val="0057170C"/>
    <w:rsid w:val="005718F4"/>
    <w:rsid w:val="005720E0"/>
    <w:rsid w:val="00573A99"/>
    <w:rsid w:val="00573B87"/>
    <w:rsid w:val="00573D92"/>
    <w:rsid w:val="00573E5B"/>
    <w:rsid w:val="00573E71"/>
    <w:rsid w:val="0057410A"/>
    <w:rsid w:val="00574171"/>
    <w:rsid w:val="0057472A"/>
    <w:rsid w:val="00574C7C"/>
    <w:rsid w:val="00575423"/>
    <w:rsid w:val="00575582"/>
    <w:rsid w:val="005756A1"/>
    <w:rsid w:val="005760E9"/>
    <w:rsid w:val="00576543"/>
    <w:rsid w:val="00576894"/>
    <w:rsid w:val="00576E3F"/>
    <w:rsid w:val="0057791E"/>
    <w:rsid w:val="00577B45"/>
    <w:rsid w:val="00577C9A"/>
    <w:rsid w:val="005808C1"/>
    <w:rsid w:val="00580E6D"/>
    <w:rsid w:val="005811BA"/>
    <w:rsid w:val="00581486"/>
    <w:rsid w:val="005814DA"/>
    <w:rsid w:val="005817D6"/>
    <w:rsid w:val="005820A8"/>
    <w:rsid w:val="00582406"/>
    <w:rsid w:val="00582B69"/>
    <w:rsid w:val="0058438B"/>
    <w:rsid w:val="005857C7"/>
    <w:rsid w:val="005864D6"/>
    <w:rsid w:val="00586B37"/>
    <w:rsid w:val="00587502"/>
    <w:rsid w:val="00590641"/>
    <w:rsid w:val="005909AF"/>
    <w:rsid w:val="00590F52"/>
    <w:rsid w:val="005916E4"/>
    <w:rsid w:val="00591BA5"/>
    <w:rsid w:val="00591DD6"/>
    <w:rsid w:val="005931CC"/>
    <w:rsid w:val="005932C8"/>
    <w:rsid w:val="00593334"/>
    <w:rsid w:val="0059378B"/>
    <w:rsid w:val="00593EF8"/>
    <w:rsid w:val="005947B6"/>
    <w:rsid w:val="005959D9"/>
    <w:rsid w:val="00597543"/>
    <w:rsid w:val="00597C8E"/>
    <w:rsid w:val="005A02B8"/>
    <w:rsid w:val="005A09FD"/>
    <w:rsid w:val="005A0D70"/>
    <w:rsid w:val="005A0E43"/>
    <w:rsid w:val="005A170B"/>
    <w:rsid w:val="005A1F61"/>
    <w:rsid w:val="005A2FB7"/>
    <w:rsid w:val="005A3A4B"/>
    <w:rsid w:val="005A46E2"/>
    <w:rsid w:val="005A56E5"/>
    <w:rsid w:val="005A5F39"/>
    <w:rsid w:val="005A6F4D"/>
    <w:rsid w:val="005A7587"/>
    <w:rsid w:val="005B0459"/>
    <w:rsid w:val="005B177A"/>
    <w:rsid w:val="005B52DD"/>
    <w:rsid w:val="005B54AD"/>
    <w:rsid w:val="005B55E5"/>
    <w:rsid w:val="005B62FC"/>
    <w:rsid w:val="005B6B22"/>
    <w:rsid w:val="005B7074"/>
    <w:rsid w:val="005B7210"/>
    <w:rsid w:val="005B772F"/>
    <w:rsid w:val="005B774B"/>
    <w:rsid w:val="005B7760"/>
    <w:rsid w:val="005B7C9A"/>
    <w:rsid w:val="005C0723"/>
    <w:rsid w:val="005C0DAF"/>
    <w:rsid w:val="005C1A88"/>
    <w:rsid w:val="005C1D4E"/>
    <w:rsid w:val="005C1E38"/>
    <w:rsid w:val="005C274A"/>
    <w:rsid w:val="005C3EF5"/>
    <w:rsid w:val="005C45E7"/>
    <w:rsid w:val="005C4A25"/>
    <w:rsid w:val="005C4E07"/>
    <w:rsid w:val="005C4F14"/>
    <w:rsid w:val="005C4FD0"/>
    <w:rsid w:val="005C5D6E"/>
    <w:rsid w:val="005C74AC"/>
    <w:rsid w:val="005C7583"/>
    <w:rsid w:val="005D0DE1"/>
    <w:rsid w:val="005D21B8"/>
    <w:rsid w:val="005D2D82"/>
    <w:rsid w:val="005D3BC3"/>
    <w:rsid w:val="005D46D9"/>
    <w:rsid w:val="005D51A7"/>
    <w:rsid w:val="005D63E9"/>
    <w:rsid w:val="005D76F9"/>
    <w:rsid w:val="005E1111"/>
    <w:rsid w:val="005E2331"/>
    <w:rsid w:val="005E2511"/>
    <w:rsid w:val="005E323E"/>
    <w:rsid w:val="005E562C"/>
    <w:rsid w:val="005E64C3"/>
    <w:rsid w:val="005E659D"/>
    <w:rsid w:val="005E65E6"/>
    <w:rsid w:val="005E69D4"/>
    <w:rsid w:val="005E7F6C"/>
    <w:rsid w:val="005F0A6A"/>
    <w:rsid w:val="005F0E81"/>
    <w:rsid w:val="005F1325"/>
    <w:rsid w:val="005F1C01"/>
    <w:rsid w:val="005F2114"/>
    <w:rsid w:val="005F22A4"/>
    <w:rsid w:val="005F253E"/>
    <w:rsid w:val="005F2A52"/>
    <w:rsid w:val="005F2AD6"/>
    <w:rsid w:val="005F2FD2"/>
    <w:rsid w:val="005F39DD"/>
    <w:rsid w:val="005F3BFD"/>
    <w:rsid w:val="005F3DBC"/>
    <w:rsid w:val="005F40FF"/>
    <w:rsid w:val="005F4F76"/>
    <w:rsid w:val="005F4FDB"/>
    <w:rsid w:val="005F564D"/>
    <w:rsid w:val="005F5F41"/>
    <w:rsid w:val="005F7638"/>
    <w:rsid w:val="005F7EC9"/>
    <w:rsid w:val="0060028E"/>
    <w:rsid w:val="006008D8"/>
    <w:rsid w:val="006008FF"/>
    <w:rsid w:val="0060140C"/>
    <w:rsid w:val="0060174F"/>
    <w:rsid w:val="00601B57"/>
    <w:rsid w:val="006021DF"/>
    <w:rsid w:val="006023D2"/>
    <w:rsid w:val="00602A6D"/>
    <w:rsid w:val="00602BEF"/>
    <w:rsid w:val="006039DD"/>
    <w:rsid w:val="00603CE8"/>
    <w:rsid w:val="00603F2E"/>
    <w:rsid w:val="0060492D"/>
    <w:rsid w:val="00604B4C"/>
    <w:rsid w:val="00604EAC"/>
    <w:rsid w:val="0060546D"/>
    <w:rsid w:val="00605ECF"/>
    <w:rsid w:val="006064C3"/>
    <w:rsid w:val="0060715B"/>
    <w:rsid w:val="00607178"/>
    <w:rsid w:val="0060794D"/>
    <w:rsid w:val="00607E04"/>
    <w:rsid w:val="00610636"/>
    <w:rsid w:val="00610783"/>
    <w:rsid w:val="00611BC7"/>
    <w:rsid w:val="00612169"/>
    <w:rsid w:val="00612BBE"/>
    <w:rsid w:val="0061394B"/>
    <w:rsid w:val="00613FE0"/>
    <w:rsid w:val="006144F0"/>
    <w:rsid w:val="006151ED"/>
    <w:rsid w:val="00615401"/>
    <w:rsid w:val="00616561"/>
    <w:rsid w:val="00616D97"/>
    <w:rsid w:val="00616FE2"/>
    <w:rsid w:val="0061748E"/>
    <w:rsid w:val="006174B1"/>
    <w:rsid w:val="00617C92"/>
    <w:rsid w:val="00617CBC"/>
    <w:rsid w:val="006203CF"/>
    <w:rsid w:val="0062112C"/>
    <w:rsid w:val="00621F59"/>
    <w:rsid w:val="00622CE8"/>
    <w:rsid w:val="00623492"/>
    <w:rsid w:val="00624277"/>
    <w:rsid w:val="006246E8"/>
    <w:rsid w:val="0062479B"/>
    <w:rsid w:val="006254C4"/>
    <w:rsid w:val="00627981"/>
    <w:rsid w:val="00627FD3"/>
    <w:rsid w:val="006306DC"/>
    <w:rsid w:val="00630DEA"/>
    <w:rsid w:val="00630EAB"/>
    <w:rsid w:val="00631BA5"/>
    <w:rsid w:val="00631EFF"/>
    <w:rsid w:val="00632211"/>
    <w:rsid w:val="006329BC"/>
    <w:rsid w:val="006329DB"/>
    <w:rsid w:val="00632F36"/>
    <w:rsid w:val="00633497"/>
    <w:rsid w:val="00633851"/>
    <w:rsid w:val="00633941"/>
    <w:rsid w:val="00635921"/>
    <w:rsid w:val="00635D3C"/>
    <w:rsid w:val="006364F7"/>
    <w:rsid w:val="00637032"/>
    <w:rsid w:val="00637C9E"/>
    <w:rsid w:val="00637DCF"/>
    <w:rsid w:val="00637E93"/>
    <w:rsid w:val="0064087F"/>
    <w:rsid w:val="00641ED0"/>
    <w:rsid w:val="00642199"/>
    <w:rsid w:val="00642B11"/>
    <w:rsid w:val="00643241"/>
    <w:rsid w:val="00644445"/>
    <w:rsid w:val="006451D0"/>
    <w:rsid w:val="00646218"/>
    <w:rsid w:val="00646410"/>
    <w:rsid w:val="006466EB"/>
    <w:rsid w:val="00646D9A"/>
    <w:rsid w:val="006475E6"/>
    <w:rsid w:val="0065050D"/>
    <w:rsid w:val="00650543"/>
    <w:rsid w:val="00650A45"/>
    <w:rsid w:val="00650F8A"/>
    <w:rsid w:val="006521D0"/>
    <w:rsid w:val="006525A2"/>
    <w:rsid w:val="00652BB6"/>
    <w:rsid w:val="00654CCE"/>
    <w:rsid w:val="00656D5B"/>
    <w:rsid w:val="00657489"/>
    <w:rsid w:val="0065786B"/>
    <w:rsid w:val="00657F2D"/>
    <w:rsid w:val="0066034F"/>
    <w:rsid w:val="006603DF"/>
    <w:rsid w:val="0066072A"/>
    <w:rsid w:val="00662779"/>
    <w:rsid w:val="00662B4F"/>
    <w:rsid w:val="00662E98"/>
    <w:rsid w:val="00664031"/>
    <w:rsid w:val="00664075"/>
    <w:rsid w:val="006642E5"/>
    <w:rsid w:val="00664734"/>
    <w:rsid w:val="0066498D"/>
    <w:rsid w:val="00664FF7"/>
    <w:rsid w:val="0066508A"/>
    <w:rsid w:val="0066591C"/>
    <w:rsid w:val="00665B44"/>
    <w:rsid w:val="00665E29"/>
    <w:rsid w:val="0066625B"/>
    <w:rsid w:val="00666960"/>
    <w:rsid w:val="00667539"/>
    <w:rsid w:val="00667717"/>
    <w:rsid w:val="00672030"/>
    <w:rsid w:val="0067223E"/>
    <w:rsid w:val="006726B8"/>
    <w:rsid w:val="00672F1B"/>
    <w:rsid w:val="006730D3"/>
    <w:rsid w:val="0067478C"/>
    <w:rsid w:val="006747CE"/>
    <w:rsid w:val="00674DD9"/>
    <w:rsid w:val="006755DE"/>
    <w:rsid w:val="006755F5"/>
    <w:rsid w:val="006757AD"/>
    <w:rsid w:val="00675D0D"/>
    <w:rsid w:val="00676093"/>
    <w:rsid w:val="00676832"/>
    <w:rsid w:val="00676ABB"/>
    <w:rsid w:val="00676D8B"/>
    <w:rsid w:val="00677476"/>
    <w:rsid w:val="00677CF9"/>
    <w:rsid w:val="00680C6A"/>
    <w:rsid w:val="00682117"/>
    <w:rsid w:val="006830F9"/>
    <w:rsid w:val="006831EE"/>
    <w:rsid w:val="006838F2"/>
    <w:rsid w:val="00684058"/>
    <w:rsid w:val="006850B6"/>
    <w:rsid w:val="00685CEE"/>
    <w:rsid w:val="00686043"/>
    <w:rsid w:val="0068636D"/>
    <w:rsid w:val="006866AC"/>
    <w:rsid w:val="00687761"/>
    <w:rsid w:val="00687A04"/>
    <w:rsid w:val="006906B9"/>
    <w:rsid w:val="00690A75"/>
    <w:rsid w:val="00690DB1"/>
    <w:rsid w:val="00691348"/>
    <w:rsid w:val="00691F19"/>
    <w:rsid w:val="0069286C"/>
    <w:rsid w:val="00692BE1"/>
    <w:rsid w:val="00692C11"/>
    <w:rsid w:val="00692C77"/>
    <w:rsid w:val="0069308E"/>
    <w:rsid w:val="00693432"/>
    <w:rsid w:val="00694A03"/>
    <w:rsid w:val="006956B4"/>
    <w:rsid w:val="00695CB5"/>
    <w:rsid w:val="00695E6C"/>
    <w:rsid w:val="00696101"/>
    <w:rsid w:val="00696DA3"/>
    <w:rsid w:val="00697182"/>
    <w:rsid w:val="006A0138"/>
    <w:rsid w:val="006A09D3"/>
    <w:rsid w:val="006A0EE1"/>
    <w:rsid w:val="006A1F33"/>
    <w:rsid w:val="006A373E"/>
    <w:rsid w:val="006A384C"/>
    <w:rsid w:val="006B0408"/>
    <w:rsid w:val="006B0A47"/>
    <w:rsid w:val="006B1957"/>
    <w:rsid w:val="006B1996"/>
    <w:rsid w:val="006B1C60"/>
    <w:rsid w:val="006B286A"/>
    <w:rsid w:val="006B36BE"/>
    <w:rsid w:val="006B4093"/>
    <w:rsid w:val="006B40EA"/>
    <w:rsid w:val="006B45FE"/>
    <w:rsid w:val="006B4695"/>
    <w:rsid w:val="006B4CED"/>
    <w:rsid w:val="006B511E"/>
    <w:rsid w:val="006B5132"/>
    <w:rsid w:val="006B5312"/>
    <w:rsid w:val="006B5608"/>
    <w:rsid w:val="006B6A6F"/>
    <w:rsid w:val="006B772C"/>
    <w:rsid w:val="006C08F0"/>
    <w:rsid w:val="006C0B97"/>
    <w:rsid w:val="006C1A08"/>
    <w:rsid w:val="006C2696"/>
    <w:rsid w:val="006C287F"/>
    <w:rsid w:val="006C2899"/>
    <w:rsid w:val="006C34DF"/>
    <w:rsid w:val="006C5505"/>
    <w:rsid w:val="006C5FC0"/>
    <w:rsid w:val="006C603E"/>
    <w:rsid w:val="006C6F24"/>
    <w:rsid w:val="006C7521"/>
    <w:rsid w:val="006C7E85"/>
    <w:rsid w:val="006D1185"/>
    <w:rsid w:val="006D1319"/>
    <w:rsid w:val="006D147C"/>
    <w:rsid w:val="006D1C7A"/>
    <w:rsid w:val="006D1FA1"/>
    <w:rsid w:val="006D2896"/>
    <w:rsid w:val="006D35DB"/>
    <w:rsid w:val="006D3888"/>
    <w:rsid w:val="006D3E98"/>
    <w:rsid w:val="006D51BE"/>
    <w:rsid w:val="006D524E"/>
    <w:rsid w:val="006D65D4"/>
    <w:rsid w:val="006D7224"/>
    <w:rsid w:val="006D754C"/>
    <w:rsid w:val="006D7E52"/>
    <w:rsid w:val="006E0FAB"/>
    <w:rsid w:val="006E12E1"/>
    <w:rsid w:val="006E2B12"/>
    <w:rsid w:val="006E30BB"/>
    <w:rsid w:val="006E389F"/>
    <w:rsid w:val="006E3C6C"/>
    <w:rsid w:val="006E40EA"/>
    <w:rsid w:val="006E4544"/>
    <w:rsid w:val="006E469F"/>
    <w:rsid w:val="006E489D"/>
    <w:rsid w:val="006E51AA"/>
    <w:rsid w:val="006E5A02"/>
    <w:rsid w:val="006E6D63"/>
    <w:rsid w:val="006E6DDD"/>
    <w:rsid w:val="006E7E29"/>
    <w:rsid w:val="006F04BD"/>
    <w:rsid w:val="006F1A61"/>
    <w:rsid w:val="006F1DED"/>
    <w:rsid w:val="006F213C"/>
    <w:rsid w:val="006F2F78"/>
    <w:rsid w:val="006F3A6D"/>
    <w:rsid w:val="006F4220"/>
    <w:rsid w:val="006F5723"/>
    <w:rsid w:val="006F6F92"/>
    <w:rsid w:val="006F7104"/>
    <w:rsid w:val="007003FB"/>
    <w:rsid w:val="0070077A"/>
    <w:rsid w:val="00701020"/>
    <w:rsid w:val="007011CA"/>
    <w:rsid w:val="00701E34"/>
    <w:rsid w:val="00701EA8"/>
    <w:rsid w:val="00703CB5"/>
    <w:rsid w:val="00703CFB"/>
    <w:rsid w:val="00704460"/>
    <w:rsid w:val="00704906"/>
    <w:rsid w:val="00704971"/>
    <w:rsid w:val="00704A94"/>
    <w:rsid w:val="00704C1B"/>
    <w:rsid w:val="0070524C"/>
    <w:rsid w:val="007052E7"/>
    <w:rsid w:val="007052EF"/>
    <w:rsid w:val="00705336"/>
    <w:rsid w:val="00705590"/>
    <w:rsid w:val="00705B86"/>
    <w:rsid w:val="0070748E"/>
    <w:rsid w:val="00707766"/>
    <w:rsid w:val="007078FD"/>
    <w:rsid w:val="00710277"/>
    <w:rsid w:val="007113ED"/>
    <w:rsid w:val="00712433"/>
    <w:rsid w:val="0071269A"/>
    <w:rsid w:val="00712F84"/>
    <w:rsid w:val="0071366C"/>
    <w:rsid w:val="0071416C"/>
    <w:rsid w:val="00715081"/>
    <w:rsid w:val="00715422"/>
    <w:rsid w:val="00715639"/>
    <w:rsid w:val="00715B04"/>
    <w:rsid w:val="00715FE6"/>
    <w:rsid w:val="007164CC"/>
    <w:rsid w:val="00717478"/>
    <w:rsid w:val="007179E3"/>
    <w:rsid w:val="00720389"/>
    <w:rsid w:val="00720522"/>
    <w:rsid w:val="007217F6"/>
    <w:rsid w:val="00722328"/>
    <w:rsid w:val="007223EA"/>
    <w:rsid w:val="00722C6D"/>
    <w:rsid w:val="0072483E"/>
    <w:rsid w:val="00724A3D"/>
    <w:rsid w:val="00724E16"/>
    <w:rsid w:val="007257E3"/>
    <w:rsid w:val="00725CEA"/>
    <w:rsid w:val="007263BA"/>
    <w:rsid w:val="00726C14"/>
    <w:rsid w:val="00727827"/>
    <w:rsid w:val="0072793C"/>
    <w:rsid w:val="00727F09"/>
    <w:rsid w:val="00731EAE"/>
    <w:rsid w:val="00732488"/>
    <w:rsid w:val="00732B79"/>
    <w:rsid w:val="00734A2F"/>
    <w:rsid w:val="007355AC"/>
    <w:rsid w:val="00735635"/>
    <w:rsid w:val="00735F27"/>
    <w:rsid w:val="0073663C"/>
    <w:rsid w:val="00737F14"/>
    <w:rsid w:val="00740014"/>
    <w:rsid w:val="00740817"/>
    <w:rsid w:val="00740F5A"/>
    <w:rsid w:val="00742551"/>
    <w:rsid w:val="00742C98"/>
    <w:rsid w:val="00743D78"/>
    <w:rsid w:val="00743EEF"/>
    <w:rsid w:val="00744138"/>
    <w:rsid w:val="00744EDA"/>
    <w:rsid w:val="00745894"/>
    <w:rsid w:val="007459EF"/>
    <w:rsid w:val="007475B7"/>
    <w:rsid w:val="00747643"/>
    <w:rsid w:val="00747EE1"/>
    <w:rsid w:val="0075015F"/>
    <w:rsid w:val="0075052F"/>
    <w:rsid w:val="00751956"/>
    <w:rsid w:val="00751FFD"/>
    <w:rsid w:val="007522B6"/>
    <w:rsid w:val="0075306A"/>
    <w:rsid w:val="007533AB"/>
    <w:rsid w:val="00753CBF"/>
    <w:rsid w:val="00754274"/>
    <w:rsid w:val="00754889"/>
    <w:rsid w:val="00755225"/>
    <w:rsid w:val="00755343"/>
    <w:rsid w:val="007554FB"/>
    <w:rsid w:val="0075649A"/>
    <w:rsid w:val="007567F1"/>
    <w:rsid w:val="00756864"/>
    <w:rsid w:val="00756F57"/>
    <w:rsid w:val="00757528"/>
    <w:rsid w:val="0075792B"/>
    <w:rsid w:val="00757ADA"/>
    <w:rsid w:val="00757AE6"/>
    <w:rsid w:val="00760D0A"/>
    <w:rsid w:val="007618F2"/>
    <w:rsid w:val="00761B6C"/>
    <w:rsid w:val="0076217B"/>
    <w:rsid w:val="00762184"/>
    <w:rsid w:val="00762550"/>
    <w:rsid w:val="0076332B"/>
    <w:rsid w:val="007637DA"/>
    <w:rsid w:val="007642A5"/>
    <w:rsid w:val="00764D97"/>
    <w:rsid w:val="00765B60"/>
    <w:rsid w:val="007661B9"/>
    <w:rsid w:val="007663EC"/>
    <w:rsid w:val="00766D74"/>
    <w:rsid w:val="007706BC"/>
    <w:rsid w:val="0077076A"/>
    <w:rsid w:val="00771B7C"/>
    <w:rsid w:val="007721CE"/>
    <w:rsid w:val="007725BD"/>
    <w:rsid w:val="00772D2F"/>
    <w:rsid w:val="00773283"/>
    <w:rsid w:val="007732C3"/>
    <w:rsid w:val="00774C99"/>
    <w:rsid w:val="00775B5F"/>
    <w:rsid w:val="007762BD"/>
    <w:rsid w:val="00777C7B"/>
    <w:rsid w:val="00780A66"/>
    <w:rsid w:val="00780BC2"/>
    <w:rsid w:val="00780F08"/>
    <w:rsid w:val="00780FBF"/>
    <w:rsid w:val="00781783"/>
    <w:rsid w:val="00781974"/>
    <w:rsid w:val="00781999"/>
    <w:rsid w:val="00782A2E"/>
    <w:rsid w:val="00782EA8"/>
    <w:rsid w:val="007837DE"/>
    <w:rsid w:val="00783A2C"/>
    <w:rsid w:val="00783D31"/>
    <w:rsid w:val="007844D4"/>
    <w:rsid w:val="00784D5F"/>
    <w:rsid w:val="007866A6"/>
    <w:rsid w:val="00786AF1"/>
    <w:rsid w:val="00786D01"/>
    <w:rsid w:val="00786E3C"/>
    <w:rsid w:val="00787561"/>
    <w:rsid w:val="007878E7"/>
    <w:rsid w:val="00787BEB"/>
    <w:rsid w:val="007909A5"/>
    <w:rsid w:val="007929E2"/>
    <w:rsid w:val="00792D28"/>
    <w:rsid w:val="0079383D"/>
    <w:rsid w:val="0079428C"/>
    <w:rsid w:val="007943DA"/>
    <w:rsid w:val="00795E14"/>
    <w:rsid w:val="00795E70"/>
    <w:rsid w:val="00795FD3"/>
    <w:rsid w:val="00796548"/>
    <w:rsid w:val="00796BD1"/>
    <w:rsid w:val="007979FB"/>
    <w:rsid w:val="00797ACC"/>
    <w:rsid w:val="007A0582"/>
    <w:rsid w:val="007A07CC"/>
    <w:rsid w:val="007A0BDB"/>
    <w:rsid w:val="007A0CFA"/>
    <w:rsid w:val="007A0EE2"/>
    <w:rsid w:val="007A1745"/>
    <w:rsid w:val="007A3736"/>
    <w:rsid w:val="007A3B02"/>
    <w:rsid w:val="007A4694"/>
    <w:rsid w:val="007A4A3C"/>
    <w:rsid w:val="007A4A6D"/>
    <w:rsid w:val="007A5E84"/>
    <w:rsid w:val="007A72E0"/>
    <w:rsid w:val="007A7735"/>
    <w:rsid w:val="007A7B6C"/>
    <w:rsid w:val="007A7E28"/>
    <w:rsid w:val="007B1032"/>
    <w:rsid w:val="007B152F"/>
    <w:rsid w:val="007B2932"/>
    <w:rsid w:val="007B305C"/>
    <w:rsid w:val="007B4D16"/>
    <w:rsid w:val="007B6990"/>
    <w:rsid w:val="007B71B3"/>
    <w:rsid w:val="007B724E"/>
    <w:rsid w:val="007C0F3C"/>
    <w:rsid w:val="007C1158"/>
    <w:rsid w:val="007C22E7"/>
    <w:rsid w:val="007C3800"/>
    <w:rsid w:val="007C3959"/>
    <w:rsid w:val="007C3DD2"/>
    <w:rsid w:val="007C3F2B"/>
    <w:rsid w:val="007C42C1"/>
    <w:rsid w:val="007C56A5"/>
    <w:rsid w:val="007C6A17"/>
    <w:rsid w:val="007C6D10"/>
    <w:rsid w:val="007C7254"/>
    <w:rsid w:val="007D0E9D"/>
    <w:rsid w:val="007D1C7F"/>
    <w:rsid w:val="007D3508"/>
    <w:rsid w:val="007D36EB"/>
    <w:rsid w:val="007D3982"/>
    <w:rsid w:val="007D3A6F"/>
    <w:rsid w:val="007D4186"/>
    <w:rsid w:val="007D4F87"/>
    <w:rsid w:val="007D53F9"/>
    <w:rsid w:val="007D59C9"/>
    <w:rsid w:val="007D59F2"/>
    <w:rsid w:val="007D62AE"/>
    <w:rsid w:val="007D62D8"/>
    <w:rsid w:val="007D6B92"/>
    <w:rsid w:val="007D6D43"/>
    <w:rsid w:val="007D7B46"/>
    <w:rsid w:val="007E0371"/>
    <w:rsid w:val="007E08EA"/>
    <w:rsid w:val="007E0AFE"/>
    <w:rsid w:val="007E16E5"/>
    <w:rsid w:val="007E19F2"/>
    <w:rsid w:val="007E34F4"/>
    <w:rsid w:val="007E41FD"/>
    <w:rsid w:val="007E44FE"/>
    <w:rsid w:val="007E5348"/>
    <w:rsid w:val="007E60D9"/>
    <w:rsid w:val="007E7842"/>
    <w:rsid w:val="007E79BD"/>
    <w:rsid w:val="007E7B26"/>
    <w:rsid w:val="007E7ED8"/>
    <w:rsid w:val="007F0158"/>
    <w:rsid w:val="007F0C4A"/>
    <w:rsid w:val="007F1526"/>
    <w:rsid w:val="007F17D1"/>
    <w:rsid w:val="007F1A74"/>
    <w:rsid w:val="007F24AD"/>
    <w:rsid w:val="007F24AF"/>
    <w:rsid w:val="007F2770"/>
    <w:rsid w:val="007F2AD9"/>
    <w:rsid w:val="007F360E"/>
    <w:rsid w:val="007F3F43"/>
    <w:rsid w:val="007F4065"/>
    <w:rsid w:val="007F4EAA"/>
    <w:rsid w:val="007F62CF"/>
    <w:rsid w:val="007F6925"/>
    <w:rsid w:val="007F72B7"/>
    <w:rsid w:val="007F75EA"/>
    <w:rsid w:val="007F787A"/>
    <w:rsid w:val="00800C15"/>
    <w:rsid w:val="00801064"/>
    <w:rsid w:val="0080174A"/>
    <w:rsid w:val="00801DBE"/>
    <w:rsid w:val="00801E66"/>
    <w:rsid w:val="00802228"/>
    <w:rsid w:val="00803778"/>
    <w:rsid w:val="00804047"/>
    <w:rsid w:val="00804B4A"/>
    <w:rsid w:val="008050CC"/>
    <w:rsid w:val="0080525C"/>
    <w:rsid w:val="00805BCE"/>
    <w:rsid w:val="00806071"/>
    <w:rsid w:val="00806816"/>
    <w:rsid w:val="00806AE3"/>
    <w:rsid w:val="008078A9"/>
    <w:rsid w:val="00807963"/>
    <w:rsid w:val="00810F25"/>
    <w:rsid w:val="00811425"/>
    <w:rsid w:val="00811439"/>
    <w:rsid w:val="0081248E"/>
    <w:rsid w:val="00812F90"/>
    <w:rsid w:val="0081324A"/>
    <w:rsid w:val="008133D5"/>
    <w:rsid w:val="008145A3"/>
    <w:rsid w:val="008145DD"/>
    <w:rsid w:val="00815540"/>
    <w:rsid w:val="00815C66"/>
    <w:rsid w:val="00815FBF"/>
    <w:rsid w:val="008166A5"/>
    <w:rsid w:val="00816EA7"/>
    <w:rsid w:val="00817194"/>
    <w:rsid w:val="008177C6"/>
    <w:rsid w:val="00817B01"/>
    <w:rsid w:val="00820949"/>
    <w:rsid w:val="00820AEF"/>
    <w:rsid w:val="00820D40"/>
    <w:rsid w:val="00820FA9"/>
    <w:rsid w:val="008216BB"/>
    <w:rsid w:val="00821E76"/>
    <w:rsid w:val="008224E2"/>
    <w:rsid w:val="00822FB9"/>
    <w:rsid w:val="00824530"/>
    <w:rsid w:val="008248E9"/>
    <w:rsid w:val="00824C66"/>
    <w:rsid w:val="00824D07"/>
    <w:rsid w:val="00825311"/>
    <w:rsid w:val="0082639C"/>
    <w:rsid w:val="00826F38"/>
    <w:rsid w:val="0082737B"/>
    <w:rsid w:val="00827526"/>
    <w:rsid w:val="008300E5"/>
    <w:rsid w:val="0083030D"/>
    <w:rsid w:val="0083044A"/>
    <w:rsid w:val="00830BD5"/>
    <w:rsid w:val="00831C65"/>
    <w:rsid w:val="00832F75"/>
    <w:rsid w:val="00833088"/>
    <w:rsid w:val="0083435D"/>
    <w:rsid w:val="008346EA"/>
    <w:rsid w:val="00834F97"/>
    <w:rsid w:val="008352BB"/>
    <w:rsid w:val="0083537A"/>
    <w:rsid w:val="008353AA"/>
    <w:rsid w:val="0083543C"/>
    <w:rsid w:val="00835C6A"/>
    <w:rsid w:val="0083767B"/>
    <w:rsid w:val="00837A8D"/>
    <w:rsid w:val="00837C28"/>
    <w:rsid w:val="008407E2"/>
    <w:rsid w:val="00840F2D"/>
    <w:rsid w:val="00840F7C"/>
    <w:rsid w:val="00840F9B"/>
    <w:rsid w:val="00841488"/>
    <w:rsid w:val="00842D6B"/>
    <w:rsid w:val="008439F0"/>
    <w:rsid w:val="00844E17"/>
    <w:rsid w:val="00845828"/>
    <w:rsid w:val="0084608A"/>
    <w:rsid w:val="008463B6"/>
    <w:rsid w:val="00846561"/>
    <w:rsid w:val="00846746"/>
    <w:rsid w:val="008473E4"/>
    <w:rsid w:val="00847B52"/>
    <w:rsid w:val="0085146D"/>
    <w:rsid w:val="00851AAA"/>
    <w:rsid w:val="00851CE0"/>
    <w:rsid w:val="00851DBF"/>
    <w:rsid w:val="00852557"/>
    <w:rsid w:val="00852D2C"/>
    <w:rsid w:val="00852FBD"/>
    <w:rsid w:val="0085347B"/>
    <w:rsid w:val="008540B1"/>
    <w:rsid w:val="008541E1"/>
    <w:rsid w:val="0085436B"/>
    <w:rsid w:val="00855FF0"/>
    <w:rsid w:val="008562D8"/>
    <w:rsid w:val="00856706"/>
    <w:rsid w:val="00856AC4"/>
    <w:rsid w:val="00856BE8"/>
    <w:rsid w:val="00857954"/>
    <w:rsid w:val="00860388"/>
    <w:rsid w:val="0086079F"/>
    <w:rsid w:val="008607BE"/>
    <w:rsid w:val="00860C56"/>
    <w:rsid w:val="00860D9A"/>
    <w:rsid w:val="008611AB"/>
    <w:rsid w:val="008623B2"/>
    <w:rsid w:val="008625C9"/>
    <w:rsid w:val="008647C4"/>
    <w:rsid w:val="00864874"/>
    <w:rsid w:val="0086499C"/>
    <w:rsid w:val="00864D16"/>
    <w:rsid w:val="00865485"/>
    <w:rsid w:val="00865572"/>
    <w:rsid w:val="008658C8"/>
    <w:rsid w:val="00865930"/>
    <w:rsid w:val="008668F8"/>
    <w:rsid w:val="00867018"/>
    <w:rsid w:val="00867A93"/>
    <w:rsid w:val="00867D73"/>
    <w:rsid w:val="008700B8"/>
    <w:rsid w:val="00870A00"/>
    <w:rsid w:val="00871711"/>
    <w:rsid w:val="008717E0"/>
    <w:rsid w:val="008719A5"/>
    <w:rsid w:val="00871A5C"/>
    <w:rsid w:val="0087277B"/>
    <w:rsid w:val="0087308A"/>
    <w:rsid w:val="00873815"/>
    <w:rsid w:val="00873832"/>
    <w:rsid w:val="00873DA2"/>
    <w:rsid w:val="00873E58"/>
    <w:rsid w:val="00874BC4"/>
    <w:rsid w:val="0087642F"/>
    <w:rsid w:val="008766B1"/>
    <w:rsid w:val="008768B4"/>
    <w:rsid w:val="00876A26"/>
    <w:rsid w:val="0087733C"/>
    <w:rsid w:val="0088004D"/>
    <w:rsid w:val="008803BF"/>
    <w:rsid w:val="00880CA1"/>
    <w:rsid w:val="00880E76"/>
    <w:rsid w:val="0088381B"/>
    <w:rsid w:val="00883AFC"/>
    <w:rsid w:val="0088420C"/>
    <w:rsid w:val="00885591"/>
    <w:rsid w:val="008857B7"/>
    <w:rsid w:val="008858B7"/>
    <w:rsid w:val="00890263"/>
    <w:rsid w:val="008906BE"/>
    <w:rsid w:val="00890C65"/>
    <w:rsid w:val="00890F8D"/>
    <w:rsid w:val="0089117D"/>
    <w:rsid w:val="00891793"/>
    <w:rsid w:val="008922A1"/>
    <w:rsid w:val="008927A2"/>
    <w:rsid w:val="0089365B"/>
    <w:rsid w:val="00894379"/>
    <w:rsid w:val="00894DB9"/>
    <w:rsid w:val="00895320"/>
    <w:rsid w:val="00896223"/>
    <w:rsid w:val="0089654F"/>
    <w:rsid w:val="00896AFC"/>
    <w:rsid w:val="00896C70"/>
    <w:rsid w:val="008972C0"/>
    <w:rsid w:val="0089760C"/>
    <w:rsid w:val="008A0052"/>
    <w:rsid w:val="008A057D"/>
    <w:rsid w:val="008A0940"/>
    <w:rsid w:val="008A106D"/>
    <w:rsid w:val="008A16BD"/>
    <w:rsid w:val="008A1AEB"/>
    <w:rsid w:val="008A1CE0"/>
    <w:rsid w:val="008A22DE"/>
    <w:rsid w:val="008A2D08"/>
    <w:rsid w:val="008A3307"/>
    <w:rsid w:val="008A4470"/>
    <w:rsid w:val="008A4B37"/>
    <w:rsid w:val="008A6466"/>
    <w:rsid w:val="008A6518"/>
    <w:rsid w:val="008A67A7"/>
    <w:rsid w:val="008A76B6"/>
    <w:rsid w:val="008A76ED"/>
    <w:rsid w:val="008A7CC7"/>
    <w:rsid w:val="008A7DDE"/>
    <w:rsid w:val="008A7EC1"/>
    <w:rsid w:val="008B06E2"/>
    <w:rsid w:val="008B10A3"/>
    <w:rsid w:val="008B1885"/>
    <w:rsid w:val="008B18C9"/>
    <w:rsid w:val="008B2D54"/>
    <w:rsid w:val="008B3930"/>
    <w:rsid w:val="008B4C12"/>
    <w:rsid w:val="008B51D2"/>
    <w:rsid w:val="008B790E"/>
    <w:rsid w:val="008C0882"/>
    <w:rsid w:val="008C105C"/>
    <w:rsid w:val="008C1547"/>
    <w:rsid w:val="008C1A44"/>
    <w:rsid w:val="008C2245"/>
    <w:rsid w:val="008C2638"/>
    <w:rsid w:val="008C2659"/>
    <w:rsid w:val="008C42A6"/>
    <w:rsid w:val="008C4EDA"/>
    <w:rsid w:val="008C5770"/>
    <w:rsid w:val="008C63BB"/>
    <w:rsid w:val="008C6890"/>
    <w:rsid w:val="008D0307"/>
    <w:rsid w:val="008D07A5"/>
    <w:rsid w:val="008D118E"/>
    <w:rsid w:val="008D1451"/>
    <w:rsid w:val="008D1DED"/>
    <w:rsid w:val="008D1E63"/>
    <w:rsid w:val="008D1EBD"/>
    <w:rsid w:val="008D232B"/>
    <w:rsid w:val="008D2381"/>
    <w:rsid w:val="008D249E"/>
    <w:rsid w:val="008D2A7D"/>
    <w:rsid w:val="008D2C37"/>
    <w:rsid w:val="008D34F9"/>
    <w:rsid w:val="008D53CB"/>
    <w:rsid w:val="008D5739"/>
    <w:rsid w:val="008D589C"/>
    <w:rsid w:val="008D5C09"/>
    <w:rsid w:val="008D6BCD"/>
    <w:rsid w:val="008D6CEE"/>
    <w:rsid w:val="008E036E"/>
    <w:rsid w:val="008E06C8"/>
    <w:rsid w:val="008E0AAD"/>
    <w:rsid w:val="008E0FA4"/>
    <w:rsid w:val="008E1310"/>
    <w:rsid w:val="008E1714"/>
    <w:rsid w:val="008E1A05"/>
    <w:rsid w:val="008E1B15"/>
    <w:rsid w:val="008E2589"/>
    <w:rsid w:val="008E29D1"/>
    <w:rsid w:val="008E37E7"/>
    <w:rsid w:val="008E3A39"/>
    <w:rsid w:val="008E3B77"/>
    <w:rsid w:val="008E420D"/>
    <w:rsid w:val="008E4267"/>
    <w:rsid w:val="008E4978"/>
    <w:rsid w:val="008E4B5F"/>
    <w:rsid w:val="008E56B5"/>
    <w:rsid w:val="008E5EEB"/>
    <w:rsid w:val="008E60F9"/>
    <w:rsid w:val="008E6956"/>
    <w:rsid w:val="008E705D"/>
    <w:rsid w:val="008E77AF"/>
    <w:rsid w:val="008E7E66"/>
    <w:rsid w:val="008F0264"/>
    <w:rsid w:val="008F066D"/>
    <w:rsid w:val="008F12A1"/>
    <w:rsid w:val="008F18C1"/>
    <w:rsid w:val="008F1B62"/>
    <w:rsid w:val="008F1D01"/>
    <w:rsid w:val="008F2ADC"/>
    <w:rsid w:val="008F2B26"/>
    <w:rsid w:val="008F359B"/>
    <w:rsid w:val="008F5BC1"/>
    <w:rsid w:val="008F5CCE"/>
    <w:rsid w:val="008F6BFC"/>
    <w:rsid w:val="008F7501"/>
    <w:rsid w:val="009004A6"/>
    <w:rsid w:val="00900C0C"/>
    <w:rsid w:val="00900E43"/>
    <w:rsid w:val="0090316E"/>
    <w:rsid w:val="00903693"/>
    <w:rsid w:val="00904306"/>
    <w:rsid w:val="00904A9C"/>
    <w:rsid w:val="00905100"/>
    <w:rsid w:val="0090561D"/>
    <w:rsid w:val="009063BC"/>
    <w:rsid w:val="00910243"/>
    <w:rsid w:val="0091073A"/>
    <w:rsid w:val="00910879"/>
    <w:rsid w:val="00912521"/>
    <w:rsid w:val="00912CF7"/>
    <w:rsid w:val="009136BE"/>
    <w:rsid w:val="009139E3"/>
    <w:rsid w:val="00913B7A"/>
    <w:rsid w:val="00914BB4"/>
    <w:rsid w:val="00915763"/>
    <w:rsid w:val="00916C0D"/>
    <w:rsid w:val="00920056"/>
    <w:rsid w:val="00920B66"/>
    <w:rsid w:val="00920D60"/>
    <w:rsid w:val="0092109C"/>
    <w:rsid w:val="00921473"/>
    <w:rsid w:val="00921D40"/>
    <w:rsid w:val="00922C7E"/>
    <w:rsid w:val="009232A6"/>
    <w:rsid w:val="00923B98"/>
    <w:rsid w:val="00924297"/>
    <w:rsid w:val="009250E5"/>
    <w:rsid w:val="0092562A"/>
    <w:rsid w:val="00925975"/>
    <w:rsid w:val="009266BD"/>
    <w:rsid w:val="00926725"/>
    <w:rsid w:val="00926BB0"/>
    <w:rsid w:val="00927499"/>
    <w:rsid w:val="00927924"/>
    <w:rsid w:val="009303BD"/>
    <w:rsid w:val="00931896"/>
    <w:rsid w:val="00931BA4"/>
    <w:rsid w:val="00932663"/>
    <w:rsid w:val="0093292E"/>
    <w:rsid w:val="00932C92"/>
    <w:rsid w:val="0093325F"/>
    <w:rsid w:val="009337AC"/>
    <w:rsid w:val="00934701"/>
    <w:rsid w:val="00934927"/>
    <w:rsid w:val="00934C9E"/>
    <w:rsid w:val="009352B2"/>
    <w:rsid w:val="0093605B"/>
    <w:rsid w:val="00937054"/>
    <w:rsid w:val="0093787B"/>
    <w:rsid w:val="00940A90"/>
    <w:rsid w:val="00940F4E"/>
    <w:rsid w:val="00941014"/>
    <w:rsid w:val="00941AC7"/>
    <w:rsid w:val="00942CE6"/>
    <w:rsid w:val="0094308B"/>
    <w:rsid w:val="009435EC"/>
    <w:rsid w:val="00943D1A"/>
    <w:rsid w:val="00944643"/>
    <w:rsid w:val="00944933"/>
    <w:rsid w:val="00944D57"/>
    <w:rsid w:val="00945010"/>
    <w:rsid w:val="009451F0"/>
    <w:rsid w:val="0094602B"/>
    <w:rsid w:val="009463E5"/>
    <w:rsid w:val="0094658C"/>
    <w:rsid w:val="00946792"/>
    <w:rsid w:val="00950ED9"/>
    <w:rsid w:val="00951653"/>
    <w:rsid w:val="00951BB5"/>
    <w:rsid w:val="00952061"/>
    <w:rsid w:val="00952E11"/>
    <w:rsid w:val="00953333"/>
    <w:rsid w:val="009538E4"/>
    <w:rsid w:val="00954406"/>
    <w:rsid w:val="00954E07"/>
    <w:rsid w:val="00954E23"/>
    <w:rsid w:val="00955113"/>
    <w:rsid w:val="00955607"/>
    <w:rsid w:val="0095594E"/>
    <w:rsid w:val="0095600F"/>
    <w:rsid w:val="00956076"/>
    <w:rsid w:val="0095672C"/>
    <w:rsid w:val="009569C3"/>
    <w:rsid w:val="00956EB8"/>
    <w:rsid w:val="00957D25"/>
    <w:rsid w:val="00957E19"/>
    <w:rsid w:val="00960BDA"/>
    <w:rsid w:val="00960D6A"/>
    <w:rsid w:val="00961C41"/>
    <w:rsid w:val="009621BE"/>
    <w:rsid w:val="009622D5"/>
    <w:rsid w:val="00962305"/>
    <w:rsid w:val="009632AB"/>
    <w:rsid w:val="009636D4"/>
    <w:rsid w:val="009640A1"/>
    <w:rsid w:val="009640FE"/>
    <w:rsid w:val="00964840"/>
    <w:rsid w:val="00964A5E"/>
    <w:rsid w:val="00964BBF"/>
    <w:rsid w:val="00964E98"/>
    <w:rsid w:val="0096502D"/>
    <w:rsid w:val="00965586"/>
    <w:rsid w:val="0096682E"/>
    <w:rsid w:val="00966AC0"/>
    <w:rsid w:val="00967AF5"/>
    <w:rsid w:val="009702B9"/>
    <w:rsid w:val="00970331"/>
    <w:rsid w:val="00970AA7"/>
    <w:rsid w:val="00970D2E"/>
    <w:rsid w:val="00970DE0"/>
    <w:rsid w:val="00971624"/>
    <w:rsid w:val="0097248E"/>
    <w:rsid w:val="00972C73"/>
    <w:rsid w:val="00972DF0"/>
    <w:rsid w:val="00973B2B"/>
    <w:rsid w:val="00973C7F"/>
    <w:rsid w:val="00973EB7"/>
    <w:rsid w:val="009741F2"/>
    <w:rsid w:val="00976414"/>
    <w:rsid w:val="0097651A"/>
    <w:rsid w:val="00976FB3"/>
    <w:rsid w:val="009773C9"/>
    <w:rsid w:val="009774D7"/>
    <w:rsid w:val="00977AB7"/>
    <w:rsid w:val="00980559"/>
    <w:rsid w:val="009809E6"/>
    <w:rsid w:val="00980D9D"/>
    <w:rsid w:val="00981010"/>
    <w:rsid w:val="00981060"/>
    <w:rsid w:val="00981652"/>
    <w:rsid w:val="009818CA"/>
    <w:rsid w:val="00981C66"/>
    <w:rsid w:val="009832DC"/>
    <w:rsid w:val="00983860"/>
    <w:rsid w:val="009840C0"/>
    <w:rsid w:val="00984322"/>
    <w:rsid w:val="00984776"/>
    <w:rsid w:val="009848DE"/>
    <w:rsid w:val="00984EAC"/>
    <w:rsid w:val="00985D62"/>
    <w:rsid w:val="00985FE7"/>
    <w:rsid w:val="0099025A"/>
    <w:rsid w:val="00990EE2"/>
    <w:rsid w:val="009933DE"/>
    <w:rsid w:val="00993EF6"/>
    <w:rsid w:val="0099409A"/>
    <w:rsid w:val="00994251"/>
    <w:rsid w:val="0099513A"/>
    <w:rsid w:val="00995567"/>
    <w:rsid w:val="009957DF"/>
    <w:rsid w:val="00995FC1"/>
    <w:rsid w:val="0099601E"/>
    <w:rsid w:val="00997930"/>
    <w:rsid w:val="009A1D71"/>
    <w:rsid w:val="009A26A9"/>
    <w:rsid w:val="009A27FF"/>
    <w:rsid w:val="009A288B"/>
    <w:rsid w:val="009A2C7E"/>
    <w:rsid w:val="009A2CC6"/>
    <w:rsid w:val="009A4128"/>
    <w:rsid w:val="009A44B2"/>
    <w:rsid w:val="009A47FE"/>
    <w:rsid w:val="009A4842"/>
    <w:rsid w:val="009A4954"/>
    <w:rsid w:val="009A54C5"/>
    <w:rsid w:val="009A57D5"/>
    <w:rsid w:val="009A5A0E"/>
    <w:rsid w:val="009A5E5B"/>
    <w:rsid w:val="009A7701"/>
    <w:rsid w:val="009A78D4"/>
    <w:rsid w:val="009A7B9F"/>
    <w:rsid w:val="009B0F0F"/>
    <w:rsid w:val="009B0FBD"/>
    <w:rsid w:val="009B1311"/>
    <w:rsid w:val="009B2E13"/>
    <w:rsid w:val="009B3B6E"/>
    <w:rsid w:val="009B4954"/>
    <w:rsid w:val="009B4F9F"/>
    <w:rsid w:val="009B5562"/>
    <w:rsid w:val="009B5633"/>
    <w:rsid w:val="009B6414"/>
    <w:rsid w:val="009B7C17"/>
    <w:rsid w:val="009C058E"/>
    <w:rsid w:val="009C0DA7"/>
    <w:rsid w:val="009C1676"/>
    <w:rsid w:val="009C196B"/>
    <w:rsid w:val="009C1C11"/>
    <w:rsid w:val="009C229C"/>
    <w:rsid w:val="009C244B"/>
    <w:rsid w:val="009C27D3"/>
    <w:rsid w:val="009C2E2A"/>
    <w:rsid w:val="009C3119"/>
    <w:rsid w:val="009C35B3"/>
    <w:rsid w:val="009C5846"/>
    <w:rsid w:val="009C5DBD"/>
    <w:rsid w:val="009C72D5"/>
    <w:rsid w:val="009C74F7"/>
    <w:rsid w:val="009C76BC"/>
    <w:rsid w:val="009C7B82"/>
    <w:rsid w:val="009D01DD"/>
    <w:rsid w:val="009D0FF0"/>
    <w:rsid w:val="009D151C"/>
    <w:rsid w:val="009D1630"/>
    <w:rsid w:val="009D1908"/>
    <w:rsid w:val="009D1DFE"/>
    <w:rsid w:val="009D1EFC"/>
    <w:rsid w:val="009D246B"/>
    <w:rsid w:val="009D24A1"/>
    <w:rsid w:val="009D27BA"/>
    <w:rsid w:val="009D32CE"/>
    <w:rsid w:val="009D42D3"/>
    <w:rsid w:val="009D4706"/>
    <w:rsid w:val="009D6883"/>
    <w:rsid w:val="009D75EF"/>
    <w:rsid w:val="009E0460"/>
    <w:rsid w:val="009E11B8"/>
    <w:rsid w:val="009E1509"/>
    <w:rsid w:val="009E1572"/>
    <w:rsid w:val="009E2EA2"/>
    <w:rsid w:val="009E3197"/>
    <w:rsid w:val="009E3508"/>
    <w:rsid w:val="009E40CF"/>
    <w:rsid w:val="009E420F"/>
    <w:rsid w:val="009E5184"/>
    <w:rsid w:val="009E51E9"/>
    <w:rsid w:val="009E5907"/>
    <w:rsid w:val="009E5D21"/>
    <w:rsid w:val="009E6EB1"/>
    <w:rsid w:val="009E6EE3"/>
    <w:rsid w:val="009E6F06"/>
    <w:rsid w:val="009E7348"/>
    <w:rsid w:val="009E7C76"/>
    <w:rsid w:val="009F024B"/>
    <w:rsid w:val="009F1D5A"/>
    <w:rsid w:val="009F225A"/>
    <w:rsid w:val="009F28C7"/>
    <w:rsid w:val="009F3FEA"/>
    <w:rsid w:val="009F4ABD"/>
    <w:rsid w:val="009F5057"/>
    <w:rsid w:val="009F510A"/>
    <w:rsid w:val="009F692A"/>
    <w:rsid w:val="009F6D0A"/>
    <w:rsid w:val="009F7049"/>
    <w:rsid w:val="009F79BB"/>
    <w:rsid w:val="009F7F58"/>
    <w:rsid w:val="00A00299"/>
    <w:rsid w:val="00A0068D"/>
    <w:rsid w:val="00A036E9"/>
    <w:rsid w:val="00A037E2"/>
    <w:rsid w:val="00A03F86"/>
    <w:rsid w:val="00A03FB0"/>
    <w:rsid w:val="00A041A8"/>
    <w:rsid w:val="00A0439A"/>
    <w:rsid w:val="00A04B46"/>
    <w:rsid w:val="00A05B0B"/>
    <w:rsid w:val="00A05C6A"/>
    <w:rsid w:val="00A06647"/>
    <w:rsid w:val="00A07B04"/>
    <w:rsid w:val="00A07C9F"/>
    <w:rsid w:val="00A07DCF"/>
    <w:rsid w:val="00A11123"/>
    <w:rsid w:val="00A11490"/>
    <w:rsid w:val="00A114B4"/>
    <w:rsid w:val="00A11657"/>
    <w:rsid w:val="00A1171F"/>
    <w:rsid w:val="00A117F4"/>
    <w:rsid w:val="00A11F64"/>
    <w:rsid w:val="00A13524"/>
    <w:rsid w:val="00A13A8B"/>
    <w:rsid w:val="00A13BA1"/>
    <w:rsid w:val="00A142E5"/>
    <w:rsid w:val="00A146FF"/>
    <w:rsid w:val="00A14A66"/>
    <w:rsid w:val="00A15099"/>
    <w:rsid w:val="00A158EC"/>
    <w:rsid w:val="00A15B5D"/>
    <w:rsid w:val="00A163AC"/>
    <w:rsid w:val="00A16DF6"/>
    <w:rsid w:val="00A171DB"/>
    <w:rsid w:val="00A17AA9"/>
    <w:rsid w:val="00A20D7A"/>
    <w:rsid w:val="00A22C42"/>
    <w:rsid w:val="00A2324C"/>
    <w:rsid w:val="00A236AE"/>
    <w:rsid w:val="00A23809"/>
    <w:rsid w:val="00A23A5B"/>
    <w:rsid w:val="00A24350"/>
    <w:rsid w:val="00A2548C"/>
    <w:rsid w:val="00A2568B"/>
    <w:rsid w:val="00A272A7"/>
    <w:rsid w:val="00A304A2"/>
    <w:rsid w:val="00A30C5B"/>
    <w:rsid w:val="00A30CBE"/>
    <w:rsid w:val="00A31300"/>
    <w:rsid w:val="00A31C90"/>
    <w:rsid w:val="00A321D9"/>
    <w:rsid w:val="00A32C09"/>
    <w:rsid w:val="00A33520"/>
    <w:rsid w:val="00A335AA"/>
    <w:rsid w:val="00A34456"/>
    <w:rsid w:val="00A34D0A"/>
    <w:rsid w:val="00A34DDF"/>
    <w:rsid w:val="00A34EC0"/>
    <w:rsid w:val="00A351C9"/>
    <w:rsid w:val="00A357FB"/>
    <w:rsid w:val="00A35D0A"/>
    <w:rsid w:val="00A35F63"/>
    <w:rsid w:val="00A3606E"/>
    <w:rsid w:val="00A360A4"/>
    <w:rsid w:val="00A3646A"/>
    <w:rsid w:val="00A375EF"/>
    <w:rsid w:val="00A407B6"/>
    <w:rsid w:val="00A40EBC"/>
    <w:rsid w:val="00A4102E"/>
    <w:rsid w:val="00A415DD"/>
    <w:rsid w:val="00A4180B"/>
    <w:rsid w:val="00A41984"/>
    <w:rsid w:val="00A4199D"/>
    <w:rsid w:val="00A42082"/>
    <w:rsid w:val="00A42B29"/>
    <w:rsid w:val="00A42B41"/>
    <w:rsid w:val="00A44414"/>
    <w:rsid w:val="00A451A2"/>
    <w:rsid w:val="00A455D6"/>
    <w:rsid w:val="00A45A3B"/>
    <w:rsid w:val="00A46C87"/>
    <w:rsid w:val="00A46DA1"/>
    <w:rsid w:val="00A46E0E"/>
    <w:rsid w:val="00A46F6D"/>
    <w:rsid w:val="00A47F4E"/>
    <w:rsid w:val="00A506A2"/>
    <w:rsid w:val="00A50D7E"/>
    <w:rsid w:val="00A512F4"/>
    <w:rsid w:val="00A515AC"/>
    <w:rsid w:val="00A51A13"/>
    <w:rsid w:val="00A51E51"/>
    <w:rsid w:val="00A52AEC"/>
    <w:rsid w:val="00A52D7B"/>
    <w:rsid w:val="00A536EC"/>
    <w:rsid w:val="00A5385A"/>
    <w:rsid w:val="00A53FA5"/>
    <w:rsid w:val="00A547B3"/>
    <w:rsid w:val="00A549C0"/>
    <w:rsid w:val="00A54D9D"/>
    <w:rsid w:val="00A54EF5"/>
    <w:rsid w:val="00A55E78"/>
    <w:rsid w:val="00A57A87"/>
    <w:rsid w:val="00A60617"/>
    <w:rsid w:val="00A61A2B"/>
    <w:rsid w:val="00A61F26"/>
    <w:rsid w:val="00A62721"/>
    <w:rsid w:val="00A62989"/>
    <w:rsid w:val="00A63094"/>
    <w:rsid w:val="00A643B2"/>
    <w:rsid w:val="00A648A0"/>
    <w:rsid w:val="00A66F4B"/>
    <w:rsid w:val="00A677D1"/>
    <w:rsid w:val="00A67862"/>
    <w:rsid w:val="00A67A2C"/>
    <w:rsid w:val="00A67C1E"/>
    <w:rsid w:val="00A70215"/>
    <w:rsid w:val="00A71D1D"/>
    <w:rsid w:val="00A7209C"/>
    <w:rsid w:val="00A724B3"/>
    <w:rsid w:val="00A73423"/>
    <w:rsid w:val="00A75743"/>
    <w:rsid w:val="00A76776"/>
    <w:rsid w:val="00A769E9"/>
    <w:rsid w:val="00A76E98"/>
    <w:rsid w:val="00A77409"/>
    <w:rsid w:val="00A77A90"/>
    <w:rsid w:val="00A77EBC"/>
    <w:rsid w:val="00A8030D"/>
    <w:rsid w:val="00A80662"/>
    <w:rsid w:val="00A8162F"/>
    <w:rsid w:val="00A81C90"/>
    <w:rsid w:val="00A81E7B"/>
    <w:rsid w:val="00A82CF7"/>
    <w:rsid w:val="00A82DC0"/>
    <w:rsid w:val="00A82EF6"/>
    <w:rsid w:val="00A83A62"/>
    <w:rsid w:val="00A83B04"/>
    <w:rsid w:val="00A83FD4"/>
    <w:rsid w:val="00A84005"/>
    <w:rsid w:val="00A85743"/>
    <w:rsid w:val="00A85EE4"/>
    <w:rsid w:val="00A86E56"/>
    <w:rsid w:val="00A8717D"/>
    <w:rsid w:val="00A87653"/>
    <w:rsid w:val="00A90B98"/>
    <w:rsid w:val="00A91763"/>
    <w:rsid w:val="00A93395"/>
    <w:rsid w:val="00A936FC"/>
    <w:rsid w:val="00A93D63"/>
    <w:rsid w:val="00A950D1"/>
    <w:rsid w:val="00A97D21"/>
    <w:rsid w:val="00AA046A"/>
    <w:rsid w:val="00AA0587"/>
    <w:rsid w:val="00AA1461"/>
    <w:rsid w:val="00AA1BF9"/>
    <w:rsid w:val="00AA20DB"/>
    <w:rsid w:val="00AA2B21"/>
    <w:rsid w:val="00AA318A"/>
    <w:rsid w:val="00AA5B23"/>
    <w:rsid w:val="00AA62D2"/>
    <w:rsid w:val="00AA6EDB"/>
    <w:rsid w:val="00AA6F96"/>
    <w:rsid w:val="00AA7A11"/>
    <w:rsid w:val="00AB063A"/>
    <w:rsid w:val="00AB0981"/>
    <w:rsid w:val="00AB0AC2"/>
    <w:rsid w:val="00AB13E8"/>
    <w:rsid w:val="00AB1BC8"/>
    <w:rsid w:val="00AB23A4"/>
    <w:rsid w:val="00AB3584"/>
    <w:rsid w:val="00AB36A1"/>
    <w:rsid w:val="00AB3C7D"/>
    <w:rsid w:val="00AB4956"/>
    <w:rsid w:val="00AB56E6"/>
    <w:rsid w:val="00AB613C"/>
    <w:rsid w:val="00AB634E"/>
    <w:rsid w:val="00AB679B"/>
    <w:rsid w:val="00AB67CB"/>
    <w:rsid w:val="00AB6C50"/>
    <w:rsid w:val="00AC001C"/>
    <w:rsid w:val="00AC08C4"/>
    <w:rsid w:val="00AC173C"/>
    <w:rsid w:val="00AC277F"/>
    <w:rsid w:val="00AC2D5C"/>
    <w:rsid w:val="00AC2FD8"/>
    <w:rsid w:val="00AC4B59"/>
    <w:rsid w:val="00AC4BDA"/>
    <w:rsid w:val="00AC4C84"/>
    <w:rsid w:val="00AC5A39"/>
    <w:rsid w:val="00AC5FD0"/>
    <w:rsid w:val="00AC6245"/>
    <w:rsid w:val="00AC6793"/>
    <w:rsid w:val="00AC6A9B"/>
    <w:rsid w:val="00AC72F0"/>
    <w:rsid w:val="00AD02CD"/>
    <w:rsid w:val="00AD1B5F"/>
    <w:rsid w:val="00AD28F7"/>
    <w:rsid w:val="00AD294A"/>
    <w:rsid w:val="00AD2A42"/>
    <w:rsid w:val="00AD3168"/>
    <w:rsid w:val="00AD3E68"/>
    <w:rsid w:val="00AD3ECD"/>
    <w:rsid w:val="00AD4905"/>
    <w:rsid w:val="00AD4B18"/>
    <w:rsid w:val="00AD4C7F"/>
    <w:rsid w:val="00AD5026"/>
    <w:rsid w:val="00AD5316"/>
    <w:rsid w:val="00AD57A8"/>
    <w:rsid w:val="00AD60C1"/>
    <w:rsid w:val="00AD6442"/>
    <w:rsid w:val="00AD6DB1"/>
    <w:rsid w:val="00AD6DC4"/>
    <w:rsid w:val="00AD7164"/>
    <w:rsid w:val="00AE0455"/>
    <w:rsid w:val="00AE0F44"/>
    <w:rsid w:val="00AE1158"/>
    <w:rsid w:val="00AE11FA"/>
    <w:rsid w:val="00AE1241"/>
    <w:rsid w:val="00AE14E1"/>
    <w:rsid w:val="00AE1673"/>
    <w:rsid w:val="00AE1838"/>
    <w:rsid w:val="00AE1884"/>
    <w:rsid w:val="00AE1F0F"/>
    <w:rsid w:val="00AE1F33"/>
    <w:rsid w:val="00AE2E4A"/>
    <w:rsid w:val="00AE397F"/>
    <w:rsid w:val="00AE40A7"/>
    <w:rsid w:val="00AE48C8"/>
    <w:rsid w:val="00AE4AA7"/>
    <w:rsid w:val="00AE4ABE"/>
    <w:rsid w:val="00AE4AE9"/>
    <w:rsid w:val="00AE4BDB"/>
    <w:rsid w:val="00AE4D23"/>
    <w:rsid w:val="00AE50D1"/>
    <w:rsid w:val="00AE5383"/>
    <w:rsid w:val="00AE5749"/>
    <w:rsid w:val="00AE582A"/>
    <w:rsid w:val="00AE59F7"/>
    <w:rsid w:val="00AE5A85"/>
    <w:rsid w:val="00AE63ED"/>
    <w:rsid w:val="00AE6FD4"/>
    <w:rsid w:val="00AE752E"/>
    <w:rsid w:val="00AF019A"/>
    <w:rsid w:val="00AF06AC"/>
    <w:rsid w:val="00AF1C39"/>
    <w:rsid w:val="00AF1E3A"/>
    <w:rsid w:val="00AF1F43"/>
    <w:rsid w:val="00AF28CA"/>
    <w:rsid w:val="00AF2B4C"/>
    <w:rsid w:val="00AF6F5B"/>
    <w:rsid w:val="00B0020E"/>
    <w:rsid w:val="00B00281"/>
    <w:rsid w:val="00B00D50"/>
    <w:rsid w:val="00B01507"/>
    <w:rsid w:val="00B01604"/>
    <w:rsid w:val="00B01AE9"/>
    <w:rsid w:val="00B02111"/>
    <w:rsid w:val="00B0317B"/>
    <w:rsid w:val="00B04873"/>
    <w:rsid w:val="00B04EEF"/>
    <w:rsid w:val="00B05E5D"/>
    <w:rsid w:val="00B05FD5"/>
    <w:rsid w:val="00B06F39"/>
    <w:rsid w:val="00B114B2"/>
    <w:rsid w:val="00B1174F"/>
    <w:rsid w:val="00B11A0C"/>
    <w:rsid w:val="00B12295"/>
    <w:rsid w:val="00B123E8"/>
    <w:rsid w:val="00B1430B"/>
    <w:rsid w:val="00B149D2"/>
    <w:rsid w:val="00B14D3A"/>
    <w:rsid w:val="00B15076"/>
    <w:rsid w:val="00B15849"/>
    <w:rsid w:val="00B1654A"/>
    <w:rsid w:val="00B166A2"/>
    <w:rsid w:val="00B16B40"/>
    <w:rsid w:val="00B16D88"/>
    <w:rsid w:val="00B16E6E"/>
    <w:rsid w:val="00B202A1"/>
    <w:rsid w:val="00B2057E"/>
    <w:rsid w:val="00B2123D"/>
    <w:rsid w:val="00B213F2"/>
    <w:rsid w:val="00B22135"/>
    <w:rsid w:val="00B2280A"/>
    <w:rsid w:val="00B22934"/>
    <w:rsid w:val="00B24E86"/>
    <w:rsid w:val="00B252BB"/>
    <w:rsid w:val="00B25886"/>
    <w:rsid w:val="00B26495"/>
    <w:rsid w:val="00B26540"/>
    <w:rsid w:val="00B27EE0"/>
    <w:rsid w:val="00B3035E"/>
    <w:rsid w:val="00B307F9"/>
    <w:rsid w:val="00B3095C"/>
    <w:rsid w:val="00B316A1"/>
    <w:rsid w:val="00B324B5"/>
    <w:rsid w:val="00B32A5A"/>
    <w:rsid w:val="00B32DF0"/>
    <w:rsid w:val="00B3367B"/>
    <w:rsid w:val="00B3393F"/>
    <w:rsid w:val="00B34F24"/>
    <w:rsid w:val="00B34F72"/>
    <w:rsid w:val="00B3560D"/>
    <w:rsid w:val="00B35B06"/>
    <w:rsid w:val="00B3623E"/>
    <w:rsid w:val="00B36966"/>
    <w:rsid w:val="00B37969"/>
    <w:rsid w:val="00B4206B"/>
    <w:rsid w:val="00B4269D"/>
    <w:rsid w:val="00B4280D"/>
    <w:rsid w:val="00B43659"/>
    <w:rsid w:val="00B43B6D"/>
    <w:rsid w:val="00B43F88"/>
    <w:rsid w:val="00B453B5"/>
    <w:rsid w:val="00B47780"/>
    <w:rsid w:val="00B47DD0"/>
    <w:rsid w:val="00B47FAD"/>
    <w:rsid w:val="00B50B42"/>
    <w:rsid w:val="00B50FDC"/>
    <w:rsid w:val="00B51E7B"/>
    <w:rsid w:val="00B52448"/>
    <w:rsid w:val="00B52A44"/>
    <w:rsid w:val="00B531EB"/>
    <w:rsid w:val="00B53A89"/>
    <w:rsid w:val="00B53DCE"/>
    <w:rsid w:val="00B543ED"/>
    <w:rsid w:val="00B547EB"/>
    <w:rsid w:val="00B54AC4"/>
    <w:rsid w:val="00B54DEE"/>
    <w:rsid w:val="00B55114"/>
    <w:rsid w:val="00B56365"/>
    <w:rsid w:val="00B576CA"/>
    <w:rsid w:val="00B57880"/>
    <w:rsid w:val="00B57F07"/>
    <w:rsid w:val="00B57FB9"/>
    <w:rsid w:val="00B60235"/>
    <w:rsid w:val="00B60798"/>
    <w:rsid w:val="00B60800"/>
    <w:rsid w:val="00B60BC1"/>
    <w:rsid w:val="00B60C9E"/>
    <w:rsid w:val="00B612D2"/>
    <w:rsid w:val="00B617FF"/>
    <w:rsid w:val="00B61D9A"/>
    <w:rsid w:val="00B620F0"/>
    <w:rsid w:val="00B621E2"/>
    <w:rsid w:val="00B62731"/>
    <w:rsid w:val="00B6328B"/>
    <w:rsid w:val="00B63EF2"/>
    <w:rsid w:val="00B64F42"/>
    <w:rsid w:val="00B6592D"/>
    <w:rsid w:val="00B65B86"/>
    <w:rsid w:val="00B65CF7"/>
    <w:rsid w:val="00B66893"/>
    <w:rsid w:val="00B66B79"/>
    <w:rsid w:val="00B671BD"/>
    <w:rsid w:val="00B67530"/>
    <w:rsid w:val="00B6778A"/>
    <w:rsid w:val="00B701B7"/>
    <w:rsid w:val="00B71042"/>
    <w:rsid w:val="00B713CB"/>
    <w:rsid w:val="00B71976"/>
    <w:rsid w:val="00B7215D"/>
    <w:rsid w:val="00B727F2"/>
    <w:rsid w:val="00B741AA"/>
    <w:rsid w:val="00B747CF"/>
    <w:rsid w:val="00B7508A"/>
    <w:rsid w:val="00B752AC"/>
    <w:rsid w:val="00B75FD4"/>
    <w:rsid w:val="00B7630B"/>
    <w:rsid w:val="00B77A01"/>
    <w:rsid w:val="00B803CA"/>
    <w:rsid w:val="00B809F4"/>
    <w:rsid w:val="00B8162B"/>
    <w:rsid w:val="00B82A68"/>
    <w:rsid w:val="00B82B83"/>
    <w:rsid w:val="00B83097"/>
    <w:rsid w:val="00B8325F"/>
    <w:rsid w:val="00B8339C"/>
    <w:rsid w:val="00B834F2"/>
    <w:rsid w:val="00B83978"/>
    <w:rsid w:val="00B8466B"/>
    <w:rsid w:val="00B8471A"/>
    <w:rsid w:val="00B84FDB"/>
    <w:rsid w:val="00B86DDD"/>
    <w:rsid w:val="00B8723C"/>
    <w:rsid w:val="00B87810"/>
    <w:rsid w:val="00B87B25"/>
    <w:rsid w:val="00B87F60"/>
    <w:rsid w:val="00B904B0"/>
    <w:rsid w:val="00B90613"/>
    <w:rsid w:val="00B90C75"/>
    <w:rsid w:val="00B90D26"/>
    <w:rsid w:val="00B915AE"/>
    <w:rsid w:val="00B91619"/>
    <w:rsid w:val="00B91E44"/>
    <w:rsid w:val="00B9356C"/>
    <w:rsid w:val="00B93DAB"/>
    <w:rsid w:val="00B93EA8"/>
    <w:rsid w:val="00B94096"/>
    <w:rsid w:val="00B94B6E"/>
    <w:rsid w:val="00B94DA8"/>
    <w:rsid w:val="00B94E3F"/>
    <w:rsid w:val="00B96973"/>
    <w:rsid w:val="00B97040"/>
    <w:rsid w:val="00B97F54"/>
    <w:rsid w:val="00BA06E2"/>
    <w:rsid w:val="00BA0764"/>
    <w:rsid w:val="00BA0C64"/>
    <w:rsid w:val="00BA0FAE"/>
    <w:rsid w:val="00BA1296"/>
    <w:rsid w:val="00BA1355"/>
    <w:rsid w:val="00BA1C62"/>
    <w:rsid w:val="00BA2314"/>
    <w:rsid w:val="00BA28E6"/>
    <w:rsid w:val="00BA2909"/>
    <w:rsid w:val="00BA3053"/>
    <w:rsid w:val="00BA30A9"/>
    <w:rsid w:val="00BA3201"/>
    <w:rsid w:val="00BA3E37"/>
    <w:rsid w:val="00BA4ED5"/>
    <w:rsid w:val="00BA52AF"/>
    <w:rsid w:val="00BA53F8"/>
    <w:rsid w:val="00BA5590"/>
    <w:rsid w:val="00BA566F"/>
    <w:rsid w:val="00BA7DEC"/>
    <w:rsid w:val="00BB0242"/>
    <w:rsid w:val="00BB0AAE"/>
    <w:rsid w:val="00BB1964"/>
    <w:rsid w:val="00BB1F8D"/>
    <w:rsid w:val="00BB2549"/>
    <w:rsid w:val="00BB472F"/>
    <w:rsid w:val="00BB504F"/>
    <w:rsid w:val="00BB52EA"/>
    <w:rsid w:val="00BB71DF"/>
    <w:rsid w:val="00BB75D1"/>
    <w:rsid w:val="00BB78B1"/>
    <w:rsid w:val="00BB7E87"/>
    <w:rsid w:val="00BC031D"/>
    <w:rsid w:val="00BC0928"/>
    <w:rsid w:val="00BC1286"/>
    <w:rsid w:val="00BC164B"/>
    <w:rsid w:val="00BC1B43"/>
    <w:rsid w:val="00BC2ECB"/>
    <w:rsid w:val="00BC3211"/>
    <w:rsid w:val="00BC342B"/>
    <w:rsid w:val="00BC3445"/>
    <w:rsid w:val="00BC3A68"/>
    <w:rsid w:val="00BC4480"/>
    <w:rsid w:val="00BC4B9A"/>
    <w:rsid w:val="00BC531C"/>
    <w:rsid w:val="00BC5397"/>
    <w:rsid w:val="00BC56E5"/>
    <w:rsid w:val="00BC5AD8"/>
    <w:rsid w:val="00BC6167"/>
    <w:rsid w:val="00BC674F"/>
    <w:rsid w:val="00BC69FC"/>
    <w:rsid w:val="00BC6D91"/>
    <w:rsid w:val="00BC79AF"/>
    <w:rsid w:val="00BC7C2D"/>
    <w:rsid w:val="00BD0419"/>
    <w:rsid w:val="00BD17E8"/>
    <w:rsid w:val="00BD1B0F"/>
    <w:rsid w:val="00BD31FA"/>
    <w:rsid w:val="00BD3C50"/>
    <w:rsid w:val="00BD3D01"/>
    <w:rsid w:val="00BD3DF3"/>
    <w:rsid w:val="00BD44DC"/>
    <w:rsid w:val="00BD4D54"/>
    <w:rsid w:val="00BD5E1F"/>
    <w:rsid w:val="00BD603A"/>
    <w:rsid w:val="00BD60F0"/>
    <w:rsid w:val="00BD65DC"/>
    <w:rsid w:val="00BD71F3"/>
    <w:rsid w:val="00BD76DA"/>
    <w:rsid w:val="00BE08DD"/>
    <w:rsid w:val="00BE15FD"/>
    <w:rsid w:val="00BE174A"/>
    <w:rsid w:val="00BE1E57"/>
    <w:rsid w:val="00BE2E44"/>
    <w:rsid w:val="00BE3521"/>
    <w:rsid w:val="00BE400C"/>
    <w:rsid w:val="00BE422C"/>
    <w:rsid w:val="00BE46F6"/>
    <w:rsid w:val="00BE489A"/>
    <w:rsid w:val="00BE4D9C"/>
    <w:rsid w:val="00BE510A"/>
    <w:rsid w:val="00BE5282"/>
    <w:rsid w:val="00BE5438"/>
    <w:rsid w:val="00BE5933"/>
    <w:rsid w:val="00BE5D7B"/>
    <w:rsid w:val="00BE5ED6"/>
    <w:rsid w:val="00BE5F57"/>
    <w:rsid w:val="00BF0BFA"/>
    <w:rsid w:val="00BF0D5C"/>
    <w:rsid w:val="00BF19E6"/>
    <w:rsid w:val="00BF1E2D"/>
    <w:rsid w:val="00BF261B"/>
    <w:rsid w:val="00BF27E5"/>
    <w:rsid w:val="00BF3DBF"/>
    <w:rsid w:val="00BF5422"/>
    <w:rsid w:val="00BF5582"/>
    <w:rsid w:val="00BF56F0"/>
    <w:rsid w:val="00BF60A2"/>
    <w:rsid w:val="00BF6905"/>
    <w:rsid w:val="00BF6B04"/>
    <w:rsid w:val="00BF6B7F"/>
    <w:rsid w:val="00BF6CC9"/>
    <w:rsid w:val="00BF7C22"/>
    <w:rsid w:val="00BF7E14"/>
    <w:rsid w:val="00C01781"/>
    <w:rsid w:val="00C01A36"/>
    <w:rsid w:val="00C0297C"/>
    <w:rsid w:val="00C02F28"/>
    <w:rsid w:val="00C03DDC"/>
    <w:rsid w:val="00C03FB0"/>
    <w:rsid w:val="00C05FC4"/>
    <w:rsid w:val="00C06052"/>
    <w:rsid w:val="00C063D4"/>
    <w:rsid w:val="00C06464"/>
    <w:rsid w:val="00C0699E"/>
    <w:rsid w:val="00C06CC4"/>
    <w:rsid w:val="00C06D1F"/>
    <w:rsid w:val="00C0726F"/>
    <w:rsid w:val="00C07A53"/>
    <w:rsid w:val="00C105C1"/>
    <w:rsid w:val="00C10855"/>
    <w:rsid w:val="00C1169A"/>
    <w:rsid w:val="00C11A00"/>
    <w:rsid w:val="00C11B7F"/>
    <w:rsid w:val="00C11C2F"/>
    <w:rsid w:val="00C11D23"/>
    <w:rsid w:val="00C11FCF"/>
    <w:rsid w:val="00C1237D"/>
    <w:rsid w:val="00C12B79"/>
    <w:rsid w:val="00C1363F"/>
    <w:rsid w:val="00C138ED"/>
    <w:rsid w:val="00C13F46"/>
    <w:rsid w:val="00C15471"/>
    <w:rsid w:val="00C158A6"/>
    <w:rsid w:val="00C15C6A"/>
    <w:rsid w:val="00C162DB"/>
    <w:rsid w:val="00C16E6F"/>
    <w:rsid w:val="00C17555"/>
    <w:rsid w:val="00C2010E"/>
    <w:rsid w:val="00C2058A"/>
    <w:rsid w:val="00C20DFF"/>
    <w:rsid w:val="00C216AF"/>
    <w:rsid w:val="00C21FCB"/>
    <w:rsid w:val="00C23281"/>
    <w:rsid w:val="00C24072"/>
    <w:rsid w:val="00C24DB3"/>
    <w:rsid w:val="00C25EC4"/>
    <w:rsid w:val="00C269CE"/>
    <w:rsid w:val="00C26F8F"/>
    <w:rsid w:val="00C27579"/>
    <w:rsid w:val="00C27679"/>
    <w:rsid w:val="00C278EC"/>
    <w:rsid w:val="00C30101"/>
    <w:rsid w:val="00C31247"/>
    <w:rsid w:val="00C3246E"/>
    <w:rsid w:val="00C33398"/>
    <w:rsid w:val="00C338E4"/>
    <w:rsid w:val="00C339C7"/>
    <w:rsid w:val="00C33C38"/>
    <w:rsid w:val="00C33F8D"/>
    <w:rsid w:val="00C3403C"/>
    <w:rsid w:val="00C34FEA"/>
    <w:rsid w:val="00C35C19"/>
    <w:rsid w:val="00C36CBC"/>
    <w:rsid w:val="00C3743A"/>
    <w:rsid w:val="00C37456"/>
    <w:rsid w:val="00C37DCF"/>
    <w:rsid w:val="00C4031B"/>
    <w:rsid w:val="00C40B48"/>
    <w:rsid w:val="00C410DC"/>
    <w:rsid w:val="00C42936"/>
    <w:rsid w:val="00C4301A"/>
    <w:rsid w:val="00C4391E"/>
    <w:rsid w:val="00C44908"/>
    <w:rsid w:val="00C468DD"/>
    <w:rsid w:val="00C46A06"/>
    <w:rsid w:val="00C46F32"/>
    <w:rsid w:val="00C47144"/>
    <w:rsid w:val="00C504AE"/>
    <w:rsid w:val="00C5314D"/>
    <w:rsid w:val="00C55251"/>
    <w:rsid w:val="00C5547A"/>
    <w:rsid w:val="00C5548B"/>
    <w:rsid w:val="00C554B5"/>
    <w:rsid w:val="00C560CD"/>
    <w:rsid w:val="00C5694B"/>
    <w:rsid w:val="00C57A78"/>
    <w:rsid w:val="00C57B35"/>
    <w:rsid w:val="00C6027B"/>
    <w:rsid w:val="00C6041C"/>
    <w:rsid w:val="00C6084A"/>
    <w:rsid w:val="00C60F9F"/>
    <w:rsid w:val="00C617AF"/>
    <w:rsid w:val="00C6246E"/>
    <w:rsid w:val="00C62F1B"/>
    <w:rsid w:val="00C64A8A"/>
    <w:rsid w:val="00C6516C"/>
    <w:rsid w:val="00C656C0"/>
    <w:rsid w:val="00C6612A"/>
    <w:rsid w:val="00C664CE"/>
    <w:rsid w:val="00C6680C"/>
    <w:rsid w:val="00C66C5A"/>
    <w:rsid w:val="00C67105"/>
    <w:rsid w:val="00C6755A"/>
    <w:rsid w:val="00C678E1"/>
    <w:rsid w:val="00C67A10"/>
    <w:rsid w:val="00C70317"/>
    <w:rsid w:val="00C705B7"/>
    <w:rsid w:val="00C70F76"/>
    <w:rsid w:val="00C718FE"/>
    <w:rsid w:val="00C72107"/>
    <w:rsid w:val="00C725CF"/>
    <w:rsid w:val="00C72EC4"/>
    <w:rsid w:val="00C7417F"/>
    <w:rsid w:val="00C74225"/>
    <w:rsid w:val="00C743EE"/>
    <w:rsid w:val="00C74584"/>
    <w:rsid w:val="00C74B36"/>
    <w:rsid w:val="00C74D37"/>
    <w:rsid w:val="00C7569F"/>
    <w:rsid w:val="00C75DA8"/>
    <w:rsid w:val="00C76623"/>
    <w:rsid w:val="00C778F0"/>
    <w:rsid w:val="00C77D0A"/>
    <w:rsid w:val="00C8042F"/>
    <w:rsid w:val="00C8043D"/>
    <w:rsid w:val="00C808D8"/>
    <w:rsid w:val="00C80953"/>
    <w:rsid w:val="00C80A4C"/>
    <w:rsid w:val="00C81877"/>
    <w:rsid w:val="00C81E94"/>
    <w:rsid w:val="00C82403"/>
    <w:rsid w:val="00C8291A"/>
    <w:rsid w:val="00C82D8F"/>
    <w:rsid w:val="00C83355"/>
    <w:rsid w:val="00C834FD"/>
    <w:rsid w:val="00C84163"/>
    <w:rsid w:val="00C844D5"/>
    <w:rsid w:val="00C84519"/>
    <w:rsid w:val="00C847FA"/>
    <w:rsid w:val="00C84E56"/>
    <w:rsid w:val="00C85F98"/>
    <w:rsid w:val="00C8647A"/>
    <w:rsid w:val="00C86516"/>
    <w:rsid w:val="00C86D5B"/>
    <w:rsid w:val="00C90CDC"/>
    <w:rsid w:val="00C90F6D"/>
    <w:rsid w:val="00C920D7"/>
    <w:rsid w:val="00C931F3"/>
    <w:rsid w:val="00C9332D"/>
    <w:rsid w:val="00C94844"/>
    <w:rsid w:val="00C9586A"/>
    <w:rsid w:val="00C95EDA"/>
    <w:rsid w:val="00C966C8"/>
    <w:rsid w:val="00C96B12"/>
    <w:rsid w:val="00C96FF1"/>
    <w:rsid w:val="00C97062"/>
    <w:rsid w:val="00CA0F85"/>
    <w:rsid w:val="00CA1AB2"/>
    <w:rsid w:val="00CA1BA6"/>
    <w:rsid w:val="00CA2231"/>
    <w:rsid w:val="00CA2C09"/>
    <w:rsid w:val="00CA3936"/>
    <w:rsid w:val="00CA3C0E"/>
    <w:rsid w:val="00CA3F20"/>
    <w:rsid w:val="00CA41C7"/>
    <w:rsid w:val="00CA49BB"/>
    <w:rsid w:val="00CA4B34"/>
    <w:rsid w:val="00CA507D"/>
    <w:rsid w:val="00CA559F"/>
    <w:rsid w:val="00CA6857"/>
    <w:rsid w:val="00CA74E0"/>
    <w:rsid w:val="00CA78F7"/>
    <w:rsid w:val="00CA7B39"/>
    <w:rsid w:val="00CB0DE0"/>
    <w:rsid w:val="00CB1147"/>
    <w:rsid w:val="00CB15CF"/>
    <w:rsid w:val="00CB2077"/>
    <w:rsid w:val="00CB24E9"/>
    <w:rsid w:val="00CB2F0A"/>
    <w:rsid w:val="00CB52A7"/>
    <w:rsid w:val="00CB5F5C"/>
    <w:rsid w:val="00CB7335"/>
    <w:rsid w:val="00CB739B"/>
    <w:rsid w:val="00CB7AF6"/>
    <w:rsid w:val="00CB7B52"/>
    <w:rsid w:val="00CC11E7"/>
    <w:rsid w:val="00CC1311"/>
    <w:rsid w:val="00CC277B"/>
    <w:rsid w:val="00CC4D24"/>
    <w:rsid w:val="00CC5633"/>
    <w:rsid w:val="00CC5C9B"/>
    <w:rsid w:val="00CC5E7B"/>
    <w:rsid w:val="00CC622F"/>
    <w:rsid w:val="00CC6367"/>
    <w:rsid w:val="00CC6734"/>
    <w:rsid w:val="00CC7B2D"/>
    <w:rsid w:val="00CD0F5E"/>
    <w:rsid w:val="00CD13C7"/>
    <w:rsid w:val="00CD257D"/>
    <w:rsid w:val="00CD2632"/>
    <w:rsid w:val="00CD2A6F"/>
    <w:rsid w:val="00CD2BF8"/>
    <w:rsid w:val="00CD3240"/>
    <w:rsid w:val="00CD326F"/>
    <w:rsid w:val="00CD3552"/>
    <w:rsid w:val="00CD35CB"/>
    <w:rsid w:val="00CD3B87"/>
    <w:rsid w:val="00CD44EF"/>
    <w:rsid w:val="00CD558C"/>
    <w:rsid w:val="00CD6538"/>
    <w:rsid w:val="00CD71C9"/>
    <w:rsid w:val="00CD73F0"/>
    <w:rsid w:val="00CD7889"/>
    <w:rsid w:val="00CD78D6"/>
    <w:rsid w:val="00CD7AB6"/>
    <w:rsid w:val="00CD7E51"/>
    <w:rsid w:val="00CE04BE"/>
    <w:rsid w:val="00CE0671"/>
    <w:rsid w:val="00CE0779"/>
    <w:rsid w:val="00CE156E"/>
    <w:rsid w:val="00CE1615"/>
    <w:rsid w:val="00CE182D"/>
    <w:rsid w:val="00CE1D10"/>
    <w:rsid w:val="00CE2BB8"/>
    <w:rsid w:val="00CE2EAC"/>
    <w:rsid w:val="00CE3C3A"/>
    <w:rsid w:val="00CE4C6C"/>
    <w:rsid w:val="00CE54CF"/>
    <w:rsid w:val="00CE5F60"/>
    <w:rsid w:val="00CE68C8"/>
    <w:rsid w:val="00CE76FD"/>
    <w:rsid w:val="00CE7C82"/>
    <w:rsid w:val="00CE7F79"/>
    <w:rsid w:val="00CF0467"/>
    <w:rsid w:val="00CF1230"/>
    <w:rsid w:val="00CF1281"/>
    <w:rsid w:val="00CF13C6"/>
    <w:rsid w:val="00CF13F3"/>
    <w:rsid w:val="00CF190D"/>
    <w:rsid w:val="00CF1F74"/>
    <w:rsid w:val="00CF2069"/>
    <w:rsid w:val="00CF250D"/>
    <w:rsid w:val="00CF41EC"/>
    <w:rsid w:val="00CF4252"/>
    <w:rsid w:val="00CF58FE"/>
    <w:rsid w:val="00CF6090"/>
    <w:rsid w:val="00CF6110"/>
    <w:rsid w:val="00CF6398"/>
    <w:rsid w:val="00CF66DC"/>
    <w:rsid w:val="00CF6A86"/>
    <w:rsid w:val="00CF6C9D"/>
    <w:rsid w:val="00CF746A"/>
    <w:rsid w:val="00CF75BB"/>
    <w:rsid w:val="00CF766A"/>
    <w:rsid w:val="00D004CB"/>
    <w:rsid w:val="00D0206E"/>
    <w:rsid w:val="00D02C00"/>
    <w:rsid w:val="00D02CDC"/>
    <w:rsid w:val="00D04112"/>
    <w:rsid w:val="00D04BFE"/>
    <w:rsid w:val="00D05169"/>
    <w:rsid w:val="00D0533C"/>
    <w:rsid w:val="00D054D6"/>
    <w:rsid w:val="00D05FB0"/>
    <w:rsid w:val="00D060E9"/>
    <w:rsid w:val="00D06726"/>
    <w:rsid w:val="00D1065A"/>
    <w:rsid w:val="00D10CCF"/>
    <w:rsid w:val="00D12B9B"/>
    <w:rsid w:val="00D13148"/>
    <w:rsid w:val="00D1336B"/>
    <w:rsid w:val="00D13B54"/>
    <w:rsid w:val="00D1483D"/>
    <w:rsid w:val="00D15714"/>
    <w:rsid w:val="00D15798"/>
    <w:rsid w:val="00D15D13"/>
    <w:rsid w:val="00D1669E"/>
    <w:rsid w:val="00D16A2A"/>
    <w:rsid w:val="00D17349"/>
    <w:rsid w:val="00D1738B"/>
    <w:rsid w:val="00D17867"/>
    <w:rsid w:val="00D20CE0"/>
    <w:rsid w:val="00D21666"/>
    <w:rsid w:val="00D216F2"/>
    <w:rsid w:val="00D21F74"/>
    <w:rsid w:val="00D22336"/>
    <w:rsid w:val="00D22E4F"/>
    <w:rsid w:val="00D2321D"/>
    <w:rsid w:val="00D2427A"/>
    <w:rsid w:val="00D24722"/>
    <w:rsid w:val="00D247D8"/>
    <w:rsid w:val="00D2546C"/>
    <w:rsid w:val="00D261EE"/>
    <w:rsid w:val="00D26285"/>
    <w:rsid w:val="00D262E9"/>
    <w:rsid w:val="00D27A6C"/>
    <w:rsid w:val="00D30AAE"/>
    <w:rsid w:val="00D312EF"/>
    <w:rsid w:val="00D31849"/>
    <w:rsid w:val="00D324A1"/>
    <w:rsid w:val="00D324A6"/>
    <w:rsid w:val="00D3295B"/>
    <w:rsid w:val="00D333B0"/>
    <w:rsid w:val="00D33449"/>
    <w:rsid w:val="00D33E32"/>
    <w:rsid w:val="00D345BA"/>
    <w:rsid w:val="00D34973"/>
    <w:rsid w:val="00D35E90"/>
    <w:rsid w:val="00D3669C"/>
    <w:rsid w:val="00D367D8"/>
    <w:rsid w:val="00D37DDE"/>
    <w:rsid w:val="00D41289"/>
    <w:rsid w:val="00D416F8"/>
    <w:rsid w:val="00D420F5"/>
    <w:rsid w:val="00D42500"/>
    <w:rsid w:val="00D42AF9"/>
    <w:rsid w:val="00D437EF"/>
    <w:rsid w:val="00D43D10"/>
    <w:rsid w:val="00D43E0F"/>
    <w:rsid w:val="00D44B6A"/>
    <w:rsid w:val="00D44EFD"/>
    <w:rsid w:val="00D44FCF"/>
    <w:rsid w:val="00D45C3E"/>
    <w:rsid w:val="00D45C70"/>
    <w:rsid w:val="00D4633E"/>
    <w:rsid w:val="00D46EFF"/>
    <w:rsid w:val="00D4710B"/>
    <w:rsid w:val="00D479BB"/>
    <w:rsid w:val="00D50310"/>
    <w:rsid w:val="00D5086E"/>
    <w:rsid w:val="00D510C8"/>
    <w:rsid w:val="00D517C5"/>
    <w:rsid w:val="00D5184A"/>
    <w:rsid w:val="00D51C3D"/>
    <w:rsid w:val="00D51E2C"/>
    <w:rsid w:val="00D52562"/>
    <w:rsid w:val="00D52BDE"/>
    <w:rsid w:val="00D52BF0"/>
    <w:rsid w:val="00D544DD"/>
    <w:rsid w:val="00D54639"/>
    <w:rsid w:val="00D55B8F"/>
    <w:rsid w:val="00D56500"/>
    <w:rsid w:val="00D566C6"/>
    <w:rsid w:val="00D56DC2"/>
    <w:rsid w:val="00D570AD"/>
    <w:rsid w:val="00D5772F"/>
    <w:rsid w:val="00D57DDF"/>
    <w:rsid w:val="00D6041B"/>
    <w:rsid w:val="00D60A5E"/>
    <w:rsid w:val="00D62243"/>
    <w:rsid w:val="00D63097"/>
    <w:rsid w:val="00D63100"/>
    <w:rsid w:val="00D63288"/>
    <w:rsid w:val="00D63C81"/>
    <w:rsid w:val="00D642B2"/>
    <w:rsid w:val="00D64513"/>
    <w:rsid w:val="00D647A7"/>
    <w:rsid w:val="00D64FF2"/>
    <w:rsid w:val="00D656BB"/>
    <w:rsid w:val="00D67207"/>
    <w:rsid w:val="00D6733C"/>
    <w:rsid w:val="00D70052"/>
    <w:rsid w:val="00D7144D"/>
    <w:rsid w:val="00D71F3D"/>
    <w:rsid w:val="00D728B8"/>
    <w:rsid w:val="00D72DAB"/>
    <w:rsid w:val="00D734EC"/>
    <w:rsid w:val="00D737DE"/>
    <w:rsid w:val="00D7417F"/>
    <w:rsid w:val="00D741BC"/>
    <w:rsid w:val="00D74BD0"/>
    <w:rsid w:val="00D750B5"/>
    <w:rsid w:val="00D75967"/>
    <w:rsid w:val="00D76112"/>
    <w:rsid w:val="00D76BE0"/>
    <w:rsid w:val="00D76C43"/>
    <w:rsid w:val="00D775A8"/>
    <w:rsid w:val="00D776A2"/>
    <w:rsid w:val="00D77F3E"/>
    <w:rsid w:val="00D800A2"/>
    <w:rsid w:val="00D802B9"/>
    <w:rsid w:val="00D806CA"/>
    <w:rsid w:val="00D8079A"/>
    <w:rsid w:val="00D81BEA"/>
    <w:rsid w:val="00D81C69"/>
    <w:rsid w:val="00D8340E"/>
    <w:rsid w:val="00D8387E"/>
    <w:rsid w:val="00D84434"/>
    <w:rsid w:val="00D85B09"/>
    <w:rsid w:val="00D863D7"/>
    <w:rsid w:val="00D86AA1"/>
    <w:rsid w:val="00D86D45"/>
    <w:rsid w:val="00D870B7"/>
    <w:rsid w:val="00D900B5"/>
    <w:rsid w:val="00D905E9"/>
    <w:rsid w:val="00D90C22"/>
    <w:rsid w:val="00D912D5"/>
    <w:rsid w:val="00D9145B"/>
    <w:rsid w:val="00D91685"/>
    <w:rsid w:val="00D919FC"/>
    <w:rsid w:val="00D9223A"/>
    <w:rsid w:val="00D92348"/>
    <w:rsid w:val="00D930AE"/>
    <w:rsid w:val="00D939C7"/>
    <w:rsid w:val="00D94560"/>
    <w:rsid w:val="00D949E8"/>
    <w:rsid w:val="00D94CEA"/>
    <w:rsid w:val="00D95283"/>
    <w:rsid w:val="00D95497"/>
    <w:rsid w:val="00D95BF2"/>
    <w:rsid w:val="00D95D76"/>
    <w:rsid w:val="00D95EA5"/>
    <w:rsid w:val="00D96B71"/>
    <w:rsid w:val="00D97BBC"/>
    <w:rsid w:val="00D97F67"/>
    <w:rsid w:val="00DA0443"/>
    <w:rsid w:val="00DA0C39"/>
    <w:rsid w:val="00DA0F45"/>
    <w:rsid w:val="00DA191C"/>
    <w:rsid w:val="00DA1F6C"/>
    <w:rsid w:val="00DA2736"/>
    <w:rsid w:val="00DA2893"/>
    <w:rsid w:val="00DA2D72"/>
    <w:rsid w:val="00DA301D"/>
    <w:rsid w:val="00DA49C8"/>
    <w:rsid w:val="00DA662F"/>
    <w:rsid w:val="00DA6FF5"/>
    <w:rsid w:val="00DA73FD"/>
    <w:rsid w:val="00DB02F7"/>
    <w:rsid w:val="00DB0EEF"/>
    <w:rsid w:val="00DB0FEB"/>
    <w:rsid w:val="00DB14AC"/>
    <w:rsid w:val="00DB1817"/>
    <w:rsid w:val="00DB1CB5"/>
    <w:rsid w:val="00DB2255"/>
    <w:rsid w:val="00DB2F2A"/>
    <w:rsid w:val="00DB2FC6"/>
    <w:rsid w:val="00DB3251"/>
    <w:rsid w:val="00DB506A"/>
    <w:rsid w:val="00DB5A49"/>
    <w:rsid w:val="00DC108B"/>
    <w:rsid w:val="00DC10A8"/>
    <w:rsid w:val="00DC1AF5"/>
    <w:rsid w:val="00DC1FBA"/>
    <w:rsid w:val="00DC2DAE"/>
    <w:rsid w:val="00DC312C"/>
    <w:rsid w:val="00DC41C0"/>
    <w:rsid w:val="00DC44FB"/>
    <w:rsid w:val="00DC532F"/>
    <w:rsid w:val="00DC540E"/>
    <w:rsid w:val="00DC5661"/>
    <w:rsid w:val="00DC58F2"/>
    <w:rsid w:val="00DC5CDC"/>
    <w:rsid w:val="00DC65D5"/>
    <w:rsid w:val="00DC69D4"/>
    <w:rsid w:val="00DC7562"/>
    <w:rsid w:val="00DC7ADF"/>
    <w:rsid w:val="00DC7DDA"/>
    <w:rsid w:val="00DC7E5B"/>
    <w:rsid w:val="00DD0862"/>
    <w:rsid w:val="00DD0EEF"/>
    <w:rsid w:val="00DD19F5"/>
    <w:rsid w:val="00DD2875"/>
    <w:rsid w:val="00DD2C71"/>
    <w:rsid w:val="00DD39CB"/>
    <w:rsid w:val="00DD3E1B"/>
    <w:rsid w:val="00DD4F89"/>
    <w:rsid w:val="00DD4FB3"/>
    <w:rsid w:val="00DD543F"/>
    <w:rsid w:val="00DD562D"/>
    <w:rsid w:val="00DD5C58"/>
    <w:rsid w:val="00DD62D4"/>
    <w:rsid w:val="00DD65C4"/>
    <w:rsid w:val="00DD6CEB"/>
    <w:rsid w:val="00DD7311"/>
    <w:rsid w:val="00DD74BB"/>
    <w:rsid w:val="00DD75CC"/>
    <w:rsid w:val="00DD791E"/>
    <w:rsid w:val="00DD7F7D"/>
    <w:rsid w:val="00DE0D42"/>
    <w:rsid w:val="00DE22CA"/>
    <w:rsid w:val="00DE2F24"/>
    <w:rsid w:val="00DE3403"/>
    <w:rsid w:val="00DE3C95"/>
    <w:rsid w:val="00DE3E27"/>
    <w:rsid w:val="00DE4070"/>
    <w:rsid w:val="00DE454E"/>
    <w:rsid w:val="00DE5430"/>
    <w:rsid w:val="00DE5602"/>
    <w:rsid w:val="00DE726B"/>
    <w:rsid w:val="00DE75E2"/>
    <w:rsid w:val="00DF0215"/>
    <w:rsid w:val="00DF18AA"/>
    <w:rsid w:val="00DF1F2D"/>
    <w:rsid w:val="00DF25FA"/>
    <w:rsid w:val="00DF2654"/>
    <w:rsid w:val="00DF292F"/>
    <w:rsid w:val="00DF2D2D"/>
    <w:rsid w:val="00DF313A"/>
    <w:rsid w:val="00DF39C3"/>
    <w:rsid w:val="00DF432A"/>
    <w:rsid w:val="00DF4F52"/>
    <w:rsid w:val="00DF5169"/>
    <w:rsid w:val="00DF55C2"/>
    <w:rsid w:val="00DF578E"/>
    <w:rsid w:val="00DF5913"/>
    <w:rsid w:val="00DF6B37"/>
    <w:rsid w:val="00DF794E"/>
    <w:rsid w:val="00E009CB"/>
    <w:rsid w:val="00E00A6D"/>
    <w:rsid w:val="00E00D3E"/>
    <w:rsid w:val="00E015F9"/>
    <w:rsid w:val="00E017A4"/>
    <w:rsid w:val="00E0221F"/>
    <w:rsid w:val="00E030A1"/>
    <w:rsid w:val="00E0334E"/>
    <w:rsid w:val="00E03FB4"/>
    <w:rsid w:val="00E042FE"/>
    <w:rsid w:val="00E04968"/>
    <w:rsid w:val="00E053EB"/>
    <w:rsid w:val="00E05BCC"/>
    <w:rsid w:val="00E05CB2"/>
    <w:rsid w:val="00E05E37"/>
    <w:rsid w:val="00E06A34"/>
    <w:rsid w:val="00E06BFB"/>
    <w:rsid w:val="00E070CA"/>
    <w:rsid w:val="00E07B14"/>
    <w:rsid w:val="00E07BA7"/>
    <w:rsid w:val="00E100AE"/>
    <w:rsid w:val="00E10149"/>
    <w:rsid w:val="00E104CF"/>
    <w:rsid w:val="00E10DF0"/>
    <w:rsid w:val="00E10E36"/>
    <w:rsid w:val="00E11416"/>
    <w:rsid w:val="00E12688"/>
    <w:rsid w:val="00E13A68"/>
    <w:rsid w:val="00E13DE8"/>
    <w:rsid w:val="00E13E43"/>
    <w:rsid w:val="00E146C2"/>
    <w:rsid w:val="00E161E5"/>
    <w:rsid w:val="00E16E35"/>
    <w:rsid w:val="00E17AC1"/>
    <w:rsid w:val="00E17B04"/>
    <w:rsid w:val="00E2016B"/>
    <w:rsid w:val="00E20745"/>
    <w:rsid w:val="00E212F8"/>
    <w:rsid w:val="00E214FC"/>
    <w:rsid w:val="00E215E7"/>
    <w:rsid w:val="00E21F4C"/>
    <w:rsid w:val="00E2200F"/>
    <w:rsid w:val="00E223F9"/>
    <w:rsid w:val="00E2321B"/>
    <w:rsid w:val="00E23324"/>
    <w:rsid w:val="00E23FC6"/>
    <w:rsid w:val="00E26215"/>
    <w:rsid w:val="00E316D8"/>
    <w:rsid w:val="00E32389"/>
    <w:rsid w:val="00E32675"/>
    <w:rsid w:val="00E32E84"/>
    <w:rsid w:val="00E33A86"/>
    <w:rsid w:val="00E33E6A"/>
    <w:rsid w:val="00E34124"/>
    <w:rsid w:val="00E34831"/>
    <w:rsid w:val="00E348D7"/>
    <w:rsid w:val="00E34BF0"/>
    <w:rsid w:val="00E35BAD"/>
    <w:rsid w:val="00E35FB1"/>
    <w:rsid w:val="00E4057B"/>
    <w:rsid w:val="00E408E2"/>
    <w:rsid w:val="00E40F80"/>
    <w:rsid w:val="00E4115C"/>
    <w:rsid w:val="00E41556"/>
    <w:rsid w:val="00E42FB3"/>
    <w:rsid w:val="00E432AB"/>
    <w:rsid w:val="00E445E8"/>
    <w:rsid w:val="00E44D87"/>
    <w:rsid w:val="00E452F1"/>
    <w:rsid w:val="00E45866"/>
    <w:rsid w:val="00E45B10"/>
    <w:rsid w:val="00E45C63"/>
    <w:rsid w:val="00E45DDA"/>
    <w:rsid w:val="00E45F9C"/>
    <w:rsid w:val="00E4675C"/>
    <w:rsid w:val="00E468AB"/>
    <w:rsid w:val="00E51F81"/>
    <w:rsid w:val="00E52171"/>
    <w:rsid w:val="00E526EB"/>
    <w:rsid w:val="00E5409A"/>
    <w:rsid w:val="00E5447C"/>
    <w:rsid w:val="00E54525"/>
    <w:rsid w:val="00E55EC0"/>
    <w:rsid w:val="00E55FEF"/>
    <w:rsid w:val="00E56B83"/>
    <w:rsid w:val="00E61015"/>
    <w:rsid w:val="00E61336"/>
    <w:rsid w:val="00E61574"/>
    <w:rsid w:val="00E61690"/>
    <w:rsid w:val="00E61972"/>
    <w:rsid w:val="00E61AEC"/>
    <w:rsid w:val="00E6239C"/>
    <w:rsid w:val="00E63BB0"/>
    <w:rsid w:val="00E63D14"/>
    <w:rsid w:val="00E63E5A"/>
    <w:rsid w:val="00E64179"/>
    <w:rsid w:val="00E6486C"/>
    <w:rsid w:val="00E64A11"/>
    <w:rsid w:val="00E64DD9"/>
    <w:rsid w:val="00E65977"/>
    <w:rsid w:val="00E65D1E"/>
    <w:rsid w:val="00E65EB8"/>
    <w:rsid w:val="00E65F77"/>
    <w:rsid w:val="00E664BF"/>
    <w:rsid w:val="00E66A4B"/>
    <w:rsid w:val="00E66DDE"/>
    <w:rsid w:val="00E66EF7"/>
    <w:rsid w:val="00E6708C"/>
    <w:rsid w:val="00E671F8"/>
    <w:rsid w:val="00E67CDD"/>
    <w:rsid w:val="00E67E23"/>
    <w:rsid w:val="00E7013C"/>
    <w:rsid w:val="00E709F2"/>
    <w:rsid w:val="00E71A63"/>
    <w:rsid w:val="00E71D3E"/>
    <w:rsid w:val="00E72542"/>
    <w:rsid w:val="00E72576"/>
    <w:rsid w:val="00E72F53"/>
    <w:rsid w:val="00E73770"/>
    <w:rsid w:val="00E7540B"/>
    <w:rsid w:val="00E76492"/>
    <w:rsid w:val="00E7771F"/>
    <w:rsid w:val="00E817BF"/>
    <w:rsid w:val="00E86678"/>
    <w:rsid w:val="00E8706D"/>
    <w:rsid w:val="00E870A7"/>
    <w:rsid w:val="00E87F33"/>
    <w:rsid w:val="00E902FC"/>
    <w:rsid w:val="00E917A1"/>
    <w:rsid w:val="00E917C2"/>
    <w:rsid w:val="00E929C1"/>
    <w:rsid w:val="00E92FC9"/>
    <w:rsid w:val="00E9301F"/>
    <w:rsid w:val="00E93F71"/>
    <w:rsid w:val="00E94BB6"/>
    <w:rsid w:val="00E96EE9"/>
    <w:rsid w:val="00E97D0D"/>
    <w:rsid w:val="00EA0725"/>
    <w:rsid w:val="00EA116F"/>
    <w:rsid w:val="00EA2529"/>
    <w:rsid w:val="00EA2620"/>
    <w:rsid w:val="00EA54E2"/>
    <w:rsid w:val="00EA594F"/>
    <w:rsid w:val="00EA6BDC"/>
    <w:rsid w:val="00EA7B74"/>
    <w:rsid w:val="00EB0403"/>
    <w:rsid w:val="00EB06C8"/>
    <w:rsid w:val="00EB080E"/>
    <w:rsid w:val="00EB149F"/>
    <w:rsid w:val="00EB179B"/>
    <w:rsid w:val="00EB1B9D"/>
    <w:rsid w:val="00EB2037"/>
    <w:rsid w:val="00EB2242"/>
    <w:rsid w:val="00EB233D"/>
    <w:rsid w:val="00EB2AD4"/>
    <w:rsid w:val="00EB328D"/>
    <w:rsid w:val="00EB32AF"/>
    <w:rsid w:val="00EB33E9"/>
    <w:rsid w:val="00EB39D9"/>
    <w:rsid w:val="00EB55A7"/>
    <w:rsid w:val="00EB64D1"/>
    <w:rsid w:val="00EB6A09"/>
    <w:rsid w:val="00EC26B4"/>
    <w:rsid w:val="00EC2822"/>
    <w:rsid w:val="00EC439D"/>
    <w:rsid w:val="00EC4687"/>
    <w:rsid w:val="00EC49A0"/>
    <w:rsid w:val="00EC4B55"/>
    <w:rsid w:val="00EC51D3"/>
    <w:rsid w:val="00EC591E"/>
    <w:rsid w:val="00EC7258"/>
    <w:rsid w:val="00EC7D3B"/>
    <w:rsid w:val="00ED093B"/>
    <w:rsid w:val="00ED0A1C"/>
    <w:rsid w:val="00ED230B"/>
    <w:rsid w:val="00ED288D"/>
    <w:rsid w:val="00ED2F67"/>
    <w:rsid w:val="00ED326C"/>
    <w:rsid w:val="00ED3C05"/>
    <w:rsid w:val="00ED4C9A"/>
    <w:rsid w:val="00ED6179"/>
    <w:rsid w:val="00ED7B8A"/>
    <w:rsid w:val="00EE08CB"/>
    <w:rsid w:val="00EE1177"/>
    <w:rsid w:val="00EE1BAA"/>
    <w:rsid w:val="00EE2E17"/>
    <w:rsid w:val="00EE3C2F"/>
    <w:rsid w:val="00EE441E"/>
    <w:rsid w:val="00EE45D2"/>
    <w:rsid w:val="00EE47B3"/>
    <w:rsid w:val="00EE47CE"/>
    <w:rsid w:val="00EE49E4"/>
    <w:rsid w:val="00EE4D8F"/>
    <w:rsid w:val="00EE521D"/>
    <w:rsid w:val="00EE6483"/>
    <w:rsid w:val="00EE6632"/>
    <w:rsid w:val="00EE6971"/>
    <w:rsid w:val="00EE768B"/>
    <w:rsid w:val="00EF04AB"/>
    <w:rsid w:val="00EF09CC"/>
    <w:rsid w:val="00EF0CC4"/>
    <w:rsid w:val="00EF1B03"/>
    <w:rsid w:val="00EF209F"/>
    <w:rsid w:val="00EF2DB4"/>
    <w:rsid w:val="00EF322A"/>
    <w:rsid w:val="00EF384C"/>
    <w:rsid w:val="00EF38B7"/>
    <w:rsid w:val="00EF3AA0"/>
    <w:rsid w:val="00EF4427"/>
    <w:rsid w:val="00EF464A"/>
    <w:rsid w:val="00EF4F39"/>
    <w:rsid w:val="00EF5A9C"/>
    <w:rsid w:val="00EF5E7C"/>
    <w:rsid w:val="00EF5FDE"/>
    <w:rsid w:val="00EF635B"/>
    <w:rsid w:val="00EF6B52"/>
    <w:rsid w:val="00EF6C79"/>
    <w:rsid w:val="00EF7932"/>
    <w:rsid w:val="00F00C2C"/>
    <w:rsid w:val="00F0148C"/>
    <w:rsid w:val="00F01957"/>
    <w:rsid w:val="00F021B8"/>
    <w:rsid w:val="00F021EF"/>
    <w:rsid w:val="00F03016"/>
    <w:rsid w:val="00F0454A"/>
    <w:rsid w:val="00F04B88"/>
    <w:rsid w:val="00F06425"/>
    <w:rsid w:val="00F0680F"/>
    <w:rsid w:val="00F07312"/>
    <w:rsid w:val="00F10096"/>
    <w:rsid w:val="00F100D1"/>
    <w:rsid w:val="00F108D1"/>
    <w:rsid w:val="00F11228"/>
    <w:rsid w:val="00F122CB"/>
    <w:rsid w:val="00F12536"/>
    <w:rsid w:val="00F13262"/>
    <w:rsid w:val="00F132C6"/>
    <w:rsid w:val="00F1461E"/>
    <w:rsid w:val="00F147FC"/>
    <w:rsid w:val="00F14B21"/>
    <w:rsid w:val="00F14F09"/>
    <w:rsid w:val="00F15029"/>
    <w:rsid w:val="00F1505B"/>
    <w:rsid w:val="00F155D7"/>
    <w:rsid w:val="00F16871"/>
    <w:rsid w:val="00F17AF4"/>
    <w:rsid w:val="00F20243"/>
    <w:rsid w:val="00F20F91"/>
    <w:rsid w:val="00F21BAD"/>
    <w:rsid w:val="00F21F49"/>
    <w:rsid w:val="00F22AC9"/>
    <w:rsid w:val="00F22ED2"/>
    <w:rsid w:val="00F23530"/>
    <w:rsid w:val="00F23AC3"/>
    <w:rsid w:val="00F243E5"/>
    <w:rsid w:val="00F2440E"/>
    <w:rsid w:val="00F24773"/>
    <w:rsid w:val="00F25527"/>
    <w:rsid w:val="00F256D4"/>
    <w:rsid w:val="00F259BD"/>
    <w:rsid w:val="00F25E60"/>
    <w:rsid w:val="00F2637E"/>
    <w:rsid w:val="00F263C0"/>
    <w:rsid w:val="00F263CD"/>
    <w:rsid w:val="00F263F0"/>
    <w:rsid w:val="00F26BE5"/>
    <w:rsid w:val="00F27717"/>
    <w:rsid w:val="00F27797"/>
    <w:rsid w:val="00F27994"/>
    <w:rsid w:val="00F3098F"/>
    <w:rsid w:val="00F31036"/>
    <w:rsid w:val="00F31664"/>
    <w:rsid w:val="00F31F39"/>
    <w:rsid w:val="00F33891"/>
    <w:rsid w:val="00F344CB"/>
    <w:rsid w:val="00F3503C"/>
    <w:rsid w:val="00F3573D"/>
    <w:rsid w:val="00F35F0D"/>
    <w:rsid w:val="00F37102"/>
    <w:rsid w:val="00F41AE7"/>
    <w:rsid w:val="00F42355"/>
    <w:rsid w:val="00F42509"/>
    <w:rsid w:val="00F43A6F"/>
    <w:rsid w:val="00F43B84"/>
    <w:rsid w:val="00F443AF"/>
    <w:rsid w:val="00F44A53"/>
    <w:rsid w:val="00F45C2B"/>
    <w:rsid w:val="00F462EF"/>
    <w:rsid w:val="00F46898"/>
    <w:rsid w:val="00F5030F"/>
    <w:rsid w:val="00F50E05"/>
    <w:rsid w:val="00F52637"/>
    <w:rsid w:val="00F52A35"/>
    <w:rsid w:val="00F549BC"/>
    <w:rsid w:val="00F55259"/>
    <w:rsid w:val="00F553A0"/>
    <w:rsid w:val="00F567F2"/>
    <w:rsid w:val="00F576D2"/>
    <w:rsid w:val="00F57BD9"/>
    <w:rsid w:val="00F60150"/>
    <w:rsid w:val="00F607A1"/>
    <w:rsid w:val="00F60A31"/>
    <w:rsid w:val="00F60D25"/>
    <w:rsid w:val="00F62492"/>
    <w:rsid w:val="00F63246"/>
    <w:rsid w:val="00F63E3D"/>
    <w:rsid w:val="00F6441A"/>
    <w:rsid w:val="00F64AF8"/>
    <w:rsid w:val="00F65A8C"/>
    <w:rsid w:val="00F6610E"/>
    <w:rsid w:val="00F66D35"/>
    <w:rsid w:val="00F672AD"/>
    <w:rsid w:val="00F673B1"/>
    <w:rsid w:val="00F67521"/>
    <w:rsid w:val="00F67A1A"/>
    <w:rsid w:val="00F67FA3"/>
    <w:rsid w:val="00F7059A"/>
    <w:rsid w:val="00F705A6"/>
    <w:rsid w:val="00F70F04"/>
    <w:rsid w:val="00F71846"/>
    <w:rsid w:val="00F718B6"/>
    <w:rsid w:val="00F718E8"/>
    <w:rsid w:val="00F720DA"/>
    <w:rsid w:val="00F723B6"/>
    <w:rsid w:val="00F74672"/>
    <w:rsid w:val="00F75692"/>
    <w:rsid w:val="00F76A30"/>
    <w:rsid w:val="00F7716F"/>
    <w:rsid w:val="00F772E1"/>
    <w:rsid w:val="00F77496"/>
    <w:rsid w:val="00F77530"/>
    <w:rsid w:val="00F80654"/>
    <w:rsid w:val="00F80F5A"/>
    <w:rsid w:val="00F822C5"/>
    <w:rsid w:val="00F823E1"/>
    <w:rsid w:val="00F82A75"/>
    <w:rsid w:val="00F82AD7"/>
    <w:rsid w:val="00F82B8E"/>
    <w:rsid w:val="00F82C65"/>
    <w:rsid w:val="00F8352B"/>
    <w:rsid w:val="00F83668"/>
    <w:rsid w:val="00F83D7F"/>
    <w:rsid w:val="00F83E1B"/>
    <w:rsid w:val="00F84B42"/>
    <w:rsid w:val="00F84DD4"/>
    <w:rsid w:val="00F851EF"/>
    <w:rsid w:val="00F853DE"/>
    <w:rsid w:val="00F87455"/>
    <w:rsid w:val="00F908E9"/>
    <w:rsid w:val="00F912A2"/>
    <w:rsid w:val="00F92330"/>
    <w:rsid w:val="00F923B1"/>
    <w:rsid w:val="00F92490"/>
    <w:rsid w:val="00F927D3"/>
    <w:rsid w:val="00F92E5B"/>
    <w:rsid w:val="00F95F01"/>
    <w:rsid w:val="00F97BAD"/>
    <w:rsid w:val="00F97FBB"/>
    <w:rsid w:val="00FA0391"/>
    <w:rsid w:val="00FA0D97"/>
    <w:rsid w:val="00FA10C8"/>
    <w:rsid w:val="00FA1399"/>
    <w:rsid w:val="00FA2487"/>
    <w:rsid w:val="00FA2AB5"/>
    <w:rsid w:val="00FA3066"/>
    <w:rsid w:val="00FA3A8A"/>
    <w:rsid w:val="00FA3C32"/>
    <w:rsid w:val="00FA3F60"/>
    <w:rsid w:val="00FA4029"/>
    <w:rsid w:val="00FA4E7E"/>
    <w:rsid w:val="00FA57F6"/>
    <w:rsid w:val="00FA5ADB"/>
    <w:rsid w:val="00FA681D"/>
    <w:rsid w:val="00FB06E0"/>
    <w:rsid w:val="00FB0898"/>
    <w:rsid w:val="00FB0D9F"/>
    <w:rsid w:val="00FB0E2F"/>
    <w:rsid w:val="00FB1CB1"/>
    <w:rsid w:val="00FB2155"/>
    <w:rsid w:val="00FB21C2"/>
    <w:rsid w:val="00FB2268"/>
    <w:rsid w:val="00FB2B41"/>
    <w:rsid w:val="00FB2F9C"/>
    <w:rsid w:val="00FB342D"/>
    <w:rsid w:val="00FB41C7"/>
    <w:rsid w:val="00FB43B3"/>
    <w:rsid w:val="00FB45D8"/>
    <w:rsid w:val="00FB4858"/>
    <w:rsid w:val="00FB495D"/>
    <w:rsid w:val="00FB4B75"/>
    <w:rsid w:val="00FB5830"/>
    <w:rsid w:val="00FB5C6B"/>
    <w:rsid w:val="00FB6A33"/>
    <w:rsid w:val="00FB6C7F"/>
    <w:rsid w:val="00FB6CC5"/>
    <w:rsid w:val="00FB6D53"/>
    <w:rsid w:val="00FB7131"/>
    <w:rsid w:val="00FB7307"/>
    <w:rsid w:val="00FB7940"/>
    <w:rsid w:val="00FC0042"/>
    <w:rsid w:val="00FC01E7"/>
    <w:rsid w:val="00FC02C6"/>
    <w:rsid w:val="00FC0770"/>
    <w:rsid w:val="00FC13F8"/>
    <w:rsid w:val="00FC1EC1"/>
    <w:rsid w:val="00FC2247"/>
    <w:rsid w:val="00FC2252"/>
    <w:rsid w:val="00FC342D"/>
    <w:rsid w:val="00FC365E"/>
    <w:rsid w:val="00FC39FE"/>
    <w:rsid w:val="00FC3C28"/>
    <w:rsid w:val="00FC4417"/>
    <w:rsid w:val="00FC5A72"/>
    <w:rsid w:val="00FC5AC2"/>
    <w:rsid w:val="00FC6335"/>
    <w:rsid w:val="00FC65E9"/>
    <w:rsid w:val="00FC682E"/>
    <w:rsid w:val="00FC7100"/>
    <w:rsid w:val="00FD0648"/>
    <w:rsid w:val="00FD074F"/>
    <w:rsid w:val="00FD1758"/>
    <w:rsid w:val="00FD17BA"/>
    <w:rsid w:val="00FD1E93"/>
    <w:rsid w:val="00FD2718"/>
    <w:rsid w:val="00FD2936"/>
    <w:rsid w:val="00FD30A3"/>
    <w:rsid w:val="00FD32C6"/>
    <w:rsid w:val="00FD386C"/>
    <w:rsid w:val="00FD45E8"/>
    <w:rsid w:val="00FD4CF8"/>
    <w:rsid w:val="00FD52A0"/>
    <w:rsid w:val="00FD583D"/>
    <w:rsid w:val="00FD6219"/>
    <w:rsid w:val="00FD6AD9"/>
    <w:rsid w:val="00FD6FAD"/>
    <w:rsid w:val="00FD72E5"/>
    <w:rsid w:val="00FD7722"/>
    <w:rsid w:val="00FE057E"/>
    <w:rsid w:val="00FE05F4"/>
    <w:rsid w:val="00FE080B"/>
    <w:rsid w:val="00FE0AD1"/>
    <w:rsid w:val="00FE1495"/>
    <w:rsid w:val="00FE19EE"/>
    <w:rsid w:val="00FE21C1"/>
    <w:rsid w:val="00FE254C"/>
    <w:rsid w:val="00FE2F05"/>
    <w:rsid w:val="00FE2F86"/>
    <w:rsid w:val="00FE4A42"/>
    <w:rsid w:val="00FE4C4A"/>
    <w:rsid w:val="00FE5109"/>
    <w:rsid w:val="00FE5841"/>
    <w:rsid w:val="00FE6570"/>
    <w:rsid w:val="00FE67E3"/>
    <w:rsid w:val="00FE6A61"/>
    <w:rsid w:val="00FE76DB"/>
    <w:rsid w:val="00FE7768"/>
    <w:rsid w:val="00FF09C3"/>
    <w:rsid w:val="00FF2577"/>
    <w:rsid w:val="00FF298C"/>
    <w:rsid w:val="00FF298E"/>
    <w:rsid w:val="00FF3963"/>
    <w:rsid w:val="00FF39CA"/>
    <w:rsid w:val="00FF3AFF"/>
    <w:rsid w:val="00FF3FC1"/>
    <w:rsid w:val="00FF4667"/>
    <w:rsid w:val="00FF5C7D"/>
    <w:rsid w:val="00FF7D07"/>
    <w:rsid w:val="00FF7D96"/>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2BABB2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imes New Roman" w:hAnsiTheme="minorHAnsi" w:cs="Times New Roman"/>
        <w:color w:val="000000" w:themeColor="text1"/>
        <w:lang w:val="en-AU" w:eastAsia="en-AU" w:bidi="ar-SA"/>
      </w:rPr>
    </w:rPrDefault>
    <w:pPrDefault>
      <w:pPr>
        <w:spacing w:line="288" w:lineRule="auto"/>
      </w:pPr>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semiHidden="0" w:unhideWhenUsed="0" w:qFormat="1"/>
    <w:lsdException w:name="heading 6" w:qFormat="1"/>
    <w:lsdException w:name="heading 7" w:qFormat="1"/>
    <w:lsdException w:name="heading 8" w:uiPriority="3" w:qFormat="1"/>
    <w:lsdException w:name="heading 9" w:uiPriority="3" w:qFormat="1"/>
    <w:lsdException w:name="toc 1" w:uiPriority="39"/>
    <w:lsdException w:name="toc 2" w:uiPriority="39"/>
    <w:lsdException w:name="toc 3" w:uiPriority="39"/>
    <w:lsdException w:name="toc 4" w:uiPriority="39"/>
    <w:lsdException w:name="toc 5" w:uiPriority="39"/>
    <w:lsdException w:name="toc 6" w:uiPriority="39"/>
    <w:lsdException w:name="toc 8" w:uiPriority="39"/>
    <w:lsdException w:name="toc 9" w:uiPriority="39"/>
    <w:lsdException w:name="footnote text" w:uiPriority="99" w:qFormat="1"/>
    <w:lsdException w:name="annotation text" w:uiPriority="99"/>
    <w:lsdException w:name="header" w:uiPriority="99"/>
    <w:lsdException w:name="footer" w:uiPriority="99"/>
    <w:lsdException w:name="caption" w:qFormat="1"/>
    <w:lsdException w:name="table of figures" w:uiPriority="99"/>
    <w:lsdException w:name="footnote reference" w:uiPriority="99"/>
    <w:lsdException w:name="List Bullet" w:qFormat="1"/>
    <w:lsdException w:name="List Number" w:semiHidden="0" w:unhideWhenUsed="0" w:qFormat="1"/>
    <w:lsdException w:name="List 4" w:semiHidden="0" w:unhideWhenUsed="0"/>
    <w:lsdException w:name="List 5" w:semiHidden="0" w:unhideWhenUsed="0"/>
    <w:lsdException w:name="List Bullet 2" w:qFormat="1"/>
    <w:lsdException w:name="List Bullet 3" w:qFormat="1"/>
    <w:lsdException w:name="List Number 2" w:qFormat="1"/>
    <w:lsdException w:name="List Number 3" w:qFormat="1"/>
    <w:lsdException w:name="Title" w:semiHidden="0" w:uiPriority="99" w:unhideWhenUsed="0"/>
    <w:lsdException w:name="Default Paragraph Font" w:uiPriority="1"/>
    <w:lsdException w:name="Body Text" w:qFormat="1"/>
    <w:lsdException w:name="Subtitle" w:semiHidden="0" w:uiPriority="11"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iPriority="99" w:unhideWhenUsed="0"/>
    <w:lsdException w:name="Emphasis" w:semiHidden="0" w:unhideWhenUsed="0"/>
    <w:lsdException w:name="Normal (Web)" w:uiPriority="99"/>
    <w:lsdException w:name="annotation subject" w:uiPriority="99"/>
    <w:lsdException w:name="No List" w:uiPriority="99"/>
    <w:lsdException w:name="Balloon Text" w:uiPriority="99"/>
    <w:lsdException w:name="Table Grid" w:uiPriority="59"/>
    <w:lsdException w:name="Placeholder Text" w:uiPriority="99" w:unhideWhenUsed="0"/>
    <w:lsdException w:name="No Spacing" w:semiHidden="0"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nhideWhenUsed="0" w:qFormat="1"/>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qFormat="1"/>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501811"/>
  </w:style>
  <w:style w:type="paragraph" w:styleId="Heading1">
    <w:name w:val="heading 1"/>
    <w:basedOn w:val="Normal"/>
    <w:next w:val="BodyText"/>
    <w:link w:val="Heading1Char"/>
    <w:qFormat/>
    <w:rsid w:val="00AD3E68"/>
    <w:pPr>
      <w:keepNext/>
      <w:keepLines/>
      <w:pageBreakBefore/>
      <w:numPr>
        <w:numId w:val="12"/>
      </w:numPr>
      <w:spacing w:after="400" w:line="276" w:lineRule="auto"/>
      <w:outlineLvl w:val="0"/>
    </w:pPr>
    <w:rPr>
      <w:rFonts w:asciiTheme="majorHAnsi" w:eastAsiaTheme="majorEastAsia" w:hAnsiTheme="majorHAnsi" w:cstheme="majorBidi"/>
      <w:bCs/>
      <w:color w:val="277BB4" w:themeColor="text2"/>
      <w:spacing w:val="-10"/>
      <w:sz w:val="38"/>
      <w:szCs w:val="32"/>
    </w:rPr>
  </w:style>
  <w:style w:type="paragraph" w:styleId="Heading2">
    <w:name w:val="heading 2"/>
    <w:basedOn w:val="Normal"/>
    <w:next w:val="BodyText"/>
    <w:link w:val="Heading2Char"/>
    <w:qFormat/>
    <w:rsid w:val="006008FF"/>
    <w:pPr>
      <w:keepNext/>
      <w:keepLines/>
      <w:numPr>
        <w:ilvl w:val="1"/>
        <w:numId w:val="12"/>
      </w:numPr>
      <w:spacing w:before="360" w:after="200"/>
      <w:outlineLvl w:val="1"/>
    </w:pPr>
    <w:rPr>
      <w:rFonts w:asciiTheme="majorHAnsi" w:eastAsiaTheme="majorEastAsia" w:hAnsiTheme="majorHAnsi" w:cstheme="majorBidi"/>
      <w:b/>
      <w:bCs/>
      <w:color w:val="277BB4" w:themeColor="text2"/>
      <w:sz w:val="24"/>
      <w:szCs w:val="26"/>
    </w:rPr>
  </w:style>
  <w:style w:type="paragraph" w:styleId="Heading3">
    <w:name w:val="heading 3"/>
    <w:basedOn w:val="Normal"/>
    <w:next w:val="BodyText"/>
    <w:link w:val="Heading3Char"/>
    <w:unhideWhenUsed/>
    <w:qFormat/>
    <w:rsid w:val="00654CCE"/>
    <w:pPr>
      <w:keepNext/>
      <w:keepLines/>
      <w:numPr>
        <w:ilvl w:val="2"/>
        <w:numId w:val="12"/>
      </w:numPr>
      <w:spacing w:before="360" w:after="200"/>
      <w:outlineLvl w:val="2"/>
    </w:pPr>
    <w:rPr>
      <w:rFonts w:asciiTheme="majorHAnsi" w:eastAsiaTheme="majorEastAsia" w:hAnsiTheme="majorHAnsi" w:cstheme="majorBidi"/>
      <w:b/>
      <w:bCs/>
      <w:color w:val="auto"/>
      <w:sz w:val="22"/>
    </w:rPr>
  </w:style>
  <w:style w:type="paragraph" w:styleId="Heading4">
    <w:name w:val="heading 4"/>
    <w:basedOn w:val="Normal"/>
    <w:next w:val="BodyText"/>
    <w:link w:val="Heading4Char"/>
    <w:unhideWhenUsed/>
    <w:qFormat/>
    <w:rsid w:val="006008FF"/>
    <w:pPr>
      <w:keepNext/>
      <w:keepLines/>
      <w:numPr>
        <w:ilvl w:val="3"/>
        <w:numId w:val="12"/>
      </w:numPr>
      <w:spacing w:before="360" w:after="200"/>
      <w:outlineLvl w:val="3"/>
    </w:pPr>
    <w:rPr>
      <w:rFonts w:eastAsiaTheme="majorEastAsia" w:cstheme="majorBidi"/>
      <w:b/>
      <w:bCs/>
      <w:iCs/>
      <w:color w:val="auto"/>
    </w:rPr>
  </w:style>
  <w:style w:type="paragraph" w:styleId="Heading5">
    <w:name w:val="heading 5"/>
    <w:basedOn w:val="Normal"/>
    <w:next w:val="Normal"/>
    <w:link w:val="Heading5Char"/>
    <w:qFormat/>
    <w:rsid w:val="005C4F14"/>
    <w:pPr>
      <w:keepNext/>
      <w:keepLines/>
      <w:spacing w:before="240" w:after="60"/>
      <w:outlineLvl w:val="4"/>
    </w:pPr>
    <w:rPr>
      <w:rFonts w:asciiTheme="majorHAnsi" w:eastAsiaTheme="majorEastAsia" w:hAnsiTheme="majorHAnsi" w:cstheme="majorBidi"/>
      <w:b/>
    </w:rPr>
  </w:style>
  <w:style w:type="paragraph" w:styleId="Heading6">
    <w:name w:val="heading 6"/>
    <w:basedOn w:val="Normal"/>
    <w:next w:val="Normal"/>
    <w:link w:val="Heading6Char"/>
    <w:unhideWhenUsed/>
    <w:qFormat/>
    <w:rsid w:val="00F52A35"/>
    <w:pPr>
      <w:keepNext/>
      <w:keepLines/>
      <w:spacing w:before="200" w:line="276" w:lineRule="auto"/>
      <w:outlineLvl w:val="5"/>
    </w:pPr>
    <w:rPr>
      <w:rFonts w:asciiTheme="majorHAnsi" w:eastAsiaTheme="majorEastAsia" w:hAnsiTheme="majorHAnsi" w:cstheme="majorBidi"/>
      <w:i/>
      <w:iCs/>
      <w:lang w:eastAsia="en-US"/>
    </w:rPr>
  </w:style>
  <w:style w:type="paragraph" w:styleId="Heading7">
    <w:name w:val="heading 7"/>
    <w:basedOn w:val="Normal"/>
    <w:next w:val="BodyText"/>
    <w:link w:val="Heading7Char"/>
    <w:semiHidden/>
    <w:unhideWhenUsed/>
    <w:qFormat/>
    <w:rsid w:val="00DD7311"/>
    <w:pPr>
      <w:keepNext/>
      <w:keepLines/>
      <w:pageBreakBefore/>
      <w:spacing w:afterLines="100"/>
      <w:outlineLvl w:val="6"/>
    </w:pPr>
    <w:rPr>
      <w:rFonts w:asciiTheme="majorHAnsi" w:eastAsiaTheme="majorEastAsia" w:hAnsiTheme="majorHAnsi" w:cstheme="majorBidi"/>
      <w:b/>
      <w:iCs/>
    </w:rPr>
  </w:style>
  <w:style w:type="paragraph" w:styleId="Heading8">
    <w:name w:val="heading 8"/>
    <w:aliases w:val="Appendix Title"/>
    <w:basedOn w:val="Normal"/>
    <w:next w:val="BodyText"/>
    <w:link w:val="Heading8Char"/>
    <w:uiPriority w:val="3"/>
    <w:qFormat/>
    <w:rsid w:val="00120CB6"/>
    <w:pPr>
      <w:keepNext/>
      <w:keepLines/>
      <w:pageBreakBefore/>
      <w:numPr>
        <w:numId w:val="11"/>
      </w:numPr>
      <w:spacing w:after="400" w:line="240" w:lineRule="auto"/>
      <w:outlineLvl w:val="7"/>
    </w:pPr>
    <w:rPr>
      <w:rFonts w:asciiTheme="majorHAnsi" w:eastAsiaTheme="majorEastAsia" w:hAnsiTheme="majorHAnsi" w:cstheme="majorBidi"/>
      <w:color w:val="auto"/>
      <w:spacing w:val="-10"/>
      <w:sz w:val="38"/>
      <w:lang w:eastAsia="en-US"/>
    </w:rPr>
  </w:style>
  <w:style w:type="paragraph" w:styleId="Heading9">
    <w:name w:val="heading 9"/>
    <w:aliases w:val="Appendix Heading 1"/>
    <w:basedOn w:val="Normal"/>
    <w:next w:val="BodyText"/>
    <w:link w:val="Heading9Char"/>
    <w:uiPriority w:val="3"/>
    <w:qFormat/>
    <w:rsid w:val="00A50D7E"/>
    <w:pPr>
      <w:keepNext/>
      <w:keepLines/>
      <w:numPr>
        <w:ilvl w:val="1"/>
        <w:numId w:val="11"/>
      </w:numPr>
      <w:tabs>
        <w:tab w:val="left" w:pos="1559"/>
        <w:tab w:val="left" w:pos="2126"/>
        <w:tab w:val="left" w:pos="2410"/>
        <w:tab w:val="right" w:pos="9639"/>
      </w:tabs>
      <w:spacing w:before="360" w:after="200"/>
      <w:outlineLvl w:val="8"/>
    </w:pPr>
    <w:rPr>
      <w:rFonts w:asciiTheme="majorHAnsi" w:hAnsiTheme="majorHAnsi" w:cs="Arial"/>
      <w:b/>
      <w:color w:val="277BB4" w:themeColor="text2"/>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xInLineShape">
    <w:name w:val="xInLineShape"/>
    <w:basedOn w:val="BodyText"/>
    <w:next w:val="BodyText"/>
    <w:qFormat/>
    <w:rsid w:val="00F67A1A"/>
    <w:pPr>
      <w:keepNext/>
      <w:spacing w:before="120" w:after="0"/>
    </w:pPr>
  </w:style>
  <w:style w:type="paragraph" w:styleId="BodyText">
    <w:name w:val="Body Text"/>
    <w:basedOn w:val="Normal"/>
    <w:link w:val="BodyTextChar"/>
    <w:qFormat/>
    <w:rsid w:val="00CF1F74"/>
    <w:pPr>
      <w:tabs>
        <w:tab w:val="left" w:pos="2268"/>
        <w:tab w:val="left" w:pos="4536"/>
        <w:tab w:val="left" w:pos="6804"/>
        <w:tab w:val="right" w:pos="9638"/>
      </w:tabs>
      <w:spacing w:before="200" w:after="200"/>
    </w:pPr>
  </w:style>
  <w:style w:type="character" w:customStyle="1" w:styleId="BodyTextChar">
    <w:name w:val="Body Text Char"/>
    <w:basedOn w:val="DefaultParagraphFont"/>
    <w:link w:val="BodyText"/>
    <w:rsid w:val="00CF1F74"/>
  </w:style>
  <w:style w:type="paragraph" w:customStyle="1" w:styleId="PullOutBoxBodyText">
    <w:name w:val="Pull Out Box Body Text"/>
    <w:basedOn w:val="BodyText"/>
    <w:qFormat/>
    <w:rsid w:val="004807F0"/>
    <w:pPr>
      <w:spacing w:before="120" w:after="120"/>
      <w:ind w:left="284" w:right="284"/>
    </w:pPr>
  </w:style>
  <w:style w:type="paragraph" w:styleId="BlockText">
    <w:name w:val="Block Text"/>
    <w:basedOn w:val="BodyText"/>
    <w:semiHidden/>
    <w:unhideWhenUsed/>
    <w:rsid w:val="00EF3AA0"/>
    <w:rPr>
      <w:rFonts w:eastAsiaTheme="minorEastAsia" w:cstheme="minorBidi"/>
      <w:iCs/>
    </w:rPr>
  </w:style>
  <w:style w:type="paragraph" w:styleId="Caption">
    <w:name w:val="caption"/>
    <w:basedOn w:val="Normal"/>
    <w:next w:val="BodyText"/>
    <w:qFormat/>
    <w:rsid w:val="0070077A"/>
    <w:pPr>
      <w:keepNext/>
      <w:keepLines/>
      <w:tabs>
        <w:tab w:val="left" w:pos="1276"/>
      </w:tabs>
      <w:spacing w:before="240" w:after="90" w:line="240" w:lineRule="auto"/>
      <w:ind w:left="1276" w:hanging="1276"/>
    </w:pPr>
    <w:rPr>
      <w:rFonts w:asciiTheme="majorHAnsi" w:hAnsiTheme="majorHAnsi"/>
      <w:bCs/>
      <w:spacing w:val="4"/>
      <w:sz w:val="18"/>
    </w:rPr>
  </w:style>
  <w:style w:type="paragraph" w:styleId="BalloonText">
    <w:name w:val="Balloon Text"/>
    <w:basedOn w:val="Normal"/>
    <w:link w:val="BalloonTextChar"/>
    <w:uiPriority w:val="99"/>
    <w:semiHidden/>
    <w:unhideWhenUsed/>
    <w:rsid w:val="005542F9"/>
    <w:pPr>
      <w:spacing w:line="240" w:lineRule="auto"/>
    </w:pPr>
    <w:rPr>
      <w:rFonts w:ascii="Tahoma" w:hAnsi="Tahoma" w:cs="Tahoma"/>
      <w:sz w:val="16"/>
      <w:szCs w:val="16"/>
    </w:rPr>
  </w:style>
  <w:style w:type="paragraph" w:styleId="TOCHeading">
    <w:name w:val="TOC Heading"/>
    <w:basedOn w:val="Heading1"/>
    <w:next w:val="Normal"/>
    <w:uiPriority w:val="39"/>
    <w:unhideWhenUsed/>
    <w:qFormat/>
    <w:rsid w:val="00847B52"/>
    <w:pPr>
      <w:numPr>
        <w:numId w:val="0"/>
      </w:numPr>
      <w:outlineLvl w:val="9"/>
    </w:pPr>
    <w:rPr>
      <w:spacing w:val="0"/>
      <w:szCs w:val="28"/>
    </w:rPr>
  </w:style>
  <w:style w:type="character" w:customStyle="1" w:styleId="BalloonTextChar">
    <w:name w:val="Balloon Text Char"/>
    <w:basedOn w:val="DefaultParagraphFont"/>
    <w:link w:val="BalloonText"/>
    <w:uiPriority w:val="99"/>
    <w:semiHidden/>
    <w:rsid w:val="00475145"/>
    <w:rPr>
      <w:rFonts w:ascii="Tahoma" w:hAnsi="Tahoma" w:cs="Tahoma"/>
      <w:color w:val="000000" w:themeColor="text1"/>
      <w:sz w:val="16"/>
      <w:szCs w:val="16"/>
    </w:rPr>
  </w:style>
  <w:style w:type="paragraph" w:styleId="Footer">
    <w:name w:val="footer"/>
    <w:basedOn w:val="Normal"/>
    <w:link w:val="FooterChar"/>
    <w:uiPriority w:val="99"/>
    <w:rsid w:val="00F27994"/>
    <w:pPr>
      <w:tabs>
        <w:tab w:val="left" w:pos="1077"/>
        <w:tab w:val="center" w:pos="4320"/>
        <w:tab w:val="right" w:pos="8640"/>
      </w:tabs>
      <w:spacing w:line="240" w:lineRule="auto"/>
    </w:pPr>
    <w:rPr>
      <w:rFonts w:eastAsia="Cambria"/>
      <w:sz w:val="18"/>
      <w:lang w:eastAsia="en-US"/>
    </w:rPr>
  </w:style>
  <w:style w:type="character" w:customStyle="1" w:styleId="FooterChar">
    <w:name w:val="Footer Char"/>
    <w:basedOn w:val="DefaultParagraphFont"/>
    <w:link w:val="Footer"/>
    <w:uiPriority w:val="99"/>
    <w:rsid w:val="00F27994"/>
    <w:rPr>
      <w:rFonts w:eastAsia="Cambria"/>
      <w:sz w:val="18"/>
      <w:lang w:eastAsia="en-US"/>
    </w:rPr>
  </w:style>
  <w:style w:type="numbering" w:customStyle="1" w:styleId="HangingList">
    <w:name w:val="HangingList"/>
    <w:uiPriority w:val="99"/>
    <w:rsid w:val="00DD7311"/>
    <w:pPr>
      <w:numPr>
        <w:numId w:val="1"/>
      </w:numPr>
    </w:pPr>
  </w:style>
  <w:style w:type="paragraph" w:styleId="Header">
    <w:name w:val="header"/>
    <w:basedOn w:val="Normal"/>
    <w:link w:val="HeaderChar"/>
    <w:uiPriority w:val="99"/>
    <w:rsid w:val="007D7B46"/>
    <w:pPr>
      <w:tabs>
        <w:tab w:val="center" w:pos="4513"/>
        <w:tab w:val="right" w:pos="9026"/>
      </w:tabs>
      <w:spacing w:line="240" w:lineRule="auto"/>
    </w:pPr>
    <w:rPr>
      <w:sz w:val="18"/>
    </w:rPr>
  </w:style>
  <w:style w:type="character" w:customStyle="1" w:styleId="HeaderChar">
    <w:name w:val="Header Char"/>
    <w:basedOn w:val="DefaultParagraphFont"/>
    <w:link w:val="Header"/>
    <w:uiPriority w:val="99"/>
    <w:rsid w:val="007D7B46"/>
    <w:rPr>
      <w:sz w:val="18"/>
    </w:rPr>
  </w:style>
  <w:style w:type="paragraph" w:customStyle="1" w:styleId="AppendixHeading2">
    <w:name w:val="Appendix Heading 2"/>
    <w:basedOn w:val="Normal"/>
    <w:next w:val="BodyText"/>
    <w:uiPriority w:val="4"/>
    <w:qFormat/>
    <w:rsid w:val="006008FF"/>
    <w:pPr>
      <w:numPr>
        <w:ilvl w:val="2"/>
        <w:numId w:val="11"/>
      </w:numPr>
      <w:tabs>
        <w:tab w:val="left" w:pos="1559"/>
        <w:tab w:val="left" w:pos="2126"/>
        <w:tab w:val="left" w:pos="2410"/>
        <w:tab w:val="right" w:pos="9639"/>
      </w:tabs>
      <w:spacing w:before="360" w:after="200"/>
    </w:pPr>
    <w:rPr>
      <w:rFonts w:asciiTheme="majorHAnsi" w:hAnsiTheme="majorHAnsi"/>
      <w:b/>
      <w:color w:val="auto"/>
      <w:sz w:val="22"/>
    </w:rPr>
  </w:style>
  <w:style w:type="paragraph" w:customStyle="1" w:styleId="AppendixHeading3">
    <w:name w:val="Appendix Heading 3"/>
    <w:basedOn w:val="Normal"/>
    <w:next w:val="BodyText"/>
    <w:uiPriority w:val="4"/>
    <w:qFormat/>
    <w:rsid w:val="006008FF"/>
    <w:pPr>
      <w:numPr>
        <w:ilvl w:val="3"/>
        <w:numId w:val="11"/>
      </w:numPr>
      <w:tabs>
        <w:tab w:val="left" w:pos="1559"/>
        <w:tab w:val="left" w:pos="2126"/>
        <w:tab w:val="left" w:pos="2410"/>
        <w:tab w:val="left" w:pos="6804"/>
        <w:tab w:val="right" w:pos="9639"/>
      </w:tabs>
      <w:spacing w:before="360" w:after="200"/>
    </w:pPr>
    <w:rPr>
      <w:b/>
      <w:color w:val="auto"/>
      <w:lang w:eastAsia="en-US"/>
    </w:rPr>
  </w:style>
  <w:style w:type="paragraph" w:customStyle="1" w:styleId="FooterWithLine">
    <w:name w:val="Footer With Line"/>
    <w:basedOn w:val="Footer"/>
    <w:next w:val="Footer"/>
    <w:rsid w:val="007D62D8"/>
    <w:pPr>
      <w:pBdr>
        <w:bottom w:val="single" w:sz="4" w:space="1" w:color="auto"/>
      </w:pBdr>
      <w:spacing w:before="180" w:after="120" w:line="140" w:lineRule="exact"/>
    </w:pPr>
    <w:rPr>
      <w:rFonts w:ascii="Arial" w:hAnsi="Arial" w:cs="Arial"/>
      <w:color w:val="000000"/>
    </w:rPr>
  </w:style>
  <w:style w:type="character" w:customStyle="1" w:styleId="Heading1Char">
    <w:name w:val="Heading 1 Char"/>
    <w:basedOn w:val="DefaultParagraphFont"/>
    <w:link w:val="Heading1"/>
    <w:rsid w:val="00AD3E68"/>
    <w:rPr>
      <w:rFonts w:asciiTheme="majorHAnsi" w:eastAsiaTheme="majorEastAsia" w:hAnsiTheme="majorHAnsi" w:cstheme="majorBidi"/>
      <w:bCs/>
      <w:color w:val="277BB4" w:themeColor="text2"/>
      <w:spacing w:val="-10"/>
      <w:sz w:val="38"/>
      <w:szCs w:val="32"/>
    </w:rPr>
  </w:style>
  <w:style w:type="character" w:customStyle="1" w:styleId="Heading2Char">
    <w:name w:val="Heading 2 Char"/>
    <w:basedOn w:val="DefaultParagraphFont"/>
    <w:link w:val="Heading2"/>
    <w:rsid w:val="006008FF"/>
    <w:rPr>
      <w:rFonts w:asciiTheme="majorHAnsi" w:eastAsiaTheme="majorEastAsia" w:hAnsiTheme="majorHAnsi" w:cstheme="majorBidi"/>
      <w:b/>
      <w:bCs/>
      <w:color w:val="277BB4" w:themeColor="text2"/>
      <w:sz w:val="24"/>
      <w:szCs w:val="26"/>
    </w:rPr>
  </w:style>
  <w:style w:type="character" w:customStyle="1" w:styleId="Heading3Char">
    <w:name w:val="Heading 3 Char"/>
    <w:basedOn w:val="DefaultParagraphFont"/>
    <w:link w:val="Heading3"/>
    <w:rsid w:val="00654CCE"/>
    <w:rPr>
      <w:rFonts w:asciiTheme="majorHAnsi" w:eastAsiaTheme="majorEastAsia" w:hAnsiTheme="majorHAnsi" w:cstheme="majorBidi"/>
      <w:b/>
      <w:bCs/>
      <w:color w:val="auto"/>
      <w:sz w:val="22"/>
    </w:rPr>
  </w:style>
  <w:style w:type="character" w:customStyle="1" w:styleId="Heading4Char">
    <w:name w:val="Heading 4 Char"/>
    <w:basedOn w:val="DefaultParagraphFont"/>
    <w:link w:val="Heading4"/>
    <w:rsid w:val="006008FF"/>
    <w:rPr>
      <w:rFonts w:eastAsiaTheme="majorEastAsia" w:cstheme="majorBidi"/>
      <w:b/>
      <w:bCs/>
      <w:iCs/>
      <w:color w:val="auto"/>
    </w:rPr>
  </w:style>
  <w:style w:type="character" w:customStyle="1" w:styleId="Heading7Char">
    <w:name w:val="Heading 7 Char"/>
    <w:basedOn w:val="DefaultParagraphFont"/>
    <w:link w:val="Heading7"/>
    <w:semiHidden/>
    <w:rsid w:val="00DD7311"/>
    <w:rPr>
      <w:rFonts w:asciiTheme="majorHAnsi" w:eastAsiaTheme="majorEastAsia" w:hAnsiTheme="majorHAnsi" w:cstheme="majorBidi"/>
      <w:b/>
      <w:iCs/>
      <w:sz w:val="18"/>
      <w:szCs w:val="18"/>
    </w:rPr>
  </w:style>
  <w:style w:type="character" w:customStyle="1" w:styleId="Heading8Char">
    <w:name w:val="Heading 8 Char"/>
    <w:aliases w:val="Appendix Title Char"/>
    <w:basedOn w:val="DefaultParagraphFont"/>
    <w:link w:val="Heading8"/>
    <w:uiPriority w:val="3"/>
    <w:rsid w:val="00120CB6"/>
    <w:rPr>
      <w:rFonts w:asciiTheme="majorHAnsi" w:eastAsiaTheme="majorEastAsia" w:hAnsiTheme="majorHAnsi" w:cstheme="majorBidi"/>
      <w:color w:val="auto"/>
      <w:spacing w:val="-10"/>
      <w:sz w:val="38"/>
      <w:lang w:eastAsia="en-US"/>
    </w:rPr>
  </w:style>
  <w:style w:type="character" w:customStyle="1" w:styleId="Heading9Char">
    <w:name w:val="Heading 9 Char"/>
    <w:aliases w:val="Appendix Heading 1 Char"/>
    <w:basedOn w:val="DefaultParagraphFont"/>
    <w:link w:val="Heading9"/>
    <w:uiPriority w:val="3"/>
    <w:rsid w:val="00A50D7E"/>
    <w:rPr>
      <w:rFonts w:asciiTheme="majorHAnsi" w:hAnsiTheme="majorHAnsi" w:cs="Arial"/>
      <w:b/>
      <w:color w:val="277BB4" w:themeColor="text2"/>
      <w:sz w:val="28"/>
    </w:rPr>
  </w:style>
  <w:style w:type="numbering" w:customStyle="1" w:styleId="Headings">
    <w:name w:val="Headings"/>
    <w:uiPriority w:val="99"/>
    <w:rsid w:val="00DD7311"/>
    <w:pPr>
      <w:numPr>
        <w:numId w:val="2"/>
      </w:numPr>
    </w:pPr>
  </w:style>
  <w:style w:type="character" w:styleId="Hyperlink">
    <w:name w:val="Hyperlink"/>
    <w:basedOn w:val="DefaultParagraphFont"/>
    <w:uiPriority w:val="99"/>
    <w:unhideWhenUsed/>
    <w:rsid w:val="00DD7311"/>
    <w:rPr>
      <w:color w:val="000000" w:themeColor="hyperlink"/>
      <w:u w:val="single"/>
    </w:rPr>
  </w:style>
  <w:style w:type="character" w:styleId="FollowedHyperlink">
    <w:name w:val="FollowedHyperlink"/>
    <w:basedOn w:val="DefaultParagraphFont"/>
    <w:uiPriority w:val="99"/>
    <w:rsid w:val="004019F9"/>
    <w:rPr>
      <w:color w:val="000000" w:themeColor="text1"/>
      <w:u w:val="single"/>
    </w:rPr>
  </w:style>
  <w:style w:type="paragraph" w:styleId="ListBullet">
    <w:name w:val="List Bullet"/>
    <w:basedOn w:val="BodyText"/>
    <w:qFormat/>
    <w:rsid w:val="00B87F60"/>
    <w:pPr>
      <w:numPr>
        <w:numId w:val="13"/>
      </w:numPr>
      <w:tabs>
        <w:tab w:val="clear" w:pos="2268"/>
        <w:tab w:val="clear" w:pos="4536"/>
        <w:tab w:val="clear" w:pos="6804"/>
        <w:tab w:val="clear" w:pos="9638"/>
      </w:tabs>
      <w:spacing w:before="60" w:after="60"/>
    </w:pPr>
  </w:style>
  <w:style w:type="paragraph" w:styleId="ListBullet2">
    <w:name w:val="List Bullet 2"/>
    <w:basedOn w:val="ListBullet"/>
    <w:qFormat/>
    <w:rsid w:val="00B87F60"/>
    <w:pPr>
      <w:numPr>
        <w:ilvl w:val="1"/>
      </w:numPr>
    </w:pPr>
  </w:style>
  <w:style w:type="paragraph" w:styleId="ListBullet3">
    <w:name w:val="List Bullet 3"/>
    <w:basedOn w:val="ListBullet2"/>
    <w:qFormat/>
    <w:rsid w:val="00345F29"/>
    <w:pPr>
      <w:numPr>
        <w:ilvl w:val="2"/>
      </w:numPr>
    </w:pPr>
  </w:style>
  <w:style w:type="paragraph" w:styleId="ListContinue">
    <w:name w:val="List Continue"/>
    <w:basedOn w:val="Normal"/>
    <w:rsid w:val="00EE6483"/>
    <w:pPr>
      <w:spacing w:before="120" w:after="60"/>
      <w:ind w:left="397"/>
    </w:pPr>
  </w:style>
  <w:style w:type="paragraph" w:styleId="ListNumber">
    <w:name w:val="List Number"/>
    <w:basedOn w:val="BodyText"/>
    <w:qFormat/>
    <w:rsid w:val="00D02C00"/>
    <w:pPr>
      <w:numPr>
        <w:numId w:val="93"/>
      </w:numPr>
      <w:tabs>
        <w:tab w:val="clear" w:pos="2268"/>
        <w:tab w:val="clear" w:pos="4536"/>
        <w:tab w:val="clear" w:pos="6804"/>
        <w:tab w:val="clear" w:pos="9638"/>
      </w:tabs>
      <w:spacing w:before="120" w:after="120"/>
    </w:pPr>
  </w:style>
  <w:style w:type="paragraph" w:styleId="ListNumber2">
    <w:name w:val="List Number 2"/>
    <w:basedOn w:val="ListNumber"/>
    <w:qFormat/>
    <w:rsid w:val="00B87F60"/>
    <w:pPr>
      <w:numPr>
        <w:ilvl w:val="1"/>
      </w:numPr>
    </w:pPr>
  </w:style>
  <w:style w:type="paragraph" w:styleId="ListNumber3">
    <w:name w:val="List Number 3"/>
    <w:basedOn w:val="ListNumber2"/>
    <w:qFormat/>
    <w:rsid w:val="00A61A2B"/>
    <w:pPr>
      <w:numPr>
        <w:ilvl w:val="2"/>
      </w:numPr>
    </w:pPr>
  </w:style>
  <w:style w:type="numbering" w:customStyle="1" w:styleId="MyListNumbering">
    <w:name w:val="MyListNumbering"/>
    <w:uiPriority w:val="99"/>
    <w:rsid w:val="00DD7311"/>
    <w:pPr>
      <w:numPr>
        <w:numId w:val="4"/>
      </w:numPr>
    </w:pPr>
  </w:style>
  <w:style w:type="character" w:styleId="PlaceholderText">
    <w:name w:val="Placeholder Text"/>
    <w:basedOn w:val="DefaultParagraphFont"/>
    <w:uiPriority w:val="99"/>
    <w:semiHidden/>
    <w:rsid w:val="00DD7311"/>
    <w:rPr>
      <w:color w:val="808080"/>
    </w:rPr>
  </w:style>
  <w:style w:type="paragraph" w:customStyle="1" w:styleId="TableBodyText">
    <w:name w:val="Table Body Text"/>
    <w:basedOn w:val="Normal"/>
    <w:qFormat/>
    <w:rsid w:val="00314734"/>
    <w:pPr>
      <w:spacing w:before="40"/>
      <w:ind w:left="28" w:right="113"/>
    </w:pPr>
    <w:rPr>
      <w:sz w:val="18"/>
    </w:rPr>
  </w:style>
  <w:style w:type="paragraph" w:customStyle="1" w:styleId="Footnotes">
    <w:name w:val="Footnotes"/>
    <w:basedOn w:val="Normal"/>
    <w:qFormat/>
    <w:rsid w:val="00662E98"/>
    <w:pPr>
      <w:numPr>
        <w:ilvl w:val="1"/>
        <w:numId w:val="5"/>
      </w:numPr>
      <w:spacing w:before="40" w:after="280" w:line="180" w:lineRule="atLeast"/>
      <w:contextualSpacing/>
    </w:pPr>
    <w:rPr>
      <w:sz w:val="16"/>
    </w:rPr>
  </w:style>
  <w:style w:type="table" w:styleId="TableGrid">
    <w:name w:val="Table Grid"/>
    <w:basedOn w:val="TableNormal"/>
    <w:uiPriority w:val="59"/>
    <w:rsid w:val="003C34DF"/>
    <w:pPr>
      <w:ind w:left="28" w:right="113"/>
    </w:pPr>
    <w:rPr>
      <w:sz w:val="18"/>
    </w:rPr>
    <w:tblPr>
      <w:tblBorders>
        <w:top w:val="single" w:sz="4" w:space="0" w:color="277BB4" w:themeColor="text2"/>
        <w:bottom w:val="single" w:sz="4" w:space="0" w:color="277BB4" w:themeColor="text2"/>
        <w:insideH w:val="single" w:sz="4" w:space="0" w:color="277BB4" w:themeColor="text2"/>
      </w:tblBorders>
      <w:tblCellMar>
        <w:top w:w="57" w:type="dxa"/>
        <w:left w:w="0" w:type="dxa"/>
        <w:bottom w:w="28" w:type="dxa"/>
        <w:right w:w="0" w:type="dxa"/>
      </w:tblCellMar>
    </w:tblPr>
    <w:trPr>
      <w:cantSplit/>
    </w:trPr>
    <w:tblStylePr w:type="firstRow">
      <w:pPr>
        <w:keepNext/>
        <w:wordWrap/>
        <w:jc w:val="left"/>
      </w:pPr>
      <w:rPr>
        <w:b w:val="0"/>
        <w:color w:val="auto"/>
      </w:rPr>
      <w:tblPr/>
      <w:trPr>
        <w:cantSplit w:val="0"/>
        <w:tblHeader/>
      </w:trPr>
      <w:tcPr>
        <w:tcBorders>
          <w:top w:val="single" w:sz="4" w:space="0" w:color="277BB4" w:themeColor="text2"/>
          <w:left w:val="nil"/>
          <w:bottom w:val="single" w:sz="4" w:space="0" w:color="277BB4" w:themeColor="text2"/>
          <w:right w:val="nil"/>
          <w:insideH w:val="nil"/>
          <w:insideV w:val="nil"/>
          <w:tl2br w:val="nil"/>
          <w:tr2bl w:val="nil"/>
        </w:tcBorders>
        <w:vAlign w:val="bottom"/>
      </w:tcPr>
    </w:tblStylePr>
  </w:style>
  <w:style w:type="paragraph" w:customStyle="1" w:styleId="TableHeading">
    <w:name w:val="Table Heading"/>
    <w:basedOn w:val="TableBodyText"/>
    <w:qFormat/>
    <w:rsid w:val="00A34DDF"/>
    <w:rPr>
      <w:rFonts w:asciiTheme="majorHAnsi" w:hAnsiTheme="majorHAnsi"/>
      <w:b/>
      <w:color w:val="auto"/>
    </w:rPr>
  </w:style>
  <w:style w:type="paragraph" w:customStyle="1" w:styleId="TableListBullet">
    <w:name w:val="Table List Bullet"/>
    <w:basedOn w:val="TableBodyText"/>
    <w:qFormat/>
    <w:rsid w:val="00A34DDF"/>
    <w:pPr>
      <w:numPr>
        <w:numId w:val="6"/>
      </w:numPr>
    </w:pPr>
  </w:style>
  <w:style w:type="paragraph" w:customStyle="1" w:styleId="TableListBullet2">
    <w:name w:val="Table List Bullet 2"/>
    <w:basedOn w:val="TableListBullet"/>
    <w:qFormat/>
    <w:rsid w:val="008717E0"/>
    <w:pPr>
      <w:numPr>
        <w:ilvl w:val="1"/>
      </w:numPr>
    </w:pPr>
  </w:style>
  <w:style w:type="paragraph" w:customStyle="1" w:styleId="TableListBullet3">
    <w:name w:val="Table List Bullet 3"/>
    <w:basedOn w:val="TableListBullet2"/>
    <w:qFormat/>
    <w:rsid w:val="00DD7311"/>
    <w:pPr>
      <w:numPr>
        <w:ilvl w:val="2"/>
      </w:numPr>
    </w:pPr>
  </w:style>
  <w:style w:type="paragraph" w:customStyle="1" w:styleId="TableListNumber">
    <w:name w:val="Table List Number"/>
    <w:basedOn w:val="TableBodyText"/>
    <w:qFormat/>
    <w:rsid w:val="00A34DDF"/>
    <w:pPr>
      <w:numPr>
        <w:numId w:val="7"/>
      </w:numPr>
    </w:pPr>
  </w:style>
  <w:style w:type="paragraph" w:customStyle="1" w:styleId="TableListNumber2">
    <w:name w:val="Table List Number 2"/>
    <w:basedOn w:val="TableListNumber"/>
    <w:qFormat/>
    <w:rsid w:val="00202628"/>
    <w:pPr>
      <w:numPr>
        <w:ilvl w:val="1"/>
      </w:numPr>
    </w:pPr>
  </w:style>
  <w:style w:type="paragraph" w:customStyle="1" w:styleId="TableListNumber3">
    <w:name w:val="Table List Number 3"/>
    <w:basedOn w:val="TableListNumber2"/>
    <w:qFormat/>
    <w:rsid w:val="00202628"/>
    <w:pPr>
      <w:numPr>
        <w:ilvl w:val="2"/>
      </w:numPr>
    </w:pPr>
  </w:style>
  <w:style w:type="paragraph" w:styleId="TableofFigures">
    <w:name w:val="table of figures"/>
    <w:basedOn w:val="Normal"/>
    <w:next w:val="Normal"/>
    <w:uiPriority w:val="99"/>
    <w:rsid w:val="00284AA5"/>
    <w:pPr>
      <w:tabs>
        <w:tab w:val="left" w:pos="1134"/>
        <w:tab w:val="right" w:leader="dot" w:pos="9072"/>
      </w:tabs>
      <w:spacing w:before="90" w:after="90"/>
      <w:ind w:left="1134" w:right="851" w:hanging="1134"/>
    </w:pPr>
    <w:rPr>
      <w:noProof/>
    </w:rPr>
  </w:style>
  <w:style w:type="paragraph" w:customStyle="1" w:styleId="Source">
    <w:name w:val="Source"/>
    <w:basedOn w:val="Normal"/>
    <w:rsid w:val="00662E98"/>
    <w:pPr>
      <w:tabs>
        <w:tab w:val="left" w:pos="737"/>
      </w:tabs>
      <w:spacing w:before="40" w:after="280" w:line="240" w:lineRule="auto"/>
      <w:ind w:left="737" w:hanging="737"/>
    </w:pPr>
    <w:rPr>
      <w:sz w:val="16"/>
      <w:lang w:eastAsia="en-US"/>
    </w:rPr>
  </w:style>
  <w:style w:type="numbering" w:customStyle="1" w:styleId="TableBullets">
    <w:name w:val="TableBullets"/>
    <w:uiPriority w:val="99"/>
    <w:rsid w:val="00DD7311"/>
    <w:pPr>
      <w:numPr>
        <w:numId w:val="8"/>
      </w:numPr>
    </w:pPr>
  </w:style>
  <w:style w:type="numbering" w:customStyle="1" w:styleId="TableFootnotes">
    <w:name w:val="TableFootnotes"/>
    <w:uiPriority w:val="99"/>
    <w:rsid w:val="00DD7311"/>
    <w:pPr>
      <w:numPr>
        <w:numId w:val="9"/>
      </w:numPr>
    </w:pPr>
  </w:style>
  <w:style w:type="numbering" w:customStyle="1" w:styleId="TableNumbering">
    <w:name w:val="TableNumbering"/>
    <w:uiPriority w:val="99"/>
    <w:rsid w:val="00DD7311"/>
    <w:pPr>
      <w:numPr>
        <w:numId w:val="10"/>
      </w:numPr>
    </w:pPr>
  </w:style>
  <w:style w:type="paragraph" w:styleId="Title">
    <w:name w:val="Title"/>
    <w:basedOn w:val="Normal"/>
    <w:link w:val="TitleChar"/>
    <w:uiPriority w:val="99"/>
    <w:rsid w:val="00F155D7"/>
    <w:pPr>
      <w:spacing w:before="240" w:after="240" w:line="240" w:lineRule="auto"/>
      <w:ind w:right="2552"/>
      <w:contextualSpacing/>
      <w:outlineLvl w:val="0"/>
    </w:pPr>
    <w:rPr>
      <w:rFonts w:asciiTheme="majorHAnsi" w:eastAsiaTheme="minorEastAsia" w:hAnsiTheme="majorHAnsi"/>
      <w:b/>
      <w:color w:val="277BB4" w:themeColor="text2"/>
      <w:sz w:val="52"/>
      <w:szCs w:val="96"/>
    </w:rPr>
  </w:style>
  <w:style w:type="character" w:customStyle="1" w:styleId="TitleChar">
    <w:name w:val="Title Char"/>
    <w:basedOn w:val="DefaultParagraphFont"/>
    <w:link w:val="Title"/>
    <w:uiPriority w:val="99"/>
    <w:rsid w:val="00F155D7"/>
    <w:rPr>
      <w:rFonts w:asciiTheme="majorHAnsi" w:eastAsiaTheme="minorEastAsia" w:hAnsiTheme="majorHAnsi"/>
      <w:b/>
      <w:color w:val="277BB4" w:themeColor="text2"/>
      <w:sz w:val="52"/>
      <w:szCs w:val="96"/>
    </w:rPr>
  </w:style>
  <w:style w:type="paragraph" w:styleId="Subtitle">
    <w:name w:val="Subtitle"/>
    <w:basedOn w:val="Normal"/>
    <w:next w:val="Normal"/>
    <w:link w:val="SubtitleChar"/>
    <w:uiPriority w:val="11"/>
    <w:qFormat/>
    <w:rsid w:val="00F155D7"/>
    <w:pPr>
      <w:ind w:right="2551"/>
    </w:pPr>
    <w:rPr>
      <w:rFonts w:eastAsiaTheme="minorEastAsia"/>
      <w:sz w:val="44"/>
      <w:szCs w:val="60"/>
    </w:rPr>
  </w:style>
  <w:style w:type="paragraph" w:styleId="TOC1">
    <w:name w:val="toc 1"/>
    <w:basedOn w:val="Normal"/>
    <w:next w:val="Normal"/>
    <w:autoRedefine/>
    <w:uiPriority w:val="39"/>
    <w:rsid w:val="00A04B46"/>
    <w:pPr>
      <w:tabs>
        <w:tab w:val="left" w:pos="567"/>
        <w:tab w:val="right" w:leader="dot" w:pos="9072"/>
      </w:tabs>
      <w:spacing w:before="180" w:after="70"/>
      <w:ind w:left="454" w:right="851" w:hanging="454"/>
    </w:pPr>
    <w:rPr>
      <w:b/>
      <w:noProof/>
    </w:rPr>
  </w:style>
  <w:style w:type="paragraph" w:styleId="TOC2">
    <w:name w:val="toc 2"/>
    <w:basedOn w:val="Normal"/>
    <w:next w:val="Normal"/>
    <w:autoRedefine/>
    <w:uiPriority w:val="39"/>
    <w:rsid w:val="006E6DDD"/>
    <w:pPr>
      <w:tabs>
        <w:tab w:val="left" w:pos="1134"/>
        <w:tab w:val="right" w:leader="dot" w:pos="9072"/>
      </w:tabs>
      <w:spacing w:before="90" w:after="90"/>
      <w:ind w:left="1134" w:right="851" w:hanging="567"/>
    </w:pPr>
    <w:rPr>
      <w:noProof/>
    </w:rPr>
  </w:style>
  <w:style w:type="paragraph" w:styleId="TOC3">
    <w:name w:val="toc 3"/>
    <w:basedOn w:val="Normal"/>
    <w:next w:val="Normal"/>
    <w:autoRedefine/>
    <w:uiPriority w:val="39"/>
    <w:rsid w:val="006E6DDD"/>
    <w:pPr>
      <w:tabs>
        <w:tab w:val="left" w:pos="1985"/>
        <w:tab w:val="right" w:leader="dot" w:pos="9072"/>
      </w:tabs>
      <w:spacing w:before="90" w:after="90"/>
      <w:ind w:left="1985" w:right="851" w:hanging="851"/>
    </w:pPr>
    <w:rPr>
      <w:noProof/>
    </w:rPr>
  </w:style>
  <w:style w:type="paragraph" w:styleId="TOC4">
    <w:name w:val="toc 4"/>
    <w:basedOn w:val="Normal"/>
    <w:next w:val="Normal"/>
    <w:autoRedefine/>
    <w:uiPriority w:val="39"/>
    <w:rsid w:val="00101C2D"/>
    <w:pPr>
      <w:tabs>
        <w:tab w:val="left" w:pos="1134"/>
        <w:tab w:val="right" w:leader="dot" w:pos="9072"/>
      </w:tabs>
      <w:spacing w:before="90" w:after="90" w:line="360" w:lineRule="auto"/>
      <w:ind w:left="1985" w:right="851" w:hanging="851"/>
      <w:contextualSpacing/>
    </w:pPr>
    <w:rPr>
      <w:noProof/>
    </w:rPr>
  </w:style>
  <w:style w:type="paragraph" w:styleId="TOC5">
    <w:name w:val="toc 5"/>
    <w:basedOn w:val="Normal"/>
    <w:next w:val="Normal"/>
    <w:autoRedefine/>
    <w:uiPriority w:val="39"/>
    <w:rsid w:val="00824530"/>
    <w:pPr>
      <w:tabs>
        <w:tab w:val="left" w:pos="1276"/>
        <w:tab w:val="right" w:leader="dot" w:pos="9072"/>
      </w:tabs>
      <w:spacing w:before="180" w:after="70"/>
      <w:ind w:left="1276" w:hanging="1276"/>
    </w:pPr>
    <w:rPr>
      <w:b/>
      <w:noProof/>
    </w:rPr>
  </w:style>
  <w:style w:type="paragraph" w:styleId="TOC6">
    <w:name w:val="toc 6"/>
    <w:basedOn w:val="Normal"/>
    <w:next w:val="Normal"/>
    <w:autoRedefine/>
    <w:uiPriority w:val="39"/>
    <w:rsid w:val="00DD7311"/>
    <w:pPr>
      <w:spacing w:after="100"/>
      <w:ind w:left="900"/>
    </w:pPr>
  </w:style>
  <w:style w:type="paragraph" w:styleId="TOC7">
    <w:name w:val="toc 7"/>
    <w:basedOn w:val="Normal"/>
    <w:next w:val="Normal"/>
    <w:autoRedefine/>
    <w:semiHidden/>
    <w:rsid w:val="00DD7311"/>
    <w:pPr>
      <w:spacing w:after="100"/>
      <w:ind w:left="1080"/>
    </w:pPr>
  </w:style>
  <w:style w:type="paragraph" w:styleId="TOC8">
    <w:name w:val="toc 8"/>
    <w:basedOn w:val="Normal"/>
    <w:next w:val="Normal"/>
    <w:autoRedefine/>
    <w:uiPriority w:val="39"/>
    <w:rsid w:val="00DD7311"/>
    <w:pPr>
      <w:spacing w:after="100"/>
      <w:ind w:left="1260"/>
    </w:pPr>
  </w:style>
  <w:style w:type="paragraph" w:styleId="TOC9">
    <w:name w:val="toc 9"/>
    <w:basedOn w:val="Normal"/>
    <w:next w:val="Normal"/>
    <w:autoRedefine/>
    <w:uiPriority w:val="39"/>
    <w:rsid w:val="00DD7311"/>
    <w:pPr>
      <w:spacing w:after="100"/>
      <w:ind w:left="1440"/>
    </w:pPr>
  </w:style>
  <w:style w:type="paragraph" w:customStyle="1" w:styleId="xDocumentDetails">
    <w:name w:val="xDocument Details"/>
    <w:basedOn w:val="Normal"/>
    <w:semiHidden/>
    <w:qFormat/>
    <w:rsid w:val="00DD7311"/>
    <w:pPr>
      <w:framePr w:hSpace="181" w:vSpace="567" w:wrap="around" w:hAnchor="margin" w:yAlign="bottom"/>
      <w:tabs>
        <w:tab w:val="left" w:pos="2268"/>
      </w:tabs>
      <w:ind w:left="2268" w:hanging="2268"/>
      <w:suppressOverlap/>
    </w:pPr>
  </w:style>
  <w:style w:type="character" w:customStyle="1" w:styleId="SubtitleChar">
    <w:name w:val="Subtitle Char"/>
    <w:basedOn w:val="DefaultParagraphFont"/>
    <w:link w:val="Subtitle"/>
    <w:uiPriority w:val="11"/>
    <w:rsid w:val="00F155D7"/>
    <w:rPr>
      <w:rFonts w:eastAsiaTheme="minorEastAsia"/>
      <w:sz w:val="44"/>
      <w:szCs w:val="60"/>
    </w:rPr>
  </w:style>
  <w:style w:type="paragraph" w:styleId="ListContinue2">
    <w:name w:val="List Continue 2"/>
    <w:basedOn w:val="Normal"/>
    <w:rsid w:val="00EE6483"/>
    <w:pPr>
      <w:spacing w:before="120" w:after="60"/>
      <w:ind w:left="794"/>
    </w:pPr>
  </w:style>
  <w:style w:type="paragraph" w:styleId="ListContinue3">
    <w:name w:val="List Continue 3"/>
    <w:basedOn w:val="Normal"/>
    <w:rsid w:val="00EE6483"/>
    <w:pPr>
      <w:spacing w:before="120" w:after="60"/>
      <w:ind w:left="1191"/>
    </w:pPr>
  </w:style>
  <w:style w:type="paragraph" w:styleId="NoSpacing">
    <w:name w:val="No Spacing"/>
    <w:basedOn w:val="Normal"/>
    <w:next w:val="BodyText"/>
    <w:rsid w:val="004D457F"/>
  </w:style>
  <w:style w:type="paragraph" w:styleId="Date">
    <w:name w:val="Date"/>
    <w:basedOn w:val="Normal"/>
    <w:next w:val="Normal"/>
    <w:link w:val="DateChar"/>
    <w:semiHidden/>
    <w:rsid w:val="00AE5749"/>
    <w:pPr>
      <w:spacing w:before="360"/>
      <w:jc w:val="center"/>
    </w:pPr>
    <w:rPr>
      <w:sz w:val="32"/>
    </w:rPr>
  </w:style>
  <w:style w:type="character" w:customStyle="1" w:styleId="DateChar">
    <w:name w:val="Date Char"/>
    <w:basedOn w:val="DefaultParagraphFont"/>
    <w:link w:val="Date"/>
    <w:semiHidden/>
    <w:rsid w:val="000B59CB"/>
    <w:rPr>
      <w:color w:val="000000" w:themeColor="text1"/>
      <w:sz w:val="32"/>
      <w:szCs w:val="18"/>
    </w:rPr>
  </w:style>
  <w:style w:type="paragraph" w:customStyle="1" w:styleId="Subtitle2">
    <w:name w:val="Subtitle 2"/>
    <w:basedOn w:val="Normal"/>
    <w:qFormat/>
    <w:rsid w:val="00F155D7"/>
    <w:pPr>
      <w:spacing w:before="360" w:after="360"/>
      <w:ind w:right="2552"/>
    </w:pPr>
    <w:rPr>
      <w:rFonts w:eastAsiaTheme="minorEastAsia"/>
      <w:sz w:val="36"/>
      <w:szCs w:val="24"/>
    </w:rPr>
  </w:style>
  <w:style w:type="paragraph" w:customStyle="1" w:styleId="PullOutBoxBullet">
    <w:name w:val="Pull Out Box Bullet"/>
    <w:basedOn w:val="PullOutBoxBodyText"/>
    <w:qFormat/>
    <w:rsid w:val="004807F0"/>
    <w:pPr>
      <w:numPr>
        <w:numId w:val="16"/>
      </w:numPr>
    </w:pPr>
  </w:style>
  <w:style w:type="paragraph" w:customStyle="1" w:styleId="TableofFiguresHeading">
    <w:name w:val="Table of Figures Heading"/>
    <w:basedOn w:val="Normal"/>
    <w:rsid w:val="00316518"/>
    <w:pPr>
      <w:keepNext/>
      <w:keepLines/>
      <w:spacing w:before="240" w:after="240" w:line="240" w:lineRule="auto"/>
    </w:pPr>
    <w:rPr>
      <w:b/>
      <w:bCs/>
      <w:noProof/>
      <w:color w:val="277BB4" w:themeColor="text2"/>
      <w:sz w:val="24"/>
    </w:rPr>
  </w:style>
  <w:style w:type="paragraph" w:customStyle="1" w:styleId="FooterLeftText">
    <w:name w:val="Footer Left Text"/>
    <w:semiHidden/>
    <w:rsid w:val="00F27994"/>
    <w:pPr>
      <w:framePr w:hSpace="113" w:wrap="around" w:vAnchor="page" w:hAnchor="margin" w:yAlign="bottom"/>
    </w:pPr>
    <w:rPr>
      <w:color w:val="5B5652"/>
      <w:sz w:val="18"/>
      <w:szCs w:val="18"/>
    </w:rPr>
  </w:style>
  <w:style w:type="paragraph" w:customStyle="1" w:styleId="Address">
    <w:name w:val="Address"/>
    <w:basedOn w:val="Normal"/>
    <w:semiHidden/>
    <w:rsid w:val="00C6084A"/>
    <w:pPr>
      <w:framePr w:hSpace="181" w:wrap="around" w:vAnchor="page" w:hAnchor="page" w:xAlign="right" w:yAlign="bottom"/>
      <w:tabs>
        <w:tab w:val="left" w:pos="227"/>
      </w:tabs>
      <w:suppressOverlap/>
    </w:pPr>
    <w:rPr>
      <w:noProof/>
      <w:color w:val="FFFFFF"/>
    </w:rPr>
  </w:style>
  <w:style w:type="character" w:customStyle="1" w:styleId="Heading5Char">
    <w:name w:val="Heading 5 Char"/>
    <w:basedOn w:val="DefaultParagraphFont"/>
    <w:link w:val="Heading5"/>
    <w:rsid w:val="005C4F14"/>
    <w:rPr>
      <w:rFonts w:asciiTheme="majorHAnsi" w:eastAsiaTheme="majorEastAsia" w:hAnsiTheme="majorHAnsi" w:cstheme="majorBidi"/>
      <w:b/>
    </w:rPr>
  </w:style>
  <w:style w:type="character" w:customStyle="1" w:styleId="Heading6Char">
    <w:name w:val="Heading 6 Char"/>
    <w:basedOn w:val="DefaultParagraphFont"/>
    <w:link w:val="Heading6"/>
    <w:rsid w:val="00F52A35"/>
    <w:rPr>
      <w:rFonts w:asciiTheme="majorHAnsi" w:eastAsiaTheme="majorEastAsia" w:hAnsiTheme="majorHAnsi" w:cstheme="majorBidi"/>
      <w:i/>
      <w:iCs/>
      <w:szCs w:val="22"/>
      <w:lang w:eastAsia="en-US"/>
    </w:rPr>
  </w:style>
  <w:style w:type="paragraph" w:styleId="ListParagraph">
    <w:name w:val="List Paragraph"/>
    <w:aliases w:val="Bullet 1"/>
    <w:basedOn w:val="Normal"/>
    <w:link w:val="ListParagraphChar"/>
    <w:uiPriority w:val="34"/>
    <w:qFormat/>
    <w:rsid w:val="00C778F0"/>
    <w:pPr>
      <w:spacing w:before="120" w:after="120"/>
      <w:ind w:left="720"/>
    </w:pPr>
    <w:rPr>
      <w:rFonts w:eastAsia="Calibri"/>
      <w:lang w:eastAsia="en-US"/>
    </w:rPr>
  </w:style>
  <w:style w:type="paragraph" w:styleId="Revision">
    <w:name w:val="Revision"/>
    <w:hidden/>
    <w:uiPriority w:val="99"/>
    <w:semiHidden/>
    <w:rsid w:val="009E7348"/>
    <w:pPr>
      <w:spacing w:line="240" w:lineRule="auto"/>
    </w:pPr>
    <w:rPr>
      <w:rFonts w:ascii="Calibri" w:eastAsia="Calibri" w:hAnsi="Calibri"/>
      <w:lang w:eastAsia="en-US"/>
    </w:rPr>
  </w:style>
  <w:style w:type="paragraph" w:customStyle="1" w:styleId="BoldHeading">
    <w:name w:val="Bold Heading"/>
    <w:basedOn w:val="BodyText"/>
    <w:next w:val="BodyText"/>
    <w:qFormat/>
    <w:rsid w:val="009E1572"/>
    <w:pPr>
      <w:keepNext/>
      <w:spacing w:before="360"/>
    </w:pPr>
    <w:rPr>
      <w:rFonts w:asciiTheme="majorHAnsi" w:hAnsiTheme="majorHAnsi"/>
      <w:b/>
      <w:color w:val="auto"/>
    </w:rPr>
  </w:style>
  <w:style w:type="paragraph" w:styleId="FootnoteText">
    <w:name w:val="footnote text"/>
    <w:aliases w:val="fn,FT,ft,SD Footnote Text,Footnote Text AG,(NECG) Footnote Text,Char Char,Char Char Char,Char Char1,Char Char Char2,AR Footnote Text,ALTS FOOTNOTE,ALTS FOOTNOTE Char,Footnote Text Char1 Char,Footnote Text Char Char Char,fn Char Char Char"/>
    <w:basedOn w:val="Normal"/>
    <w:link w:val="FootnoteTextChar"/>
    <w:uiPriority w:val="99"/>
    <w:qFormat/>
    <w:rsid w:val="00262A91"/>
    <w:pPr>
      <w:spacing w:line="240" w:lineRule="auto"/>
    </w:pPr>
    <w:rPr>
      <w:sz w:val="16"/>
    </w:rPr>
  </w:style>
  <w:style w:type="character" w:customStyle="1" w:styleId="FootnoteTextChar">
    <w:name w:val="Footnote Text Char"/>
    <w:aliases w:val="fn Char,FT Char,ft Char,SD Footnote Text Char,Footnote Text AG Char,(NECG) Footnote Text Char,Char Char Char1,Char Char Char Char,Char Char1 Char,Char Char Char2 Char,AR Footnote Text Char,ALTS FOOTNOTE Char1,ALTS FOOTNOTE Char Char"/>
    <w:basedOn w:val="DefaultParagraphFont"/>
    <w:link w:val="FootnoteText"/>
    <w:uiPriority w:val="99"/>
    <w:rsid w:val="00262A91"/>
    <w:rPr>
      <w:sz w:val="16"/>
    </w:rPr>
  </w:style>
  <w:style w:type="character" w:styleId="FootnoteReference">
    <w:name w:val="footnote reference"/>
    <w:aliases w:val="fr,(NECG) Footnote Reference"/>
    <w:basedOn w:val="DefaultParagraphFont"/>
    <w:uiPriority w:val="99"/>
    <w:rsid w:val="00617C92"/>
    <w:rPr>
      <w:vertAlign w:val="superscript"/>
    </w:rPr>
  </w:style>
  <w:style w:type="paragraph" w:customStyle="1" w:styleId="TableBodyTextBold">
    <w:name w:val="Table Body Text Bold"/>
    <w:basedOn w:val="TableBodyText"/>
    <w:qFormat/>
    <w:rsid w:val="00B752AC"/>
    <w:rPr>
      <w:rFonts w:asciiTheme="majorHAnsi" w:hAnsiTheme="majorHAnsi"/>
      <w:b/>
    </w:rPr>
  </w:style>
  <w:style w:type="paragraph" w:customStyle="1" w:styleId="PullOutBoxHeading">
    <w:name w:val="Pull Out Box Heading"/>
    <w:basedOn w:val="PullOutBoxBodyText"/>
    <w:next w:val="PullOutBoxBodyText"/>
    <w:qFormat/>
    <w:rsid w:val="004807F0"/>
    <w:rPr>
      <w:rFonts w:asciiTheme="majorHAnsi" w:hAnsiTheme="majorHAnsi"/>
      <w:b/>
    </w:rPr>
  </w:style>
  <w:style w:type="paragraph" w:customStyle="1" w:styleId="FigureSource">
    <w:name w:val="Figure Source"/>
    <w:basedOn w:val="Source"/>
    <w:next w:val="BodyText"/>
    <w:rsid w:val="00F67A1A"/>
    <w:pPr>
      <w:spacing w:after="120"/>
    </w:pPr>
  </w:style>
  <w:style w:type="table" w:styleId="LightGrid-Accent6">
    <w:name w:val="Light Grid Accent 6"/>
    <w:basedOn w:val="TableNormal"/>
    <w:uiPriority w:val="62"/>
    <w:rsid w:val="0095594E"/>
    <w:pPr>
      <w:spacing w:line="240" w:lineRule="auto"/>
    </w:pPr>
    <w:tblPr>
      <w:tblStyleRowBandSize w:val="1"/>
      <w:tblStyleColBandSize w:val="1"/>
      <w:tblBorders>
        <w:top w:val="single" w:sz="8" w:space="0" w:color="878686" w:themeColor="accent6"/>
        <w:left w:val="single" w:sz="8" w:space="0" w:color="878686" w:themeColor="accent6"/>
        <w:bottom w:val="single" w:sz="8" w:space="0" w:color="878686" w:themeColor="accent6"/>
        <w:right w:val="single" w:sz="8" w:space="0" w:color="878686" w:themeColor="accent6"/>
        <w:insideH w:val="single" w:sz="8" w:space="0" w:color="878686" w:themeColor="accent6"/>
        <w:insideV w:val="single" w:sz="8" w:space="0" w:color="87868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78686" w:themeColor="accent6"/>
          <w:left w:val="single" w:sz="8" w:space="0" w:color="878686" w:themeColor="accent6"/>
          <w:bottom w:val="single" w:sz="18" w:space="0" w:color="878686" w:themeColor="accent6"/>
          <w:right w:val="single" w:sz="8" w:space="0" w:color="878686" w:themeColor="accent6"/>
          <w:insideH w:val="nil"/>
          <w:insideV w:val="single" w:sz="8" w:space="0" w:color="87868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78686" w:themeColor="accent6"/>
          <w:left w:val="single" w:sz="8" w:space="0" w:color="878686" w:themeColor="accent6"/>
          <w:bottom w:val="single" w:sz="8" w:space="0" w:color="878686" w:themeColor="accent6"/>
          <w:right w:val="single" w:sz="8" w:space="0" w:color="878686" w:themeColor="accent6"/>
          <w:insideH w:val="nil"/>
          <w:insideV w:val="single" w:sz="8" w:space="0" w:color="87868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78686" w:themeColor="accent6"/>
          <w:left w:val="single" w:sz="8" w:space="0" w:color="878686" w:themeColor="accent6"/>
          <w:bottom w:val="single" w:sz="8" w:space="0" w:color="878686" w:themeColor="accent6"/>
          <w:right w:val="single" w:sz="8" w:space="0" w:color="878686" w:themeColor="accent6"/>
        </w:tcBorders>
      </w:tcPr>
    </w:tblStylePr>
    <w:tblStylePr w:type="band1Vert">
      <w:tblPr/>
      <w:tcPr>
        <w:tcBorders>
          <w:top w:val="single" w:sz="8" w:space="0" w:color="878686" w:themeColor="accent6"/>
          <w:left w:val="single" w:sz="8" w:space="0" w:color="878686" w:themeColor="accent6"/>
          <w:bottom w:val="single" w:sz="8" w:space="0" w:color="878686" w:themeColor="accent6"/>
          <w:right w:val="single" w:sz="8" w:space="0" w:color="878686" w:themeColor="accent6"/>
        </w:tcBorders>
        <w:shd w:val="clear" w:color="auto" w:fill="E1E1E1" w:themeFill="accent6" w:themeFillTint="3F"/>
      </w:tcPr>
    </w:tblStylePr>
    <w:tblStylePr w:type="band1Horz">
      <w:tblPr/>
      <w:tcPr>
        <w:tcBorders>
          <w:top w:val="single" w:sz="8" w:space="0" w:color="878686" w:themeColor="accent6"/>
          <w:left w:val="single" w:sz="8" w:space="0" w:color="878686" w:themeColor="accent6"/>
          <w:bottom w:val="single" w:sz="8" w:space="0" w:color="878686" w:themeColor="accent6"/>
          <w:right w:val="single" w:sz="8" w:space="0" w:color="878686" w:themeColor="accent6"/>
          <w:insideV w:val="single" w:sz="8" w:space="0" w:color="878686" w:themeColor="accent6"/>
        </w:tcBorders>
        <w:shd w:val="clear" w:color="auto" w:fill="E1E1E1" w:themeFill="accent6" w:themeFillTint="3F"/>
      </w:tcPr>
    </w:tblStylePr>
    <w:tblStylePr w:type="band2Horz">
      <w:tblPr/>
      <w:tcPr>
        <w:tcBorders>
          <w:top w:val="single" w:sz="8" w:space="0" w:color="878686" w:themeColor="accent6"/>
          <w:left w:val="single" w:sz="8" w:space="0" w:color="878686" w:themeColor="accent6"/>
          <w:bottom w:val="single" w:sz="8" w:space="0" w:color="878686" w:themeColor="accent6"/>
          <w:right w:val="single" w:sz="8" w:space="0" w:color="878686" w:themeColor="accent6"/>
          <w:insideV w:val="single" w:sz="8" w:space="0" w:color="878686" w:themeColor="accent6"/>
        </w:tcBorders>
      </w:tcPr>
    </w:tblStylePr>
  </w:style>
  <w:style w:type="character" w:customStyle="1" w:styleId="Bold">
    <w:name w:val="Bold"/>
    <w:rsid w:val="000946E4"/>
    <w:rPr>
      <w:b/>
    </w:rPr>
  </w:style>
  <w:style w:type="paragraph" w:styleId="NormalWeb">
    <w:name w:val="Normal (Web)"/>
    <w:basedOn w:val="Normal"/>
    <w:uiPriority w:val="99"/>
    <w:unhideWhenUsed/>
    <w:rsid w:val="00B93EA8"/>
    <w:pPr>
      <w:spacing w:before="100" w:beforeAutospacing="1" w:after="100" w:afterAutospacing="1" w:line="240" w:lineRule="auto"/>
    </w:pPr>
    <w:rPr>
      <w:rFonts w:eastAsiaTheme="minorEastAsia"/>
      <w:szCs w:val="24"/>
    </w:rPr>
  </w:style>
  <w:style w:type="paragraph" w:customStyle="1" w:styleId="StyleSourceAfter6pt">
    <w:name w:val="Style Source + After:  6 pt"/>
    <w:basedOn w:val="Source"/>
    <w:rsid w:val="00335083"/>
    <w:pPr>
      <w:spacing w:after="120"/>
      <w:ind w:left="567" w:hanging="567"/>
    </w:pPr>
  </w:style>
  <w:style w:type="character" w:customStyle="1" w:styleId="MySuperscriptItalics">
    <w:name w:val="MySuperscript&amp;Italics"/>
    <w:semiHidden/>
    <w:rsid w:val="00BF5582"/>
    <w:rPr>
      <w:b w:val="0"/>
      <w:i/>
      <w:vertAlign w:val="superscript"/>
    </w:rPr>
  </w:style>
  <w:style w:type="character" w:customStyle="1" w:styleId="MySubscriptItalics">
    <w:name w:val="MySubscript&amp;Italics"/>
    <w:semiHidden/>
    <w:rsid w:val="00BF5582"/>
    <w:rPr>
      <w:b w:val="0"/>
      <w:i/>
      <w:vertAlign w:val="subscript"/>
    </w:rPr>
  </w:style>
  <w:style w:type="character" w:customStyle="1" w:styleId="MySuperscript">
    <w:name w:val="MySuperscript"/>
    <w:semiHidden/>
    <w:rsid w:val="00BF5582"/>
    <w:rPr>
      <w:b w:val="0"/>
      <w:i w:val="0"/>
      <w:vertAlign w:val="superscript"/>
    </w:rPr>
  </w:style>
  <w:style w:type="character" w:customStyle="1" w:styleId="MySubscript">
    <w:name w:val="MySubscript"/>
    <w:semiHidden/>
    <w:rsid w:val="00BF5582"/>
    <w:rPr>
      <w:b w:val="0"/>
      <w:i w:val="0"/>
      <w:vertAlign w:val="subscript"/>
    </w:rPr>
  </w:style>
  <w:style w:type="character" w:customStyle="1" w:styleId="BoldAndItalics">
    <w:name w:val="Bold And Italics"/>
    <w:rsid w:val="00BF5582"/>
    <w:rPr>
      <w:b/>
      <w:i/>
      <w:vertAlign w:val="baseline"/>
    </w:rPr>
  </w:style>
  <w:style w:type="character" w:customStyle="1" w:styleId="Italics">
    <w:name w:val="Italics"/>
    <w:rsid w:val="00BF5582"/>
    <w:rPr>
      <w:b w:val="0"/>
      <w:i/>
      <w:vertAlign w:val="baseline"/>
    </w:rPr>
  </w:style>
  <w:style w:type="table" w:customStyle="1" w:styleId="PullOutBox">
    <w:name w:val="Pull Out Box"/>
    <w:basedOn w:val="TableNormal"/>
    <w:uiPriority w:val="99"/>
    <w:rsid w:val="003C34DF"/>
    <w:pPr>
      <w:spacing w:line="240" w:lineRule="auto"/>
    </w:pPr>
    <w:tblPr>
      <w:tblBorders>
        <w:top w:val="single" w:sz="4" w:space="0" w:color="277BB4" w:themeColor="text2"/>
        <w:left w:val="single" w:sz="4" w:space="0" w:color="277BB4" w:themeColor="text2"/>
        <w:bottom w:val="single" w:sz="4" w:space="0" w:color="277BB4" w:themeColor="text2"/>
        <w:right w:val="single" w:sz="4" w:space="0" w:color="277BB4" w:themeColor="text2"/>
      </w:tblBorders>
      <w:tblCellMar>
        <w:top w:w="113" w:type="dxa"/>
        <w:left w:w="0" w:type="dxa"/>
        <w:bottom w:w="113" w:type="dxa"/>
        <w:right w:w="0" w:type="dxa"/>
      </w:tblCellMar>
    </w:tblPr>
    <w:tcPr>
      <w:shd w:val="clear" w:color="auto" w:fill="auto"/>
    </w:tcPr>
  </w:style>
  <w:style w:type="paragraph" w:customStyle="1" w:styleId="PullOutBoxBullet2">
    <w:name w:val="Pull Out Box Bullet 2"/>
    <w:basedOn w:val="Normal"/>
    <w:rsid w:val="004807F0"/>
    <w:pPr>
      <w:numPr>
        <w:ilvl w:val="1"/>
        <w:numId w:val="16"/>
      </w:numPr>
    </w:pPr>
  </w:style>
  <w:style w:type="paragraph" w:customStyle="1" w:styleId="TableBodyTextRight">
    <w:name w:val="Table Body Text Right"/>
    <w:basedOn w:val="TableBodyText"/>
    <w:qFormat/>
    <w:rsid w:val="00A34DDF"/>
    <w:pPr>
      <w:jc w:val="right"/>
    </w:pPr>
  </w:style>
  <w:style w:type="table" w:customStyle="1" w:styleId="TableAMinimalLines">
    <w:name w:val="Table A Minimal Lines"/>
    <w:basedOn w:val="TableNormal"/>
    <w:uiPriority w:val="99"/>
    <w:rsid w:val="003C34DF"/>
    <w:pPr>
      <w:ind w:left="28" w:right="113"/>
    </w:pPr>
    <w:rPr>
      <w:sz w:val="18"/>
    </w:rPr>
    <w:tblPr>
      <w:tblBorders>
        <w:top w:val="single" w:sz="4" w:space="0" w:color="277BB4" w:themeColor="text2"/>
        <w:bottom w:val="single" w:sz="4" w:space="0" w:color="277BB4" w:themeColor="text2"/>
      </w:tblBorders>
      <w:tblCellMar>
        <w:top w:w="57" w:type="dxa"/>
        <w:left w:w="0" w:type="dxa"/>
        <w:bottom w:w="28" w:type="dxa"/>
        <w:right w:w="0" w:type="dxa"/>
      </w:tblCellMar>
    </w:tblPr>
    <w:trPr>
      <w:cantSplit/>
    </w:trPr>
    <w:tblStylePr w:type="firstRow">
      <w:pPr>
        <w:keepNext/>
        <w:wordWrap/>
        <w:jc w:val="left"/>
      </w:pPr>
      <w:rPr>
        <w:b w:val="0"/>
        <w:color w:val="auto"/>
      </w:rPr>
      <w:tblPr/>
      <w:trPr>
        <w:cantSplit w:val="0"/>
        <w:tblHeader/>
      </w:trPr>
      <w:tcPr>
        <w:tcBorders>
          <w:top w:val="single" w:sz="4" w:space="0" w:color="277BB4" w:themeColor="text2"/>
          <w:left w:val="nil"/>
          <w:bottom w:val="single" w:sz="4" w:space="0" w:color="277BB4" w:themeColor="text2"/>
          <w:right w:val="nil"/>
          <w:insideH w:val="nil"/>
          <w:insideV w:val="nil"/>
          <w:tl2br w:val="nil"/>
          <w:tr2bl w:val="nil"/>
        </w:tcBorders>
        <w:vAlign w:val="bottom"/>
      </w:tcPr>
    </w:tblStylePr>
    <w:tblStylePr w:type="firstCol">
      <w:pPr>
        <w:jc w:val="left"/>
      </w:pPr>
    </w:tblStylePr>
    <w:tblStylePr w:type="nwCell">
      <w:pPr>
        <w:jc w:val="left"/>
      </w:pPr>
      <w:tblPr/>
      <w:tcPr>
        <w:vAlign w:val="center"/>
      </w:tcPr>
    </w:tblStylePr>
  </w:style>
  <w:style w:type="table" w:styleId="Table3Deffects1">
    <w:name w:val="Table 3D effects 1"/>
    <w:basedOn w:val="TableNormal"/>
    <w:rsid w:val="00037589"/>
    <w:rPr>
      <w:color w:val="auto"/>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character" w:customStyle="1" w:styleId="MyBoldItalicsUnderline">
    <w:name w:val="MyBoldItalicsUnderline"/>
    <w:semiHidden/>
    <w:rsid w:val="00B3393F"/>
    <w:rPr>
      <w:b/>
      <w:i/>
      <w:u w:val="single"/>
      <w:vertAlign w:val="baseline"/>
    </w:rPr>
  </w:style>
  <w:style w:type="character" w:customStyle="1" w:styleId="MyBoldUnderline">
    <w:name w:val="MyBoldUnderline"/>
    <w:semiHidden/>
    <w:rsid w:val="00B3393F"/>
    <w:rPr>
      <w:b/>
      <w:i/>
      <w:u w:val="single"/>
      <w:vertAlign w:val="baseline"/>
    </w:rPr>
  </w:style>
  <w:style w:type="character" w:customStyle="1" w:styleId="MyItalicsUnderline">
    <w:name w:val="MyItalicsUnderline"/>
    <w:semiHidden/>
    <w:rsid w:val="00B3393F"/>
    <w:rPr>
      <w:b/>
      <w:i/>
      <w:u w:val="single"/>
      <w:vertAlign w:val="baseline"/>
    </w:rPr>
  </w:style>
  <w:style w:type="character" w:customStyle="1" w:styleId="MyUnderline">
    <w:name w:val="MyUnderline"/>
    <w:semiHidden/>
    <w:rsid w:val="00B3393F"/>
    <w:rPr>
      <w:b w:val="0"/>
      <w:i w:val="0"/>
      <w:u w:val="single"/>
      <w:vertAlign w:val="baseline"/>
    </w:rPr>
  </w:style>
  <w:style w:type="paragraph" w:customStyle="1" w:styleId="ReferenceText">
    <w:name w:val="Reference Text"/>
    <w:basedOn w:val="BodyText"/>
    <w:qFormat/>
    <w:rsid w:val="00F25E60"/>
    <w:pPr>
      <w:spacing w:before="120" w:after="120"/>
      <w:ind w:left="425" w:hanging="425"/>
    </w:pPr>
  </w:style>
  <w:style w:type="paragraph" w:customStyle="1" w:styleId="BodyTextSmall">
    <w:name w:val="Body Text Small"/>
    <w:basedOn w:val="Normal"/>
    <w:qFormat/>
    <w:rsid w:val="00F25E60"/>
    <w:pPr>
      <w:spacing w:before="120" w:after="120"/>
    </w:pPr>
    <w:rPr>
      <w:sz w:val="18"/>
    </w:rPr>
  </w:style>
  <w:style w:type="paragraph" w:customStyle="1" w:styleId="PullOutBoxBullet3">
    <w:name w:val="Pull Out Box Bullet 3"/>
    <w:basedOn w:val="BodyText"/>
    <w:rsid w:val="004807F0"/>
    <w:pPr>
      <w:numPr>
        <w:ilvl w:val="2"/>
        <w:numId w:val="16"/>
      </w:numPr>
      <w:spacing w:before="120" w:after="120" w:line="240" w:lineRule="auto"/>
    </w:pPr>
  </w:style>
  <w:style w:type="paragraph" w:customStyle="1" w:styleId="PullOutBoxNumber">
    <w:name w:val="Pull Out Box Number"/>
    <w:basedOn w:val="PullOutBoxBodyText"/>
    <w:qFormat/>
    <w:rsid w:val="004807F0"/>
    <w:pPr>
      <w:numPr>
        <w:numId w:val="17"/>
      </w:numPr>
      <w:spacing w:line="240" w:lineRule="auto"/>
    </w:pPr>
  </w:style>
  <w:style w:type="paragraph" w:customStyle="1" w:styleId="PullOutBoxNumber2">
    <w:name w:val="Pull Out Box Number 2"/>
    <w:basedOn w:val="PullOutBoxBodyText"/>
    <w:qFormat/>
    <w:rsid w:val="004807F0"/>
    <w:pPr>
      <w:numPr>
        <w:ilvl w:val="1"/>
        <w:numId w:val="17"/>
      </w:numPr>
    </w:pPr>
  </w:style>
  <w:style w:type="paragraph" w:customStyle="1" w:styleId="PullOutBoxNumber3">
    <w:name w:val="Pull Out Box Number 3"/>
    <w:basedOn w:val="PullOutBoxBodyText"/>
    <w:qFormat/>
    <w:rsid w:val="004807F0"/>
    <w:pPr>
      <w:numPr>
        <w:ilvl w:val="2"/>
        <w:numId w:val="17"/>
      </w:numPr>
      <w:spacing w:line="240" w:lineRule="auto"/>
    </w:pPr>
  </w:style>
  <w:style w:type="numbering" w:customStyle="1" w:styleId="PullOutBoxNumbering">
    <w:name w:val="Pull Out Box Numbering"/>
    <w:uiPriority w:val="99"/>
    <w:rsid w:val="004807F0"/>
    <w:pPr>
      <w:numPr>
        <w:numId w:val="14"/>
      </w:numPr>
    </w:pPr>
  </w:style>
  <w:style w:type="paragraph" w:customStyle="1" w:styleId="PhotoCredit">
    <w:name w:val="Photo Credit"/>
    <w:basedOn w:val="BodyText"/>
    <w:qFormat/>
    <w:rsid w:val="00662E98"/>
    <w:pPr>
      <w:spacing w:before="40" w:after="280" w:line="180" w:lineRule="atLeast"/>
    </w:pPr>
    <w:rPr>
      <w:i/>
      <w:sz w:val="16"/>
    </w:rPr>
  </w:style>
  <w:style w:type="paragraph" w:customStyle="1" w:styleId="BodyTextBold">
    <w:name w:val="Body Text Bold"/>
    <w:basedOn w:val="BodyText"/>
    <w:qFormat/>
    <w:rsid w:val="003667EB"/>
    <w:rPr>
      <w:b/>
    </w:rPr>
  </w:style>
  <w:style w:type="paragraph" w:customStyle="1" w:styleId="BodyTextItalics">
    <w:name w:val="Body Text Italics"/>
    <w:basedOn w:val="BodyText"/>
    <w:qFormat/>
    <w:rsid w:val="003667EB"/>
    <w:rPr>
      <w:i/>
    </w:rPr>
  </w:style>
  <w:style w:type="paragraph" w:customStyle="1" w:styleId="ListAlpha">
    <w:name w:val="List Alpha"/>
    <w:basedOn w:val="Normal"/>
    <w:qFormat/>
    <w:rsid w:val="00D02C00"/>
    <w:pPr>
      <w:numPr>
        <w:numId w:val="15"/>
      </w:numPr>
      <w:spacing w:before="120" w:after="120"/>
    </w:pPr>
  </w:style>
  <w:style w:type="paragraph" w:customStyle="1" w:styleId="ListAlpha2">
    <w:name w:val="List Alpha 2"/>
    <w:basedOn w:val="Normal"/>
    <w:qFormat/>
    <w:rsid w:val="00D02C00"/>
    <w:pPr>
      <w:numPr>
        <w:ilvl w:val="1"/>
        <w:numId w:val="15"/>
      </w:numPr>
      <w:spacing w:before="120" w:after="120"/>
    </w:pPr>
  </w:style>
  <w:style w:type="paragraph" w:customStyle="1" w:styleId="ListAlpha3">
    <w:name w:val="List Alpha 3"/>
    <w:basedOn w:val="Normal"/>
    <w:qFormat/>
    <w:rsid w:val="00D02C00"/>
    <w:pPr>
      <w:numPr>
        <w:ilvl w:val="2"/>
        <w:numId w:val="15"/>
      </w:numPr>
      <w:spacing w:before="120" w:after="120"/>
    </w:pPr>
  </w:style>
  <w:style w:type="paragraph" w:customStyle="1" w:styleId="FooterPageNumber">
    <w:name w:val="Footer Page Number"/>
    <w:basedOn w:val="Footer"/>
    <w:rsid w:val="007D62D8"/>
    <w:pPr>
      <w:jc w:val="right"/>
    </w:pPr>
    <w:rPr>
      <w:rFonts w:ascii="Arial" w:hAnsi="Arial"/>
      <w:color w:val="000000"/>
    </w:rPr>
  </w:style>
  <w:style w:type="paragraph" w:customStyle="1" w:styleId="HeaderCoverPage">
    <w:name w:val="Header Cover Page"/>
    <w:basedOn w:val="Header"/>
    <w:next w:val="BodyText"/>
    <w:uiPriority w:val="99"/>
    <w:rsid w:val="00E526EB"/>
    <w:pPr>
      <w:spacing w:after="2640"/>
      <w:jc w:val="right"/>
    </w:pPr>
  </w:style>
  <w:style w:type="paragraph" w:customStyle="1" w:styleId="HighlightBoxBodyText">
    <w:name w:val="Highlight Box Body Text"/>
    <w:basedOn w:val="BodyText"/>
    <w:qFormat/>
    <w:rsid w:val="006755F5"/>
    <w:pPr>
      <w:pBdr>
        <w:top w:val="single" w:sz="4" w:space="12" w:color="F4F8FB"/>
        <w:left w:val="single" w:sz="4" w:space="12" w:color="F4F8FB"/>
        <w:bottom w:val="single" w:sz="4" w:space="12" w:color="F4F8FB"/>
        <w:right w:val="single" w:sz="4" w:space="12" w:color="F4F8FB"/>
      </w:pBdr>
      <w:shd w:val="clear" w:color="auto" w:fill="F4F8FB"/>
      <w:spacing w:before="120" w:after="120"/>
      <w:ind w:left="284" w:right="284"/>
    </w:pPr>
  </w:style>
  <w:style w:type="paragraph" w:customStyle="1" w:styleId="HighlightBoxBullet">
    <w:name w:val="Highlight Box Bullet"/>
    <w:basedOn w:val="HighlightBoxBodyText"/>
    <w:qFormat/>
    <w:rsid w:val="006755F5"/>
    <w:pPr>
      <w:numPr>
        <w:numId w:val="18"/>
      </w:numPr>
      <w:ind w:left="681" w:hanging="397"/>
    </w:pPr>
  </w:style>
  <w:style w:type="paragraph" w:customStyle="1" w:styleId="NoteText">
    <w:name w:val="Note Text"/>
    <w:basedOn w:val="BodyText"/>
    <w:qFormat/>
    <w:rsid w:val="00065F04"/>
    <w:pPr>
      <w:spacing w:before="60" w:after="60"/>
    </w:pPr>
    <w:rPr>
      <w:sz w:val="16"/>
    </w:rPr>
  </w:style>
  <w:style w:type="paragraph" w:styleId="Quote">
    <w:name w:val="Quote"/>
    <w:basedOn w:val="Normal"/>
    <w:link w:val="QuoteChar"/>
    <w:qFormat/>
    <w:rsid w:val="00693432"/>
    <w:pPr>
      <w:tabs>
        <w:tab w:val="left" w:pos="1134"/>
        <w:tab w:val="left" w:pos="1701"/>
        <w:tab w:val="left" w:pos="2268"/>
        <w:tab w:val="left" w:pos="2835"/>
        <w:tab w:val="left" w:pos="3402"/>
        <w:tab w:val="left" w:pos="3969"/>
        <w:tab w:val="left" w:pos="4536"/>
      </w:tabs>
      <w:spacing w:before="120" w:after="120"/>
      <w:ind w:left="567" w:right="567"/>
      <w:jc w:val="both"/>
    </w:pPr>
    <w:rPr>
      <w:rFonts w:cs="Arial"/>
      <w:iCs/>
      <w:color w:val="auto"/>
      <w:szCs w:val="18"/>
    </w:rPr>
  </w:style>
  <w:style w:type="character" w:customStyle="1" w:styleId="QuoteChar">
    <w:name w:val="Quote Char"/>
    <w:basedOn w:val="DefaultParagraphFont"/>
    <w:link w:val="Quote"/>
    <w:rsid w:val="00693432"/>
    <w:rPr>
      <w:rFonts w:cs="Arial"/>
      <w:iCs/>
      <w:color w:val="auto"/>
      <w:szCs w:val="18"/>
    </w:rPr>
  </w:style>
  <w:style w:type="paragraph" w:customStyle="1" w:styleId="QuoteBullet">
    <w:name w:val="Quote Bullet"/>
    <w:basedOn w:val="Quote"/>
    <w:qFormat/>
    <w:rsid w:val="00693432"/>
    <w:pPr>
      <w:numPr>
        <w:numId w:val="19"/>
      </w:numPr>
    </w:pPr>
  </w:style>
  <w:style w:type="paragraph" w:customStyle="1" w:styleId="QuoteBullet2">
    <w:name w:val="Quote Bullet 2"/>
    <w:basedOn w:val="Quote"/>
    <w:qFormat/>
    <w:rsid w:val="00693432"/>
    <w:pPr>
      <w:numPr>
        <w:ilvl w:val="1"/>
        <w:numId w:val="19"/>
      </w:numPr>
    </w:pPr>
  </w:style>
  <w:style w:type="paragraph" w:customStyle="1" w:styleId="QuoteHangingIndent1">
    <w:name w:val="Quote Hanging Indent 1"/>
    <w:basedOn w:val="Quote"/>
    <w:qFormat/>
    <w:rsid w:val="00693432"/>
    <w:pPr>
      <w:ind w:left="1134" w:hanging="567"/>
    </w:pPr>
  </w:style>
  <w:style w:type="paragraph" w:customStyle="1" w:styleId="QuoteHangingIndent2">
    <w:name w:val="Quote Hanging Indent 2"/>
    <w:basedOn w:val="QuoteHangingIndent1"/>
    <w:qFormat/>
    <w:rsid w:val="00693432"/>
    <w:pPr>
      <w:tabs>
        <w:tab w:val="clear" w:pos="1134"/>
      </w:tabs>
      <w:ind w:left="1701"/>
    </w:pPr>
  </w:style>
  <w:style w:type="paragraph" w:customStyle="1" w:styleId="QuoteHangingIndent3">
    <w:name w:val="Quote Hanging Indent 3"/>
    <w:basedOn w:val="QuoteHangingIndent2"/>
    <w:qFormat/>
    <w:rsid w:val="00693432"/>
    <w:pPr>
      <w:tabs>
        <w:tab w:val="clear" w:pos="1701"/>
      </w:tabs>
      <w:ind w:left="2268"/>
    </w:pPr>
  </w:style>
  <w:style w:type="paragraph" w:styleId="EndnoteText">
    <w:name w:val="endnote text"/>
    <w:basedOn w:val="Normal"/>
    <w:link w:val="EndnoteTextChar"/>
    <w:rsid w:val="0032656F"/>
    <w:pPr>
      <w:spacing w:line="240" w:lineRule="auto"/>
    </w:pPr>
  </w:style>
  <w:style w:type="character" w:customStyle="1" w:styleId="EndnoteTextChar">
    <w:name w:val="Endnote Text Char"/>
    <w:basedOn w:val="DefaultParagraphFont"/>
    <w:link w:val="EndnoteText"/>
    <w:rsid w:val="0032656F"/>
  </w:style>
  <w:style w:type="character" w:styleId="EndnoteReference">
    <w:name w:val="endnote reference"/>
    <w:basedOn w:val="DefaultParagraphFont"/>
    <w:rsid w:val="0032656F"/>
    <w:rPr>
      <w:vertAlign w:val="superscript"/>
    </w:rPr>
  </w:style>
  <w:style w:type="table" w:styleId="MediumShading2-Accent5">
    <w:name w:val="Medium Shading 2 Accent 5"/>
    <w:basedOn w:val="TableNormal"/>
    <w:uiPriority w:val="64"/>
    <w:rsid w:val="00E65EB8"/>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AECB"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AECB" w:themeFill="accent5"/>
      </w:tcPr>
    </w:tblStylePr>
    <w:tblStylePr w:type="lastCol">
      <w:rPr>
        <w:b/>
        <w:bCs/>
        <w:color w:val="FFFFFF" w:themeColor="background1"/>
      </w:rPr>
      <w:tblPr/>
      <w:tcPr>
        <w:tcBorders>
          <w:left w:val="nil"/>
          <w:right w:val="nil"/>
          <w:insideH w:val="nil"/>
          <w:insideV w:val="nil"/>
        </w:tcBorders>
        <w:shd w:val="clear" w:color="auto" w:fill="00AECB"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E65EB8"/>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7868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78686" w:themeFill="accent6"/>
      </w:tcPr>
    </w:tblStylePr>
    <w:tblStylePr w:type="lastCol">
      <w:rPr>
        <w:b/>
        <w:bCs/>
        <w:color w:val="FFFFFF" w:themeColor="background1"/>
      </w:rPr>
      <w:tblPr/>
      <w:tcPr>
        <w:tcBorders>
          <w:left w:val="nil"/>
          <w:right w:val="nil"/>
          <w:insideH w:val="nil"/>
          <w:insideV w:val="nil"/>
        </w:tcBorders>
        <w:shd w:val="clear" w:color="auto" w:fill="87868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LightGrid-Accent5">
    <w:name w:val="Light Grid Accent 5"/>
    <w:basedOn w:val="TableNormal"/>
    <w:uiPriority w:val="62"/>
    <w:rsid w:val="00E65EB8"/>
    <w:pPr>
      <w:spacing w:line="240" w:lineRule="auto"/>
    </w:pPr>
    <w:tblPr>
      <w:tblStyleRowBandSize w:val="1"/>
      <w:tblStyleColBandSize w:val="1"/>
      <w:tblBorders>
        <w:top w:val="single" w:sz="8" w:space="0" w:color="00AECB" w:themeColor="accent5"/>
        <w:left w:val="single" w:sz="8" w:space="0" w:color="00AECB" w:themeColor="accent5"/>
        <w:bottom w:val="single" w:sz="8" w:space="0" w:color="00AECB" w:themeColor="accent5"/>
        <w:right w:val="single" w:sz="8" w:space="0" w:color="00AECB" w:themeColor="accent5"/>
        <w:insideH w:val="single" w:sz="8" w:space="0" w:color="00AECB" w:themeColor="accent5"/>
        <w:insideV w:val="single" w:sz="8" w:space="0" w:color="00AECB"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AECB" w:themeColor="accent5"/>
          <w:left w:val="single" w:sz="8" w:space="0" w:color="00AECB" w:themeColor="accent5"/>
          <w:bottom w:val="single" w:sz="18" w:space="0" w:color="00AECB" w:themeColor="accent5"/>
          <w:right w:val="single" w:sz="8" w:space="0" w:color="00AECB" w:themeColor="accent5"/>
          <w:insideH w:val="nil"/>
          <w:insideV w:val="single" w:sz="8" w:space="0" w:color="00AECB"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AECB" w:themeColor="accent5"/>
          <w:left w:val="single" w:sz="8" w:space="0" w:color="00AECB" w:themeColor="accent5"/>
          <w:bottom w:val="single" w:sz="8" w:space="0" w:color="00AECB" w:themeColor="accent5"/>
          <w:right w:val="single" w:sz="8" w:space="0" w:color="00AECB" w:themeColor="accent5"/>
          <w:insideH w:val="nil"/>
          <w:insideV w:val="single" w:sz="8" w:space="0" w:color="00AECB"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AECB" w:themeColor="accent5"/>
          <w:left w:val="single" w:sz="8" w:space="0" w:color="00AECB" w:themeColor="accent5"/>
          <w:bottom w:val="single" w:sz="8" w:space="0" w:color="00AECB" w:themeColor="accent5"/>
          <w:right w:val="single" w:sz="8" w:space="0" w:color="00AECB" w:themeColor="accent5"/>
        </w:tcBorders>
      </w:tcPr>
    </w:tblStylePr>
    <w:tblStylePr w:type="band1Vert">
      <w:tblPr/>
      <w:tcPr>
        <w:tcBorders>
          <w:top w:val="single" w:sz="8" w:space="0" w:color="00AECB" w:themeColor="accent5"/>
          <w:left w:val="single" w:sz="8" w:space="0" w:color="00AECB" w:themeColor="accent5"/>
          <w:bottom w:val="single" w:sz="8" w:space="0" w:color="00AECB" w:themeColor="accent5"/>
          <w:right w:val="single" w:sz="8" w:space="0" w:color="00AECB" w:themeColor="accent5"/>
        </w:tcBorders>
        <w:shd w:val="clear" w:color="auto" w:fill="B3F3FF" w:themeFill="accent5" w:themeFillTint="3F"/>
      </w:tcPr>
    </w:tblStylePr>
    <w:tblStylePr w:type="band1Horz">
      <w:tblPr/>
      <w:tcPr>
        <w:tcBorders>
          <w:top w:val="single" w:sz="8" w:space="0" w:color="00AECB" w:themeColor="accent5"/>
          <w:left w:val="single" w:sz="8" w:space="0" w:color="00AECB" w:themeColor="accent5"/>
          <w:bottom w:val="single" w:sz="8" w:space="0" w:color="00AECB" w:themeColor="accent5"/>
          <w:right w:val="single" w:sz="8" w:space="0" w:color="00AECB" w:themeColor="accent5"/>
          <w:insideV w:val="single" w:sz="8" w:space="0" w:color="00AECB" w:themeColor="accent5"/>
        </w:tcBorders>
        <w:shd w:val="clear" w:color="auto" w:fill="B3F3FF" w:themeFill="accent5" w:themeFillTint="3F"/>
      </w:tcPr>
    </w:tblStylePr>
    <w:tblStylePr w:type="band2Horz">
      <w:tblPr/>
      <w:tcPr>
        <w:tcBorders>
          <w:top w:val="single" w:sz="8" w:space="0" w:color="00AECB" w:themeColor="accent5"/>
          <w:left w:val="single" w:sz="8" w:space="0" w:color="00AECB" w:themeColor="accent5"/>
          <w:bottom w:val="single" w:sz="8" w:space="0" w:color="00AECB" w:themeColor="accent5"/>
          <w:right w:val="single" w:sz="8" w:space="0" w:color="00AECB" w:themeColor="accent5"/>
          <w:insideV w:val="single" w:sz="8" w:space="0" w:color="00AECB" w:themeColor="accent5"/>
        </w:tcBorders>
      </w:tcPr>
    </w:tblStylePr>
  </w:style>
  <w:style w:type="table" w:styleId="MediumList1">
    <w:name w:val="Medium List 1"/>
    <w:basedOn w:val="TableNormal"/>
    <w:uiPriority w:val="65"/>
    <w:rsid w:val="00E65EB8"/>
    <w:pPr>
      <w:spacing w:line="240" w:lineRule="auto"/>
    </w:p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277BB4"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Grid2-Accent6">
    <w:name w:val="Medium Grid 2 Accent 6"/>
    <w:basedOn w:val="TableNormal"/>
    <w:uiPriority w:val="68"/>
    <w:rsid w:val="00E65EB8"/>
    <w:pPr>
      <w:spacing w:line="240" w:lineRule="auto"/>
    </w:pPr>
    <w:rPr>
      <w:rFonts w:asciiTheme="majorHAnsi" w:eastAsiaTheme="majorEastAsia" w:hAnsiTheme="majorHAnsi" w:cstheme="majorBidi"/>
    </w:rPr>
    <w:tblPr>
      <w:tblStyleRowBandSize w:val="1"/>
      <w:tblStyleColBandSize w:val="1"/>
      <w:tblBorders>
        <w:top w:val="single" w:sz="8" w:space="0" w:color="878686" w:themeColor="accent6"/>
        <w:left w:val="single" w:sz="8" w:space="0" w:color="878686" w:themeColor="accent6"/>
        <w:bottom w:val="single" w:sz="8" w:space="0" w:color="878686" w:themeColor="accent6"/>
        <w:right w:val="single" w:sz="8" w:space="0" w:color="878686" w:themeColor="accent6"/>
        <w:insideH w:val="single" w:sz="8" w:space="0" w:color="878686" w:themeColor="accent6"/>
        <w:insideV w:val="single" w:sz="8" w:space="0" w:color="878686" w:themeColor="accent6"/>
      </w:tblBorders>
    </w:tblPr>
    <w:tcPr>
      <w:shd w:val="clear" w:color="auto" w:fill="E1E1E1" w:themeFill="accent6" w:themeFillTint="3F"/>
    </w:tcPr>
    <w:tblStylePr w:type="firstRow">
      <w:rPr>
        <w:b/>
        <w:bCs/>
        <w:color w:val="000000" w:themeColor="text1"/>
      </w:rPr>
      <w:tblPr/>
      <w:tcPr>
        <w:shd w:val="clear" w:color="auto" w:fill="F3F3F3"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7E6E6" w:themeFill="accent6" w:themeFillTint="33"/>
      </w:tcPr>
    </w:tblStylePr>
    <w:tblStylePr w:type="band1Vert">
      <w:tblPr/>
      <w:tcPr>
        <w:shd w:val="clear" w:color="auto" w:fill="C3C2C2" w:themeFill="accent6" w:themeFillTint="7F"/>
      </w:tcPr>
    </w:tblStylePr>
    <w:tblStylePr w:type="band1Horz">
      <w:tblPr/>
      <w:tcPr>
        <w:tcBorders>
          <w:insideH w:val="single" w:sz="6" w:space="0" w:color="878686" w:themeColor="accent6"/>
          <w:insideV w:val="single" w:sz="6" w:space="0" w:color="878686" w:themeColor="accent6"/>
        </w:tcBorders>
        <w:shd w:val="clear" w:color="auto" w:fill="C3C2C2" w:themeFill="accent6" w:themeFillTint="7F"/>
      </w:tcPr>
    </w:tblStylePr>
    <w:tblStylePr w:type="nwCell">
      <w:tblPr/>
      <w:tcPr>
        <w:shd w:val="clear" w:color="auto" w:fill="FFFFFF" w:themeFill="background1"/>
      </w:tcPr>
    </w:tblStylePr>
  </w:style>
  <w:style w:type="paragraph" w:customStyle="1" w:styleId="DraftHeading1">
    <w:name w:val="Draft Heading 1"/>
    <w:basedOn w:val="Normal"/>
    <w:next w:val="Normal"/>
    <w:link w:val="DraftHeading1Char"/>
    <w:rsid w:val="0004683E"/>
    <w:pPr>
      <w:overflowPunct w:val="0"/>
      <w:autoSpaceDE w:val="0"/>
      <w:autoSpaceDN w:val="0"/>
      <w:adjustRightInd w:val="0"/>
      <w:spacing w:before="120" w:line="240" w:lineRule="auto"/>
      <w:textAlignment w:val="baseline"/>
      <w:outlineLvl w:val="2"/>
    </w:pPr>
    <w:rPr>
      <w:rFonts w:ascii="Times New Roman" w:hAnsi="Times New Roman"/>
      <w:b/>
      <w:color w:val="auto"/>
      <w:sz w:val="24"/>
      <w:szCs w:val="24"/>
      <w:lang w:eastAsia="en-US"/>
    </w:rPr>
  </w:style>
  <w:style w:type="paragraph" w:customStyle="1" w:styleId="DraftHeading2">
    <w:name w:val="Draft Heading 2"/>
    <w:basedOn w:val="Normal"/>
    <w:next w:val="Normal"/>
    <w:rsid w:val="0004683E"/>
    <w:pPr>
      <w:overflowPunct w:val="0"/>
      <w:autoSpaceDE w:val="0"/>
      <w:autoSpaceDN w:val="0"/>
      <w:adjustRightInd w:val="0"/>
      <w:spacing w:before="120" w:line="240" w:lineRule="auto"/>
      <w:textAlignment w:val="baseline"/>
    </w:pPr>
    <w:rPr>
      <w:rFonts w:ascii="Times New Roman" w:hAnsi="Times New Roman"/>
      <w:color w:val="auto"/>
      <w:sz w:val="24"/>
      <w:lang w:eastAsia="en-US"/>
    </w:rPr>
  </w:style>
  <w:style w:type="paragraph" w:customStyle="1" w:styleId="Heading-DIVISION">
    <w:name w:val="Heading - DIVISION"/>
    <w:next w:val="Normal"/>
    <w:rsid w:val="0004683E"/>
    <w:pPr>
      <w:overflowPunct w:val="0"/>
      <w:autoSpaceDE w:val="0"/>
      <w:autoSpaceDN w:val="0"/>
      <w:adjustRightInd w:val="0"/>
      <w:spacing w:before="240" w:after="120" w:line="240" w:lineRule="auto"/>
      <w:jc w:val="center"/>
      <w:textAlignment w:val="baseline"/>
      <w:outlineLvl w:val="1"/>
    </w:pPr>
    <w:rPr>
      <w:rFonts w:ascii="Times New Roman" w:hAnsi="Times New Roman"/>
      <w:b/>
      <w:color w:val="auto"/>
      <w:sz w:val="24"/>
      <w:lang w:eastAsia="en-US"/>
    </w:rPr>
  </w:style>
  <w:style w:type="paragraph" w:customStyle="1" w:styleId="Heading-PART">
    <w:name w:val="Heading - PART"/>
    <w:next w:val="Normal"/>
    <w:rsid w:val="0004683E"/>
    <w:pPr>
      <w:overflowPunct w:val="0"/>
      <w:autoSpaceDE w:val="0"/>
      <w:autoSpaceDN w:val="0"/>
      <w:adjustRightInd w:val="0"/>
      <w:spacing w:before="240" w:after="120" w:line="240" w:lineRule="auto"/>
      <w:jc w:val="center"/>
      <w:textAlignment w:val="baseline"/>
      <w:outlineLvl w:val="0"/>
    </w:pPr>
    <w:rPr>
      <w:rFonts w:ascii="Times New Roman" w:hAnsi="Times New Roman"/>
      <w:b/>
      <w:caps/>
      <w:color w:val="auto"/>
      <w:sz w:val="22"/>
      <w:lang w:eastAsia="en-US"/>
    </w:rPr>
  </w:style>
  <w:style w:type="character" w:customStyle="1" w:styleId="DraftHeading1Char">
    <w:name w:val="Draft Heading 1 Char"/>
    <w:basedOn w:val="DefaultParagraphFont"/>
    <w:link w:val="DraftHeading1"/>
    <w:locked/>
    <w:rsid w:val="0004683E"/>
    <w:rPr>
      <w:rFonts w:ascii="Times New Roman" w:hAnsi="Times New Roman"/>
      <w:b/>
      <w:color w:val="auto"/>
      <w:sz w:val="24"/>
      <w:szCs w:val="24"/>
      <w:lang w:eastAsia="en-US"/>
    </w:rPr>
  </w:style>
  <w:style w:type="paragraph" w:customStyle="1" w:styleId="DraftHeading3">
    <w:name w:val="Draft Heading 3"/>
    <w:basedOn w:val="Normal"/>
    <w:next w:val="Normal"/>
    <w:rsid w:val="0004683E"/>
    <w:pPr>
      <w:overflowPunct w:val="0"/>
      <w:autoSpaceDE w:val="0"/>
      <w:autoSpaceDN w:val="0"/>
      <w:adjustRightInd w:val="0"/>
      <w:spacing w:before="120" w:line="240" w:lineRule="auto"/>
      <w:textAlignment w:val="baseline"/>
    </w:pPr>
    <w:rPr>
      <w:rFonts w:ascii="Times New Roman" w:hAnsi="Times New Roman"/>
      <w:color w:val="auto"/>
      <w:sz w:val="24"/>
      <w:lang w:eastAsia="en-US"/>
    </w:rPr>
  </w:style>
  <w:style w:type="paragraph" w:styleId="CommentText">
    <w:name w:val="annotation text"/>
    <w:basedOn w:val="Normal"/>
    <w:link w:val="CommentTextChar"/>
    <w:uiPriority w:val="99"/>
    <w:unhideWhenUsed/>
    <w:rsid w:val="007179E3"/>
    <w:pPr>
      <w:spacing w:line="240" w:lineRule="auto"/>
    </w:pPr>
    <w:rPr>
      <w:rFonts w:eastAsiaTheme="minorEastAsia" w:cstheme="minorBidi"/>
      <w:color w:val="auto"/>
      <w:sz w:val="24"/>
      <w:szCs w:val="24"/>
      <w:lang w:eastAsia="en-US"/>
    </w:rPr>
  </w:style>
  <w:style w:type="character" w:customStyle="1" w:styleId="CommentTextChar">
    <w:name w:val="Comment Text Char"/>
    <w:basedOn w:val="DefaultParagraphFont"/>
    <w:link w:val="CommentText"/>
    <w:uiPriority w:val="99"/>
    <w:rsid w:val="007179E3"/>
    <w:rPr>
      <w:rFonts w:eastAsiaTheme="minorEastAsia" w:cstheme="minorBidi"/>
      <w:color w:val="auto"/>
      <w:sz w:val="24"/>
      <w:szCs w:val="24"/>
      <w:lang w:eastAsia="en-US"/>
    </w:rPr>
  </w:style>
  <w:style w:type="character" w:styleId="CommentReference">
    <w:name w:val="annotation reference"/>
    <w:basedOn w:val="DefaultParagraphFont"/>
    <w:semiHidden/>
    <w:unhideWhenUsed/>
    <w:rsid w:val="007179E3"/>
    <w:rPr>
      <w:sz w:val="18"/>
      <w:szCs w:val="18"/>
    </w:rPr>
  </w:style>
  <w:style w:type="paragraph" w:customStyle="1" w:styleId="Default">
    <w:name w:val="Default"/>
    <w:rsid w:val="005F22A4"/>
    <w:pPr>
      <w:autoSpaceDE w:val="0"/>
      <w:autoSpaceDN w:val="0"/>
      <w:adjustRightInd w:val="0"/>
      <w:spacing w:line="240" w:lineRule="auto"/>
    </w:pPr>
    <w:rPr>
      <w:rFonts w:ascii="EYInterstate" w:eastAsia="Calibri" w:hAnsi="EYInterstate" w:cs="EYInterstate"/>
      <w:color w:val="000000"/>
      <w:sz w:val="24"/>
      <w:szCs w:val="24"/>
    </w:rPr>
  </w:style>
  <w:style w:type="character" w:customStyle="1" w:styleId="ListParagraphChar">
    <w:name w:val="List Paragraph Char"/>
    <w:aliases w:val="Bullet 1 Char"/>
    <w:basedOn w:val="DefaultParagraphFont"/>
    <w:link w:val="ListParagraph"/>
    <w:uiPriority w:val="34"/>
    <w:locked/>
    <w:rsid w:val="00B90D26"/>
    <w:rPr>
      <w:rFonts w:eastAsia="Calibri"/>
      <w:lang w:eastAsia="en-US"/>
    </w:rPr>
  </w:style>
  <w:style w:type="character" w:styleId="IntenseEmphasis">
    <w:name w:val="Intense Emphasis"/>
    <w:basedOn w:val="DefaultParagraphFont"/>
    <w:uiPriority w:val="21"/>
    <w:qFormat/>
    <w:rsid w:val="00B90D26"/>
    <w:rPr>
      <w:b/>
      <w:bCs/>
      <w:i/>
      <w:iCs/>
      <w:color w:val="277BB4" w:themeColor="accent1"/>
    </w:rPr>
  </w:style>
  <w:style w:type="character" w:customStyle="1" w:styleId="ms-rtefontsize-2">
    <w:name w:val="ms-rtefontsize-2"/>
    <w:basedOn w:val="DefaultParagraphFont"/>
    <w:rsid w:val="00501CBA"/>
  </w:style>
  <w:style w:type="paragraph" w:styleId="CommentSubject">
    <w:name w:val="annotation subject"/>
    <w:basedOn w:val="CommentText"/>
    <w:next w:val="CommentText"/>
    <w:link w:val="CommentSubjectChar"/>
    <w:uiPriority w:val="99"/>
    <w:semiHidden/>
    <w:unhideWhenUsed/>
    <w:rsid w:val="006D3888"/>
    <w:rPr>
      <w:rFonts w:eastAsia="Times New Roman" w:cs="Times New Roman"/>
      <w:b/>
      <w:bCs/>
      <w:color w:val="000000" w:themeColor="text1"/>
      <w:sz w:val="20"/>
      <w:szCs w:val="20"/>
      <w:lang w:eastAsia="en-AU"/>
    </w:rPr>
  </w:style>
  <w:style w:type="character" w:customStyle="1" w:styleId="CommentSubjectChar">
    <w:name w:val="Comment Subject Char"/>
    <w:basedOn w:val="CommentTextChar"/>
    <w:link w:val="CommentSubject"/>
    <w:uiPriority w:val="99"/>
    <w:semiHidden/>
    <w:rsid w:val="006D3888"/>
    <w:rPr>
      <w:rFonts w:eastAsiaTheme="minorEastAsia" w:cstheme="minorBidi"/>
      <w:b/>
      <w:bCs/>
      <w:color w:val="auto"/>
      <w:sz w:val="24"/>
      <w:szCs w:val="24"/>
      <w:lang w:eastAsia="en-US"/>
    </w:rPr>
  </w:style>
  <w:style w:type="character" w:customStyle="1" w:styleId="EYBodytextwithparaspaceChar">
    <w:name w:val="EY Body text (with para space) Char"/>
    <w:basedOn w:val="DefaultParagraphFont"/>
    <w:link w:val="EYBodytextwithparaspace"/>
    <w:locked/>
    <w:rsid w:val="00AB1BC8"/>
    <w:rPr>
      <w:rFonts w:ascii="EYInterstate Light" w:hAnsi="EYInterstate Light"/>
      <w:szCs w:val="24"/>
    </w:rPr>
  </w:style>
  <w:style w:type="paragraph" w:customStyle="1" w:styleId="EYBodytextwithparaspace">
    <w:name w:val="EY Body text (with para space)"/>
    <w:basedOn w:val="Normal"/>
    <w:link w:val="EYBodytextwithparaspaceChar"/>
    <w:qFormat/>
    <w:rsid w:val="00AB1BC8"/>
    <w:pPr>
      <w:autoSpaceDE w:val="0"/>
      <w:autoSpaceDN w:val="0"/>
      <w:adjustRightInd w:val="0"/>
      <w:spacing w:after="240" w:line="240" w:lineRule="auto"/>
    </w:pPr>
    <w:rPr>
      <w:rFonts w:ascii="EYInterstate Light" w:hAnsi="EYInterstate Light"/>
      <w:szCs w:val="24"/>
    </w:rPr>
  </w:style>
  <w:style w:type="table" w:customStyle="1" w:styleId="PlainTable21">
    <w:name w:val="Plain Table 21"/>
    <w:basedOn w:val="TableNormal"/>
    <w:uiPriority w:val="42"/>
    <w:rsid w:val="00795FD3"/>
    <w:pPr>
      <w:spacing w:line="240" w:lineRule="auto"/>
    </w:pPr>
    <w:rPr>
      <w:rFonts w:ascii="Times New Roman" w:hAnsi="Times New Roman"/>
      <w:color w:val="auto"/>
      <w:lang w:val="en-US" w:eastAsia="en-U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styleId="LightGrid-Accent1">
    <w:name w:val="Light Grid Accent 1"/>
    <w:basedOn w:val="TableNormal"/>
    <w:uiPriority w:val="62"/>
    <w:rsid w:val="00E93F71"/>
    <w:pPr>
      <w:spacing w:line="240" w:lineRule="auto"/>
    </w:pPr>
    <w:tblPr>
      <w:tblStyleRowBandSize w:val="1"/>
      <w:tblStyleColBandSize w:val="1"/>
      <w:tblBorders>
        <w:top w:val="single" w:sz="8" w:space="0" w:color="277BB4" w:themeColor="accent1"/>
        <w:left w:val="single" w:sz="8" w:space="0" w:color="277BB4" w:themeColor="accent1"/>
        <w:bottom w:val="single" w:sz="8" w:space="0" w:color="277BB4" w:themeColor="accent1"/>
        <w:right w:val="single" w:sz="8" w:space="0" w:color="277BB4" w:themeColor="accent1"/>
        <w:insideH w:val="single" w:sz="8" w:space="0" w:color="277BB4" w:themeColor="accent1"/>
        <w:insideV w:val="single" w:sz="8" w:space="0" w:color="277BB4"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77BB4" w:themeColor="accent1"/>
          <w:left w:val="single" w:sz="8" w:space="0" w:color="277BB4" w:themeColor="accent1"/>
          <w:bottom w:val="single" w:sz="18" w:space="0" w:color="277BB4" w:themeColor="accent1"/>
          <w:right w:val="single" w:sz="8" w:space="0" w:color="277BB4" w:themeColor="accent1"/>
          <w:insideH w:val="nil"/>
          <w:insideV w:val="single" w:sz="8" w:space="0" w:color="277BB4"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77BB4" w:themeColor="accent1"/>
          <w:left w:val="single" w:sz="8" w:space="0" w:color="277BB4" w:themeColor="accent1"/>
          <w:bottom w:val="single" w:sz="8" w:space="0" w:color="277BB4" w:themeColor="accent1"/>
          <w:right w:val="single" w:sz="8" w:space="0" w:color="277BB4" w:themeColor="accent1"/>
          <w:insideH w:val="nil"/>
          <w:insideV w:val="single" w:sz="8" w:space="0" w:color="277BB4"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77BB4" w:themeColor="accent1"/>
          <w:left w:val="single" w:sz="8" w:space="0" w:color="277BB4" w:themeColor="accent1"/>
          <w:bottom w:val="single" w:sz="8" w:space="0" w:color="277BB4" w:themeColor="accent1"/>
          <w:right w:val="single" w:sz="8" w:space="0" w:color="277BB4" w:themeColor="accent1"/>
        </w:tcBorders>
      </w:tcPr>
    </w:tblStylePr>
    <w:tblStylePr w:type="band1Vert">
      <w:tblPr/>
      <w:tcPr>
        <w:tcBorders>
          <w:top w:val="single" w:sz="8" w:space="0" w:color="277BB4" w:themeColor="accent1"/>
          <w:left w:val="single" w:sz="8" w:space="0" w:color="277BB4" w:themeColor="accent1"/>
          <w:bottom w:val="single" w:sz="8" w:space="0" w:color="277BB4" w:themeColor="accent1"/>
          <w:right w:val="single" w:sz="8" w:space="0" w:color="277BB4" w:themeColor="accent1"/>
        </w:tcBorders>
        <w:shd w:val="clear" w:color="auto" w:fill="C3DFF2" w:themeFill="accent1" w:themeFillTint="3F"/>
      </w:tcPr>
    </w:tblStylePr>
    <w:tblStylePr w:type="band1Horz">
      <w:tblPr/>
      <w:tcPr>
        <w:tcBorders>
          <w:top w:val="single" w:sz="8" w:space="0" w:color="277BB4" w:themeColor="accent1"/>
          <w:left w:val="single" w:sz="8" w:space="0" w:color="277BB4" w:themeColor="accent1"/>
          <w:bottom w:val="single" w:sz="8" w:space="0" w:color="277BB4" w:themeColor="accent1"/>
          <w:right w:val="single" w:sz="8" w:space="0" w:color="277BB4" w:themeColor="accent1"/>
          <w:insideV w:val="single" w:sz="8" w:space="0" w:color="277BB4" w:themeColor="accent1"/>
        </w:tcBorders>
        <w:shd w:val="clear" w:color="auto" w:fill="C3DFF2" w:themeFill="accent1" w:themeFillTint="3F"/>
      </w:tcPr>
    </w:tblStylePr>
    <w:tblStylePr w:type="band2Horz">
      <w:tblPr/>
      <w:tcPr>
        <w:tcBorders>
          <w:top w:val="single" w:sz="8" w:space="0" w:color="277BB4" w:themeColor="accent1"/>
          <w:left w:val="single" w:sz="8" w:space="0" w:color="277BB4" w:themeColor="accent1"/>
          <w:bottom w:val="single" w:sz="8" w:space="0" w:color="277BB4" w:themeColor="accent1"/>
          <w:right w:val="single" w:sz="8" w:space="0" w:color="277BB4" w:themeColor="accent1"/>
          <w:insideV w:val="single" w:sz="8" w:space="0" w:color="277BB4" w:themeColor="accent1"/>
        </w:tcBorders>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imes New Roman" w:hAnsiTheme="minorHAnsi" w:cs="Times New Roman"/>
        <w:color w:val="000000" w:themeColor="text1"/>
        <w:lang w:val="en-AU" w:eastAsia="en-AU" w:bidi="ar-SA"/>
      </w:rPr>
    </w:rPrDefault>
    <w:pPrDefault>
      <w:pPr>
        <w:spacing w:line="288" w:lineRule="auto"/>
      </w:pPr>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semiHidden="0" w:unhideWhenUsed="0" w:qFormat="1"/>
    <w:lsdException w:name="heading 6" w:qFormat="1"/>
    <w:lsdException w:name="heading 7" w:qFormat="1"/>
    <w:lsdException w:name="heading 8" w:uiPriority="3" w:qFormat="1"/>
    <w:lsdException w:name="heading 9" w:uiPriority="3" w:qFormat="1"/>
    <w:lsdException w:name="toc 1" w:uiPriority="39"/>
    <w:lsdException w:name="toc 2" w:uiPriority="39"/>
    <w:lsdException w:name="toc 3" w:uiPriority="39"/>
    <w:lsdException w:name="toc 4" w:uiPriority="39"/>
    <w:lsdException w:name="toc 5" w:uiPriority="39"/>
    <w:lsdException w:name="toc 6" w:uiPriority="39"/>
    <w:lsdException w:name="toc 8" w:uiPriority="39"/>
    <w:lsdException w:name="toc 9" w:uiPriority="39"/>
    <w:lsdException w:name="footnote text" w:uiPriority="99" w:qFormat="1"/>
    <w:lsdException w:name="annotation text" w:uiPriority="99"/>
    <w:lsdException w:name="header" w:uiPriority="99"/>
    <w:lsdException w:name="footer" w:uiPriority="99"/>
    <w:lsdException w:name="caption" w:qFormat="1"/>
    <w:lsdException w:name="table of figures" w:uiPriority="99"/>
    <w:lsdException w:name="footnote reference" w:uiPriority="99"/>
    <w:lsdException w:name="List Bullet" w:qFormat="1"/>
    <w:lsdException w:name="List Number" w:semiHidden="0" w:unhideWhenUsed="0" w:qFormat="1"/>
    <w:lsdException w:name="List 4" w:semiHidden="0" w:unhideWhenUsed="0"/>
    <w:lsdException w:name="List 5" w:semiHidden="0" w:unhideWhenUsed="0"/>
    <w:lsdException w:name="List Bullet 2" w:qFormat="1"/>
    <w:lsdException w:name="List Bullet 3" w:qFormat="1"/>
    <w:lsdException w:name="List Number 2" w:qFormat="1"/>
    <w:lsdException w:name="List Number 3" w:qFormat="1"/>
    <w:lsdException w:name="Title" w:semiHidden="0" w:uiPriority="99" w:unhideWhenUsed="0"/>
    <w:lsdException w:name="Default Paragraph Font" w:uiPriority="1"/>
    <w:lsdException w:name="Body Text" w:qFormat="1"/>
    <w:lsdException w:name="Subtitle" w:semiHidden="0" w:uiPriority="11"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iPriority="99" w:unhideWhenUsed="0"/>
    <w:lsdException w:name="Emphasis" w:semiHidden="0" w:unhideWhenUsed="0"/>
    <w:lsdException w:name="Normal (Web)" w:uiPriority="99"/>
    <w:lsdException w:name="annotation subject" w:uiPriority="99"/>
    <w:lsdException w:name="No List" w:uiPriority="99"/>
    <w:lsdException w:name="Balloon Text" w:uiPriority="99"/>
    <w:lsdException w:name="Table Grid" w:uiPriority="59"/>
    <w:lsdException w:name="Placeholder Text" w:uiPriority="99" w:unhideWhenUsed="0"/>
    <w:lsdException w:name="No Spacing" w:semiHidden="0"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nhideWhenUsed="0" w:qFormat="1"/>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qFormat="1"/>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501811"/>
  </w:style>
  <w:style w:type="paragraph" w:styleId="Heading1">
    <w:name w:val="heading 1"/>
    <w:basedOn w:val="Normal"/>
    <w:next w:val="BodyText"/>
    <w:link w:val="Heading1Char"/>
    <w:qFormat/>
    <w:rsid w:val="00AD3E68"/>
    <w:pPr>
      <w:keepNext/>
      <w:keepLines/>
      <w:pageBreakBefore/>
      <w:numPr>
        <w:numId w:val="12"/>
      </w:numPr>
      <w:spacing w:after="400" w:line="276" w:lineRule="auto"/>
      <w:outlineLvl w:val="0"/>
    </w:pPr>
    <w:rPr>
      <w:rFonts w:asciiTheme="majorHAnsi" w:eastAsiaTheme="majorEastAsia" w:hAnsiTheme="majorHAnsi" w:cstheme="majorBidi"/>
      <w:bCs/>
      <w:color w:val="277BB4" w:themeColor="text2"/>
      <w:spacing w:val="-10"/>
      <w:sz w:val="38"/>
      <w:szCs w:val="32"/>
    </w:rPr>
  </w:style>
  <w:style w:type="paragraph" w:styleId="Heading2">
    <w:name w:val="heading 2"/>
    <w:basedOn w:val="Normal"/>
    <w:next w:val="BodyText"/>
    <w:link w:val="Heading2Char"/>
    <w:qFormat/>
    <w:rsid w:val="006008FF"/>
    <w:pPr>
      <w:keepNext/>
      <w:keepLines/>
      <w:numPr>
        <w:ilvl w:val="1"/>
        <w:numId w:val="12"/>
      </w:numPr>
      <w:spacing w:before="360" w:after="200"/>
      <w:outlineLvl w:val="1"/>
    </w:pPr>
    <w:rPr>
      <w:rFonts w:asciiTheme="majorHAnsi" w:eastAsiaTheme="majorEastAsia" w:hAnsiTheme="majorHAnsi" w:cstheme="majorBidi"/>
      <w:b/>
      <w:bCs/>
      <w:color w:val="277BB4" w:themeColor="text2"/>
      <w:sz w:val="24"/>
      <w:szCs w:val="26"/>
    </w:rPr>
  </w:style>
  <w:style w:type="paragraph" w:styleId="Heading3">
    <w:name w:val="heading 3"/>
    <w:basedOn w:val="Normal"/>
    <w:next w:val="BodyText"/>
    <w:link w:val="Heading3Char"/>
    <w:unhideWhenUsed/>
    <w:qFormat/>
    <w:rsid w:val="00654CCE"/>
    <w:pPr>
      <w:keepNext/>
      <w:keepLines/>
      <w:numPr>
        <w:ilvl w:val="2"/>
        <w:numId w:val="12"/>
      </w:numPr>
      <w:spacing w:before="360" w:after="200"/>
      <w:outlineLvl w:val="2"/>
    </w:pPr>
    <w:rPr>
      <w:rFonts w:asciiTheme="majorHAnsi" w:eastAsiaTheme="majorEastAsia" w:hAnsiTheme="majorHAnsi" w:cstheme="majorBidi"/>
      <w:b/>
      <w:bCs/>
      <w:color w:val="auto"/>
      <w:sz w:val="22"/>
    </w:rPr>
  </w:style>
  <w:style w:type="paragraph" w:styleId="Heading4">
    <w:name w:val="heading 4"/>
    <w:basedOn w:val="Normal"/>
    <w:next w:val="BodyText"/>
    <w:link w:val="Heading4Char"/>
    <w:unhideWhenUsed/>
    <w:qFormat/>
    <w:rsid w:val="006008FF"/>
    <w:pPr>
      <w:keepNext/>
      <w:keepLines/>
      <w:numPr>
        <w:ilvl w:val="3"/>
        <w:numId w:val="12"/>
      </w:numPr>
      <w:spacing w:before="360" w:after="200"/>
      <w:outlineLvl w:val="3"/>
    </w:pPr>
    <w:rPr>
      <w:rFonts w:eastAsiaTheme="majorEastAsia" w:cstheme="majorBidi"/>
      <w:b/>
      <w:bCs/>
      <w:iCs/>
      <w:color w:val="auto"/>
    </w:rPr>
  </w:style>
  <w:style w:type="paragraph" w:styleId="Heading5">
    <w:name w:val="heading 5"/>
    <w:basedOn w:val="Normal"/>
    <w:next w:val="Normal"/>
    <w:link w:val="Heading5Char"/>
    <w:qFormat/>
    <w:rsid w:val="005C4F14"/>
    <w:pPr>
      <w:keepNext/>
      <w:keepLines/>
      <w:spacing w:before="240" w:after="60"/>
      <w:outlineLvl w:val="4"/>
    </w:pPr>
    <w:rPr>
      <w:rFonts w:asciiTheme="majorHAnsi" w:eastAsiaTheme="majorEastAsia" w:hAnsiTheme="majorHAnsi" w:cstheme="majorBidi"/>
      <w:b/>
    </w:rPr>
  </w:style>
  <w:style w:type="paragraph" w:styleId="Heading6">
    <w:name w:val="heading 6"/>
    <w:basedOn w:val="Normal"/>
    <w:next w:val="Normal"/>
    <w:link w:val="Heading6Char"/>
    <w:unhideWhenUsed/>
    <w:qFormat/>
    <w:rsid w:val="00F52A35"/>
    <w:pPr>
      <w:keepNext/>
      <w:keepLines/>
      <w:spacing w:before="200" w:line="276" w:lineRule="auto"/>
      <w:outlineLvl w:val="5"/>
    </w:pPr>
    <w:rPr>
      <w:rFonts w:asciiTheme="majorHAnsi" w:eastAsiaTheme="majorEastAsia" w:hAnsiTheme="majorHAnsi" w:cstheme="majorBidi"/>
      <w:i/>
      <w:iCs/>
      <w:lang w:eastAsia="en-US"/>
    </w:rPr>
  </w:style>
  <w:style w:type="paragraph" w:styleId="Heading7">
    <w:name w:val="heading 7"/>
    <w:basedOn w:val="Normal"/>
    <w:next w:val="BodyText"/>
    <w:link w:val="Heading7Char"/>
    <w:semiHidden/>
    <w:unhideWhenUsed/>
    <w:qFormat/>
    <w:rsid w:val="00DD7311"/>
    <w:pPr>
      <w:keepNext/>
      <w:keepLines/>
      <w:pageBreakBefore/>
      <w:spacing w:afterLines="100"/>
      <w:outlineLvl w:val="6"/>
    </w:pPr>
    <w:rPr>
      <w:rFonts w:asciiTheme="majorHAnsi" w:eastAsiaTheme="majorEastAsia" w:hAnsiTheme="majorHAnsi" w:cstheme="majorBidi"/>
      <w:b/>
      <w:iCs/>
    </w:rPr>
  </w:style>
  <w:style w:type="paragraph" w:styleId="Heading8">
    <w:name w:val="heading 8"/>
    <w:aliases w:val="Appendix Title"/>
    <w:basedOn w:val="Normal"/>
    <w:next w:val="BodyText"/>
    <w:link w:val="Heading8Char"/>
    <w:uiPriority w:val="3"/>
    <w:qFormat/>
    <w:rsid w:val="00120CB6"/>
    <w:pPr>
      <w:keepNext/>
      <w:keepLines/>
      <w:pageBreakBefore/>
      <w:numPr>
        <w:numId w:val="11"/>
      </w:numPr>
      <w:spacing w:after="400" w:line="240" w:lineRule="auto"/>
      <w:outlineLvl w:val="7"/>
    </w:pPr>
    <w:rPr>
      <w:rFonts w:asciiTheme="majorHAnsi" w:eastAsiaTheme="majorEastAsia" w:hAnsiTheme="majorHAnsi" w:cstheme="majorBidi"/>
      <w:color w:val="auto"/>
      <w:spacing w:val="-10"/>
      <w:sz w:val="38"/>
      <w:lang w:eastAsia="en-US"/>
    </w:rPr>
  </w:style>
  <w:style w:type="paragraph" w:styleId="Heading9">
    <w:name w:val="heading 9"/>
    <w:aliases w:val="Appendix Heading 1"/>
    <w:basedOn w:val="Normal"/>
    <w:next w:val="BodyText"/>
    <w:link w:val="Heading9Char"/>
    <w:uiPriority w:val="3"/>
    <w:qFormat/>
    <w:rsid w:val="00A50D7E"/>
    <w:pPr>
      <w:keepNext/>
      <w:keepLines/>
      <w:numPr>
        <w:ilvl w:val="1"/>
        <w:numId w:val="11"/>
      </w:numPr>
      <w:tabs>
        <w:tab w:val="left" w:pos="1559"/>
        <w:tab w:val="left" w:pos="2126"/>
        <w:tab w:val="left" w:pos="2410"/>
        <w:tab w:val="right" w:pos="9639"/>
      </w:tabs>
      <w:spacing w:before="360" w:after="200"/>
      <w:outlineLvl w:val="8"/>
    </w:pPr>
    <w:rPr>
      <w:rFonts w:asciiTheme="majorHAnsi" w:hAnsiTheme="majorHAnsi" w:cs="Arial"/>
      <w:b/>
      <w:color w:val="277BB4" w:themeColor="text2"/>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xInLineShape">
    <w:name w:val="xInLineShape"/>
    <w:basedOn w:val="BodyText"/>
    <w:next w:val="BodyText"/>
    <w:qFormat/>
    <w:rsid w:val="00F67A1A"/>
    <w:pPr>
      <w:keepNext/>
      <w:spacing w:before="120" w:after="0"/>
    </w:pPr>
  </w:style>
  <w:style w:type="paragraph" w:styleId="BodyText">
    <w:name w:val="Body Text"/>
    <w:basedOn w:val="Normal"/>
    <w:link w:val="BodyTextChar"/>
    <w:qFormat/>
    <w:rsid w:val="00CF1F74"/>
    <w:pPr>
      <w:tabs>
        <w:tab w:val="left" w:pos="2268"/>
        <w:tab w:val="left" w:pos="4536"/>
        <w:tab w:val="left" w:pos="6804"/>
        <w:tab w:val="right" w:pos="9638"/>
      </w:tabs>
      <w:spacing w:before="200" w:after="200"/>
    </w:pPr>
  </w:style>
  <w:style w:type="character" w:customStyle="1" w:styleId="BodyTextChar">
    <w:name w:val="Body Text Char"/>
    <w:basedOn w:val="DefaultParagraphFont"/>
    <w:link w:val="BodyText"/>
    <w:rsid w:val="00CF1F74"/>
  </w:style>
  <w:style w:type="paragraph" w:customStyle="1" w:styleId="PullOutBoxBodyText">
    <w:name w:val="Pull Out Box Body Text"/>
    <w:basedOn w:val="BodyText"/>
    <w:qFormat/>
    <w:rsid w:val="004807F0"/>
    <w:pPr>
      <w:spacing w:before="120" w:after="120"/>
      <w:ind w:left="284" w:right="284"/>
    </w:pPr>
  </w:style>
  <w:style w:type="paragraph" w:styleId="BlockText">
    <w:name w:val="Block Text"/>
    <w:basedOn w:val="BodyText"/>
    <w:semiHidden/>
    <w:unhideWhenUsed/>
    <w:rsid w:val="00EF3AA0"/>
    <w:rPr>
      <w:rFonts w:eastAsiaTheme="minorEastAsia" w:cstheme="minorBidi"/>
      <w:iCs/>
    </w:rPr>
  </w:style>
  <w:style w:type="paragraph" w:styleId="Caption">
    <w:name w:val="caption"/>
    <w:basedOn w:val="Normal"/>
    <w:next w:val="BodyText"/>
    <w:qFormat/>
    <w:rsid w:val="0070077A"/>
    <w:pPr>
      <w:keepNext/>
      <w:keepLines/>
      <w:tabs>
        <w:tab w:val="left" w:pos="1276"/>
      </w:tabs>
      <w:spacing w:before="240" w:after="90" w:line="240" w:lineRule="auto"/>
      <w:ind w:left="1276" w:hanging="1276"/>
    </w:pPr>
    <w:rPr>
      <w:rFonts w:asciiTheme="majorHAnsi" w:hAnsiTheme="majorHAnsi"/>
      <w:bCs/>
      <w:spacing w:val="4"/>
      <w:sz w:val="18"/>
    </w:rPr>
  </w:style>
  <w:style w:type="paragraph" w:styleId="BalloonText">
    <w:name w:val="Balloon Text"/>
    <w:basedOn w:val="Normal"/>
    <w:link w:val="BalloonTextChar"/>
    <w:uiPriority w:val="99"/>
    <w:semiHidden/>
    <w:unhideWhenUsed/>
    <w:rsid w:val="005542F9"/>
    <w:pPr>
      <w:spacing w:line="240" w:lineRule="auto"/>
    </w:pPr>
    <w:rPr>
      <w:rFonts w:ascii="Tahoma" w:hAnsi="Tahoma" w:cs="Tahoma"/>
      <w:sz w:val="16"/>
      <w:szCs w:val="16"/>
    </w:rPr>
  </w:style>
  <w:style w:type="paragraph" w:styleId="TOCHeading">
    <w:name w:val="TOC Heading"/>
    <w:basedOn w:val="Heading1"/>
    <w:next w:val="Normal"/>
    <w:uiPriority w:val="39"/>
    <w:unhideWhenUsed/>
    <w:qFormat/>
    <w:rsid w:val="00847B52"/>
    <w:pPr>
      <w:numPr>
        <w:numId w:val="0"/>
      </w:numPr>
      <w:outlineLvl w:val="9"/>
    </w:pPr>
    <w:rPr>
      <w:spacing w:val="0"/>
      <w:szCs w:val="28"/>
    </w:rPr>
  </w:style>
  <w:style w:type="character" w:customStyle="1" w:styleId="BalloonTextChar">
    <w:name w:val="Balloon Text Char"/>
    <w:basedOn w:val="DefaultParagraphFont"/>
    <w:link w:val="BalloonText"/>
    <w:uiPriority w:val="99"/>
    <w:semiHidden/>
    <w:rsid w:val="00475145"/>
    <w:rPr>
      <w:rFonts w:ascii="Tahoma" w:hAnsi="Tahoma" w:cs="Tahoma"/>
      <w:color w:val="000000" w:themeColor="text1"/>
      <w:sz w:val="16"/>
      <w:szCs w:val="16"/>
    </w:rPr>
  </w:style>
  <w:style w:type="paragraph" w:styleId="Footer">
    <w:name w:val="footer"/>
    <w:basedOn w:val="Normal"/>
    <w:link w:val="FooterChar"/>
    <w:uiPriority w:val="99"/>
    <w:rsid w:val="00F27994"/>
    <w:pPr>
      <w:tabs>
        <w:tab w:val="left" w:pos="1077"/>
        <w:tab w:val="center" w:pos="4320"/>
        <w:tab w:val="right" w:pos="8640"/>
      </w:tabs>
      <w:spacing w:line="240" w:lineRule="auto"/>
    </w:pPr>
    <w:rPr>
      <w:rFonts w:eastAsia="Cambria"/>
      <w:sz w:val="18"/>
      <w:lang w:eastAsia="en-US"/>
    </w:rPr>
  </w:style>
  <w:style w:type="character" w:customStyle="1" w:styleId="FooterChar">
    <w:name w:val="Footer Char"/>
    <w:basedOn w:val="DefaultParagraphFont"/>
    <w:link w:val="Footer"/>
    <w:uiPriority w:val="99"/>
    <w:rsid w:val="00F27994"/>
    <w:rPr>
      <w:rFonts w:eastAsia="Cambria"/>
      <w:sz w:val="18"/>
      <w:lang w:eastAsia="en-US"/>
    </w:rPr>
  </w:style>
  <w:style w:type="numbering" w:customStyle="1" w:styleId="HangingList">
    <w:name w:val="HangingList"/>
    <w:uiPriority w:val="99"/>
    <w:rsid w:val="00DD7311"/>
    <w:pPr>
      <w:numPr>
        <w:numId w:val="1"/>
      </w:numPr>
    </w:pPr>
  </w:style>
  <w:style w:type="paragraph" w:styleId="Header">
    <w:name w:val="header"/>
    <w:basedOn w:val="Normal"/>
    <w:link w:val="HeaderChar"/>
    <w:uiPriority w:val="99"/>
    <w:rsid w:val="007D7B46"/>
    <w:pPr>
      <w:tabs>
        <w:tab w:val="center" w:pos="4513"/>
        <w:tab w:val="right" w:pos="9026"/>
      </w:tabs>
      <w:spacing w:line="240" w:lineRule="auto"/>
    </w:pPr>
    <w:rPr>
      <w:sz w:val="18"/>
    </w:rPr>
  </w:style>
  <w:style w:type="character" w:customStyle="1" w:styleId="HeaderChar">
    <w:name w:val="Header Char"/>
    <w:basedOn w:val="DefaultParagraphFont"/>
    <w:link w:val="Header"/>
    <w:uiPriority w:val="99"/>
    <w:rsid w:val="007D7B46"/>
    <w:rPr>
      <w:sz w:val="18"/>
    </w:rPr>
  </w:style>
  <w:style w:type="paragraph" w:customStyle="1" w:styleId="AppendixHeading2">
    <w:name w:val="Appendix Heading 2"/>
    <w:basedOn w:val="Normal"/>
    <w:next w:val="BodyText"/>
    <w:uiPriority w:val="4"/>
    <w:qFormat/>
    <w:rsid w:val="006008FF"/>
    <w:pPr>
      <w:numPr>
        <w:ilvl w:val="2"/>
        <w:numId w:val="11"/>
      </w:numPr>
      <w:tabs>
        <w:tab w:val="left" w:pos="1559"/>
        <w:tab w:val="left" w:pos="2126"/>
        <w:tab w:val="left" w:pos="2410"/>
        <w:tab w:val="right" w:pos="9639"/>
      </w:tabs>
      <w:spacing w:before="360" w:after="200"/>
    </w:pPr>
    <w:rPr>
      <w:rFonts w:asciiTheme="majorHAnsi" w:hAnsiTheme="majorHAnsi"/>
      <w:b/>
      <w:color w:val="auto"/>
      <w:sz w:val="22"/>
    </w:rPr>
  </w:style>
  <w:style w:type="paragraph" w:customStyle="1" w:styleId="AppendixHeading3">
    <w:name w:val="Appendix Heading 3"/>
    <w:basedOn w:val="Normal"/>
    <w:next w:val="BodyText"/>
    <w:uiPriority w:val="4"/>
    <w:qFormat/>
    <w:rsid w:val="006008FF"/>
    <w:pPr>
      <w:numPr>
        <w:ilvl w:val="3"/>
        <w:numId w:val="11"/>
      </w:numPr>
      <w:tabs>
        <w:tab w:val="left" w:pos="1559"/>
        <w:tab w:val="left" w:pos="2126"/>
        <w:tab w:val="left" w:pos="2410"/>
        <w:tab w:val="left" w:pos="6804"/>
        <w:tab w:val="right" w:pos="9639"/>
      </w:tabs>
      <w:spacing w:before="360" w:after="200"/>
    </w:pPr>
    <w:rPr>
      <w:b/>
      <w:color w:val="auto"/>
      <w:lang w:eastAsia="en-US"/>
    </w:rPr>
  </w:style>
  <w:style w:type="paragraph" w:customStyle="1" w:styleId="FooterWithLine">
    <w:name w:val="Footer With Line"/>
    <w:basedOn w:val="Footer"/>
    <w:next w:val="Footer"/>
    <w:rsid w:val="007D62D8"/>
    <w:pPr>
      <w:pBdr>
        <w:bottom w:val="single" w:sz="4" w:space="1" w:color="auto"/>
      </w:pBdr>
      <w:spacing w:before="180" w:after="120" w:line="140" w:lineRule="exact"/>
    </w:pPr>
    <w:rPr>
      <w:rFonts w:ascii="Arial" w:hAnsi="Arial" w:cs="Arial"/>
      <w:color w:val="000000"/>
    </w:rPr>
  </w:style>
  <w:style w:type="character" w:customStyle="1" w:styleId="Heading1Char">
    <w:name w:val="Heading 1 Char"/>
    <w:basedOn w:val="DefaultParagraphFont"/>
    <w:link w:val="Heading1"/>
    <w:rsid w:val="00AD3E68"/>
    <w:rPr>
      <w:rFonts w:asciiTheme="majorHAnsi" w:eastAsiaTheme="majorEastAsia" w:hAnsiTheme="majorHAnsi" w:cstheme="majorBidi"/>
      <w:bCs/>
      <w:color w:val="277BB4" w:themeColor="text2"/>
      <w:spacing w:val="-10"/>
      <w:sz w:val="38"/>
      <w:szCs w:val="32"/>
    </w:rPr>
  </w:style>
  <w:style w:type="character" w:customStyle="1" w:styleId="Heading2Char">
    <w:name w:val="Heading 2 Char"/>
    <w:basedOn w:val="DefaultParagraphFont"/>
    <w:link w:val="Heading2"/>
    <w:rsid w:val="006008FF"/>
    <w:rPr>
      <w:rFonts w:asciiTheme="majorHAnsi" w:eastAsiaTheme="majorEastAsia" w:hAnsiTheme="majorHAnsi" w:cstheme="majorBidi"/>
      <w:b/>
      <w:bCs/>
      <w:color w:val="277BB4" w:themeColor="text2"/>
      <w:sz w:val="24"/>
      <w:szCs w:val="26"/>
    </w:rPr>
  </w:style>
  <w:style w:type="character" w:customStyle="1" w:styleId="Heading3Char">
    <w:name w:val="Heading 3 Char"/>
    <w:basedOn w:val="DefaultParagraphFont"/>
    <w:link w:val="Heading3"/>
    <w:rsid w:val="00654CCE"/>
    <w:rPr>
      <w:rFonts w:asciiTheme="majorHAnsi" w:eastAsiaTheme="majorEastAsia" w:hAnsiTheme="majorHAnsi" w:cstheme="majorBidi"/>
      <w:b/>
      <w:bCs/>
      <w:color w:val="auto"/>
      <w:sz w:val="22"/>
    </w:rPr>
  </w:style>
  <w:style w:type="character" w:customStyle="1" w:styleId="Heading4Char">
    <w:name w:val="Heading 4 Char"/>
    <w:basedOn w:val="DefaultParagraphFont"/>
    <w:link w:val="Heading4"/>
    <w:rsid w:val="006008FF"/>
    <w:rPr>
      <w:rFonts w:eastAsiaTheme="majorEastAsia" w:cstheme="majorBidi"/>
      <w:b/>
      <w:bCs/>
      <w:iCs/>
      <w:color w:val="auto"/>
    </w:rPr>
  </w:style>
  <w:style w:type="character" w:customStyle="1" w:styleId="Heading7Char">
    <w:name w:val="Heading 7 Char"/>
    <w:basedOn w:val="DefaultParagraphFont"/>
    <w:link w:val="Heading7"/>
    <w:semiHidden/>
    <w:rsid w:val="00DD7311"/>
    <w:rPr>
      <w:rFonts w:asciiTheme="majorHAnsi" w:eastAsiaTheme="majorEastAsia" w:hAnsiTheme="majorHAnsi" w:cstheme="majorBidi"/>
      <w:b/>
      <w:iCs/>
      <w:sz w:val="18"/>
      <w:szCs w:val="18"/>
    </w:rPr>
  </w:style>
  <w:style w:type="character" w:customStyle="1" w:styleId="Heading8Char">
    <w:name w:val="Heading 8 Char"/>
    <w:aliases w:val="Appendix Title Char"/>
    <w:basedOn w:val="DefaultParagraphFont"/>
    <w:link w:val="Heading8"/>
    <w:uiPriority w:val="3"/>
    <w:rsid w:val="00120CB6"/>
    <w:rPr>
      <w:rFonts w:asciiTheme="majorHAnsi" w:eastAsiaTheme="majorEastAsia" w:hAnsiTheme="majorHAnsi" w:cstheme="majorBidi"/>
      <w:color w:val="auto"/>
      <w:spacing w:val="-10"/>
      <w:sz w:val="38"/>
      <w:lang w:eastAsia="en-US"/>
    </w:rPr>
  </w:style>
  <w:style w:type="character" w:customStyle="1" w:styleId="Heading9Char">
    <w:name w:val="Heading 9 Char"/>
    <w:aliases w:val="Appendix Heading 1 Char"/>
    <w:basedOn w:val="DefaultParagraphFont"/>
    <w:link w:val="Heading9"/>
    <w:uiPriority w:val="3"/>
    <w:rsid w:val="00A50D7E"/>
    <w:rPr>
      <w:rFonts w:asciiTheme="majorHAnsi" w:hAnsiTheme="majorHAnsi" w:cs="Arial"/>
      <w:b/>
      <w:color w:val="277BB4" w:themeColor="text2"/>
      <w:sz w:val="28"/>
    </w:rPr>
  </w:style>
  <w:style w:type="numbering" w:customStyle="1" w:styleId="Headings">
    <w:name w:val="Headings"/>
    <w:uiPriority w:val="99"/>
    <w:rsid w:val="00DD7311"/>
    <w:pPr>
      <w:numPr>
        <w:numId w:val="2"/>
      </w:numPr>
    </w:pPr>
  </w:style>
  <w:style w:type="character" w:styleId="Hyperlink">
    <w:name w:val="Hyperlink"/>
    <w:basedOn w:val="DefaultParagraphFont"/>
    <w:uiPriority w:val="99"/>
    <w:unhideWhenUsed/>
    <w:rsid w:val="00DD7311"/>
    <w:rPr>
      <w:color w:val="000000" w:themeColor="hyperlink"/>
      <w:u w:val="single"/>
    </w:rPr>
  </w:style>
  <w:style w:type="character" w:styleId="FollowedHyperlink">
    <w:name w:val="FollowedHyperlink"/>
    <w:basedOn w:val="DefaultParagraphFont"/>
    <w:uiPriority w:val="99"/>
    <w:rsid w:val="004019F9"/>
    <w:rPr>
      <w:color w:val="000000" w:themeColor="text1"/>
      <w:u w:val="single"/>
    </w:rPr>
  </w:style>
  <w:style w:type="paragraph" w:styleId="ListBullet">
    <w:name w:val="List Bullet"/>
    <w:basedOn w:val="BodyText"/>
    <w:qFormat/>
    <w:rsid w:val="00B87F60"/>
    <w:pPr>
      <w:numPr>
        <w:numId w:val="13"/>
      </w:numPr>
      <w:tabs>
        <w:tab w:val="clear" w:pos="2268"/>
        <w:tab w:val="clear" w:pos="4536"/>
        <w:tab w:val="clear" w:pos="6804"/>
        <w:tab w:val="clear" w:pos="9638"/>
      </w:tabs>
      <w:spacing w:before="60" w:after="60"/>
    </w:pPr>
  </w:style>
  <w:style w:type="paragraph" w:styleId="ListBullet2">
    <w:name w:val="List Bullet 2"/>
    <w:basedOn w:val="ListBullet"/>
    <w:qFormat/>
    <w:rsid w:val="00B87F60"/>
    <w:pPr>
      <w:numPr>
        <w:ilvl w:val="1"/>
      </w:numPr>
    </w:pPr>
  </w:style>
  <w:style w:type="paragraph" w:styleId="ListBullet3">
    <w:name w:val="List Bullet 3"/>
    <w:basedOn w:val="ListBullet2"/>
    <w:qFormat/>
    <w:rsid w:val="00345F29"/>
    <w:pPr>
      <w:numPr>
        <w:ilvl w:val="2"/>
      </w:numPr>
    </w:pPr>
  </w:style>
  <w:style w:type="paragraph" w:styleId="ListContinue">
    <w:name w:val="List Continue"/>
    <w:basedOn w:val="Normal"/>
    <w:rsid w:val="00EE6483"/>
    <w:pPr>
      <w:spacing w:before="120" w:after="60"/>
      <w:ind w:left="397"/>
    </w:pPr>
  </w:style>
  <w:style w:type="paragraph" w:styleId="ListNumber">
    <w:name w:val="List Number"/>
    <w:basedOn w:val="BodyText"/>
    <w:qFormat/>
    <w:rsid w:val="00D02C00"/>
    <w:pPr>
      <w:numPr>
        <w:numId w:val="93"/>
      </w:numPr>
      <w:tabs>
        <w:tab w:val="clear" w:pos="2268"/>
        <w:tab w:val="clear" w:pos="4536"/>
        <w:tab w:val="clear" w:pos="6804"/>
        <w:tab w:val="clear" w:pos="9638"/>
      </w:tabs>
      <w:spacing w:before="120" w:after="120"/>
    </w:pPr>
  </w:style>
  <w:style w:type="paragraph" w:styleId="ListNumber2">
    <w:name w:val="List Number 2"/>
    <w:basedOn w:val="ListNumber"/>
    <w:qFormat/>
    <w:rsid w:val="00B87F60"/>
    <w:pPr>
      <w:numPr>
        <w:ilvl w:val="1"/>
      </w:numPr>
    </w:pPr>
  </w:style>
  <w:style w:type="paragraph" w:styleId="ListNumber3">
    <w:name w:val="List Number 3"/>
    <w:basedOn w:val="ListNumber2"/>
    <w:qFormat/>
    <w:rsid w:val="00A61A2B"/>
    <w:pPr>
      <w:numPr>
        <w:ilvl w:val="2"/>
      </w:numPr>
    </w:pPr>
  </w:style>
  <w:style w:type="numbering" w:customStyle="1" w:styleId="MyListNumbering">
    <w:name w:val="MyListNumbering"/>
    <w:uiPriority w:val="99"/>
    <w:rsid w:val="00DD7311"/>
    <w:pPr>
      <w:numPr>
        <w:numId w:val="4"/>
      </w:numPr>
    </w:pPr>
  </w:style>
  <w:style w:type="character" w:styleId="PlaceholderText">
    <w:name w:val="Placeholder Text"/>
    <w:basedOn w:val="DefaultParagraphFont"/>
    <w:uiPriority w:val="99"/>
    <w:semiHidden/>
    <w:rsid w:val="00DD7311"/>
    <w:rPr>
      <w:color w:val="808080"/>
    </w:rPr>
  </w:style>
  <w:style w:type="paragraph" w:customStyle="1" w:styleId="TableBodyText">
    <w:name w:val="Table Body Text"/>
    <w:basedOn w:val="Normal"/>
    <w:qFormat/>
    <w:rsid w:val="00314734"/>
    <w:pPr>
      <w:spacing w:before="40"/>
      <w:ind w:left="28" w:right="113"/>
    </w:pPr>
    <w:rPr>
      <w:sz w:val="18"/>
    </w:rPr>
  </w:style>
  <w:style w:type="paragraph" w:customStyle="1" w:styleId="Footnotes">
    <w:name w:val="Footnotes"/>
    <w:basedOn w:val="Normal"/>
    <w:qFormat/>
    <w:rsid w:val="00662E98"/>
    <w:pPr>
      <w:numPr>
        <w:ilvl w:val="1"/>
        <w:numId w:val="5"/>
      </w:numPr>
      <w:spacing w:before="40" w:after="280" w:line="180" w:lineRule="atLeast"/>
      <w:contextualSpacing/>
    </w:pPr>
    <w:rPr>
      <w:sz w:val="16"/>
    </w:rPr>
  </w:style>
  <w:style w:type="table" w:styleId="TableGrid">
    <w:name w:val="Table Grid"/>
    <w:basedOn w:val="TableNormal"/>
    <w:uiPriority w:val="59"/>
    <w:rsid w:val="003C34DF"/>
    <w:pPr>
      <w:ind w:left="28" w:right="113"/>
    </w:pPr>
    <w:rPr>
      <w:sz w:val="18"/>
    </w:rPr>
    <w:tblPr>
      <w:tblBorders>
        <w:top w:val="single" w:sz="4" w:space="0" w:color="277BB4" w:themeColor="text2"/>
        <w:bottom w:val="single" w:sz="4" w:space="0" w:color="277BB4" w:themeColor="text2"/>
        <w:insideH w:val="single" w:sz="4" w:space="0" w:color="277BB4" w:themeColor="text2"/>
      </w:tblBorders>
      <w:tblCellMar>
        <w:top w:w="57" w:type="dxa"/>
        <w:left w:w="0" w:type="dxa"/>
        <w:bottom w:w="28" w:type="dxa"/>
        <w:right w:w="0" w:type="dxa"/>
      </w:tblCellMar>
    </w:tblPr>
    <w:trPr>
      <w:cantSplit/>
    </w:trPr>
    <w:tblStylePr w:type="firstRow">
      <w:pPr>
        <w:keepNext/>
        <w:wordWrap/>
        <w:jc w:val="left"/>
      </w:pPr>
      <w:rPr>
        <w:b w:val="0"/>
        <w:color w:val="auto"/>
      </w:rPr>
      <w:tblPr/>
      <w:trPr>
        <w:cantSplit w:val="0"/>
        <w:tblHeader/>
      </w:trPr>
      <w:tcPr>
        <w:tcBorders>
          <w:top w:val="single" w:sz="4" w:space="0" w:color="277BB4" w:themeColor="text2"/>
          <w:left w:val="nil"/>
          <w:bottom w:val="single" w:sz="4" w:space="0" w:color="277BB4" w:themeColor="text2"/>
          <w:right w:val="nil"/>
          <w:insideH w:val="nil"/>
          <w:insideV w:val="nil"/>
          <w:tl2br w:val="nil"/>
          <w:tr2bl w:val="nil"/>
        </w:tcBorders>
        <w:vAlign w:val="bottom"/>
      </w:tcPr>
    </w:tblStylePr>
  </w:style>
  <w:style w:type="paragraph" w:customStyle="1" w:styleId="TableHeading">
    <w:name w:val="Table Heading"/>
    <w:basedOn w:val="TableBodyText"/>
    <w:qFormat/>
    <w:rsid w:val="00A34DDF"/>
    <w:rPr>
      <w:rFonts w:asciiTheme="majorHAnsi" w:hAnsiTheme="majorHAnsi"/>
      <w:b/>
      <w:color w:val="auto"/>
    </w:rPr>
  </w:style>
  <w:style w:type="paragraph" w:customStyle="1" w:styleId="TableListBullet">
    <w:name w:val="Table List Bullet"/>
    <w:basedOn w:val="TableBodyText"/>
    <w:qFormat/>
    <w:rsid w:val="00A34DDF"/>
    <w:pPr>
      <w:numPr>
        <w:numId w:val="6"/>
      </w:numPr>
    </w:pPr>
  </w:style>
  <w:style w:type="paragraph" w:customStyle="1" w:styleId="TableListBullet2">
    <w:name w:val="Table List Bullet 2"/>
    <w:basedOn w:val="TableListBullet"/>
    <w:qFormat/>
    <w:rsid w:val="008717E0"/>
    <w:pPr>
      <w:numPr>
        <w:ilvl w:val="1"/>
      </w:numPr>
    </w:pPr>
  </w:style>
  <w:style w:type="paragraph" w:customStyle="1" w:styleId="TableListBullet3">
    <w:name w:val="Table List Bullet 3"/>
    <w:basedOn w:val="TableListBullet2"/>
    <w:qFormat/>
    <w:rsid w:val="00DD7311"/>
    <w:pPr>
      <w:numPr>
        <w:ilvl w:val="2"/>
      </w:numPr>
    </w:pPr>
  </w:style>
  <w:style w:type="paragraph" w:customStyle="1" w:styleId="TableListNumber">
    <w:name w:val="Table List Number"/>
    <w:basedOn w:val="TableBodyText"/>
    <w:qFormat/>
    <w:rsid w:val="00A34DDF"/>
    <w:pPr>
      <w:numPr>
        <w:numId w:val="7"/>
      </w:numPr>
    </w:pPr>
  </w:style>
  <w:style w:type="paragraph" w:customStyle="1" w:styleId="TableListNumber2">
    <w:name w:val="Table List Number 2"/>
    <w:basedOn w:val="TableListNumber"/>
    <w:qFormat/>
    <w:rsid w:val="00202628"/>
    <w:pPr>
      <w:numPr>
        <w:ilvl w:val="1"/>
      </w:numPr>
    </w:pPr>
  </w:style>
  <w:style w:type="paragraph" w:customStyle="1" w:styleId="TableListNumber3">
    <w:name w:val="Table List Number 3"/>
    <w:basedOn w:val="TableListNumber2"/>
    <w:qFormat/>
    <w:rsid w:val="00202628"/>
    <w:pPr>
      <w:numPr>
        <w:ilvl w:val="2"/>
      </w:numPr>
    </w:pPr>
  </w:style>
  <w:style w:type="paragraph" w:styleId="TableofFigures">
    <w:name w:val="table of figures"/>
    <w:basedOn w:val="Normal"/>
    <w:next w:val="Normal"/>
    <w:uiPriority w:val="99"/>
    <w:rsid w:val="00284AA5"/>
    <w:pPr>
      <w:tabs>
        <w:tab w:val="left" w:pos="1134"/>
        <w:tab w:val="right" w:leader="dot" w:pos="9072"/>
      </w:tabs>
      <w:spacing w:before="90" w:after="90"/>
      <w:ind w:left="1134" w:right="851" w:hanging="1134"/>
    </w:pPr>
    <w:rPr>
      <w:noProof/>
    </w:rPr>
  </w:style>
  <w:style w:type="paragraph" w:customStyle="1" w:styleId="Source">
    <w:name w:val="Source"/>
    <w:basedOn w:val="Normal"/>
    <w:rsid w:val="00662E98"/>
    <w:pPr>
      <w:tabs>
        <w:tab w:val="left" w:pos="737"/>
      </w:tabs>
      <w:spacing w:before="40" w:after="280" w:line="240" w:lineRule="auto"/>
      <w:ind w:left="737" w:hanging="737"/>
    </w:pPr>
    <w:rPr>
      <w:sz w:val="16"/>
      <w:lang w:eastAsia="en-US"/>
    </w:rPr>
  </w:style>
  <w:style w:type="numbering" w:customStyle="1" w:styleId="TableBullets">
    <w:name w:val="TableBullets"/>
    <w:uiPriority w:val="99"/>
    <w:rsid w:val="00DD7311"/>
    <w:pPr>
      <w:numPr>
        <w:numId w:val="8"/>
      </w:numPr>
    </w:pPr>
  </w:style>
  <w:style w:type="numbering" w:customStyle="1" w:styleId="TableFootnotes">
    <w:name w:val="TableFootnotes"/>
    <w:uiPriority w:val="99"/>
    <w:rsid w:val="00DD7311"/>
    <w:pPr>
      <w:numPr>
        <w:numId w:val="9"/>
      </w:numPr>
    </w:pPr>
  </w:style>
  <w:style w:type="numbering" w:customStyle="1" w:styleId="TableNumbering">
    <w:name w:val="TableNumbering"/>
    <w:uiPriority w:val="99"/>
    <w:rsid w:val="00DD7311"/>
    <w:pPr>
      <w:numPr>
        <w:numId w:val="10"/>
      </w:numPr>
    </w:pPr>
  </w:style>
  <w:style w:type="paragraph" w:styleId="Title">
    <w:name w:val="Title"/>
    <w:basedOn w:val="Normal"/>
    <w:link w:val="TitleChar"/>
    <w:uiPriority w:val="99"/>
    <w:rsid w:val="00F155D7"/>
    <w:pPr>
      <w:spacing w:before="240" w:after="240" w:line="240" w:lineRule="auto"/>
      <w:ind w:right="2552"/>
      <w:contextualSpacing/>
      <w:outlineLvl w:val="0"/>
    </w:pPr>
    <w:rPr>
      <w:rFonts w:asciiTheme="majorHAnsi" w:eastAsiaTheme="minorEastAsia" w:hAnsiTheme="majorHAnsi"/>
      <w:b/>
      <w:color w:val="277BB4" w:themeColor="text2"/>
      <w:sz w:val="52"/>
      <w:szCs w:val="96"/>
    </w:rPr>
  </w:style>
  <w:style w:type="character" w:customStyle="1" w:styleId="TitleChar">
    <w:name w:val="Title Char"/>
    <w:basedOn w:val="DefaultParagraphFont"/>
    <w:link w:val="Title"/>
    <w:uiPriority w:val="99"/>
    <w:rsid w:val="00F155D7"/>
    <w:rPr>
      <w:rFonts w:asciiTheme="majorHAnsi" w:eastAsiaTheme="minorEastAsia" w:hAnsiTheme="majorHAnsi"/>
      <w:b/>
      <w:color w:val="277BB4" w:themeColor="text2"/>
      <w:sz w:val="52"/>
      <w:szCs w:val="96"/>
    </w:rPr>
  </w:style>
  <w:style w:type="paragraph" w:styleId="Subtitle">
    <w:name w:val="Subtitle"/>
    <w:basedOn w:val="Normal"/>
    <w:next w:val="Normal"/>
    <w:link w:val="SubtitleChar"/>
    <w:uiPriority w:val="11"/>
    <w:qFormat/>
    <w:rsid w:val="00F155D7"/>
    <w:pPr>
      <w:ind w:right="2551"/>
    </w:pPr>
    <w:rPr>
      <w:rFonts w:eastAsiaTheme="minorEastAsia"/>
      <w:sz w:val="44"/>
      <w:szCs w:val="60"/>
    </w:rPr>
  </w:style>
  <w:style w:type="paragraph" w:styleId="TOC1">
    <w:name w:val="toc 1"/>
    <w:basedOn w:val="Normal"/>
    <w:next w:val="Normal"/>
    <w:autoRedefine/>
    <w:uiPriority w:val="39"/>
    <w:rsid w:val="00A04B46"/>
    <w:pPr>
      <w:tabs>
        <w:tab w:val="left" w:pos="567"/>
        <w:tab w:val="right" w:leader="dot" w:pos="9072"/>
      </w:tabs>
      <w:spacing w:before="180" w:after="70"/>
      <w:ind w:left="454" w:right="851" w:hanging="454"/>
    </w:pPr>
    <w:rPr>
      <w:b/>
      <w:noProof/>
    </w:rPr>
  </w:style>
  <w:style w:type="paragraph" w:styleId="TOC2">
    <w:name w:val="toc 2"/>
    <w:basedOn w:val="Normal"/>
    <w:next w:val="Normal"/>
    <w:autoRedefine/>
    <w:uiPriority w:val="39"/>
    <w:rsid w:val="006E6DDD"/>
    <w:pPr>
      <w:tabs>
        <w:tab w:val="left" w:pos="1134"/>
        <w:tab w:val="right" w:leader="dot" w:pos="9072"/>
      </w:tabs>
      <w:spacing w:before="90" w:after="90"/>
      <w:ind w:left="1134" w:right="851" w:hanging="567"/>
    </w:pPr>
    <w:rPr>
      <w:noProof/>
    </w:rPr>
  </w:style>
  <w:style w:type="paragraph" w:styleId="TOC3">
    <w:name w:val="toc 3"/>
    <w:basedOn w:val="Normal"/>
    <w:next w:val="Normal"/>
    <w:autoRedefine/>
    <w:uiPriority w:val="39"/>
    <w:rsid w:val="006E6DDD"/>
    <w:pPr>
      <w:tabs>
        <w:tab w:val="left" w:pos="1985"/>
        <w:tab w:val="right" w:leader="dot" w:pos="9072"/>
      </w:tabs>
      <w:spacing w:before="90" w:after="90"/>
      <w:ind w:left="1985" w:right="851" w:hanging="851"/>
    </w:pPr>
    <w:rPr>
      <w:noProof/>
    </w:rPr>
  </w:style>
  <w:style w:type="paragraph" w:styleId="TOC4">
    <w:name w:val="toc 4"/>
    <w:basedOn w:val="Normal"/>
    <w:next w:val="Normal"/>
    <w:autoRedefine/>
    <w:uiPriority w:val="39"/>
    <w:rsid w:val="00101C2D"/>
    <w:pPr>
      <w:tabs>
        <w:tab w:val="left" w:pos="1134"/>
        <w:tab w:val="right" w:leader="dot" w:pos="9072"/>
      </w:tabs>
      <w:spacing w:before="90" w:after="90" w:line="360" w:lineRule="auto"/>
      <w:ind w:left="1985" w:right="851" w:hanging="851"/>
      <w:contextualSpacing/>
    </w:pPr>
    <w:rPr>
      <w:noProof/>
    </w:rPr>
  </w:style>
  <w:style w:type="paragraph" w:styleId="TOC5">
    <w:name w:val="toc 5"/>
    <w:basedOn w:val="Normal"/>
    <w:next w:val="Normal"/>
    <w:autoRedefine/>
    <w:uiPriority w:val="39"/>
    <w:rsid w:val="00824530"/>
    <w:pPr>
      <w:tabs>
        <w:tab w:val="left" w:pos="1276"/>
        <w:tab w:val="right" w:leader="dot" w:pos="9072"/>
      </w:tabs>
      <w:spacing w:before="180" w:after="70"/>
      <w:ind w:left="1276" w:hanging="1276"/>
    </w:pPr>
    <w:rPr>
      <w:b/>
      <w:noProof/>
    </w:rPr>
  </w:style>
  <w:style w:type="paragraph" w:styleId="TOC6">
    <w:name w:val="toc 6"/>
    <w:basedOn w:val="Normal"/>
    <w:next w:val="Normal"/>
    <w:autoRedefine/>
    <w:uiPriority w:val="39"/>
    <w:rsid w:val="00DD7311"/>
    <w:pPr>
      <w:spacing w:after="100"/>
      <w:ind w:left="900"/>
    </w:pPr>
  </w:style>
  <w:style w:type="paragraph" w:styleId="TOC7">
    <w:name w:val="toc 7"/>
    <w:basedOn w:val="Normal"/>
    <w:next w:val="Normal"/>
    <w:autoRedefine/>
    <w:semiHidden/>
    <w:rsid w:val="00DD7311"/>
    <w:pPr>
      <w:spacing w:after="100"/>
      <w:ind w:left="1080"/>
    </w:pPr>
  </w:style>
  <w:style w:type="paragraph" w:styleId="TOC8">
    <w:name w:val="toc 8"/>
    <w:basedOn w:val="Normal"/>
    <w:next w:val="Normal"/>
    <w:autoRedefine/>
    <w:uiPriority w:val="39"/>
    <w:rsid w:val="00DD7311"/>
    <w:pPr>
      <w:spacing w:after="100"/>
      <w:ind w:left="1260"/>
    </w:pPr>
  </w:style>
  <w:style w:type="paragraph" w:styleId="TOC9">
    <w:name w:val="toc 9"/>
    <w:basedOn w:val="Normal"/>
    <w:next w:val="Normal"/>
    <w:autoRedefine/>
    <w:uiPriority w:val="39"/>
    <w:rsid w:val="00DD7311"/>
    <w:pPr>
      <w:spacing w:after="100"/>
      <w:ind w:left="1440"/>
    </w:pPr>
  </w:style>
  <w:style w:type="paragraph" w:customStyle="1" w:styleId="xDocumentDetails">
    <w:name w:val="xDocument Details"/>
    <w:basedOn w:val="Normal"/>
    <w:semiHidden/>
    <w:qFormat/>
    <w:rsid w:val="00DD7311"/>
    <w:pPr>
      <w:framePr w:hSpace="181" w:vSpace="567" w:wrap="around" w:hAnchor="margin" w:yAlign="bottom"/>
      <w:tabs>
        <w:tab w:val="left" w:pos="2268"/>
      </w:tabs>
      <w:ind w:left="2268" w:hanging="2268"/>
      <w:suppressOverlap/>
    </w:pPr>
  </w:style>
  <w:style w:type="character" w:customStyle="1" w:styleId="SubtitleChar">
    <w:name w:val="Subtitle Char"/>
    <w:basedOn w:val="DefaultParagraphFont"/>
    <w:link w:val="Subtitle"/>
    <w:uiPriority w:val="11"/>
    <w:rsid w:val="00F155D7"/>
    <w:rPr>
      <w:rFonts w:eastAsiaTheme="minorEastAsia"/>
      <w:sz w:val="44"/>
      <w:szCs w:val="60"/>
    </w:rPr>
  </w:style>
  <w:style w:type="paragraph" w:styleId="ListContinue2">
    <w:name w:val="List Continue 2"/>
    <w:basedOn w:val="Normal"/>
    <w:rsid w:val="00EE6483"/>
    <w:pPr>
      <w:spacing w:before="120" w:after="60"/>
      <w:ind w:left="794"/>
    </w:pPr>
  </w:style>
  <w:style w:type="paragraph" w:styleId="ListContinue3">
    <w:name w:val="List Continue 3"/>
    <w:basedOn w:val="Normal"/>
    <w:rsid w:val="00EE6483"/>
    <w:pPr>
      <w:spacing w:before="120" w:after="60"/>
      <w:ind w:left="1191"/>
    </w:pPr>
  </w:style>
  <w:style w:type="paragraph" w:styleId="NoSpacing">
    <w:name w:val="No Spacing"/>
    <w:basedOn w:val="Normal"/>
    <w:next w:val="BodyText"/>
    <w:rsid w:val="004D457F"/>
  </w:style>
  <w:style w:type="paragraph" w:styleId="Date">
    <w:name w:val="Date"/>
    <w:basedOn w:val="Normal"/>
    <w:next w:val="Normal"/>
    <w:link w:val="DateChar"/>
    <w:semiHidden/>
    <w:rsid w:val="00AE5749"/>
    <w:pPr>
      <w:spacing w:before="360"/>
      <w:jc w:val="center"/>
    </w:pPr>
    <w:rPr>
      <w:sz w:val="32"/>
    </w:rPr>
  </w:style>
  <w:style w:type="character" w:customStyle="1" w:styleId="DateChar">
    <w:name w:val="Date Char"/>
    <w:basedOn w:val="DefaultParagraphFont"/>
    <w:link w:val="Date"/>
    <w:semiHidden/>
    <w:rsid w:val="000B59CB"/>
    <w:rPr>
      <w:color w:val="000000" w:themeColor="text1"/>
      <w:sz w:val="32"/>
      <w:szCs w:val="18"/>
    </w:rPr>
  </w:style>
  <w:style w:type="paragraph" w:customStyle="1" w:styleId="Subtitle2">
    <w:name w:val="Subtitle 2"/>
    <w:basedOn w:val="Normal"/>
    <w:qFormat/>
    <w:rsid w:val="00F155D7"/>
    <w:pPr>
      <w:spacing w:before="360" w:after="360"/>
      <w:ind w:right="2552"/>
    </w:pPr>
    <w:rPr>
      <w:rFonts w:eastAsiaTheme="minorEastAsia"/>
      <w:sz w:val="36"/>
      <w:szCs w:val="24"/>
    </w:rPr>
  </w:style>
  <w:style w:type="paragraph" w:customStyle="1" w:styleId="PullOutBoxBullet">
    <w:name w:val="Pull Out Box Bullet"/>
    <w:basedOn w:val="PullOutBoxBodyText"/>
    <w:qFormat/>
    <w:rsid w:val="004807F0"/>
    <w:pPr>
      <w:numPr>
        <w:numId w:val="16"/>
      </w:numPr>
    </w:pPr>
  </w:style>
  <w:style w:type="paragraph" w:customStyle="1" w:styleId="TableofFiguresHeading">
    <w:name w:val="Table of Figures Heading"/>
    <w:basedOn w:val="Normal"/>
    <w:rsid w:val="00316518"/>
    <w:pPr>
      <w:keepNext/>
      <w:keepLines/>
      <w:spacing w:before="240" w:after="240" w:line="240" w:lineRule="auto"/>
    </w:pPr>
    <w:rPr>
      <w:b/>
      <w:bCs/>
      <w:noProof/>
      <w:color w:val="277BB4" w:themeColor="text2"/>
      <w:sz w:val="24"/>
    </w:rPr>
  </w:style>
  <w:style w:type="paragraph" w:customStyle="1" w:styleId="FooterLeftText">
    <w:name w:val="Footer Left Text"/>
    <w:semiHidden/>
    <w:rsid w:val="00F27994"/>
    <w:pPr>
      <w:framePr w:hSpace="113" w:wrap="around" w:vAnchor="page" w:hAnchor="margin" w:yAlign="bottom"/>
    </w:pPr>
    <w:rPr>
      <w:color w:val="5B5652"/>
      <w:sz w:val="18"/>
      <w:szCs w:val="18"/>
    </w:rPr>
  </w:style>
  <w:style w:type="paragraph" w:customStyle="1" w:styleId="Address">
    <w:name w:val="Address"/>
    <w:basedOn w:val="Normal"/>
    <w:semiHidden/>
    <w:rsid w:val="00C6084A"/>
    <w:pPr>
      <w:framePr w:hSpace="181" w:wrap="around" w:vAnchor="page" w:hAnchor="page" w:xAlign="right" w:yAlign="bottom"/>
      <w:tabs>
        <w:tab w:val="left" w:pos="227"/>
      </w:tabs>
      <w:suppressOverlap/>
    </w:pPr>
    <w:rPr>
      <w:noProof/>
      <w:color w:val="FFFFFF"/>
    </w:rPr>
  </w:style>
  <w:style w:type="character" w:customStyle="1" w:styleId="Heading5Char">
    <w:name w:val="Heading 5 Char"/>
    <w:basedOn w:val="DefaultParagraphFont"/>
    <w:link w:val="Heading5"/>
    <w:rsid w:val="005C4F14"/>
    <w:rPr>
      <w:rFonts w:asciiTheme="majorHAnsi" w:eastAsiaTheme="majorEastAsia" w:hAnsiTheme="majorHAnsi" w:cstheme="majorBidi"/>
      <w:b/>
    </w:rPr>
  </w:style>
  <w:style w:type="character" w:customStyle="1" w:styleId="Heading6Char">
    <w:name w:val="Heading 6 Char"/>
    <w:basedOn w:val="DefaultParagraphFont"/>
    <w:link w:val="Heading6"/>
    <w:rsid w:val="00F52A35"/>
    <w:rPr>
      <w:rFonts w:asciiTheme="majorHAnsi" w:eastAsiaTheme="majorEastAsia" w:hAnsiTheme="majorHAnsi" w:cstheme="majorBidi"/>
      <w:i/>
      <w:iCs/>
      <w:szCs w:val="22"/>
      <w:lang w:eastAsia="en-US"/>
    </w:rPr>
  </w:style>
  <w:style w:type="paragraph" w:styleId="ListParagraph">
    <w:name w:val="List Paragraph"/>
    <w:aliases w:val="Bullet 1"/>
    <w:basedOn w:val="Normal"/>
    <w:link w:val="ListParagraphChar"/>
    <w:uiPriority w:val="34"/>
    <w:qFormat/>
    <w:rsid w:val="00C778F0"/>
    <w:pPr>
      <w:spacing w:before="120" w:after="120"/>
      <w:ind w:left="720"/>
    </w:pPr>
    <w:rPr>
      <w:rFonts w:eastAsia="Calibri"/>
      <w:lang w:eastAsia="en-US"/>
    </w:rPr>
  </w:style>
  <w:style w:type="paragraph" w:styleId="Revision">
    <w:name w:val="Revision"/>
    <w:hidden/>
    <w:uiPriority w:val="99"/>
    <w:semiHidden/>
    <w:rsid w:val="009E7348"/>
    <w:pPr>
      <w:spacing w:line="240" w:lineRule="auto"/>
    </w:pPr>
    <w:rPr>
      <w:rFonts w:ascii="Calibri" w:eastAsia="Calibri" w:hAnsi="Calibri"/>
      <w:lang w:eastAsia="en-US"/>
    </w:rPr>
  </w:style>
  <w:style w:type="paragraph" w:customStyle="1" w:styleId="BoldHeading">
    <w:name w:val="Bold Heading"/>
    <w:basedOn w:val="BodyText"/>
    <w:next w:val="BodyText"/>
    <w:qFormat/>
    <w:rsid w:val="009E1572"/>
    <w:pPr>
      <w:keepNext/>
      <w:spacing w:before="360"/>
    </w:pPr>
    <w:rPr>
      <w:rFonts w:asciiTheme="majorHAnsi" w:hAnsiTheme="majorHAnsi"/>
      <w:b/>
      <w:color w:val="auto"/>
    </w:rPr>
  </w:style>
  <w:style w:type="paragraph" w:styleId="FootnoteText">
    <w:name w:val="footnote text"/>
    <w:aliases w:val="fn,FT,ft,SD Footnote Text,Footnote Text AG,(NECG) Footnote Text,Char Char,Char Char Char,Char Char1,Char Char Char2,AR Footnote Text,ALTS FOOTNOTE,ALTS FOOTNOTE Char,Footnote Text Char1 Char,Footnote Text Char Char Char,fn Char Char Char"/>
    <w:basedOn w:val="Normal"/>
    <w:link w:val="FootnoteTextChar"/>
    <w:uiPriority w:val="99"/>
    <w:qFormat/>
    <w:rsid w:val="00262A91"/>
    <w:pPr>
      <w:spacing w:line="240" w:lineRule="auto"/>
    </w:pPr>
    <w:rPr>
      <w:sz w:val="16"/>
    </w:rPr>
  </w:style>
  <w:style w:type="character" w:customStyle="1" w:styleId="FootnoteTextChar">
    <w:name w:val="Footnote Text Char"/>
    <w:aliases w:val="fn Char,FT Char,ft Char,SD Footnote Text Char,Footnote Text AG Char,(NECG) Footnote Text Char,Char Char Char1,Char Char Char Char,Char Char1 Char,Char Char Char2 Char,AR Footnote Text Char,ALTS FOOTNOTE Char1,ALTS FOOTNOTE Char Char"/>
    <w:basedOn w:val="DefaultParagraphFont"/>
    <w:link w:val="FootnoteText"/>
    <w:uiPriority w:val="99"/>
    <w:rsid w:val="00262A91"/>
    <w:rPr>
      <w:sz w:val="16"/>
    </w:rPr>
  </w:style>
  <w:style w:type="character" w:styleId="FootnoteReference">
    <w:name w:val="footnote reference"/>
    <w:aliases w:val="fr,(NECG) Footnote Reference"/>
    <w:basedOn w:val="DefaultParagraphFont"/>
    <w:uiPriority w:val="99"/>
    <w:rsid w:val="00617C92"/>
    <w:rPr>
      <w:vertAlign w:val="superscript"/>
    </w:rPr>
  </w:style>
  <w:style w:type="paragraph" w:customStyle="1" w:styleId="TableBodyTextBold">
    <w:name w:val="Table Body Text Bold"/>
    <w:basedOn w:val="TableBodyText"/>
    <w:qFormat/>
    <w:rsid w:val="00B752AC"/>
    <w:rPr>
      <w:rFonts w:asciiTheme="majorHAnsi" w:hAnsiTheme="majorHAnsi"/>
      <w:b/>
    </w:rPr>
  </w:style>
  <w:style w:type="paragraph" w:customStyle="1" w:styleId="PullOutBoxHeading">
    <w:name w:val="Pull Out Box Heading"/>
    <w:basedOn w:val="PullOutBoxBodyText"/>
    <w:next w:val="PullOutBoxBodyText"/>
    <w:qFormat/>
    <w:rsid w:val="004807F0"/>
    <w:rPr>
      <w:rFonts w:asciiTheme="majorHAnsi" w:hAnsiTheme="majorHAnsi"/>
      <w:b/>
    </w:rPr>
  </w:style>
  <w:style w:type="paragraph" w:customStyle="1" w:styleId="FigureSource">
    <w:name w:val="Figure Source"/>
    <w:basedOn w:val="Source"/>
    <w:next w:val="BodyText"/>
    <w:rsid w:val="00F67A1A"/>
    <w:pPr>
      <w:spacing w:after="120"/>
    </w:pPr>
  </w:style>
  <w:style w:type="table" w:styleId="LightGrid-Accent6">
    <w:name w:val="Light Grid Accent 6"/>
    <w:basedOn w:val="TableNormal"/>
    <w:uiPriority w:val="62"/>
    <w:rsid w:val="0095594E"/>
    <w:pPr>
      <w:spacing w:line="240" w:lineRule="auto"/>
    </w:pPr>
    <w:tblPr>
      <w:tblStyleRowBandSize w:val="1"/>
      <w:tblStyleColBandSize w:val="1"/>
      <w:tblBorders>
        <w:top w:val="single" w:sz="8" w:space="0" w:color="878686" w:themeColor="accent6"/>
        <w:left w:val="single" w:sz="8" w:space="0" w:color="878686" w:themeColor="accent6"/>
        <w:bottom w:val="single" w:sz="8" w:space="0" w:color="878686" w:themeColor="accent6"/>
        <w:right w:val="single" w:sz="8" w:space="0" w:color="878686" w:themeColor="accent6"/>
        <w:insideH w:val="single" w:sz="8" w:space="0" w:color="878686" w:themeColor="accent6"/>
        <w:insideV w:val="single" w:sz="8" w:space="0" w:color="87868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78686" w:themeColor="accent6"/>
          <w:left w:val="single" w:sz="8" w:space="0" w:color="878686" w:themeColor="accent6"/>
          <w:bottom w:val="single" w:sz="18" w:space="0" w:color="878686" w:themeColor="accent6"/>
          <w:right w:val="single" w:sz="8" w:space="0" w:color="878686" w:themeColor="accent6"/>
          <w:insideH w:val="nil"/>
          <w:insideV w:val="single" w:sz="8" w:space="0" w:color="87868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78686" w:themeColor="accent6"/>
          <w:left w:val="single" w:sz="8" w:space="0" w:color="878686" w:themeColor="accent6"/>
          <w:bottom w:val="single" w:sz="8" w:space="0" w:color="878686" w:themeColor="accent6"/>
          <w:right w:val="single" w:sz="8" w:space="0" w:color="878686" w:themeColor="accent6"/>
          <w:insideH w:val="nil"/>
          <w:insideV w:val="single" w:sz="8" w:space="0" w:color="87868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78686" w:themeColor="accent6"/>
          <w:left w:val="single" w:sz="8" w:space="0" w:color="878686" w:themeColor="accent6"/>
          <w:bottom w:val="single" w:sz="8" w:space="0" w:color="878686" w:themeColor="accent6"/>
          <w:right w:val="single" w:sz="8" w:space="0" w:color="878686" w:themeColor="accent6"/>
        </w:tcBorders>
      </w:tcPr>
    </w:tblStylePr>
    <w:tblStylePr w:type="band1Vert">
      <w:tblPr/>
      <w:tcPr>
        <w:tcBorders>
          <w:top w:val="single" w:sz="8" w:space="0" w:color="878686" w:themeColor="accent6"/>
          <w:left w:val="single" w:sz="8" w:space="0" w:color="878686" w:themeColor="accent6"/>
          <w:bottom w:val="single" w:sz="8" w:space="0" w:color="878686" w:themeColor="accent6"/>
          <w:right w:val="single" w:sz="8" w:space="0" w:color="878686" w:themeColor="accent6"/>
        </w:tcBorders>
        <w:shd w:val="clear" w:color="auto" w:fill="E1E1E1" w:themeFill="accent6" w:themeFillTint="3F"/>
      </w:tcPr>
    </w:tblStylePr>
    <w:tblStylePr w:type="band1Horz">
      <w:tblPr/>
      <w:tcPr>
        <w:tcBorders>
          <w:top w:val="single" w:sz="8" w:space="0" w:color="878686" w:themeColor="accent6"/>
          <w:left w:val="single" w:sz="8" w:space="0" w:color="878686" w:themeColor="accent6"/>
          <w:bottom w:val="single" w:sz="8" w:space="0" w:color="878686" w:themeColor="accent6"/>
          <w:right w:val="single" w:sz="8" w:space="0" w:color="878686" w:themeColor="accent6"/>
          <w:insideV w:val="single" w:sz="8" w:space="0" w:color="878686" w:themeColor="accent6"/>
        </w:tcBorders>
        <w:shd w:val="clear" w:color="auto" w:fill="E1E1E1" w:themeFill="accent6" w:themeFillTint="3F"/>
      </w:tcPr>
    </w:tblStylePr>
    <w:tblStylePr w:type="band2Horz">
      <w:tblPr/>
      <w:tcPr>
        <w:tcBorders>
          <w:top w:val="single" w:sz="8" w:space="0" w:color="878686" w:themeColor="accent6"/>
          <w:left w:val="single" w:sz="8" w:space="0" w:color="878686" w:themeColor="accent6"/>
          <w:bottom w:val="single" w:sz="8" w:space="0" w:color="878686" w:themeColor="accent6"/>
          <w:right w:val="single" w:sz="8" w:space="0" w:color="878686" w:themeColor="accent6"/>
          <w:insideV w:val="single" w:sz="8" w:space="0" w:color="878686" w:themeColor="accent6"/>
        </w:tcBorders>
      </w:tcPr>
    </w:tblStylePr>
  </w:style>
  <w:style w:type="character" w:customStyle="1" w:styleId="Bold">
    <w:name w:val="Bold"/>
    <w:rsid w:val="000946E4"/>
    <w:rPr>
      <w:b/>
    </w:rPr>
  </w:style>
  <w:style w:type="paragraph" w:styleId="NormalWeb">
    <w:name w:val="Normal (Web)"/>
    <w:basedOn w:val="Normal"/>
    <w:uiPriority w:val="99"/>
    <w:unhideWhenUsed/>
    <w:rsid w:val="00B93EA8"/>
    <w:pPr>
      <w:spacing w:before="100" w:beforeAutospacing="1" w:after="100" w:afterAutospacing="1" w:line="240" w:lineRule="auto"/>
    </w:pPr>
    <w:rPr>
      <w:rFonts w:eastAsiaTheme="minorEastAsia"/>
      <w:szCs w:val="24"/>
    </w:rPr>
  </w:style>
  <w:style w:type="paragraph" w:customStyle="1" w:styleId="StyleSourceAfter6pt">
    <w:name w:val="Style Source + After:  6 pt"/>
    <w:basedOn w:val="Source"/>
    <w:rsid w:val="00335083"/>
    <w:pPr>
      <w:spacing w:after="120"/>
      <w:ind w:left="567" w:hanging="567"/>
    </w:pPr>
  </w:style>
  <w:style w:type="character" w:customStyle="1" w:styleId="MySuperscriptItalics">
    <w:name w:val="MySuperscript&amp;Italics"/>
    <w:semiHidden/>
    <w:rsid w:val="00BF5582"/>
    <w:rPr>
      <w:b w:val="0"/>
      <w:i/>
      <w:vertAlign w:val="superscript"/>
    </w:rPr>
  </w:style>
  <w:style w:type="character" w:customStyle="1" w:styleId="MySubscriptItalics">
    <w:name w:val="MySubscript&amp;Italics"/>
    <w:semiHidden/>
    <w:rsid w:val="00BF5582"/>
    <w:rPr>
      <w:b w:val="0"/>
      <w:i/>
      <w:vertAlign w:val="subscript"/>
    </w:rPr>
  </w:style>
  <w:style w:type="character" w:customStyle="1" w:styleId="MySuperscript">
    <w:name w:val="MySuperscript"/>
    <w:semiHidden/>
    <w:rsid w:val="00BF5582"/>
    <w:rPr>
      <w:b w:val="0"/>
      <w:i w:val="0"/>
      <w:vertAlign w:val="superscript"/>
    </w:rPr>
  </w:style>
  <w:style w:type="character" w:customStyle="1" w:styleId="MySubscript">
    <w:name w:val="MySubscript"/>
    <w:semiHidden/>
    <w:rsid w:val="00BF5582"/>
    <w:rPr>
      <w:b w:val="0"/>
      <w:i w:val="0"/>
      <w:vertAlign w:val="subscript"/>
    </w:rPr>
  </w:style>
  <w:style w:type="character" w:customStyle="1" w:styleId="BoldAndItalics">
    <w:name w:val="Bold And Italics"/>
    <w:rsid w:val="00BF5582"/>
    <w:rPr>
      <w:b/>
      <w:i/>
      <w:vertAlign w:val="baseline"/>
    </w:rPr>
  </w:style>
  <w:style w:type="character" w:customStyle="1" w:styleId="Italics">
    <w:name w:val="Italics"/>
    <w:rsid w:val="00BF5582"/>
    <w:rPr>
      <w:b w:val="0"/>
      <w:i/>
      <w:vertAlign w:val="baseline"/>
    </w:rPr>
  </w:style>
  <w:style w:type="table" w:customStyle="1" w:styleId="PullOutBox">
    <w:name w:val="Pull Out Box"/>
    <w:basedOn w:val="TableNormal"/>
    <w:uiPriority w:val="99"/>
    <w:rsid w:val="003C34DF"/>
    <w:pPr>
      <w:spacing w:line="240" w:lineRule="auto"/>
    </w:pPr>
    <w:tblPr>
      <w:tblBorders>
        <w:top w:val="single" w:sz="4" w:space="0" w:color="277BB4" w:themeColor="text2"/>
        <w:left w:val="single" w:sz="4" w:space="0" w:color="277BB4" w:themeColor="text2"/>
        <w:bottom w:val="single" w:sz="4" w:space="0" w:color="277BB4" w:themeColor="text2"/>
        <w:right w:val="single" w:sz="4" w:space="0" w:color="277BB4" w:themeColor="text2"/>
      </w:tblBorders>
      <w:tblCellMar>
        <w:top w:w="113" w:type="dxa"/>
        <w:left w:w="0" w:type="dxa"/>
        <w:bottom w:w="113" w:type="dxa"/>
        <w:right w:w="0" w:type="dxa"/>
      </w:tblCellMar>
    </w:tblPr>
    <w:tcPr>
      <w:shd w:val="clear" w:color="auto" w:fill="auto"/>
    </w:tcPr>
  </w:style>
  <w:style w:type="paragraph" w:customStyle="1" w:styleId="PullOutBoxBullet2">
    <w:name w:val="Pull Out Box Bullet 2"/>
    <w:basedOn w:val="Normal"/>
    <w:rsid w:val="004807F0"/>
    <w:pPr>
      <w:numPr>
        <w:ilvl w:val="1"/>
        <w:numId w:val="16"/>
      </w:numPr>
    </w:pPr>
  </w:style>
  <w:style w:type="paragraph" w:customStyle="1" w:styleId="TableBodyTextRight">
    <w:name w:val="Table Body Text Right"/>
    <w:basedOn w:val="TableBodyText"/>
    <w:qFormat/>
    <w:rsid w:val="00A34DDF"/>
    <w:pPr>
      <w:jc w:val="right"/>
    </w:pPr>
  </w:style>
  <w:style w:type="table" w:customStyle="1" w:styleId="TableAMinimalLines">
    <w:name w:val="Table A Minimal Lines"/>
    <w:basedOn w:val="TableNormal"/>
    <w:uiPriority w:val="99"/>
    <w:rsid w:val="003C34DF"/>
    <w:pPr>
      <w:ind w:left="28" w:right="113"/>
    </w:pPr>
    <w:rPr>
      <w:sz w:val="18"/>
    </w:rPr>
    <w:tblPr>
      <w:tblBorders>
        <w:top w:val="single" w:sz="4" w:space="0" w:color="277BB4" w:themeColor="text2"/>
        <w:bottom w:val="single" w:sz="4" w:space="0" w:color="277BB4" w:themeColor="text2"/>
      </w:tblBorders>
      <w:tblCellMar>
        <w:top w:w="57" w:type="dxa"/>
        <w:left w:w="0" w:type="dxa"/>
        <w:bottom w:w="28" w:type="dxa"/>
        <w:right w:w="0" w:type="dxa"/>
      </w:tblCellMar>
    </w:tblPr>
    <w:trPr>
      <w:cantSplit/>
    </w:trPr>
    <w:tblStylePr w:type="firstRow">
      <w:pPr>
        <w:keepNext/>
        <w:wordWrap/>
        <w:jc w:val="left"/>
      </w:pPr>
      <w:rPr>
        <w:b w:val="0"/>
        <w:color w:val="auto"/>
      </w:rPr>
      <w:tblPr/>
      <w:trPr>
        <w:cantSplit w:val="0"/>
        <w:tblHeader/>
      </w:trPr>
      <w:tcPr>
        <w:tcBorders>
          <w:top w:val="single" w:sz="4" w:space="0" w:color="277BB4" w:themeColor="text2"/>
          <w:left w:val="nil"/>
          <w:bottom w:val="single" w:sz="4" w:space="0" w:color="277BB4" w:themeColor="text2"/>
          <w:right w:val="nil"/>
          <w:insideH w:val="nil"/>
          <w:insideV w:val="nil"/>
          <w:tl2br w:val="nil"/>
          <w:tr2bl w:val="nil"/>
        </w:tcBorders>
        <w:vAlign w:val="bottom"/>
      </w:tcPr>
    </w:tblStylePr>
    <w:tblStylePr w:type="firstCol">
      <w:pPr>
        <w:jc w:val="left"/>
      </w:pPr>
    </w:tblStylePr>
    <w:tblStylePr w:type="nwCell">
      <w:pPr>
        <w:jc w:val="left"/>
      </w:pPr>
      <w:tblPr/>
      <w:tcPr>
        <w:vAlign w:val="center"/>
      </w:tcPr>
    </w:tblStylePr>
  </w:style>
  <w:style w:type="table" w:styleId="Table3Deffects1">
    <w:name w:val="Table 3D effects 1"/>
    <w:basedOn w:val="TableNormal"/>
    <w:rsid w:val="00037589"/>
    <w:rPr>
      <w:color w:val="auto"/>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character" w:customStyle="1" w:styleId="MyBoldItalicsUnderline">
    <w:name w:val="MyBoldItalicsUnderline"/>
    <w:semiHidden/>
    <w:rsid w:val="00B3393F"/>
    <w:rPr>
      <w:b/>
      <w:i/>
      <w:u w:val="single"/>
      <w:vertAlign w:val="baseline"/>
    </w:rPr>
  </w:style>
  <w:style w:type="character" w:customStyle="1" w:styleId="MyBoldUnderline">
    <w:name w:val="MyBoldUnderline"/>
    <w:semiHidden/>
    <w:rsid w:val="00B3393F"/>
    <w:rPr>
      <w:b/>
      <w:i/>
      <w:u w:val="single"/>
      <w:vertAlign w:val="baseline"/>
    </w:rPr>
  </w:style>
  <w:style w:type="character" w:customStyle="1" w:styleId="MyItalicsUnderline">
    <w:name w:val="MyItalicsUnderline"/>
    <w:semiHidden/>
    <w:rsid w:val="00B3393F"/>
    <w:rPr>
      <w:b/>
      <w:i/>
      <w:u w:val="single"/>
      <w:vertAlign w:val="baseline"/>
    </w:rPr>
  </w:style>
  <w:style w:type="character" w:customStyle="1" w:styleId="MyUnderline">
    <w:name w:val="MyUnderline"/>
    <w:semiHidden/>
    <w:rsid w:val="00B3393F"/>
    <w:rPr>
      <w:b w:val="0"/>
      <w:i w:val="0"/>
      <w:u w:val="single"/>
      <w:vertAlign w:val="baseline"/>
    </w:rPr>
  </w:style>
  <w:style w:type="paragraph" w:customStyle="1" w:styleId="ReferenceText">
    <w:name w:val="Reference Text"/>
    <w:basedOn w:val="BodyText"/>
    <w:qFormat/>
    <w:rsid w:val="00F25E60"/>
    <w:pPr>
      <w:spacing w:before="120" w:after="120"/>
      <w:ind w:left="425" w:hanging="425"/>
    </w:pPr>
  </w:style>
  <w:style w:type="paragraph" w:customStyle="1" w:styleId="BodyTextSmall">
    <w:name w:val="Body Text Small"/>
    <w:basedOn w:val="Normal"/>
    <w:qFormat/>
    <w:rsid w:val="00F25E60"/>
    <w:pPr>
      <w:spacing w:before="120" w:after="120"/>
    </w:pPr>
    <w:rPr>
      <w:sz w:val="18"/>
    </w:rPr>
  </w:style>
  <w:style w:type="paragraph" w:customStyle="1" w:styleId="PullOutBoxBullet3">
    <w:name w:val="Pull Out Box Bullet 3"/>
    <w:basedOn w:val="BodyText"/>
    <w:rsid w:val="004807F0"/>
    <w:pPr>
      <w:numPr>
        <w:ilvl w:val="2"/>
        <w:numId w:val="16"/>
      </w:numPr>
      <w:spacing w:before="120" w:after="120" w:line="240" w:lineRule="auto"/>
    </w:pPr>
  </w:style>
  <w:style w:type="paragraph" w:customStyle="1" w:styleId="PullOutBoxNumber">
    <w:name w:val="Pull Out Box Number"/>
    <w:basedOn w:val="PullOutBoxBodyText"/>
    <w:qFormat/>
    <w:rsid w:val="004807F0"/>
    <w:pPr>
      <w:numPr>
        <w:numId w:val="17"/>
      </w:numPr>
      <w:spacing w:line="240" w:lineRule="auto"/>
    </w:pPr>
  </w:style>
  <w:style w:type="paragraph" w:customStyle="1" w:styleId="PullOutBoxNumber2">
    <w:name w:val="Pull Out Box Number 2"/>
    <w:basedOn w:val="PullOutBoxBodyText"/>
    <w:qFormat/>
    <w:rsid w:val="004807F0"/>
    <w:pPr>
      <w:numPr>
        <w:ilvl w:val="1"/>
        <w:numId w:val="17"/>
      </w:numPr>
    </w:pPr>
  </w:style>
  <w:style w:type="paragraph" w:customStyle="1" w:styleId="PullOutBoxNumber3">
    <w:name w:val="Pull Out Box Number 3"/>
    <w:basedOn w:val="PullOutBoxBodyText"/>
    <w:qFormat/>
    <w:rsid w:val="004807F0"/>
    <w:pPr>
      <w:numPr>
        <w:ilvl w:val="2"/>
        <w:numId w:val="17"/>
      </w:numPr>
      <w:spacing w:line="240" w:lineRule="auto"/>
    </w:pPr>
  </w:style>
  <w:style w:type="numbering" w:customStyle="1" w:styleId="PullOutBoxNumbering">
    <w:name w:val="Pull Out Box Numbering"/>
    <w:uiPriority w:val="99"/>
    <w:rsid w:val="004807F0"/>
    <w:pPr>
      <w:numPr>
        <w:numId w:val="14"/>
      </w:numPr>
    </w:pPr>
  </w:style>
  <w:style w:type="paragraph" w:customStyle="1" w:styleId="PhotoCredit">
    <w:name w:val="Photo Credit"/>
    <w:basedOn w:val="BodyText"/>
    <w:qFormat/>
    <w:rsid w:val="00662E98"/>
    <w:pPr>
      <w:spacing w:before="40" w:after="280" w:line="180" w:lineRule="atLeast"/>
    </w:pPr>
    <w:rPr>
      <w:i/>
      <w:sz w:val="16"/>
    </w:rPr>
  </w:style>
  <w:style w:type="paragraph" w:customStyle="1" w:styleId="BodyTextBold">
    <w:name w:val="Body Text Bold"/>
    <w:basedOn w:val="BodyText"/>
    <w:qFormat/>
    <w:rsid w:val="003667EB"/>
    <w:rPr>
      <w:b/>
    </w:rPr>
  </w:style>
  <w:style w:type="paragraph" w:customStyle="1" w:styleId="BodyTextItalics">
    <w:name w:val="Body Text Italics"/>
    <w:basedOn w:val="BodyText"/>
    <w:qFormat/>
    <w:rsid w:val="003667EB"/>
    <w:rPr>
      <w:i/>
    </w:rPr>
  </w:style>
  <w:style w:type="paragraph" w:customStyle="1" w:styleId="ListAlpha">
    <w:name w:val="List Alpha"/>
    <w:basedOn w:val="Normal"/>
    <w:qFormat/>
    <w:rsid w:val="00D02C00"/>
    <w:pPr>
      <w:numPr>
        <w:numId w:val="15"/>
      </w:numPr>
      <w:spacing w:before="120" w:after="120"/>
    </w:pPr>
  </w:style>
  <w:style w:type="paragraph" w:customStyle="1" w:styleId="ListAlpha2">
    <w:name w:val="List Alpha 2"/>
    <w:basedOn w:val="Normal"/>
    <w:qFormat/>
    <w:rsid w:val="00D02C00"/>
    <w:pPr>
      <w:numPr>
        <w:ilvl w:val="1"/>
        <w:numId w:val="15"/>
      </w:numPr>
      <w:spacing w:before="120" w:after="120"/>
    </w:pPr>
  </w:style>
  <w:style w:type="paragraph" w:customStyle="1" w:styleId="ListAlpha3">
    <w:name w:val="List Alpha 3"/>
    <w:basedOn w:val="Normal"/>
    <w:qFormat/>
    <w:rsid w:val="00D02C00"/>
    <w:pPr>
      <w:numPr>
        <w:ilvl w:val="2"/>
        <w:numId w:val="15"/>
      </w:numPr>
      <w:spacing w:before="120" w:after="120"/>
    </w:pPr>
  </w:style>
  <w:style w:type="paragraph" w:customStyle="1" w:styleId="FooterPageNumber">
    <w:name w:val="Footer Page Number"/>
    <w:basedOn w:val="Footer"/>
    <w:rsid w:val="007D62D8"/>
    <w:pPr>
      <w:jc w:val="right"/>
    </w:pPr>
    <w:rPr>
      <w:rFonts w:ascii="Arial" w:hAnsi="Arial"/>
      <w:color w:val="000000"/>
    </w:rPr>
  </w:style>
  <w:style w:type="paragraph" w:customStyle="1" w:styleId="HeaderCoverPage">
    <w:name w:val="Header Cover Page"/>
    <w:basedOn w:val="Header"/>
    <w:next w:val="BodyText"/>
    <w:uiPriority w:val="99"/>
    <w:rsid w:val="00E526EB"/>
    <w:pPr>
      <w:spacing w:after="2640"/>
      <w:jc w:val="right"/>
    </w:pPr>
  </w:style>
  <w:style w:type="paragraph" w:customStyle="1" w:styleId="HighlightBoxBodyText">
    <w:name w:val="Highlight Box Body Text"/>
    <w:basedOn w:val="BodyText"/>
    <w:qFormat/>
    <w:rsid w:val="006755F5"/>
    <w:pPr>
      <w:pBdr>
        <w:top w:val="single" w:sz="4" w:space="12" w:color="F4F8FB"/>
        <w:left w:val="single" w:sz="4" w:space="12" w:color="F4F8FB"/>
        <w:bottom w:val="single" w:sz="4" w:space="12" w:color="F4F8FB"/>
        <w:right w:val="single" w:sz="4" w:space="12" w:color="F4F8FB"/>
      </w:pBdr>
      <w:shd w:val="clear" w:color="auto" w:fill="F4F8FB"/>
      <w:spacing w:before="120" w:after="120"/>
      <w:ind w:left="284" w:right="284"/>
    </w:pPr>
  </w:style>
  <w:style w:type="paragraph" w:customStyle="1" w:styleId="HighlightBoxBullet">
    <w:name w:val="Highlight Box Bullet"/>
    <w:basedOn w:val="HighlightBoxBodyText"/>
    <w:qFormat/>
    <w:rsid w:val="006755F5"/>
    <w:pPr>
      <w:numPr>
        <w:numId w:val="18"/>
      </w:numPr>
      <w:ind w:left="681" w:hanging="397"/>
    </w:pPr>
  </w:style>
  <w:style w:type="paragraph" w:customStyle="1" w:styleId="NoteText">
    <w:name w:val="Note Text"/>
    <w:basedOn w:val="BodyText"/>
    <w:qFormat/>
    <w:rsid w:val="00065F04"/>
    <w:pPr>
      <w:spacing w:before="60" w:after="60"/>
    </w:pPr>
    <w:rPr>
      <w:sz w:val="16"/>
    </w:rPr>
  </w:style>
  <w:style w:type="paragraph" w:styleId="Quote">
    <w:name w:val="Quote"/>
    <w:basedOn w:val="Normal"/>
    <w:link w:val="QuoteChar"/>
    <w:qFormat/>
    <w:rsid w:val="00693432"/>
    <w:pPr>
      <w:tabs>
        <w:tab w:val="left" w:pos="1134"/>
        <w:tab w:val="left" w:pos="1701"/>
        <w:tab w:val="left" w:pos="2268"/>
        <w:tab w:val="left" w:pos="2835"/>
        <w:tab w:val="left" w:pos="3402"/>
        <w:tab w:val="left" w:pos="3969"/>
        <w:tab w:val="left" w:pos="4536"/>
      </w:tabs>
      <w:spacing w:before="120" w:after="120"/>
      <w:ind w:left="567" w:right="567"/>
      <w:jc w:val="both"/>
    </w:pPr>
    <w:rPr>
      <w:rFonts w:cs="Arial"/>
      <w:iCs/>
      <w:color w:val="auto"/>
      <w:szCs w:val="18"/>
    </w:rPr>
  </w:style>
  <w:style w:type="character" w:customStyle="1" w:styleId="QuoteChar">
    <w:name w:val="Quote Char"/>
    <w:basedOn w:val="DefaultParagraphFont"/>
    <w:link w:val="Quote"/>
    <w:rsid w:val="00693432"/>
    <w:rPr>
      <w:rFonts w:cs="Arial"/>
      <w:iCs/>
      <w:color w:val="auto"/>
      <w:szCs w:val="18"/>
    </w:rPr>
  </w:style>
  <w:style w:type="paragraph" w:customStyle="1" w:styleId="QuoteBullet">
    <w:name w:val="Quote Bullet"/>
    <w:basedOn w:val="Quote"/>
    <w:qFormat/>
    <w:rsid w:val="00693432"/>
    <w:pPr>
      <w:numPr>
        <w:numId w:val="19"/>
      </w:numPr>
    </w:pPr>
  </w:style>
  <w:style w:type="paragraph" w:customStyle="1" w:styleId="QuoteBullet2">
    <w:name w:val="Quote Bullet 2"/>
    <w:basedOn w:val="Quote"/>
    <w:qFormat/>
    <w:rsid w:val="00693432"/>
    <w:pPr>
      <w:numPr>
        <w:ilvl w:val="1"/>
        <w:numId w:val="19"/>
      </w:numPr>
    </w:pPr>
  </w:style>
  <w:style w:type="paragraph" w:customStyle="1" w:styleId="QuoteHangingIndent1">
    <w:name w:val="Quote Hanging Indent 1"/>
    <w:basedOn w:val="Quote"/>
    <w:qFormat/>
    <w:rsid w:val="00693432"/>
    <w:pPr>
      <w:ind w:left="1134" w:hanging="567"/>
    </w:pPr>
  </w:style>
  <w:style w:type="paragraph" w:customStyle="1" w:styleId="QuoteHangingIndent2">
    <w:name w:val="Quote Hanging Indent 2"/>
    <w:basedOn w:val="QuoteHangingIndent1"/>
    <w:qFormat/>
    <w:rsid w:val="00693432"/>
    <w:pPr>
      <w:tabs>
        <w:tab w:val="clear" w:pos="1134"/>
      </w:tabs>
      <w:ind w:left="1701"/>
    </w:pPr>
  </w:style>
  <w:style w:type="paragraph" w:customStyle="1" w:styleId="QuoteHangingIndent3">
    <w:name w:val="Quote Hanging Indent 3"/>
    <w:basedOn w:val="QuoteHangingIndent2"/>
    <w:qFormat/>
    <w:rsid w:val="00693432"/>
    <w:pPr>
      <w:tabs>
        <w:tab w:val="clear" w:pos="1701"/>
      </w:tabs>
      <w:ind w:left="2268"/>
    </w:pPr>
  </w:style>
  <w:style w:type="paragraph" w:styleId="EndnoteText">
    <w:name w:val="endnote text"/>
    <w:basedOn w:val="Normal"/>
    <w:link w:val="EndnoteTextChar"/>
    <w:rsid w:val="0032656F"/>
    <w:pPr>
      <w:spacing w:line="240" w:lineRule="auto"/>
    </w:pPr>
  </w:style>
  <w:style w:type="character" w:customStyle="1" w:styleId="EndnoteTextChar">
    <w:name w:val="Endnote Text Char"/>
    <w:basedOn w:val="DefaultParagraphFont"/>
    <w:link w:val="EndnoteText"/>
    <w:rsid w:val="0032656F"/>
  </w:style>
  <w:style w:type="character" w:styleId="EndnoteReference">
    <w:name w:val="endnote reference"/>
    <w:basedOn w:val="DefaultParagraphFont"/>
    <w:rsid w:val="0032656F"/>
    <w:rPr>
      <w:vertAlign w:val="superscript"/>
    </w:rPr>
  </w:style>
  <w:style w:type="table" w:styleId="MediumShading2-Accent5">
    <w:name w:val="Medium Shading 2 Accent 5"/>
    <w:basedOn w:val="TableNormal"/>
    <w:uiPriority w:val="64"/>
    <w:rsid w:val="00E65EB8"/>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AECB"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AECB" w:themeFill="accent5"/>
      </w:tcPr>
    </w:tblStylePr>
    <w:tblStylePr w:type="lastCol">
      <w:rPr>
        <w:b/>
        <w:bCs/>
        <w:color w:val="FFFFFF" w:themeColor="background1"/>
      </w:rPr>
      <w:tblPr/>
      <w:tcPr>
        <w:tcBorders>
          <w:left w:val="nil"/>
          <w:right w:val="nil"/>
          <w:insideH w:val="nil"/>
          <w:insideV w:val="nil"/>
        </w:tcBorders>
        <w:shd w:val="clear" w:color="auto" w:fill="00AECB"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E65EB8"/>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7868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78686" w:themeFill="accent6"/>
      </w:tcPr>
    </w:tblStylePr>
    <w:tblStylePr w:type="lastCol">
      <w:rPr>
        <w:b/>
        <w:bCs/>
        <w:color w:val="FFFFFF" w:themeColor="background1"/>
      </w:rPr>
      <w:tblPr/>
      <w:tcPr>
        <w:tcBorders>
          <w:left w:val="nil"/>
          <w:right w:val="nil"/>
          <w:insideH w:val="nil"/>
          <w:insideV w:val="nil"/>
        </w:tcBorders>
        <w:shd w:val="clear" w:color="auto" w:fill="87868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LightGrid-Accent5">
    <w:name w:val="Light Grid Accent 5"/>
    <w:basedOn w:val="TableNormal"/>
    <w:uiPriority w:val="62"/>
    <w:rsid w:val="00E65EB8"/>
    <w:pPr>
      <w:spacing w:line="240" w:lineRule="auto"/>
    </w:pPr>
    <w:tblPr>
      <w:tblStyleRowBandSize w:val="1"/>
      <w:tblStyleColBandSize w:val="1"/>
      <w:tblBorders>
        <w:top w:val="single" w:sz="8" w:space="0" w:color="00AECB" w:themeColor="accent5"/>
        <w:left w:val="single" w:sz="8" w:space="0" w:color="00AECB" w:themeColor="accent5"/>
        <w:bottom w:val="single" w:sz="8" w:space="0" w:color="00AECB" w:themeColor="accent5"/>
        <w:right w:val="single" w:sz="8" w:space="0" w:color="00AECB" w:themeColor="accent5"/>
        <w:insideH w:val="single" w:sz="8" w:space="0" w:color="00AECB" w:themeColor="accent5"/>
        <w:insideV w:val="single" w:sz="8" w:space="0" w:color="00AECB"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AECB" w:themeColor="accent5"/>
          <w:left w:val="single" w:sz="8" w:space="0" w:color="00AECB" w:themeColor="accent5"/>
          <w:bottom w:val="single" w:sz="18" w:space="0" w:color="00AECB" w:themeColor="accent5"/>
          <w:right w:val="single" w:sz="8" w:space="0" w:color="00AECB" w:themeColor="accent5"/>
          <w:insideH w:val="nil"/>
          <w:insideV w:val="single" w:sz="8" w:space="0" w:color="00AECB"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AECB" w:themeColor="accent5"/>
          <w:left w:val="single" w:sz="8" w:space="0" w:color="00AECB" w:themeColor="accent5"/>
          <w:bottom w:val="single" w:sz="8" w:space="0" w:color="00AECB" w:themeColor="accent5"/>
          <w:right w:val="single" w:sz="8" w:space="0" w:color="00AECB" w:themeColor="accent5"/>
          <w:insideH w:val="nil"/>
          <w:insideV w:val="single" w:sz="8" w:space="0" w:color="00AECB"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AECB" w:themeColor="accent5"/>
          <w:left w:val="single" w:sz="8" w:space="0" w:color="00AECB" w:themeColor="accent5"/>
          <w:bottom w:val="single" w:sz="8" w:space="0" w:color="00AECB" w:themeColor="accent5"/>
          <w:right w:val="single" w:sz="8" w:space="0" w:color="00AECB" w:themeColor="accent5"/>
        </w:tcBorders>
      </w:tcPr>
    </w:tblStylePr>
    <w:tblStylePr w:type="band1Vert">
      <w:tblPr/>
      <w:tcPr>
        <w:tcBorders>
          <w:top w:val="single" w:sz="8" w:space="0" w:color="00AECB" w:themeColor="accent5"/>
          <w:left w:val="single" w:sz="8" w:space="0" w:color="00AECB" w:themeColor="accent5"/>
          <w:bottom w:val="single" w:sz="8" w:space="0" w:color="00AECB" w:themeColor="accent5"/>
          <w:right w:val="single" w:sz="8" w:space="0" w:color="00AECB" w:themeColor="accent5"/>
        </w:tcBorders>
        <w:shd w:val="clear" w:color="auto" w:fill="B3F3FF" w:themeFill="accent5" w:themeFillTint="3F"/>
      </w:tcPr>
    </w:tblStylePr>
    <w:tblStylePr w:type="band1Horz">
      <w:tblPr/>
      <w:tcPr>
        <w:tcBorders>
          <w:top w:val="single" w:sz="8" w:space="0" w:color="00AECB" w:themeColor="accent5"/>
          <w:left w:val="single" w:sz="8" w:space="0" w:color="00AECB" w:themeColor="accent5"/>
          <w:bottom w:val="single" w:sz="8" w:space="0" w:color="00AECB" w:themeColor="accent5"/>
          <w:right w:val="single" w:sz="8" w:space="0" w:color="00AECB" w:themeColor="accent5"/>
          <w:insideV w:val="single" w:sz="8" w:space="0" w:color="00AECB" w:themeColor="accent5"/>
        </w:tcBorders>
        <w:shd w:val="clear" w:color="auto" w:fill="B3F3FF" w:themeFill="accent5" w:themeFillTint="3F"/>
      </w:tcPr>
    </w:tblStylePr>
    <w:tblStylePr w:type="band2Horz">
      <w:tblPr/>
      <w:tcPr>
        <w:tcBorders>
          <w:top w:val="single" w:sz="8" w:space="0" w:color="00AECB" w:themeColor="accent5"/>
          <w:left w:val="single" w:sz="8" w:space="0" w:color="00AECB" w:themeColor="accent5"/>
          <w:bottom w:val="single" w:sz="8" w:space="0" w:color="00AECB" w:themeColor="accent5"/>
          <w:right w:val="single" w:sz="8" w:space="0" w:color="00AECB" w:themeColor="accent5"/>
          <w:insideV w:val="single" w:sz="8" w:space="0" w:color="00AECB" w:themeColor="accent5"/>
        </w:tcBorders>
      </w:tcPr>
    </w:tblStylePr>
  </w:style>
  <w:style w:type="table" w:styleId="MediumList1">
    <w:name w:val="Medium List 1"/>
    <w:basedOn w:val="TableNormal"/>
    <w:uiPriority w:val="65"/>
    <w:rsid w:val="00E65EB8"/>
    <w:pPr>
      <w:spacing w:line="240" w:lineRule="auto"/>
    </w:p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277BB4"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Grid2-Accent6">
    <w:name w:val="Medium Grid 2 Accent 6"/>
    <w:basedOn w:val="TableNormal"/>
    <w:uiPriority w:val="68"/>
    <w:rsid w:val="00E65EB8"/>
    <w:pPr>
      <w:spacing w:line="240" w:lineRule="auto"/>
    </w:pPr>
    <w:rPr>
      <w:rFonts w:asciiTheme="majorHAnsi" w:eastAsiaTheme="majorEastAsia" w:hAnsiTheme="majorHAnsi" w:cstheme="majorBidi"/>
    </w:rPr>
    <w:tblPr>
      <w:tblStyleRowBandSize w:val="1"/>
      <w:tblStyleColBandSize w:val="1"/>
      <w:tblBorders>
        <w:top w:val="single" w:sz="8" w:space="0" w:color="878686" w:themeColor="accent6"/>
        <w:left w:val="single" w:sz="8" w:space="0" w:color="878686" w:themeColor="accent6"/>
        <w:bottom w:val="single" w:sz="8" w:space="0" w:color="878686" w:themeColor="accent6"/>
        <w:right w:val="single" w:sz="8" w:space="0" w:color="878686" w:themeColor="accent6"/>
        <w:insideH w:val="single" w:sz="8" w:space="0" w:color="878686" w:themeColor="accent6"/>
        <w:insideV w:val="single" w:sz="8" w:space="0" w:color="878686" w:themeColor="accent6"/>
      </w:tblBorders>
    </w:tblPr>
    <w:tcPr>
      <w:shd w:val="clear" w:color="auto" w:fill="E1E1E1" w:themeFill="accent6" w:themeFillTint="3F"/>
    </w:tcPr>
    <w:tblStylePr w:type="firstRow">
      <w:rPr>
        <w:b/>
        <w:bCs/>
        <w:color w:val="000000" w:themeColor="text1"/>
      </w:rPr>
      <w:tblPr/>
      <w:tcPr>
        <w:shd w:val="clear" w:color="auto" w:fill="F3F3F3"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7E6E6" w:themeFill="accent6" w:themeFillTint="33"/>
      </w:tcPr>
    </w:tblStylePr>
    <w:tblStylePr w:type="band1Vert">
      <w:tblPr/>
      <w:tcPr>
        <w:shd w:val="clear" w:color="auto" w:fill="C3C2C2" w:themeFill="accent6" w:themeFillTint="7F"/>
      </w:tcPr>
    </w:tblStylePr>
    <w:tblStylePr w:type="band1Horz">
      <w:tblPr/>
      <w:tcPr>
        <w:tcBorders>
          <w:insideH w:val="single" w:sz="6" w:space="0" w:color="878686" w:themeColor="accent6"/>
          <w:insideV w:val="single" w:sz="6" w:space="0" w:color="878686" w:themeColor="accent6"/>
        </w:tcBorders>
        <w:shd w:val="clear" w:color="auto" w:fill="C3C2C2" w:themeFill="accent6" w:themeFillTint="7F"/>
      </w:tcPr>
    </w:tblStylePr>
    <w:tblStylePr w:type="nwCell">
      <w:tblPr/>
      <w:tcPr>
        <w:shd w:val="clear" w:color="auto" w:fill="FFFFFF" w:themeFill="background1"/>
      </w:tcPr>
    </w:tblStylePr>
  </w:style>
  <w:style w:type="paragraph" w:customStyle="1" w:styleId="DraftHeading1">
    <w:name w:val="Draft Heading 1"/>
    <w:basedOn w:val="Normal"/>
    <w:next w:val="Normal"/>
    <w:link w:val="DraftHeading1Char"/>
    <w:rsid w:val="0004683E"/>
    <w:pPr>
      <w:overflowPunct w:val="0"/>
      <w:autoSpaceDE w:val="0"/>
      <w:autoSpaceDN w:val="0"/>
      <w:adjustRightInd w:val="0"/>
      <w:spacing w:before="120" w:line="240" w:lineRule="auto"/>
      <w:textAlignment w:val="baseline"/>
      <w:outlineLvl w:val="2"/>
    </w:pPr>
    <w:rPr>
      <w:rFonts w:ascii="Times New Roman" w:hAnsi="Times New Roman"/>
      <w:b/>
      <w:color w:val="auto"/>
      <w:sz w:val="24"/>
      <w:szCs w:val="24"/>
      <w:lang w:eastAsia="en-US"/>
    </w:rPr>
  </w:style>
  <w:style w:type="paragraph" w:customStyle="1" w:styleId="DraftHeading2">
    <w:name w:val="Draft Heading 2"/>
    <w:basedOn w:val="Normal"/>
    <w:next w:val="Normal"/>
    <w:rsid w:val="0004683E"/>
    <w:pPr>
      <w:overflowPunct w:val="0"/>
      <w:autoSpaceDE w:val="0"/>
      <w:autoSpaceDN w:val="0"/>
      <w:adjustRightInd w:val="0"/>
      <w:spacing w:before="120" w:line="240" w:lineRule="auto"/>
      <w:textAlignment w:val="baseline"/>
    </w:pPr>
    <w:rPr>
      <w:rFonts w:ascii="Times New Roman" w:hAnsi="Times New Roman"/>
      <w:color w:val="auto"/>
      <w:sz w:val="24"/>
      <w:lang w:eastAsia="en-US"/>
    </w:rPr>
  </w:style>
  <w:style w:type="paragraph" w:customStyle="1" w:styleId="Heading-DIVISION">
    <w:name w:val="Heading - DIVISION"/>
    <w:next w:val="Normal"/>
    <w:rsid w:val="0004683E"/>
    <w:pPr>
      <w:overflowPunct w:val="0"/>
      <w:autoSpaceDE w:val="0"/>
      <w:autoSpaceDN w:val="0"/>
      <w:adjustRightInd w:val="0"/>
      <w:spacing w:before="240" w:after="120" w:line="240" w:lineRule="auto"/>
      <w:jc w:val="center"/>
      <w:textAlignment w:val="baseline"/>
      <w:outlineLvl w:val="1"/>
    </w:pPr>
    <w:rPr>
      <w:rFonts w:ascii="Times New Roman" w:hAnsi="Times New Roman"/>
      <w:b/>
      <w:color w:val="auto"/>
      <w:sz w:val="24"/>
      <w:lang w:eastAsia="en-US"/>
    </w:rPr>
  </w:style>
  <w:style w:type="paragraph" w:customStyle="1" w:styleId="Heading-PART">
    <w:name w:val="Heading - PART"/>
    <w:next w:val="Normal"/>
    <w:rsid w:val="0004683E"/>
    <w:pPr>
      <w:overflowPunct w:val="0"/>
      <w:autoSpaceDE w:val="0"/>
      <w:autoSpaceDN w:val="0"/>
      <w:adjustRightInd w:val="0"/>
      <w:spacing w:before="240" w:after="120" w:line="240" w:lineRule="auto"/>
      <w:jc w:val="center"/>
      <w:textAlignment w:val="baseline"/>
      <w:outlineLvl w:val="0"/>
    </w:pPr>
    <w:rPr>
      <w:rFonts w:ascii="Times New Roman" w:hAnsi="Times New Roman"/>
      <w:b/>
      <w:caps/>
      <w:color w:val="auto"/>
      <w:sz w:val="22"/>
      <w:lang w:eastAsia="en-US"/>
    </w:rPr>
  </w:style>
  <w:style w:type="character" w:customStyle="1" w:styleId="DraftHeading1Char">
    <w:name w:val="Draft Heading 1 Char"/>
    <w:basedOn w:val="DefaultParagraphFont"/>
    <w:link w:val="DraftHeading1"/>
    <w:locked/>
    <w:rsid w:val="0004683E"/>
    <w:rPr>
      <w:rFonts w:ascii="Times New Roman" w:hAnsi="Times New Roman"/>
      <w:b/>
      <w:color w:val="auto"/>
      <w:sz w:val="24"/>
      <w:szCs w:val="24"/>
      <w:lang w:eastAsia="en-US"/>
    </w:rPr>
  </w:style>
  <w:style w:type="paragraph" w:customStyle="1" w:styleId="DraftHeading3">
    <w:name w:val="Draft Heading 3"/>
    <w:basedOn w:val="Normal"/>
    <w:next w:val="Normal"/>
    <w:rsid w:val="0004683E"/>
    <w:pPr>
      <w:overflowPunct w:val="0"/>
      <w:autoSpaceDE w:val="0"/>
      <w:autoSpaceDN w:val="0"/>
      <w:adjustRightInd w:val="0"/>
      <w:spacing w:before="120" w:line="240" w:lineRule="auto"/>
      <w:textAlignment w:val="baseline"/>
    </w:pPr>
    <w:rPr>
      <w:rFonts w:ascii="Times New Roman" w:hAnsi="Times New Roman"/>
      <w:color w:val="auto"/>
      <w:sz w:val="24"/>
      <w:lang w:eastAsia="en-US"/>
    </w:rPr>
  </w:style>
  <w:style w:type="paragraph" w:styleId="CommentText">
    <w:name w:val="annotation text"/>
    <w:basedOn w:val="Normal"/>
    <w:link w:val="CommentTextChar"/>
    <w:uiPriority w:val="99"/>
    <w:unhideWhenUsed/>
    <w:rsid w:val="007179E3"/>
    <w:pPr>
      <w:spacing w:line="240" w:lineRule="auto"/>
    </w:pPr>
    <w:rPr>
      <w:rFonts w:eastAsiaTheme="minorEastAsia" w:cstheme="minorBidi"/>
      <w:color w:val="auto"/>
      <w:sz w:val="24"/>
      <w:szCs w:val="24"/>
      <w:lang w:eastAsia="en-US"/>
    </w:rPr>
  </w:style>
  <w:style w:type="character" w:customStyle="1" w:styleId="CommentTextChar">
    <w:name w:val="Comment Text Char"/>
    <w:basedOn w:val="DefaultParagraphFont"/>
    <w:link w:val="CommentText"/>
    <w:uiPriority w:val="99"/>
    <w:rsid w:val="007179E3"/>
    <w:rPr>
      <w:rFonts w:eastAsiaTheme="minorEastAsia" w:cstheme="minorBidi"/>
      <w:color w:val="auto"/>
      <w:sz w:val="24"/>
      <w:szCs w:val="24"/>
      <w:lang w:eastAsia="en-US"/>
    </w:rPr>
  </w:style>
  <w:style w:type="character" w:styleId="CommentReference">
    <w:name w:val="annotation reference"/>
    <w:basedOn w:val="DefaultParagraphFont"/>
    <w:semiHidden/>
    <w:unhideWhenUsed/>
    <w:rsid w:val="007179E3"/>
    <w:rPr>
      <w:sz w:val="18"/>
      <w:szCs w:val="18"/>
    </w:rPr>
  </w:style>
  <w:style w:type="paragraph" w:customStyle="1" w:styleId="Default">
    <w:name w:val="Default"/>
    <w:rsid w:val="005F22A4"/>
    <w:pPr>
      <w:autoSpaceDE w:val="0"/>
      <w:autoSpaceDN w:val="0"/>
      <w:adjustRightInd w:val="0"/>
      <w:spacing w:line="240" w:lineRule="auto"/>
    </w:pPr>
    <w:rPr>
      <w:rFonts w:ascii="EYInterstate" w:eastAsia="Calibri" w:hAnsi="EYInterstate" w:cs="EYInterstate"/>
      <w:color w:val="000000"/>
      <w:sz w:val="24"/>
      <w:szCs w:val="24"/>
    </w:rPr>
  </w:style>
  <w:style w:type="character" w:customStyle="1" w:styleId="ListParagraphChar">
    <w:name w:val="List Paragraph Char"/>
    <w:aliases w:val="Bullet 1 Char"/>
    <w:basedOn w:val="DefaultParagraphFont"/>
    <w:link w:val="ListParagraph"/>
    <w:uiPriority w:val="34"/>
    <w:locked/>
    <w:rsid w:val="00B90D26"/>
    <w:rPr>
      <w:rFonts w:eastAsia="Calibri"/>
      <w:lang w:eastAsia="en-US"/>
    </w:rPr>
  </w:style>
  <w:style w:type="character" w:styleId="IntenseEmphasis">
    <w:name w:val="Intense Emphasis"/>
    <w:basedOn w:val="DefaultParagraphFont"/>
    <w:uiPriority w:val="21"/>
    <w:qFormat/>
    <w:rsid w:val="00B90D26"/>
    <w:rPr>
      <w:b/>
      <w:bCs/>
      <w:i/>
      <w:iCs/>
      <w:color w:val="277BB4" w:themeColor="accent1"/>
    </w:rPr>
  </w:style>
  <w:style w:type="character" w:customStyle="1" w:styleId="ms-rtefontsize-2">
    <w:name w:val="ms-rtefontsize-2"/>
    <w:basedOn w:val="DefaultParagraphFont"/>
    <w:rsid w:val="00501CBA"/>
  </w:style>
  <w:style w:type="paragraph" w:styleId="CommentSubject">
    <w:name w:val="annotation subject"/>
    <w:basedOn w:val="CommentText"/>
    <w:next w:val="CommentText"/>
    <w:link w:val="CommentSubjectChar"/>
    <w:uiPriority w:val="99"/>
    <w:semiHidden/>
    <w:unhideWhenUsed/>
    <w:rsid w:val="006D3888"/>
    <w:rPr>
      <w:rFonts w:eastAsia="Times New Roman" w:cs="Times New Roman"/>
      <w:b/>
      <w:bCs/>
      <w:color w:val="000000" w:themeColor="text1"/>
      <w:sz w:val="20"/>
      <w:szCs w:val="20"/>
      <w:lang w:eastAsia="en-AU"/>
    </w:rPr>
  </w:style>
  <w:style w:type="character" w:customStyle="1" w:styleId="CommentSubjectChar">
    <w:name w:val="Comment Subject Char"/>
    <w:basedOn w:val="CommentTextChar"/>
    <w:link w:val="CommentSubject"/>
    <w:uiPriority w:val="99"/>
    <w:semiHidden/>
    <w:rsid w:val="006D3888"/>
    <w:rPr>
      <w:rFonts w:eastAsiaTheme="minorEastAsia" w:cstheme="minorBidi"/>
      <w:b/>
      <w:bCs/>
      <w:color w:val="auto"/>
      <w:sz w:val="24"/>
      <w:szCs w:val="24"/>
      <w:lang w:eastAsia="en-US"/>
    </w:rPr>
  </w:style>
  <w:style w:type="character" w:customStyle="1" w:styleId="EYBodytextwithparaspaceChar">
    <w:name w:val="EY Body text (with para space) Char"/>
    <w:basedOn w:val="DefaultParagraphFont"/>
    <w:link w:val="EYBodytextwithparaspace"/>
    <w:locked/>
    <w:rsid w:val="00AB1BC8"/>
    <w:rPr>
      <w:rFonts w:ascii="EYInterstate Light" w:hAnsi="EYInterstate Light"/>
      <w:szCs w:val="24"/>
    </w:rPr>
  </w:style>
  <w:style w:type="paragraph" w:customStyle="1" w:styleId="EYBodytextwithparaspace">
    <w:name w:val="EY Body text (with para space)"/>
    <w:basedOn w:val="Normal"/>
    <w:link w:val="EYBodytextwithparaspaceChar"/>
    <w:qFormat/>
    <w:rsid w:val="00AB1BC8"/>
    <w:pPr>
      <w:autoSpaceDE w:val="0"/>
      <w:autoSpaceDN w:val="0"/>
      <w:adjustRightInd w:val="0"/>
      <w:spacing w:after="240" w:line="240" w:lineRule="auto"/>
    </w:pPr>
    <w:rPr>
      <w:rFonts w:ascii="EYInterstate Light" w:hAnsi="EYInterstate Light"/>
      <w:szCs w:val="24"/>
    </w:rPr>
  </w:style>
  <w:style w:type="table" w:customStyle="1" w:styleId="PlainTable21">
    <w:name w:val="Plain Table 21"/>
    <w:basedOn w:val="TableNormal"/>
    <w:uiPriority w:val="42"/>
    <w:rsid w:val="00795FD3"/>
    <w:pPr>
      <w:spacing w:line="240" w:lineRule="auto"/>
    </w:pPr>
    <w:rPr>
      <w:rFonts w:ascii="Times New Roman" w:hAnsi="Times New Roman"/>
      <w:color w:val="auto"/>
      <w:lang w:val="en-US" w:eastAsia="en-U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styleId="LightGrid-Accent1">
    <w:name w:val="Light Grid Accent 1"/>
    <w:basedOn w:val="TableNormal"/>
    <w:uiPriority w:val="62"/>
    <w:rsid w:val="00E93F71"/>
    <w:pPr>
      <w:spacing w:line="240" w:lineRule="auto"/>
    </w:pPr>
    <w:tblPr>
      <w:tblStyleRowBandSize w:val="1"/>
      <w:tblStyleColBandSize w:val="1"/>
      <w:tblBorders>
        <w:top w:val="single" w:sz="8" w:space="0" w:color="277BB4" w:themeColor="accent1"/>
        <w:left w:val="single" w:sz="8" w:space="0" w:color="277BB4" w:themeColor="accent1"/>
        <w:bottom w:val="single" w:sz="8" w:space="0" w:color="277BB4" w:themeColor="accent1"/>
        <w:right w:val="single" w:sz="8" w:space="0" w:color="277BB4" w:themeColor="accent1"/>
        <w:insideH w:val="single" w:sz="8" w:space="0" w:color="277BB4" w:themeColor="accent1"/>
        <w:insideV w:val="single" w:sz="8" w:space="0" w:color="277BB4"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77BB4" w:themeColor="accent1"/>
          <w:left w:val="single" w:sz="8" w:space="0" w:color="277BB4" w:themeColor="accent1"/>
          <w:bottom w:val="single" w:sz="18" w:space="0" w:color="277BB4" w:themeColor="accent1"/>
          <w:right w:val="single" w:sz="8" w:space="0" w:color="277BB4" w:themeColor="accent1"/>
          <w:insideH w:val="nil"/>
          <w:insideV w:val="single" w:sz="8" w:space="0" w:color="277BB4"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77BB4" w:themeColor="accent1"/>
          <w:left w:val="single" w:sz="8" w:space="0" w:color="277BB4" w:themeColor="accent1"/>
          <w:bottom w:val="single" w:sz="8" w:space="0" w:color="277BB4" w:themeColor="accent1"/>
          <w:right w:val="single" w:sz="8" w:space="0" w:color="277BB4" w:themeColor="accent1"/>
          <w:insideH w:val="nil"/>
          <w:insideV w:val="single" w:sz="8" w:space="0" w:color="277BB4"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77BB4" w:themeColor="accent1"/>
          <w:left w:val="single" w:sz="8" w:space="0" w:color="277BB4" w:themeColor="accent1"/>
          <w:bottom w:val="single" w:sz="8" w:space="0" w:color="277BB4" w:themeColor="accent1"/>
          <w:right w:val="single" w:sz="8" w:space="0" w:color="277BB4" w:themeColor="accent1"/>
        </w:tcBorders>
      </w:tcPr>
    </w:tblStylePr>
    <w:tblStylePr w:type="band1Vert">
      <w:tblPr/>
      <w:tcPr>
        <w:tcBorders>
          <w:top w:val="single" w:sz="8" w:space="0" w:color="277BB4" w:themeColor="accent1"/>
          <w:left w:val="single" w:sz="8" w:space="0" w:color="277BB4" w:themeColor="accent1"/>
          <w:bottom w:val="single" w:sz="8" w:space="0" w:color="277BB4" w:themeColor="accent1"/>
          <w:right w:val="single" w:sz="8" w:space="0" w:color="277BB4" w:themeColor="accent1"/>
        </w:tcBorders>
        <w:shd w:val="clear" w:color="auto" w:fill="C3DFF2" w:themeFill="accent1" w:themeFillTint="3F"/>
      </w:tcPr>
    </w:tblStylePr>
    <w:tblStylePr w:type="band1Horz">
      <w:tblPr/>
      <w:tcPr>
        <w:tcBorders>
          <w:top w:val="single" w:sz="8" w:space="0" w:color="277BB4" w:themeColor="accent1"/>
          <w:left w:val="single" w:sz="8" w:space="0" w:color="277BB4" w:themeColor="accent1"/>
          <w:bottom w:val="single" w:sz="8" w:space="0" w:color="277BB4" w:themeColor="accent1"/>
          <w:right w:val="single" w:sz="8" w:space="0" w:color="277BB4" w:themeColor="accent1"/>
          <w:insideV w:val="single" w:sz="8" w:space="0" w:color="277BB4" w:themeColor="accent1"/>
        </w:tcBorders>
        <w:shd w:val="clear" w:color="auto" w:fill="C3DFF2" w:themeFill="accent1" w:themeFillTint="3F"/>
      </w:tcPr>
    </w:tblStylePr>
    <w:tblStylePr w:type="band2Horz">
      <w:tblPr/>
      <w:tcPr>
        <w:tcBorders>
          <w:top w:val="single" w:sz="8" w:space="0" w:color="277BB4" w:themeColor="accent1"/>
          <w:left w:val="single" w:sz="8" w:space="0" w:color="277BB4" w:themeColor="accent1"/>
          <w:bottom w:val="single" w:sz="8" w:space="0" w:color="277BB4" w:themeColor="accent1"/>
          <w:right w:val="single" w:sz="8" w:space="0" w:color="277BB4" w:themeColor="accent1"/>
          <w:insideV w:val="single" w:sz="8" w:space="0" w:color="277BB4" w:themeColor="accent1"/>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01664">
      <w:bodyDiv w:val="1"/>
      <w:marLeft w:val="0"/>
      <w:marRight w:val="0"/>
      <w:marTop w:val="0"/>
      <w:marBottom w:val="0"/>
      <w:divBdr>
        <w:top w:val="none" w:sz="0" w:space="0" w:color="auto"/>
        <w:left w:val="none" w:sz="0" w:space="0" w:color="auto"/>
        <w:bottom w:val="none" w:sz="0" w:space="0" w:color="auto"/>
        <w:right w:val="none" w:sz="0" w:space="0" w:color="auto"/>
      </w:divBdr>
    </w:div>
    <w:div w:id="2977389">
      <w:bodyDiv w:val="1"/>
      <w:marLeft w:val="0"/>
      <w:marRight w:val="0"/>
      <w:marTop w:val="0"/>
      <w:marBottom w:val="0"/>
      <w:divBdr>
        <w:top w:val="none" w:sz="0" w:space="0" w:color="auto"/>
        <w:left w:val="none" w:sz="0" w:space="0" w:color="auto"/>
        <w:bottom w:val="none" w:sz="0" w:space="0" w:color="auto"/>
        <w:right w:val="none" w:sz="0" w:space="0" w:color="auto"/>
      </w:divBdr>
    </w:div>
    <w:div w:id="34888682">
      <w:bodyDiv w:val="1"/>
      <w:marLeft w:val="0"/>
      <w:marRight w:val="0"/>
      <w:marTop w:val="0"/>
      <w:marBottom w:val="0"/>
      <w:divBdr>
        <w:top w:val="none" w:sz="0" w:space="0" w:color="auto"/>
        <w:left w:val="none" w:sz="0" w:space="0" w:color="auto"/>
        <w:bottom w:val="none" w:sz="0" w:space="0" w:color="auto"/>
        <w:right w:val="none" w:sz="0" w:space="0" w:color="auto"/>
      </w:divBdr>
    </w:div>
    <w:div w:id="68386650">
      <w:bodyDiv w:val="1"/>
      <w:marLeft w:val="0"/>
      <w:marRight w:val="0"/>
      <w:marTop w:val="0"/>
      <w:marBottom w:val="0"/>
      <w:divBdr>
        <w:top w:val="none" w:sz="0" w:space="0" w:color="auto"/>
        <w:left w:val="none" w:sz="0" w:space="0" w:color="auto"/>
        <w:bottom w:val="none" w:sz="0" w:space="0" w:color="auto"/>
        <w:right w:val="none" w:sz="0" w:space="0" w:color="auto"/>
      </w:divBdr>
    </w:div>
    <w:div w:id="130220224">
      <w:bodyDiv w:val="1"/>
      <w:marLeft w:val="0"/>
      <w:marRight w:val="0"/>
      <w:marTop w:val="0"/>
      <w:marBottom w:val="0"/>
      <w:divBdr>
        <w:top w:val="none" w:sz="0" w:space="0" w:color="auto"/>
        <w:left w:val="none" w:sz="0" w:space="0" w:color="auto"/>
        <w:bottom w:val="none" w:sz="0" w:space="0" w:color="auto"/>
        <w:right w:val="none" w:sz="0" w:space="0" w:color="auto"/>
      </w:divBdr>
    </w:div>
    <w:div w:id="138692552">
      <w:bodyDiv w:val="1"/>
      <w:marLeft w:val="0"/>
      <w:marRight w:val="0"/>
      <w:marTop w:val="0"/>
      <w:marBottom w:val="0"/>
      <w:divBdr>
        <w:top w:val="none" w:sz="0" w:space="0" w:color="auto"/>
        <w:left w:val="none" w:sz="0" w:space="0" w:color="auto"/>
        <w:bottom w:val="none" w:sz="0" w:space="0" w:color="auto"/>
        <w:right w:val="none" w:sz="0" w:space="0" w:color="auto"/>
      </w:divBdr>
    </w:div>
    <w:div w:id="164785671">
      <w:bodyDiv w:val="1"/>
      <w:marLeft w:val="0"/>
      <w:marRight w:val="0"/>
      <w:marTop w:val="0"/>
      <w:marBottom w:val="0"/>
      <w:divBdr>
        <w:top w:val="none" w:sz="0" w:space="0" w:color="auto"/>
        <w:left w:val="none" w:sz="0" w:space="0" w:color="auto"/>
        <w:bottom w:val="none" w:sz="0" w:space="0" w:color="auto"/>
        <w:right w:val="none" w:sz="0" w:space="0" w:color="auto"/>
      </w:divBdr>
    </w:div>
    <w:div w:id="166794799">
      <w:bodyDiv w:val="1"/>
      <w:marLeft w:val="0"/>
      <w:marRight w:val="0"/>
      <w:marTop w:val="0"/>
      <w:marBottom w:val="0"/>
      <w:divBdr>
        <w:top w:val="none" w:sz="0" w:space="0" w:color="auto"/>
        <w:left w:val="none" w:sz="0" w:space="0" w:color="auto"/>
        <w:bottom w:val="none" w:sz="0" w:space="0" w:color="auto"/>
        <w:right w:val="none" w:sz="0" w:space="0" w:color="auto"/>
      </w:divBdr>
    </w:div>
    <w:div w:id="175197695">
      <w:bodyDiv w:val="1"/>
      <w:marLeft w:val="0"/>
      <w:marRight w:val="0"/>
      <w:marTop w:val="0"/>
      <w:marBottom w:val="0"/>
      <w:divBdr>
        <w:top w:val="none" w:sz="0" w:space="0" w:color="auto"/>
        <w:left w:val="none" w:sz="0" w:space="0" w:color="auto"/>
        <w:bottom w:val="none" w:sz="0" w:space="0" w:color="auto"/>
        <w:right w:val="none" w:sz="0" w:space="0" w:color="auto"/>
      </w:divBdr>
    </w:div>
    <w:div w:id="198514507">
      <w:bodyDiv w:val="1"/>
      <w:marLeft w:val="0"/>
      <w:marRight w:val="0"/>
      <w:marTop w:val="0"/>
      <w:marBottom w:val="0"/>
      <w:divBdr>
        <w:top w:val="none" w:sz="0" w:space="0" w:color="auto"/>
        <w:left w:val="none" w:sz="0" w:space="0" w:color="auto"/>
        <w:bottom w:val="none" w:sz="0" w:space="0" w:color="auto"/>
        <w:right w:val="none" w:sz="0" w:space="0" w:color="auto"/>
      </w:divBdr>
    </w:div>
    <w:div w:id="209153146">
      <w:bodyDiv w:val="1"/>
      <w:marLeft w:val="0"/>
      <w:marRight w:val="0"/>
      <w:marTop w:val="0"/>
      <w:marBottom w:val="0"/>
      <w:divBdr>
        <w:top w:val="none" w:sz="0" w:space="0" w:color="auto"/>
        <w:left w:val="none" w:sz="0" w:space="0" w:color="auto"/>
        <w:bottom w:val="none" w:sz="0" w:space="0" w:color="auto"/>
        <w:right w:val="none" w:sz="0" w:space="0" w:color="auto"/>
      </w:divBdr>
    </w:div>
    <w:div w:id="211771889">
      <w:bodyDiv w:val="1"/>
      <w:marLeft w:val="0"/>
      <w:marRight w:val="0"/>
      <w:marTop w:val="0"/>
      <w:marBottom w:val="0"/>
      <w:divBdr>
        <w:top w:val="none" w:sz="0" w:space="0" w:color="auto"/>
        <w:left w:val="none" w:sz="0" w:space="0" w:color="auto"/>
        <w:bottom w:val="none" w:sz="0" w:space="0" w:color="auto"/>
        <w:right w:val="none" w:sz="0" w:space="0" w:color="auto"/>
      </w:divBdr>
    </w:div>
    <w:div w:id="289212740">
      <w:bodyDiv w:val="1"/>
      <w:marLeft w:val="0"/>
      <w:marRight w:val="0"/>
      <w:marTop w:val="0"/>
      <w:marBottom w:val="0"/>
      <w:divBdr>
        <w:top w:val="none" w:sz="0" w:space="0" w:color="auto"/>
        <w:left w:val="none" w:sz="0" w:space="0" w:color="auto"/>
        <w:bottom w:val="none" w:sz="0" w:space="0" w:color="auto"/>
        <w:right w:val="none" w:sz="0" w:space="0" w:color="auto"/>
      </w:divBdr>
    </w:div>
    <w:div w:id="296108590">
      <w:bodyDiv w:val="1"/>
      <w:marLeft w:val="0"/>
      <w:marRight w:val="0"/>
      <w:marTop w:val="0"/>
      <w:marBottom w:val="0"/>
      <w:divBdr>
        <w:top w:val="none" w:sz="0" w:space="0" w:color="auto"/>
        <w:left w:val="none" w:sz="0" w:space="0" w:color="auto"/>
        <w:bottom w:val="none" w:sz="0" w:space="0" w:color="auto"/>
        <w:right w:val="none" w:sz="0" w:space="0" w:color="auto"/>
      </w:divBdr>
    </w:div>
    <w:div w:id="323626270">
      <w:bodyDiv w:val="1"/>
      <w:marLeft w:val="0"/>
      <w:marRight w:val="0"/>
      <w:marTop w:val="0"/>
      <w:marBottom w:val="0"/>
      <w:divBdr>
        <w:top w:val="none" w:sz="0" w:space="0" w:color="auto"/>
        <w:left w:val="none" w:sz="0" w:space="0" w:color="auto"/>
        <w:bottom w:val="none" w:sz="0" w:space="0" w:color="auto"/>
        <w:right w:val="none" w:sz="0" w:space="0" w:color="auto"/>
      </w:divBdr>
    </w:div>
    <w:div w:id="330838298">
      <w:bodyDiv w:val="1"/>
      <w:marLeft w:val="0"/>
      <w:marRight w:val="0"/>
      <w:marTop w:val="0"/>
      <w:marBottom w:val="0"/>
      <w:divBdr>
        <w:top w:val="none" w:sz="0" w:space="0" w:color="auto"/>
        <w:left w:val="none" w:sz="0" w:space="0" w:color="auto"/>
        <w:bottom w:val="none" w:sz="0" w:space="0" w:color="auto"/>
        <w:right w:val="none" w:sz="0" w:space="0" w:color="auto"/>
      </w:divBdr>
    </w:div>
    <w:div w:id="372078515">
      <w:bodyDiv w:val="1"/>
      <w:marLeft w:val="0"/>
      <w:marRight w:val="0"/>
      <w:marTop w:val="0"/>
      <w:marBottom w:val="0"/>
      <w:divBdr>
        <w:top w:val="none" w:sz="0" w:space="0" w:color="auto"/>
        <w:left w:val="none" w:sz="0" w:space="0" w:color="auto"/>
        <w:bottom w:val="none" w:sz="0" w:space="0" w:color="auto"/>
        <w:right w:val="none" w:sz="0" w:space="0" w:color="auto"/>
      </w:divBdr>
    </w:div>
    <w:div w:id="407777419">
      <w:bodyDiv w:val="1"/>
      <w:marLeft w:val="0"/>
      <w:marRight w:val="0"/>
      <w:marTop w:val="0"/>
      <w:marBottom w:val="0"/>
      <w:divBdr>
        <w:top w:val="none" w:sz="0" w:space="0" w:color="auto"/>
        <w:left w:val="none" w:sz="0" w:space="0" w:color="auto"/>
        <w:bottom w:val="none" w:sz="0" w:space="0" w:color="auto"/>
        <w:right w:val="none" w:sz="0" w:space="0" w:color="auto"/>
      </w:divBdr>
    </w:div>
    <w:div w:id="461967263">
      <w:bodyDiv w:val="1"/>
      <w:marLeft w:val="0"/>
      <w:marRight w:val="0"/>
      <w:marTop w:val="0"/>
      <w:marBottom w:val="0"/>
      <w:divBdr>
        <w:top w:val="none" w:sz="0" w:space="0" w:color="auto"/>
        <w:left w:val="none" w:sz="0" w:space="0" w:color="auto"/>
        <w:bottom w:val="none" w:sz="0" w:space="0" w:color="auto"/>
        <w:right w:val="none" w:sz="0" w:space="0" w:color="auto"/>
      </w:divBdr>
    </w:div>
    <w:div w:id="470288978">
      <w:bodyDiv w:val="1"/>
      <w:marLeft w:val="0"/>
      <w:marRight w:val="0"/>
      <w:marTop w:val="0"/>
      <w:marBottom w:val="0"/>
      <w:divBdr>
        <w:top w:val="none" w:sz="0" w:space="0" w:color="auto"/>
        <w:left w:val="none" w:sz="0" w:space="0" w:color="auto"/>
        <w:bottom w:val="none" w:sz="0" w:space="0" w:color="auto"/>
        <w:right w:val="none" w:sz="0" w:space="0" w:color="auto"/>
      </w:divBdr>
    </w:div>
    <w:div w:id="492719626">
      <w:bodyDiv w:val="1"/>
      <w:marLeft w:val="0"/>
      <w:marRight w:val="0"/>
      <w:marTop w:val="0"/>
      <w:marBottom w:val="0"/>
      <w:divBdr>
        <w:top w:val="none" w:sz="0" w:space="0" w:color="auto"/>
        <w:left w:val="none" w:sz="0" w:space="0" w:color="auto"/>
        <w:bottom w:val="none" w:sz="0" w:space="0" w:color="auto"/>
        <w:right w:val="none" w:sz="0" w:space="0" w:color="auto"/>
      </w:divBdr>
    </w:div>
    <w:div w:id="546990449">
      <w:bodyDiv w:val="1"/>
      <w:marLeft w:val="0"/>
      <w:marRight w:val="0"/>
      <w:marTop w:val="0"/>
      <w:marBottom w:val="0"/>
      <w:divBdr>
        <w:top w:val="none" w:sz="0" w:space="0" w:color="auto"/>
        <w:left w:val="none" w:sz="0" w:space="0" w:color="auto"/>
        <w:bottom w:val="none" w:sz="0" w:space="0" w:color="auto"/>
        <w:right w:val="none" w:sz="0" w:space="0" w:color="auto"/>
      </w:divBdr>
    </w:div>
    <w:div w:id="553735764">
      <w:bodyDiv w:val="1"/>
      <w:marLeft w:val="0"/>
      <w:marRight w:val="0"/>
      <w:marTop w:val="0"/>
      <w:marBottom w:val="0"/>
      <w:divBdr>
        <w:top w:val="none" w:sz="0" w:space="0" w:color="auto"/>
        <w:left w:val="none" w:sz="0" w:space="0" w:color="auto"/>
        <w:bottom w:val="none" w:sz="0" w:space="0" w:color="auto"/>
        <w:right w:val="none" w:sz="0" w:space="0" w:color="auto"/>
      </w:divBdr>
    </w:div>
    <w:div w:id="556161653">
      <w:bodyDiv w:val="1"/>
      <w:marLeft w:val="0"/>
      <w:marRight w:val="0"/>
      <w:marTop w:val="0"/>
      <w:marBottom w:val="0"/>
      <w:divBdr>
        <w:top w:val="none" w:sz="0" w:space="0" w:color="auto"/>
        <w:left w:val="none" w:sz="0" w:space="0" w:color="auto"/>
        <w:bottom w:val="none" w:sz="0" w:space="0" w:color="auto"/>
        <w:right w:val="none" w:sz="0" w:space="0" w:color="auto"/>
      </w:divBdr>
    </w:div>
    <w:div w:id="603616206">
      <w:bodyDiv w:val="1"/>
      <w:marLeft w:val="0"/>
      <w:marRight w:val="0"/>
      <w:marTop w:val="0"/>
      <w:marBottom w:val="0"/>
      <w:divBdr>
        <w:top w:val="none" w:sz="0" w:space="0" w:color="auto"/>
        <w:left w:val="none" w:sz="0" w:space="0" w:color="auto"/>
        <w:bottom w:val="none" w:sz="0" w:space="0" w:color="auto"/>
        <w:right w:val="none" w:sz="0" w:space="0" w:color="auto"/>
      </w:divBdr>
    </w:div>
    <w:div w:id="608855958">
      <w:bodyDiv w:val="1"/>
      <w:marLeft w:val="0"/>
      <w:marRight w:val="0"/>
      <w:marTop w:val="0"/>
      <w:marBottom w:val="0"/>
      <w:divBdr>
        <w:top w:val="none" w:sz="0" w:space="0" w:color="auto"/>
        <w:left w:val="none" w:sz="0" w:space="0" w:color="auto"/>
        <w:bottom w:val="none" w:sz="0" w:space="0" w:color="auto"/>
        <w:right w:val="none" w:sz="0" w:space="0" w:color="auto"/>
      </w:divBdr>
    </w:div>
    <w:div w:id="637295908">
      <w:bodyDiv w:val="1"/>
      <w:marLeft w:val="0"/>
      <w:marRight w:val="0"/>
      <w:marTop w:val="0"/>
      <w:marBottom w:val="0"/>
      <w:divBdr>
        <w:top w:val="none" w:sz="0" w:space="0" w:color="auto"/>
        <w:left w:val="none" w:sz="0" w:space="0" w:color="auto"/>
        <w:bottom w:val="none" w:sz="0" w:space="0" w:color="auto"/>
        <w:right w:val="none" w:sz="0" w:space="0" w:color="auto"/>
      </w:divBdr>
    </w:div>
    <w:div w:id="639775512">
      <w:bodyDiv w:val="1"/>
      <w:marLeft w:val="0"/>
      <w:marRight w:val="0"/>
      <w:marTop w:val="0"/>
      <w:marBottom w:val="0"/>
      <w:divBdr>
        <w:top w:val="none" w:sz="0" w:space="0" w:color="auto"/>
        <w:left w:val="none" w:sz="0" w:space="0" w:color="auto"/>
        <w:bottom w:val="none" w:sz="0" w:space="0" w:color="auto"/>
        <w:right w:val="none" w:sz="0" w:space="0" w:color="auto"/>
      </w:divBdr>
    </w:div>
    <w:div w:id="679158743">
      <w:bodyDiv w:val="1"/>
      <w:marLeft w:val="0"/>
      <w:marRight w:val="0"/>
      <w:marTop w:val="0"/>
      <w:marBottom w:val="0"/>
      <w:divBdr>
        <w:top w:val="none" w:sz="0" w:space="0" w:color="auto"/>
        <w:left w:val="none" w:sz="0" w:space="0" w:color="auto"/>
        <w:bottom w:val="none" w:sz="0" w:space="0" w:color="auto"/>
        <w:right w:val="none" w:sz="0" w:space="0" w:color="auto"/>
      </w:divBdr>
    </w:div>
    <w:div w:id="740103087">
      <w:bodyDiv w:val="1"/>
      <w:marLeft w:val="0"/>
      <w:marRight w:val="0"/>
      <w:marTop w:val="0"/>
      <w:marBottom w:val="0"/>
      <w:divBdr>
        <w:top w:val="none" w:sz="0" w:space="0" w:color="auto"/>
        <w:left w:val="none" w:sz="0" w:space="0" w:color="auto"/>
        <w:bottom w:val="none" w:sz="0" w:space="0" w:color="auto"/>
        <w:right w:val="none" w:sz="0" w:space="0" w:color="auto"/>
      </w:divBdr>
    </w:div>
    <w:div w:id="762527612">
      <w:bodyDiv w:val="1"/>
      <w:marLeft w:val="0"/>
      <w:marRight w:val="0"/>
      <w:marTop w:val="0"/>
      <w:marBottom w:val="0"/>
      <w:divBdr>
        <w:top w:val="none" w:sz="0" w:space="0" w:color="auto"/>
        <w:left w:val="none" w:sz="0" w:space="0" w:color="auto"/>
        <w:bottom w:val="none" w:sz="0" w:space="0" w:color="auto"/>
        <w:right w:val="none" w:sz="0" w:space="0" w:color="auto"/>
      </w:divBdr>
    </w:div>
    <w:div w:id="801188053">
      <w:bodyDiv w:val="1"/>
      <w:marLeft w:val="0"/>
      <w:marRight w:val="0"/>
      <w:marTop w:val="0"/>
      <w:marBottom w:val="0"/>
      <w:divBdr>
        <w:top w:val="none" w:sz="0" w:space="0" w:color="auto"/>
        <w:left w:val="none" w:sz="0" w:space="0" w:color="auto"/>
        <w:bottom w:val="none" w:sz="0" w:space="0" w:color="auto"/>
        <w:right w:val="none" w:sz="0" w:space="0" w:color="auto"/>
      </w:divBdr>
    </w:div>
    <w:div w:id="806706171">
      <w:bodyDiv w:val="1"/>
      <w:marLeft w:val="0"/>
      <w:marRight w:val="0"/>
      <w:marTop w:val="0"/>
      <w:marBottom w:val="0"/>
      <w:divBdr>
        <w:top w:val="none" w:sz="0" w:space="0" w:color="auto"/>
        <w:left w:val="none" w:sz="0" w:space="0" w:color="auto"/>
        <w:bottom w:val="none" w:sz="0" w:space="0" w:color="auto"/>
        <w:right w:val="none" w:sz="0" w:space="0" w:color="auto"/>
      </w:divBdr>
    </w:div>
    <w:div w:id="823081309">
      <w:bodyDiv w:val="1"/>
      <w:marLeft w:val="0"/>
      <w:marRight w:val="0"/>
      <w:marTop w:val="0"/>
      <w:marBottom w:val="0"/>
      <w:divBdr>
        <w:top w:val="none" w:sz="0" w:space="0" w:color="auto"/>
        <w:left w:val="none" w:sz="0" w:space="0" w:color="auto"/>
        <w:bottom w:val="none" w:sz="0" w:space="0" w:color="auto"/>
        <w:right w:val="none" w:sz="0" w:space="0" w:color="auto"/>
      </w:divBdr>
    </w:div>
    <w:div w:id="827284127">
      <w:bodyDiv w:val="1"/>
      <w:marLeft w:val="0"/>
      <w:marRight w:val="0"/>
      <w:marTop w:val="0"/>
      <w:marBottom w:val="0"/>
      <w:divBdr>
        <w:top w:val="none" w:sz="0" w:space="0" w:color="auto"/>
        <w:left w:val="none" w:sz="0" w:space="0" w:color="auto"/>
        <w:bottom w:val="none" w:sz="0" w:space="0" w:color="auto"/>
        <w:right w:val="none" w:sz="0" w:space="0" w:color="auto"/>
      </w:divBdr>
    </w:div>
    <w:div w:id="833565416">
      <w:bodyDiv w:val="1"/>
      <w:marLeft w:val="0"/>
      <w:marRight w:val="0"/>
      <w:marTop w:val="0"/>
      <w:marBottom w:val="0"/>
      <w:divBdr>
        <w:top w:val="none" w:sz="0" w:space="0" w:color="auto"/>
        <w:left w:val="none" w:sz="0" w:space="0" w:color="auto"/>
        <w:bottom w:val="none" w:sz="0" w:space="0" w:color="auto"/>
        <w:right w:val="none" w:sz="0" w:space="0" w:color="auto"/>
      </w:divBdr>
    </w:div>
    <w:div w:id="836387799">
      <w:bodyDiv w:val="1"/>
      <w:marLeft w:val="0"/>
      <w:marRight w:val="0"/>
      <w:marTop w:val="0"/>
      <w:marBottom w:val="0"/>
      <w:divBdr>
        <w:top w:val="none" w:sz="0" w:space="0" w:color="auto"/>
        <w:left w:val="none" w:sz="0" w:space="0" w:color="auto"/>
        <w:bottom w:val="none" w:sz="0" w:space="0" w:color="auto"/>
        <w:right w:val="none" w:sz="0" w:space="0" w:color="auto"/>
      </w:divBdr>
      <w:divsChild>
        <w:div w:id="1709454304">
          <w:marLeft w:val="0"/>
          <w:marRight w:val="0"/>
          <w:marTop w:val="0"/>
          <w:marBottom w:val="0"/>
          <w:divBdr>
            <w:top w:val="none" w:sz="0" w:space="0" w:color="auto"/>
            <w:left w:val="none" w:sz="0" w:space="0" w:color="auto"/>
            <w:bottom w:val="none" w:sz="0" w:space="0" w:color="auto"/>
            <w:right w:val="none" w:sz="0" w:space="0" w:color="auto"/>
          </w:divBdr>
          <w:divsChild>
            <w:div w:id="961423058">
              <w:marLeft w:val="0"/>
              <w:marRight w:val="0"/>
              <w:marTop w:val="0"/>
              <w:marBottom w:val="0"/>
              <w:divBdr>
                <w:top w:val="none" w:sz="0" w:space="0" w:color="auto"/>
                <w:left w:val="none" w:sz="0" w:space="0" w:color="auto"/>
                <w:bottom w:val="none" w:sz="0" w:space="0" w:color="auto"/>
                <w:right w:val="none" w:sz="0" w:space="0" w:color="auto"/>
              </w:divBdr>
              <w:divsChild>
                <w:div w:id="1542093207">
                  <w:marLeft w:val="0"/>
                  <w:marRight w:val="0"/>
                  <w:marTop w:val="0"/>
                  <w:marBottom w:val="0"/>
                  <w:divBdr>
                    <w:top w:val="none" w:sz="0" w:space="0" w:color="auto"/>
                    <w:left w:val="none" w:sz="0" w:space="0" w:color="auto"/>
                    <w:bottom w:val="none" w:sz="0" w:space="0" w:color="auto"/>
                    <w:right w:val="none" w:sz="0" w:space="0" w:color="auto"/>
                  </w:divBdr>
                  <w:divsChild>
                    <w:div w:id="1925609689">
                      <w:marLeft w:val="0"/>
                      <w:marRight w:val="0"/>
                      <w:marTop w:val="0"/>
                      <w:marBottom w:val="0"/>
                      <w:divBdr>
                        <w:top w:val="none" w:sz="0" w:space="0" w:color="auto"/>
                        <w:left w:val="none" w:sz="0" w:space="0" w:color="auto"/>
                        <w:bottom w:val="none" w:sz="0" w:space="0" w:color="auto"/>
                        <w:right w:val="none" w:sz="0" w:space="0" w:color="auto"/>
                      </w:divBdr>
                      <w:divsChild>
                        <w:div w:id="1591811981">
                          <w:marLeft w:val="0"/>
                          <w:marRight w:val="0"/>
                          <w:marTop w:val="0"/>
                          <w:marBottom w:val="0"/>
                          <w:divBdr>
                            <w:top w:val="none" w:sz="0" w:space="0" w:color="auto"/>
                            <w:left w:val="none" w:sz="0" w:space="0" w:color="auto"/>
                            <w:bottom w:val="none" w:sz="0" w:space="0" w:color="auto"/>
                            <w:right w:val="none" w:sz="0" w:space="0" w:color="auto"/>
                          </w:divBdr>
                          <w:divsChild>
                            <w:div w:id="42560619">
                              <w:marLeft w:val="0"/>
                              <w:marRight w:val="5"/>
                              <w:marTop w:val="0"/>
                              <w:marBottom w:val="600"/>
                              <w:divBdr>
                                <w:top w:val="none" w:sz="0" w:space="0" w:color="auto"/>
                                <w:left w:val="none" w:sz="0" w:space="0" w:color="auto"/>
                                <w:bottom w:val="none" w:sz="0" w:space="0" w:color="auto"/>
                                <w:right w:val="none" w:sz="0" w:space="0" w:color="auto"/>
                              </w:divBdr>
                              <w:divsChild>
                                <w:div w:id="665327311">
                                  <w:marLeft w:val="0"/>
                                  <w:marRight w:val="0"/>
                                  <w:marTop w:val="0"/>
                                  <w:marBottom w:val="0"/>
                                  <w:divBdr>
                                    <w:top w:val="none" w:sz="0" w:space="0" w:color="auto"/>
                                    <w:left w:val="none" w:sz="0" w:space="0" w:color="auto"/>
                                    <w:bottom w:val="none" w:sz="0" w:space="0" w:color="auto"/>
                                    <w:right w:val="none" w:sz="0" w:space="0" w:color="auto"/>
                                  </w:divBdr>
                                  <w:divsChild>
                                    <w:div w:id="1149515714">
                                      <w:marLeft w:val="0"/>
                                      <w:marRight w:val="0"/>
                                      <w:marTop w:val="0"/>
                                      <w:marBottom w:val="0"/>
                                      <w:divBdr>
                                        <w:top w:val="none" w:sz="0" w:space="0" w:color="auto"/>
                                        <w:left w:val="none" w:sz="0" w:space="0" w:color="auto"/>
                                        <w:bottom w:val="none" w:sz="0" w:space="0" w:color="auto"/>
                                        <w:right w:val="none" w:sz="0" w:space="0" w:color="auto"/>
                                      </w:divBdr>
                                      <w:divsChild>
                                        <w:div w:id="1418164698">
                                          <w:marLeft w:val="0"/>
                                          <w:marRight w:val="0"/>
                                          <w:marTop w:val="0"/>
                                          <w:marBottom w:val="0"/>
                                          <w:divBdr>
                                            <w:top w:val="none" w:sz="0" w:space="0" w:color="auto"/>
                                            <w:left w:val="none" w:sz="0" w:space="0" w:color="auto"/>
                                            <w:bottom w:val="none" w:sz="0" w:space="0" w:color="auto"/>
                                            <w:right w:val="none" w:sz="0" w:space="0" w:color="auto"/>
                                          </w:divBdr>
                                          <w:divsChild>
                                            <w:div w:id="643856715">
                                              <w:marLeft w:val="0"/>
                                              <w:marRight w:val="0"/>
                                              <w:marTop w:val="0"/>
                                              <w:marBottom w:val="0"/>
                                              <w:divBdr>
                                                <w:top w:val="none" w:sz="0" w:space="0" w:color="auto"/>
                                                <w:left w:val="none" w:sz="0" w:space="0" w:color="auto"/>
                                                <w:bottom w:val="none" w:sz="0" w:space="0" w:color="auto"/>
                                                <w:right w:val="none" w:sz="0" w:space="0" w:color="auto"/>
                                              </w:divBdr>
                                              <w:divsChild>
                                                <w:div w:id="454058512">
                                                  <w:marLeft w:val="0"/>
                                                  <w:marRight w:val="0"/>
                                                  <w:marTop w:val="0"/>
                                                  <w:marBottom w:val="0"/>
                                                  <w:divBdr>
                                                    <w:top w:val="none" w:sz="0" w:space="0" w:color="auto"/>
                                                    <w:left w:val="none" w:sz="0" w:space="0" w:color="auto"/>
                                                    <w:bottom w:val="none" w:sz="0" w:space="0" w:color="auto"/>
                                                    <w:right w:val="none" w:sz="0" w:space="0" w:color="auto"/>
                                                  </w:divBdr>
                                                  <w:divsChild>
                                                    <w:div w:id="1063413261">
                                                      <w:marLeft w:val="0"/>
                                                      <w:marRight w:val="0"/>
                                                      <w:marTop w:val="0"/>
                                                      <w:marBottom w:val="0"/>
                                                      <w:divBdr>
                                                        <w:top w:val="none" w:sz="0" w:space="0" w:color="auto"/>
                                                        <w:left w:val="none" w:sz="0" w:space="0" w:color="auto"/>
                                                        <w:bottom w:val="none" w:sz="0" w:space="0" w:color="auto"/>
                                                        <w:right w:val="none" w:sz="0" w:space="0" w:color="auto"/>
                                                      </w:divBdr>
                                                      <w:divsChild>
                                                        <w:div w:id="1550264982">
                                                          <w:marLeft w:val="0"/>
                                                          <w:marRight w:val="0"/>
                                                          <w:marTop w:val="0"/>
                                                          <w:marBottom w:val="0"/>
                                                          <w:divBdr>
                                                            <w:top w:val="none" w:sz="0" w:space="0" w:color="auto"/>
                                                            <w:left w:val="none" w:sz="0" w:space="0" w:color="auto"/>
                                                            <w:bottom w:val="none" w:sz="0" w:space="0" w:color="auto"/>
                                                            <w:right w:val="none" w:sz="0" w:space="0" w:color="auto"/>
                                                          </w:divBdr>
                                                          <w:divsChild>
                                                            <w:div w:id="1480347316">
                                                              <w:marLeft w:val="0"/>
                                                              <w:marRight w:val="0"/>
                                                              <w:marTop w:val="0"/>
                                                              <w:marBottom w:val="0"/>
                                                              <w:divBdr>
                                                                <w:top w:val="none" w:sz="0" w:space="0" w:color="auto"/>
                                                                <w:left w:val="none" w:sz="0" w:space="0" w:color="auto"/>
                                                                <w:bottom w:val="none" w:sz="0" w:space="0" w:color="auto"/>
                                                                <w:right w:val="none" w:sz="0" w:space="0" w:color="auto"/>
                                                              </w:divBdr>
                                                              <w:divsChild>
                                                                <w:div w:id="1369573963">
                                                                  <w:marLeft w:val="0"/>
                                                                  <w:marRight w:val="0"/>
                                                                  <w:marTop w:val="0"/>
                                                                  <w:marBottom w:val="0"/>
                                                                  <w:divBdr>
                                                                    <w:top w:val="none" w:sz="0" w:space="0" w:color="auto"/>
                                                                    <w:left w:val="none" w:sz="0" w:space="0" w:color="auto"/>
                                                                    <w:bottom w:val="none" w:sz="0" w:space="0" w:color="auto"/>
                                                                    <w:right w:val="none" w:sz="0" w:space="0" w:color="auto"/>
                                                                  </w:divBdr>
                                                                  <w:divsChild>
                                                                    <w:div w:id="849879598">
                                                                      <w:marLeft w:val="0"/>
                                                                      <w:marRight w:val="0"/>
                                                                      <w:marTop w:val="0"/>
                                                                      <w:marBottom w:val="0"/>
                                                                      <w:divBdr>
                                                                        <w:top w:val="none" w:sz="0" w:space="0" w:color="auto"/>
                                                                        <w:left w:val="none" w:sz="0" w:space="0" w:color="auto"/>
                                                                        <w:bottom w:val="none" w:sz="0" w:space="0" w:color="auto"/>
                                                                        <w:right w:val="none" w:sz="0" w:space="0" w:color="auto"/>
                                                                      </w:divBdr>
                                                                      <w:divsChild>
                                                                        <w:div w:id="1667631239">
                                                                          <w:marLeft w:val="0"/>
                                                                          <w:marRight w:val="0"/>
                                                                          <w:marTop w:val="0"/>
                                                                          <w:marBottom w:val="0"/>
                                                                          <w:divBdr>
                                                                            <w:top w:val="none" w:sz="0" w:space="0" w:color="auto"/>
                                                                            <w:left w:val="none" w:sz="0" w:space="0" w:color="auto"/>
                                                                            <w:bottom w:val="none" w:sz="0" w:space="0" w:color="auto"/>
                                                                            <w:right w:val="none" w:sz="0" w:space="0" w:color="auto"/>
                                                                          </w:divBdr>
                                                                          <w:divsChild>
                                                                            <w:div w:id="224219381">
                                                                              <w:marLeft w:val="0"/>
                                                                              <w:marRight w:val="0"/>
                                                                              <w:marTop w:val="0"/>
                                                                              <w:marBottom w:val="0"/>
                                                                              <w:divBdr>
                                                                                <w:top w:val="none" w:sz="0" w:space="0" w:color="auto"/>
                                                                                <w:left w:val="none" w:sz="0" w:space="0" w:color="auto"/>
                                                                                <w:bottom w:val="none" w:sz="0" w:space="0" w:color="auto"/>
                                                                                <w:right w:val="none" w:sz="0" w:space="0" w:color="auto"/>
                                                                              </w:divBdr>
                                                                              <w:divsChild>
                                                                                <w:div w:id="1407193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841624030">
      <w:bodyDiv w:val="1"/>
      <w:marLeft w:val="0"/>
      <w:marRight w:val="0"/>
      <w:marTop w:val="0"/>
      <w:marBottom w:val="0"/>
      <w:divBdr>
        <w:top w:val="none" w:sz="0" w:space="0" w:color="auto"/>
        <w:left w:val="none" w:sz="0" w:space="0" w:color="auto"/>
        <w:bottom w:val="none" w:sz="0" w:space="0" w:color="auto"/>
        <w:right w:val="none" w:sz="0" w:space="0" w:color="auto"/>
      </w:divBdr>
    </w:div>
    <w:div w:id="889146497">
      <w:bodyDiv w:val="1"/>
      <w:marLeft w:val="0"/>
      <w:marRight w:val="0"/>
      <w:marTop w:val="0"/>
      <w:marBottom w:val="0"/>
      <w:divBdr>
        <w:top w:val="none" w:sz="0" w:space="0" w:color="auto"/>
        <w:left w:val="none" w:sz="0" w:space="0" w:color="auto"/>
        <w:bottom w:val="none" w:sz="0" w:space="0" w:color="auto"/>
        <w:right w:val="none" w:sz="0" w:space="0" w:color="auto"/>
      </w:divBdr>
    </w:div>
    <w:div w:id="903486991">
      <w:bodyDiv w:val="1"/>
      <w:marLeft w:val="0"/>
      <w:marRight w:val="0"/>
      <w:marTop w:val="0"/>
      <w:marBottom w:val="0"/>
      <w:divBdr>
        <w:top w:val="none" w:sz="0" w:space="0" w:color="auto"/>
        <w:left w:val="none" w:sz="0" w:space="0" w:color="auto"/>
        <w:bottom w:val="none" w:sz="0" w:space="0" w:color="auto"/>
        <w:right w:val="none" w:sz="0" w:space="0" w:color="auto"/>
      </w:divBdr>
    </w:div>
    <w:div w:id="920018492">
      <w:bodyDiv w:val="1"/>
      <w:marLeft w:val="0"/>
      <w:marRight w:val="0"/>
      <w:marTop w:val="0"/>
      <w:marBottom w:val="0"/>
      <w:divBdr>
        <w:top w:val="none" w:sz="0" w:space="0" w:color="auto"/>
        <w:left w:val="none" w:sz="0" w:space="0" w:color="auto"/>
        <w:bottom w:val="none" w:sz="0" w:space="0" w:color="auto"/>
        <w:right w:val="none" w:sz="0" w:space="0" w:color="auto"/>
      </w:divBdr>
    </w:div>
    <w:div w:id="931549577">
      <w:bodyDiv w:val="1"/>
      <w:marLeft w:val="0"/>
      <w:marRight w:val="0"/>
      <w:marTop w:val="0"/>
      <w:marBottom w:val="0"/>
      <w:divBdr>
        <w:top w:val="none" w:sz="0" w:space="0" w:color="auto"/>
        <w:left w:val="none" w:sz="0" w:space="0" w:color="auto"/>
        <w:bottom w:val="none" w:sz="0" w:space="0" w:color="auto"/>
        <w:right w:val="none" w:sz="0" w:space="0" w:color="auto"/>
      </w:divBdr>
    </w:div>
    <w:div w:id="1054617454">
      <w:bodyDiv w:val="1"/>
      <w:marLeft w:val="0"/>
      <w:marRight w:val="0"/>
      <w:marTop w:val="0"/>
      <w:marBottom w:val="0"/>
      <w:divBdr>
        <w:top w:val="none" w:sz="0" w:space="0" w:color="auto"/>
        <w:left w:val="none" w:sz="0" w:space="0" w:color="auto"/>
        <w:bottom w:val="none" w:sz="0" w:space="0" w:color="auto"/>
        <w:right w:val="none" w:sz="0" w:space="0" w:color="auto"/>
      </w:divBdr>
    </w:div>
    <w:div w:id="1160465381">
      <w:bodyDiv w:val="1"/>
      <w:marLeft w:val="0"/>
      <w:marRight w:val="0"/>
      <w:marTop w:val="0"/>
      <w:marBottom w:val="0"/>
      <w:divBdr>
        <w:top w:val="none" w:sz="0" w:space="0" w:color="auto"/>
        <w:left w:val="none" w:sz="0" w:space="0" w:color="auto"/>
        <w:bottom w:val="none" w:sz="0" w:space="0" w:color="auto"/>
        <w:right w:val="none" w:sz="0" w:space="0" w:color="auto"/>
      </w:divBdr>
    </w:div>
    <w:div w:id="1180585346">
      <w:bodyDiv w:val="1"/>
      <w:marLeft w:val="0"/>
      <w:marRight w:val="0"/>
      <w:marTop w:val="0"/>
      <w:marBottom w:val="0"/>
      <w:divBdr>
        <w:top w:val="none" w:sz="0" w:space="0" w:color="auto"/>
        <w:left w:val="none" w:sz="0" w:space="0" w:color="auto"/>
        <w:bottom w:val="none" w:sz="0" w:space="0" w:color="auto"/>
        <w:right w:val="none" w:sz="0" w:space="0" w:color="auto"/>
      </w:divBdr>
    </w:div>
    <w:div w:id="1225916833">
      <w:bodyDiv w:val="1"/>
      <w:marLeft w:val="0"/>
      <w:marRight w:val="0"/>
      <w:marTop w:val="0"/>
      <w:marBottom w:val="0"/>
      <w:divBdr>
        <w:top w:val="none" w:sz="0" w:space="0" w:color="auto"/>
        <w:left w:val="none" w:sz="0" w:space="0" w:color="auto"/>
        <w:bottom w:val="none" w:sz="0" w:space="0" w:color="auto"/>
        <w:right w:val="none" w:sz="0" w:space="0" w:color="auto"/>
      </w:divBdr>
    </w:div>
    <w:div w:id="1252085934">
      <w:bodyDiv w:val="1"/>
      <w:marLeft w:val="0"/>
      <w:marRight w:val="0"/>
      <w:marTop w:val="0"/>
      <w:marBottom w:val="0"/>
      <w:divBdr>
        <w:top w:val="none" w:sz="0" w:space="0" w:color="auto"/>
        <w:left w:val="none" w:sz="0" w:space="0" w:color="auto"/>
        <w:bottom w:val="none" w:sz="0" w:space="0" w:color="auto"/>
        <w:right w:val="none" w:sz="0" w:space="0" w:color="auto"/>
      </w:divBdr>
    </w:div>
    <w:div w:id="1259172350">
      <w:bodyDiv w:val="1"/>
      <w:marLeft w:val="0"/>
      <w:marRight w:val="0"/>
      <w:marTop w:val="0"/>
      <w:marBottom w:val="0"/>
      <w:divBdr>
        <w:top w:val="none" w:sz="0" w:space="0" w:color="auto"/>
        <w:left w:val="none" w:sz="0" w:space="0" w:color="auto"/>
        <w:bottom w:val="none" w:sz="0" w:space="0" w:color="auto"/>
        <w:right w:val="none" w:sz="0" w:space="0" w:color="auto"/>
      </w:divBdr>
    </w:div>
    <w:div w:id="1277912214">
      <w:bodyDiv w:val="1"/>
      <w:marLeft w:val="0"/>
      <w:marRight w:val="0"/>
      <w:marTop w:val="0"/>
      <w:marBottom w:val="0"/>
      <w:divBdr>
        <w:top w:val="none" w:sz="0" w:space="0" w:color="auto"/>
        <w:left w:val="none" w:sz="0" w:space="0" w:color="auto"/>
        <w:bottom w:val="none" w:sz="0" w:space="0" w:color="auto"/>
        <w:right w:val="none" w:sz="0" w:space="0" w:color="auto"/>
      </w:divBdr>
    </w:div>
    <w:div w:id="1342586415">
      <w:bodyDiv w:val="1"/>
      <w:marLeft w:val="0"/>
      <w:marRight w:val="0"/>
      <w:marTop w:val="0"/>
      <w:marBottom w:val="0"/>
      <w:divBdr>
        <w:top w:val="none" w:sz="0" w:space="0" w:color="auto"/>
        <w:left w:val="none" w:sz="0" w:space="0" w:color="auto"/>
        <w:bottom w:val="none" w:sz="0" w:space="0" w:color="auto"/>
        <w:right w:val="none" w:sz="0" w:space="0" w:color="auto"/>
      </w:divBdr>
    </w:div>
    <w:div w:id="1540320903">
      <w:bodyDiv w:val="1"/>
      <w:marLeft w:val="0"/>
      <w:marRight w:val="0"/>
      <w:marTop w:val="0"/>
      <w:marBottom w:val="0"/>
      <w:divBdr>
        <w:top w:val="none" w:sz="0" w:space="0" w:color="auto"/>
        <w:left w:val="none" w:sz="0" w:space="0" w:color="auto"/>
        <w:bottom w:val="none" w:sz="0" w:space="0" w:color="auto"/>
        <w:right w:val="none" w:sz="0" w:space="0" w:color="auto"/>
      </w:divBdr>
    </w:div>
    <w:div w:id="1556429530">
      <w:bodyDiv w:val="1"/>
      <w:marLeft w:val="0"/>
      <w:marRight w:val="0"/>
      <w:marTop w:val="0"/>
      <w:marBottom w:val="0"/>
      <w:divBdr>
        <w:top w:val="none" w:sz="0" w:space="0" w:color="auto"/>
        <w:left w:val="none" w:sz="0" w:space="0" w:color="auto"/>
        <w:bottom w:val="none" w:sz="0" w:space="0" w:color="auto"/>
        <w:right w:val="none" w:sz="0" w:space="0" w:color="auto"/>
      </w:divBdr>
    </w:div>
    <w:div w:id="1558543077">
      <w:bodyDiv w:val="1"/>
      <w:marLeft w:val="0"/>
      <w:marRight w:val="0"/>
      <w:marTop w:val="0"/>
      <w:marBottom w:val="0"/>
      <w:divBdr>
        <w:top w:val="none" w:sz="0" w:space="0" w:color="auto"/>
        <w:left w:val="none" w:sz="0" w:space="0" w:color="auto"/>
        <w:bottom w:val="none" w:sz="0" w:space="0" w:color="auto"/>
        <w:right w:val="none" w:sz="0" w:space="0" w:color="auto"/>
      </w:divBdr>
    </w:div>
    <w:div w:id="1604730496">
      <w:bodyDiv w:val="1"/>
      <w:marLeft w:val="0"/>
      <w:marRight w:val="0"/>
      <w:marTop w:val="0"/>
      <w:marBottom w:val="0"/>
      <w:divBdr>
        <w:top w:val="none" w:sz="0" w:space="0" w:color="auto"/>
        <w:left w:val="none" w:sz="0" w:space="0" w:color="auto"/>
        <w:bottom w:val="none" w:sz="0" w:space="0" w:color="auto"/>
        <w:right w:val="none" w:sz="0" w:space="0" w:color="auto"/>
      </w:divBdr>
    </w:div>
    <w:div w:id="1639530339">
      <w:bodyDiv w:val="1"/>
      <w:marLeft w:val="0"/>
      <w:marRight w:val="0"/>
      <w:marTop w:val="0"/>
      <w:marBottom w:val="0"/>
      <w:divBdr>
        <w:top w:val="none" w:sz="0" w:space="0" w:color="auto"/>
        <w:left w:val="none" w:sz="0" w:space="0" w:color="auto"/>
        <w:bottom w:val="none" w:sz="0" w:space="0" w:color="auto"/>
        <w:right w:val="none" w:sz="0" w:space="0" w:color="auto"/>
      </w:divBdr>
    </w:div>
    <w:div w:id="1654719200">
      <w:bodyDiv w:val="1"/>
      <w:marLeft w:val="0"/>
      <w:marRight w:val="0"/>
      <w:marTop w:val="0"/>
      <w:marBottom w:val="0"/>
      <w:divBdr>
        <w:top w:val="none" w:sz="0" w:space="0" w:color="auto"/>
        <w:left w:val="none" w:sz="0" w:space="0" w:color="auto"/>
        <w:bottom w:val="none" w:sz="0" w:space="0" w:color="auto"/>
        <w:right w:val="none" w:sz="0" w:space="0" w:color="auto"/>
      </w:divBdr>
    </w:div>
    <w:div w:id="1705669474">
      <w:bodyDiv w:val="1"/>
      <w:marLeft w:val="0"/>
      <w:marRight w:val="0"/>
      <w:marTop w:val="0"/>
      <w:marBottom w:val="0"/>
      <w:divBdr>
        <w:top w:val="none" w:sz="0" w:space="0" w:color="auto"/>
        <w:left w:val="none" w:sz="0" w:space="0" w:color="auto"/>
        <w:bottom w:val="none" w:sz="0" w:space="0" w:color="auto"/>
        <w:right w:val="none" w:sz="0" w:space="0" w:color="auto"/>
      </w:divBdr>
    </w:div>
    <w:div w:id="1788158113">
      <w:bodyDiv w:val="1"/>
      <w:marLeft w:val="0"/>
      <w:marRight w:val="0"/>
      <w:marTop w:val="0"/>
      <w:marBottom w:val="0"/>
      <w:divBdr>
        <w:top w:val="none" w:sz="0" w:space="0" w:color="auto"/>
        <w:left w:val="none" w:sz="0" w:space="0" w:color="auto"/>
        <w:bottom w:val="none" w:sz="0" w:space="0" w:color="auto"/>
        <w:right w:val="none" w:sz="0" w:space="0" w:color="auto"/>
      </w:divBdr>
    </w:div>
    <w:div w:id="1791700770">
      <w:bodyDiv w:val="1"/>
      <w:marLeft w:val="0"/>
      <w:marRight w:val="0"/>
      <w:marTop w:val="0"/>
      <w:marBottom w:val="0"/>
      <w:divBdr>
        <w:top w:val="none" w:sz="0" w:space="0" w:color="auto"/>
        <w:left w:val="none" w:sz="0" w:space="0" w:color="auto"/>
        <w:bottom w:val="none" w:sz="0" w:space="0" w:color="auto"/>
        <w:right w:val="none" w:sz="0" w:space="0" w:color="auto"/>
      </w:divBdr>
    </w:div>
    <w:div w:id="1809012320">
      <w:bodyDiv w:val="1"/>
      <w:marLeft w:val="0"/>
      <w:marRight w:val="0"/>
      <w:marTop w:val="0"/>
      <w:marBottom w:val="0"/>
      <w:divBdr>
        <w:top w:val="none" w:sz="0" w:space="0" w:color="auto"/>
        <w:left w:val="none" w:sz="0" w:space="0" w:color="auto"/>
        <w:bottom w:val="none" w:sz="0" w:space="0" w:color="auto"/>
        <w:right w:val="none" w:sz="0" w:space="0" w:color="auto"/>
      </w:divBdr>
    </w:div>
    <w:div w:id="1867596475">
      <w:bodyDiv w:val="1"/>
      <w:marLeft w:val="0"/>
      <w:marRight w:val="0"/>
      <w:marTop w:val="0"/>
      <w:marBottom w:val="0"/>
      <w:divBdr>
        <w:top w:val="none" w:sz="0" w:space="0" w:color="auto"/>
        <w:left w:val="none" w:sz="0" w:space="0" w:color="auto"/>
        <w:bottom w:val="none" w:sz="0" w:space="0" w:color="auto"/>
        <w:right w:val="none" w:sz="0" w:space="0" w:color="auto"/>
      </w:divBdr>
    </w:div>
    <w:div w:id="1883398812">
      <w:bodyDiv w:val="1"/>
      <w:marLeft w:val="0"/>
      <w:marRight w:val="0"/>
      <w:marTop w:val="0"/>
      <w:marBottom w:val="0"/>
      <w:divBdr>
        <w:top w:val="none" w:sz="0" w:space="0" w:color="auto"/>
        <w:left w:val="none" w:sz="0" w:space="0" w:color="auto"/>
        <w:bottom w:val="none" w:sz="0" w:space="0" w:color="auto"/>
        <w:right w:val="none" w:sz="0" w:space="0" w:color="auto"/>
      </w:divBdr>
    </w:div>
    <w:div w:id="1937789175">
      <w:bodyDiv w:val="1"/>
      <w:marLeft w:val="0"/>
      <w:marRight w:val="0"/>
      <w:marTop w:val="0"/>
      <w:marBottom w:val="0"/>
      <w:divBdr>
        <w:top w:val="none" w:sz="0" w:space="0" w:color="auto"/>
        <w:left w:val="none" w:sz="0" w:space="0" w:color="auto"/>
        <w:bottom w:val="none" w:sz="0" w:space="0" w:color="auto"/>
        <w:right w:val="none" w:sz="0" w:space="0" w:color="auto"/>
      </w:divBdr>
    </w:div>
    <w:div w:id="1954363945">
      <w:bodyDiv w:val="1"/>
      <w:marLeft w:val="0"/>
      <w:marRight w:val="0"/>
      <w:marTop w:val="0"/>
      <w:marBottom w:val="0"/>
      <w:divBdr>
        <w:top w:val="none" w:sz="0" w:space="0" w:color="auto"/>
        <w:left w:val="none" w:sz="0" w:space="0" w:color="auto"/>
        <w:bottom w:val="none" w:sz="0" w:space="0" w:color="auto"/>
        <w:right w:val="none" w:sz="0" w:space="0" w:color="auto"/>
      </w:divBdr>
    </w:div>
    <w:div w:id="1967154925">
      <w:bodyDiv w:val="1"/>
      <w:marLeft w:val="0"/>
      <w:marRight w:val="0"/>
      <w:marTop w:val="0"/>
      <w:marBottom w:val="0"/>
      <w:divBdr>
        <w:top w:val="none" w:sz="0" w:space="0" w:color="auto"/>
        <w:left w:val="none" w:sz="0" w:space="0" w:color="auto"/>
        <w:bottom w:val="none" w:sz="0" w:space="0" w:color="auto"/>
        <w:right w:val="none" w:sz="0" w:space="0" w:color="auto"/>
      </w:divBdr>
    </w:div>
    <w:div w:id="1968078421">
      <w:bodyDiv w:val="1"/>
      <w:marLeft w:val="0"/>
      <w:marRight w:val="0"/>
      <w:marTop w:val="0"/>
      <w:marBottom w:val="0"/>
      <w:divBdr>
        <w:top w:val="none" w:sz="0" w:space="0" w:color="auto"/>
        <w:left w:val="none" w:sz="0" w:space="0" w:color="auto"/>
        <w:bottom w:val="none" w:sz="0" w:space="0" w:color="auto"/>
        <w:right w:val="none" w:sz="0" w:space="0" w:color="auto"/>
      </w:divBdr>
    </w:div>
    <w:div w:id="2002081590">
      <w:bodyDiv w:val="1"/>
      <w:marLeft w:val="0"/>
      <w:marRight w:val="0"/>
      <w:marTop w:val="0"/>
      <w:marBottom w:val="0"/>
      <w:divBdr>
        <w:top w:val="none" w:sz="0" w:space="0" w:color="auto"/>
        <w:left w:val="none" w:sz="0" w:space="0" w:color="auto"/>
        <w:bottom w:val="none" w:sz="0" w:space="0" w:color="auto"/>
        <w:right w:val="none" w:sz="0" w:space="0" w:color="auto"/>
      </w:divBdr>
    </w:div>
    <w:div w:id="2021665452">
      <w:bodyDiv w:val="1"/>
      <w:marLeft w:val="0"/>
      <w:marRight w:val="0"/>
      <w:marTop w:val="0"/>
      <w:marBottom w:val="0"/>
      <w:divBdr>
        <w:top w:val="none" w:sz="0" w:space="0" w:color="auto"/>
        <w:left w:val="none" w:sz="0" w:space="0" w:color="auto"/>
        <w:bottom w:val="none" w:sz="0" w:space="0" w:color="auto"/>
        <w:right w:val="none" w:sz="0" w:space="0" w:color="auto"/>
      </w:divBdr>
    </w:div>
    <w:div w:id="2031224112">
      <w:bodyDiv w:val="1"/>
      <w:marLeft w:val="0"/>
      <w:marRight w:val="0"/>
      <w:marTop w:val="0"/>
      <w:marBottom w:val="0"/>
      <w:divBdr>
        <w:top w:val="none" w:sz="0" w:space="0" w:color="auto"/>
        <w:left w:val="none" w:sz="0" w:space="0" w:color="auto"/>
        <w:bottom w:val="none" w:sz="0" w:space="0" w:color="auto"/>
        <w:right w:val="none" w:sz="0" w:space="0" w:color="auto"/>
      </w:divBdr>
    </w:div>
    <w:div w:id="2045591460">
      <w:bodyDiv w:val="1"/>
      <w:marLeft w:val="0"/>
      <w:marRight w:val="0"/>
      <w:marTop w:val="0"/>
      <w:marBottom w:val="0"/>
      <w:divBdr>
        <w:top w:val="none" w:sz="0" w:space="0" w:color="auto"/>
        <w:left w:val="none" w:sz="0" w:space="0" w:color="auto"/>
        <w:bottom w:val="none" w:sz="0" w:space="0" w:color="auto"/>
        <w:right w:val="none" w:sz="0" w:space="0" w:color="auto"/>
      </w:divBdr>
    </w:div>
    <w:div w:id="2082362021">
      <w:bodyDiv w:val="1"/>
      <w:marLeft w:val="0"/>
      <w:marRight w:val="0"/>
      <w:marTop w:val="0"/>
      <w:marBottom w:val="0"/>
      <w:divBdr>
        <w:top w:val="none" w:sz="0" w:space="0" w:color="auto"/>
        <w:left w:val="none" w:sz="0" w:space="0" w:color="auto"/>
        <w:bottom w:val="none" w:sz="0" w:space="0" w:color="auto"/>
        <w:right w:val="none" w:sz="0" w:space="0" w:color="auto"/>
      </w:divBdr>
    </w:div>
    <w:div w:id="2102723456">
      <w:bodyDiv w:val="1"/>
      <w:marLeft w:val="0"/>
      <w:marRight w:val="0"/>
      <w:marTop w:val="0"/>
      <w:marBottom w:val="0"/>
      <w:divBdr>
        <w:top w:val="none" w:sz="0" w:space="0" w:color="auto"/>
        <w:left w:val="none" w:sz="0" w:space="0" w:color="auto"/>
        <w:bottom w:val="none" w:sz="0" w:space="0" w:color="auto"/>
        <w:right w:val="none" w:sz="0" w:space="0" w:color="auto"/>
      </w:divBdr>
    </w:div>
    <w:div w:id="21216829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footer" Target="footer2.xml"/><Relationship Id="rId18" Type="http://schemas.openxmlformats.org/officeDocument/2006/relationships/chart" Target="charts/chart1.xml"/><Relationship Id="rId26" Type="http://schemas.openxmlformats.org/officeDocument/2006/relationships/chart" Target="charts/chart9.xml"/><Relationship Id="rId39" Type="http://schemas.openxmlformats.org/officeDocument/2006/relationships/chart" Target="charts/chart18.xml"/><Relationship Id="rId3" Type="http://schemas.openxmlformats.org/officeDocument/2006/relationships/numbering" Target="numbering.xml"/><Relationship Id="rId21" Type="http://schemas.openxmlformats.org/officeDocument/2006/relationships/chart" Target="charts/chart4.xml"/><Relationship Id="rId34" Type="http://schemas.openxmlformats.org/officeDocument/2006/relationships/header" Target="header3.xml"/><Relationship Id="rId42" Type="http://schemas.openxmlformats.org/officeDocument/2006/relationships/image" Target="media/image2.png"/><Relationship Id="rId47" Type="http://schemas.microsoft.com/office/2016/09/relationships/commentsIds" Target="commentsIds.xml"/><Relationship Id="rId7" Type="http://schemas.openxmlformats.org/officeDocument/2006/relationships/webSettings" Target="webSettings.xml"/><Relationship Id="rId12" Type="http://schemas.openxmlformats.org/officeDocument/2006/relationships/header" Target="header1.xml"/><Relationship Id="rId17" Type="http://schemas.openxmlformats.org/officeDocument/2006/relationships/hyperlink" Target="http://www.ipcc.ch/" TargetMode="External"/><Relationship Id="rId25" Type="http://schemas.openxmlformats.org/officeDocument/2006/relationships/chart" Target="charts/chart8.xml"/><Relationship Id="rId33" Type="http://schemas.openxmlformats.org/officeDocument/2006/relationships/footer" Target="footer3.xml"/><Relationship Id="rId38" Type="http://schemas.openxmlformats.org/officeDocument/2006/relationships/chart" Target="charts/chart17.xml"/><Relationship Id="rId46" Type="http://schemas.microsoft.com/office/2011/relationships/people" Target="people.xml"/><Relationship Id="rId2" Type="http://schemas.openxmlformats.org/officeDocument/2006/relationships/customXml" Target="../customXml/item2.xml"/><Relationship Id="rId16" Type="http://schemas.openxmlformats.org/officeDocument/2006/relationships/hyperlink" Target="http://parlinfo.aph.gov.au/parlInfo/search/display/display.w3p;query=Id%3A%22media%2Fpressrel%2F4926485%22" TargetMode="External"/><Relationship Id="rId20" Type="http://schemas.openxmlformats.org/officeDocument/2006/relationships/chart" Target="charts/chart3.xml"/><Relationship Id="rId29" Type="http://schemas.openxmlformats.org/officeDocument/2006/relationships/chart" Target="charts/chart12.xml"/><Relationship Id="rId41" Type="http://schemas.openxmlformats.org/officeDocument/2006/relationships/chart" Target="charts/chart20.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footer" Target="footer1.xml"/><Relationship Id="rId24" Type="http://schemas.openxmlformats.org/officeDocument/2006/relationships/chart" Target="charts/chart7.xml"/><Relationship Id="rId32" Type="http://schemas.openxmlformats.org/officeDocument/2006/relationships/header" Target="header2.xml"/><Relationship Id="rId37" Type="http://schemas.openxmlformats.org/officeDocument/2006/relationships/chart" Target="charts/chart16.xml"/><Relationship Id="rId40" Type="http://schemas.openxmlformats.org/officeDocument/2006/relationships/chart" Target="charts/chart19.xml"/><Relationship Id="rId5" Type="http://schemas.microsoft.com/office/2007/relationships/stylesWithEffects" Target="stylesWithEffects.xml"/><Relationship Id="rId15" Type="http://schemas.openxmlformats.org/officeDocument/2006/relationships/hyperlink" Target="http://unfccc.int/essential_background/convention/items/6036.php" TargetMode="External"/><Relationship Id="rId23" Type="http://schemas.openxmlformats.org/officeDocument/2006/relationships/chart" Target="charts/chart6.xml"/><Relationship Id="rId28" Type="http://schemas.openxmlformats.org/officeDocument/2006/relationships/chart" Target="charts/chart11.xml"/><Relationship Id="rId36" Type="http://schemas.openxmlformats.org/officeDocument/2006/relationships/chart" Target="charts/chart15.xml"/><Relationship Id="rId10" Type="http://schemas.openxmlformats.org/officeDocument/2006/relationships/image" Target="media/image1.jpeg"/><Relationship Id="rId19" Type="http://schemas.openxmlformats.org/officeDocument/2006/relationships/chart" Target="charts/chart2.xml"/><Relationship Id="rId31" Type="http://schemas.openxmlformats.org/officeDocument/2006/relationships/chart" Target="charts/chart14.xml"/><Relationship Id="rId44" Type="http://schemas.openxmlformats.org/officeDocument/2006/relationships/theme" Target="theme/theme1.xml"/><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hyperlink" Target="http://unfccc.int/paris_agreement/items/9485.php" TargetMode="External"/><Relationship Id="rId22" Type="http://schemas.openxmlformats.org/officeDocument/2006/relationships/chart" Target="charts/chart5.xml"/><Relationship Id="rId27" Type="http://schemas.openxmlformats.org/officeDocument/2006/relationships/chart" Target="charts/chart10.xml"/><Relationship Id="rId30" Type="http://schemas.openxmlformats.org/officeDocument/2006/relationships/chart" Target="charts/chart13.xml"/><Relationship Id="rId35" Type="http://schemas.openxmlformats.org/officeDocument/2006/relationships/footer" Target="footer4.xml"/><Relationship Id="rId43" Type="http://schemas.openxmlformats.org/officeDocument/2006/relationships/fontTable" Target="fontTable.xml"/><Relationship Id="rId48" Type="http://schemas.microsoft.com/office/2011/relationships/commentsExtended" Target="commentsExtended.xml"/></Relationships>
</file>

<file path=word/_rels/footnotes.xml.rels><?xml version="1.0" encoding="UTF-8" standalone="yes"?>
<Relationships xmlns="http://schemas.openxmlformats.org/package/2006/relationships"><Relationship Id="rId3" Type="http://schemas.openxmlformats.org/officeDocument/2006/relationships/hyperlink" Target="http://www.asbec.asn.au/research-items/built-perform/" TargetMode="External"/><Relationship Id="rId2" Type="http://schemas.openxmlformats.org/officeDocument/2006/relationships/hyperlink" Target="http://www.environment.gov.au/climate-change/government/carbon-neutral/certified-businesses" TargetMode="External"/><Relationship Id="rId1" Type="http://schemas.openxmlformats.org/officeDocument/2006/relationships/hyperlink" Target="https://www.melbourne.vic.gov.au/about-council/committees-meetings/meeting-archive/meetingagendaitemattachments/706/12791/oct15%20ccl%20agenda%20item%207.4.pdf" TargetMode="External"/><Relationship Id="rId4" Type="http://schemas.openxmlformats.org/officeDocument/2006/relationships/hyperlink" Target="http://www.asbec.asn.au/research-items/built-perform/"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mcc\appdata\OfficeTemplates\Current\CoM%20Report%20Template.dotm"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Excel_Worksheet10.xlsx"/></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7.xml"/></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Worksheet12.xlsx"/><Relationship Id="rId1" Type="http://schemas.openxmlformats.org/officeDocument/2006/relationships/themeOverride" Target="../theme/themeOverride8.xml"/></Relationships>
</file>

<file path=word/charts/_rels/chart13.xml.rels><?xml version="1.0" encoding="UTF-8" standalone="yes"?>
<Relationships xmlns="http://schemas.openxmlformats.org/package/2006/relationships"><Relationship Id="rId2" Type="http://schemas.openxmlformats.org/officeDocument/2006/relationships/package" Target="../embeddings/Microsoft_Excel_Worksheet13.xlsx"/><Relationship Id="rId1" Type="http://schemas.openxmlformats.org/officeDocument/2006/relationships/themeOverride" Target="../theme/themeOverride9.xml"/></Relationships>
</file>

<file path=word/charts/_rels/chart14.xml.rels><?xml version="1.0" encoding="UTF-8" standalone="yes"?>
<Relationships xmlns="http://schemas.openxmlformats.org/package/2006/relationships"><Relationship Id="rId2" Type="http://schemas.openxmlformats.org/officeDocument/2006/relationships/package" Target="../embeddings/Microsoft_Excel_Worksheet14.xlsx"/><Relationship Id="rId1" Type="http://schemas.openxmlformats.org/officeDocument/2006/relationships/themeOverride" Target="../theme/themeOverride10.xml"/></Relationships>
</file>

<file path=word/charts/_rels/chart15.xml.rels><?xml version="1.0" encoding="UTF-8" standalone="yes"?>
<Relationships xmlns="http://schemas.openxmlformats.org/package/2006/relationships"><Relationship Id="rId2" Type="http://schemas.openxmlformats.org/officeDocument/2006/relationships/package" Target="../embeddings/Microsoft_Excel_Worksheet15.xlsx"/><Relationship Id="rId1" Type="http://schemas.openxmlformats.org/officeDocument/2006/relationships/themeOverride" Target="../theme/themeOverride11.xml"/></Relationships>
</file>

<file path=word/charts/_rels/chart16.xml.rels><?xml version="1.0" encoding="UTF-8" standalone="yes"?>
<Relationships xmlns="http://schemas.openxmlformats.org/package/2006/relationships"><Relationship Id="rId2" Type="http://schemas.openxmlformats.org/officeDocument/2006/relationships/package" Target="../embeddings/Microsoft_Excel_Worksheet16.xlsx"/><Relationship Id="rId1" Type="http://schemas.openxmlformats.org/officeDocument/2006/relationships/themeOverride" Target="../theme/themeOverride12.xml"/></Relationships>
</file>

<file path=word/charts/_rels/chart17.xml.rels><?xml version="1.0" encoding="UTF-8" standalone="yes"?>
<Relationships xmlns="http://schemas.openxmlformats.org/package/2006/relationships"><Relationship Id="rId2" Type="http://schemas.openxmlformats.org/officeDocument/2006/relationships/package" Target="../embeddings/Microsoft_Excel_Worksheet17.xlsx"/><Relationship Id="rId1" Type="http://schemas.openxmlformats.org/officeDocument/2006/relationships/themeOverride" Target="../theme/themeOverride13.xml"/></Relationships>
</file>

<file path=word/charts/_rels/chart18.xml.rels><?xml version="1.0" encoding="UTF-8" standalone="yes"?>
<Relationships xmlns="http://schemas.openxmlformats.org/package/2006/relationships"><Relationship Id="rId2" Type="http://schemas.openxmlformats.org/officeDocument/2006/relationships/package" Target="../embeddings/Microsoft_Excel_Worksheet18.xlsx"/><Relationship Id="rId1" Type="http://schemas.openxmlformats.org/officeDocument/2006/relationships/themeOverride" Target="../theme/themeOverride14.xml"/></Relationships>
</file>

<file path=word/charts/_rels/chart19.xml.rels><?xml version="1.0" encoding="UTF-8" standalone="yes"?>
<Relationships xmlns="http://schemas.openxmlformats.org/package/2006/relationships"><Relationship Id="rId2" Type="http://schemas.openxmlformats.org/officeDocument/2006/relationships/package" Target="../embeddings/Microsoft_Excel_Worksheet19.xlsx"/><Relationship Id="rId1" Type="http://schemas.openxmlformats.org/officeDocument/2006/relationships/themeOverride" Target="../theme/themeOverride15.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1.xml"/></Relationships>
</file>

<file path=word/charts/_rels/chart20.xml.rels><?xml version="1.0" encoding="UTF-8" standalone="yes"?>
<Relationships xmlns="http://schemas.openxmlformats.org/package/2006/relationships"><Relationship Id="rId2" Type="http://schemas.openxmlformats.org/officeDocument/2006/relationships/package" Target="../embeddings/Microsoft_Excel_Worksheet20.xlsx"/><Relationship Id="rId1" Type="http://schemas.openxmlformats.org/officeDocument/2006/relationships/themeOverride" Target="../theme/themeOverride16.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2.xml"/></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3.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4.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5.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6.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3"/>
          <c:order val="0"/>
          <c:tx>
            <c:strRef>
              <c:f>'Zero Net Pathways'!$B$34</c:f>
              <c:strCache>
                <c:ptCount val="1"/>
                <c:pt idx="0">
                  <c:v>Significant</c:v>
                </c:pt>
              </c:strCache>
            </c:strRef>
          </c:tx>
          <c:spPr>
            <a:ln w="38100" cap="rnd">
              <a:solidFill>
                <a:schemeClr val="accent4"/>
              </a:solidFill>
              <a:round/>
            </a:ln>
            <a:effectLst/>
          </c:spPr>
          <c:marker>
            <c:symbol val="none"/>
          </c:marker>
          <c:cat>
            <c:numRef>
              <c:f>'Zero Net Pathways'!$C$32:$AL$32</c:f>
              <c:numCache>
                <c:formatCode>General</c:formatCode>
                <c:ptCount val="3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pt idx="16">
                  <c:v>2031</c:v>
                </c:pt>
                <c:pt idx="17">
                  <c:v>2032</c:v>
                </c:pt>
                <c:pt idx="18">
                  <c:v>2033</c:v>
                </c:pt>
                <c:pt idx="19">
                  <c:v>2034</c:v>
                </c:pt>
                <c:pt idx="20">
                  <c:v>2035</c:v>
                </c:pt>
                <c:pt idx="21">
                  <c:v>2036</c:v>
                </c:pt>
                <c:pt idx="22">
                  <c:v>2037</c:v>
                </c:pt>
                <c:pt idx="23">
                  <c:v>2038</c:v>
                </c:pt>
                <c:pt idx="24">
                  <c:v>2039</c:v>
                </c:pt>
                <c:pt idx="25">
                  <c:v>2040</c:v>
                </c:pt>
                <c:pt idx="26">
                  <c:v>2041</c:v>
                </c:pt>
                <c:pt idx="27">
                  <c:v>2042</c:v>
                </c:pt>
                <c:pt idx="28">
                  <c:v>2043</c:v>
                </c:pt>
                <c:pt idx="29">
                  <c:v>2044</c:v>
                </c:pt>
                <c:pt idx="30">
                  <c:v>2045</c:v>
                </c:pt>
                <c:pt idx="31">
                  <c:v>2046</c:v>
                </c:pt>
                <c:pt idx="32">
                  <c:v>2047</c:v>
                </c:pt>
                <c:pt idx="33">
                  <c:v>2048</c:v>
                </c:pt>
                <c:pt idx="34">
                  <c:v>2049</c:v>
                </c:pt>
                <c:pt idx="35">
                  <c:v>2050</c:v>
                </c:pt>
              </c:numCache>
            </c:numRef>
          </c:cat>
          <c:val>
            <c:numRef>
              <c:f>'Zero Net Pathways'!$C$34:$AL$34</c:f>
              <c:numCache>
                <c:formatCode>_-* #,##0_-;\-* #,##0_-;_-* "-"??_-;_-@_-</c:formatCode>
                <c:ptCount val="36"/>
                <c:pt idx="0">
                  <c:v>4700672.0338636925</c:v>
                </c:pt>
                <c:pt idx="1">
                  <c:v>4696369.2346580112</c:v>
                </c:pt>
                <c:pt idx="2">
                  <c:v>4741394.2660014536</c:v>
                </c:pt>
                <c:pt idx="3">
                  <c:v>4673472.859191576</c:v>
                </c:pt>
                <c:pt idx="4">
                  <c:v>4660297.4720965521</c:v>
                </c:pt>
                <c:pt idx="5">
                  <c:v>4649580.4904540591</c:v>
                </c:pt>
                <c:pt idx="6">
                  <c:v>4571534.7318394212</c:v>
                </c:pt>
                <c:pt idx="7">
                  <c:v>4490357.9937950298</c:v>
                </c:pt>
                <c:pt idx="8">
                  <c:v>4404582.5184466504</c:v>
                </c:pt>
                <c:pt idx="9">
                  <c:v>4314111.0369169302</c:v>
                </c:pt>
                <c:pt idx="10">
                  <c:v>4223689.6032174313</c:v>
                </c:pt>
                <c:pt idx="11">
                  <c:v>4082950.082974901</c:v>
                </c:pt>
                <c:pt idx="12">
                  <c:v>4096276.56518781</c:v>
                </c:pt>
                <c:pt idx="13">
                  <c:v>3788567.035002064</c:v>
                </c:pt>
                <c:pt idx="14">
                  <c:v>3553418.3573113075</c:v>
                </c:pt>
                <c:pt idx="15">
                  <c:v>3339083.2338987831</c:v>
                </c:pt>
                <c:pt idx="16">
                  <c:v>3087613.1635764707</c:v>
                </c:pt>
                <c:pt idx="17">
                  <c:v>2933365.3285993161</c:v>
                </c:pt>
                <c:pt idx="18">
                  <c:v>2770269.2915973286</c:v>
                </c:pt>
                <c:pt idx="19">
                  <c:v>2541332.5626675761</c:v>
                </c:pt>
                <c:pt idx="20">
                  <c:v>2186903.9561544321</c:v>
                </c:pt>
                <c:pt idx="21">
                  <c:v>2077711.655214289</c:v>
                </c:pt>
                <c:pt idx="22">
                  <c:v>1970859.6813678998</c:v>
                </c:pt>
                <c:pt idx="23">
                  <c:v>1856274.6587258824</c:v>
                </c:pt>
                <c:pt idx="24">
                  <c:v>1738300.6425200328</c:v>
                </c:pt>
                <c:pt idx="25">
                  <c:v>1590637.1380599625</c:v>
                </c:pt>
                <c:pt idx="26">
                  <c:v>1482064.0347196646</c:v>
                </c:pt>
                <c:pt idx="27">
                  <c:v>1353481.8133389899</c:v>
                </c:pt>
                <c:pt idx="28">
                  <c:v>1221024.9243863034</c:v>
                </c:pt>
                <c:pt idx="29">
                  <c:v>1084502.1704429281</c:v>
                </c:pt>
                <c:pt idx="30">
                  <c:v>955565.93959695986</c:v>
                </c:pt>
                <c:pt idx="31">
                  <c:v>899268.76799750049</c:v>
                </c:pt>
                <c:pt idx="32">
                  <c:v>854657.68168984586</c:v>
                </c:pt>
                <c:pt idx="33">
                  <c:v>807302.80057462351</c:v>
                </c:pt>
                <c:pt idx="34">
                  <c:v>757044.75032253982</c:v>
                </c:pt>
                <c:pt idx="35">
                  <c:v>703714.0406885976</c:v>
                </c:pt>
              </c:numCache>
            </c:numRef>
          </c:val>
          <c:smooth val="0"/>
        </c:ser>
        <c:ser>
          <c:idx val="4"/>
          <c:order val="1"/>
          <c:tx>
            <c:strRef>
              <c:f>'Zero Net Pathways'!$B$35</c:f>
              <c:strCache>
                <c:ptCount val="1"/>
                <c:pt idx="0">
                  <c:v>Accelerated</c:v>
                </c:pt>
              </c:strCache>
            </c:strRef>
          </c:tx>
          <c:spPr>
            <a:ln w="38100" cap="rnd">
              <a:solidFill>
                <a:schemeClr val="accent5"/>
              </a:solidFill>
              <a:round/>
            </a:ln>
            <a:effectLst/>
          </c:spPr>
          <c:marker>
            <c:symbol val="none"/>
          </c:marker>
          <c:cat>
            <c:numRef>
              <c:f>'Zero Net Pathways'!$C$32:$AL$32</c:f>
              <c:numCache>
                <c:formatCode>General</c:formatCode>
                <c:ptCount val="3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pt idx="16">
                  <c:v>2031</c:v>
                </c:pt>
                <c:pt idx="17">
                  <c:v>2032</c:v>
                </c:pt>
                <c:pt idx="18">
                  <c:v>2033</c:v>
                </c:pt>
                <c:pt idx="19">
                  <c:v>2034</c:v>
                </c:pt>
                <c:pt idx="20">
                  <c:v>2035</c:v>
                </c:pt>
                <c:pt idx="21">
                  <c:v>2036</c:v>
                </c:pt>
                <c:pt idx="22">
                  <c:v>2037</c:v>
                </c:pt>
                <c:pt idx="23">
                  <c:v>2038</c:v>
                </c:pt>
                <c:pt idx="24">
                  <c:v>2039</c:v>
                </c:pt>
                <c:pt idx="25">
                  <c:v>2040</c:v>
                </c:pt>
                <c:pt idx="26">
                  <c:v>2041</c:v>
                </c:pt>
                <c:pt idx="27">
                  <c:v>2042</c:v>
                </c:pt>
                <c:pt idx="28">
                  <c:v>2043</c:v>
                </c:pt>
                <c:pt idx="29">
                  <c:v>2044</c:v>
                </c:pt>
                <c:pt idx="30">
                  <c:v>2045</c:v>
                </c:pt>
                <c:pt idx="31">
                  <c:v>2046</c:v>
                </c:pt>
                <c:pt idx="32">
                  <c:v>2047</c:v>
                </c:pt>
                <c:pt idx="33">
                  <c:v>2048</c:v>
                </c:pt>
                <c:pt idx="34">
                  <c:v>2049</c:v>
                </c:pt>
                <c:pt idx="35">
                  <c:v>2050</c:v>
                </c:pt>
              </c:numCache>
            </c:numRef>
          </c:cat>
          <c:val>
            <c:numRef>
              <c:f>'Zero Net Pathways'!$C$35:$AL$35</c:f>
              <c:numCache>
                <c:formatCode>_-* #,##0_-;\-* #,##0_-;_-* "-"??_-;_-@_-</c:formatCode>
                <c:ptCount val="36"/>
                <c:pt idx="0">
                  <c:v>4700672.0338636925</c:v>
                </c:pt>
                <c:pt idx="1">
                  <c:v>4696369.2346580112</c:v>
                </c:pt>
                <c:pt idx="2">
                  <c:v>4741394.2660014536</c:v>
                </c:pt>
                <c:pt idx="3">
                  <c:v>4673472.859191576</c:v>
                </c:pt>
                <c:pt idx="4">
                  <c:v>4660297.4720965521</c:v>
                </c:pt>
                <c:pt idx="5">
                  <c:v>4649580.4904540591</c:v>
                </c:pt>
                <c:pt idx="6">
                  <c:v>4485049.2645214647</c:v>
                </c:pt>
                <c:pt idx="7">
                  <c:v>4319395.4426308852</c:v>
                </c:pt>
                <c:pt idx="8">
                  <c:v>4150727.3409125605</c:v>
                </c:pt>
                <c:pt idx="9">
                  <c:v>3978817.8218198856</c:v>
                </c:pt>
                <c:pt idx="10">
                  <c:v>3808892.2626495361</c:v>
                </c:pt>
                <c:pt idx="11">
                  <c:v>3616198.6795546627</c:v>
                </c:pt>
                <c:pt idx="12">
                  <c:v>3538394.5119108511</c:v>
                </c:pt>
                <c:pt idx="13">
                  <c:v>3134059.0172052123</c:v>
                </c:pt>
                <c:pt idx="14">
                  <c:v>2804207.6602098839</c:v>
                </c:pt>
                <c:pt idx="15">
                  <c:v>2500815.5439957492</c:v>
                </c:pt>
                <c:pt idx="16">
                  <c:v>2236895.5486129834</c:v>
                </c:pt>
                <c:pt idx="17">
                  <c:v>2082987.2505858531</c:v>
                </c:pt>
                <c:pt idx="18">
                  <c:v>1941603.2594246455</c:v>
                </c:pt>
                <c:pt idx="19">
                  <c:v>1742143.2339213425</c:v>
                </c:pt>
                <c:pt idx="20">
                  <c:v>1364636.3768618121</c:v>
                </c:pt>
                <c:pt idx="21">
                  <c:v>1232658.4641950736</c:v>
                </c:pt>
                <c:pt idx="22">
                  <c:v>1102621.9891827139</c:v>
                </c:pt>
                <c:pt idx="23">
                  <c:v>964662.42515710648</c:v>
                </c:pt>
                <c:pt idx="24">
                  <c:v>823114.30982106226</c:v>
                </c:pt>
                <c:pt idx="25">
                  <c:v>655534.93941322248</c:v>
                </c:pt>
                <c:pt idx="26">
                  <c:v>654974.34892797563</c:v>
                </c:pt>
                <c:pt idx="27">
                  <c:v>636797.35688114632</c:v>
                </c:pt>
                <c:pt idx="28">
                  <c:v>617236.11059749639</c:v>
                </c:pt>
                <c:pt idx="29">
                  <c:v>596198.056702503</c:v>
                </c:pt>
                <c:pt idx="30">
                  <c:v>585738.52491778648</c:v>
                </c:pt>
                <c:pt idx="31">
                  <c:v>547054.66786235617</c:v>
                </c:pt>
                <c:pt idx="32">
                  <c:v>520865.51971764769</c:v>
                </c:pt>
                <c:pt idx="33">
                  <c:v>492769.88928975351</c:v>
                </c:pt>
                <c:pt idx="34">
                  <c:v>462637.97365414817</c:v>
                </c:pt>
                <c:pt idx="35">
                  <c:v>430330.76334360242</c:v>
                </c:pt>
              </c:numCache>
            </c:numRef>
          </c:val>
          <c:smooth val="0"/>
        </c:ser>
        <c:ser>
          <c:idx val="0"/>
          <c:order val="2"/>
          <c:tx>
            <c:strRef>
              <c:f>'Zero Net Pathways'!$B$37</c:f>
              <c:strCache>
                <c:ptCount val="1"/>
                <c:pt idx="0">
                  <c:v>2020 offsets</c:v>
                </c:pt>
              </c:strCache>
            </c:strRef>
          </c:tx>
          <c:spPr>
            <a:ln w="38100" cap="rnd">
              <a:solidFill>
                <a:schemeClr val="accent1"/>
              </a:solidFill>
              <a:round/>
            </a:ln>
            <a:effectLst/>
          </c:spPr>
          <c:marker>
            <c:symbol val="none"/>
          </c:marker>
          <c:cat>
            <c:numRef>
              <c:f>'Zero Net Pathways'!$C$32:$AL$32</c:f>
              <c:numCache>
                <c:formatCode>General</c:formatCode>
                <c:ptCount val="3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pt idx="16">
                  <c:v>2031</c:v>
                </c:pt>
                <c:pt idx="17">
                  <c:v>2032</c:v>
                </c:pt>
                <c:pt idx="18">
                  <c:v>2033</c:v>
                </c:pt>
                <c:pt idx="19">
                  <c:v>2034</c:v>
                </c:pt>
                <c:pt idx="20">
                  <c:v>2035</c:v>
                </c:pt>
                <c:pt idx="21">
                  <c:v>2036</c:v>
                </c:pt>
                <c:pt idx="22">
                  <c:v>2037</c:v>
                </c:pt>
                <c:pt idx="23">
                  <c:v>2038</c:v>
                </c:pt>
                <c:pt idx="24">
                  <c:v>2039</c:v>
                </c:pt>
                <c:pt idx="25">
                  <c:v>2040</c:v>
                </c:pt>
                <c:pt idx="26">
                  <c:v>2041</c:v>
                </c:pt>
                <c:pt idx="27">
                  <c:v>2042</c:v>
                </c:pt>
                <c:pt idx="28">
                  <c:v>2043</c:v>
                </c:pt>
                <c:pt idx="29">
                  <c:v>2044</c:v>
                </c:pt>
                <c:pt idx="30">
                  <c:v>2045</c:v>
                </c:pt>
                <c:pt idx="31">
                  <c:v>2046</c:v>
                </c:pt>
                <c:pt idx="32">
                  <c:v>2047</c:v>
                </c:pt>
                <c:pt idx="33">
                  <c:v>2048</c:v>
                </c:pt>
                <c:pt idx="34">
                  <c:v>2049</c:v>
                </c:pt>
                <c:pt idx="35">
                  <c:v>2050</c:v>
                </c:pt>
              </c:numCache>
            </c:numRef>
          </c:cat>
          <c:val>
            <c:numRef>
              <c:f>'Zero Net Pathways'!$C$37:$AL$37</c:f>
              <c:numCache>
                <c:formatCode>_-* #,##0_-;\-* #,##0_-;_-* "-"??_-;_-@_-</c:formatCode>
                <c:ptCount val="36"/>
                <c:pt idx="0">
                  <c:v>4700672.0338636925</c:v>
                </c:pt>
                <c:pt idx="1">
                  <c:v>4696369.2346580112</c:v>
                </c:pt>
                <c:pt idx="2">
                  <c:v>4741394.2660014536</c:v>
                </c:pt>
                <c:pt idx="3">
                  <c:v>4673472.859191576</c:v>
                </c:pt>
                <c:pt idx="4">
                  <c:v>4660297.4720965521</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numCache>
            </c:numRef>
          </c:val>
          <c:smooth val="0"/>
        </c:ser>
        <c:ser>
          <c:idx val="2"/>
          <c:order val="3"/>
          <c:tx>
            <c:strRef>
              <c:f>'Zero Net Pathways'!$B$33</c:f>
              <c:strCache>
                <c:ptCount val="1"/>
                <c:pt idx="0">
                  <c:v>BAU</c:v>
                </c:pt>
              </c:strCache>
            </c:strRef>
          </c:tx>
          <c:spPr>
            <a:ln w="38100" cap="rnd">
              <a:solidFill>
                <a:srgbClr val="FFC000"/>
              </a:solidFill>
              <a:round/>
            </a:ln>
            <a:effectLst/>
          </c:spPr>
          <c:marker>
            <c:symbol val="none"/>
          </c:marker>
          <c:cat>
            <c:numRef>
              <c:f>'Zero Net Pathways'!$C$32:$AL$32</c:f>
              <c:numCache>
                <c:formatCode>General</c:formatCode>
                <c:ptCount val="3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pt idx="16">
                  <c:v>2031</c:v>
                </c:pt>
                <c:pt idx="17">
                  <c:v>2032</c:v>
                </c:pt>
                <c:pt idx="18">
                  <c:v>2033</c:v>
                </c:pt>
                <c:pt idx="19">
                  <c:v>2034</c:v>
                </c:pt>
                <c:pt idx="20">
                  <c:v>2035</c:v>
                </c:pt>
                <c:pt idx="21">
                  <c:v>2036</c:v>
                </c:pt>
                <c:pt idx="22">
                  <c:v>2037</c:v>
                </c:pt>
                <c:pt idx="23">
                  <c:v>2038</c:v>
                </c:pt>
                <c:pt idx="24">
                  <c:v>2039</c:v>
                </c:pt>
                <c:pt idx="25">
                  <c:v>2040</c:v>
                </c:pt>
                <c:pt idx="26">
                  <c:v>2041</c:v>
                </c:pt>
                <c:pt idx="27">
                  <c:v>2042</c:v>
                </c:pt>
                <c:pt idx="28">
                  <c:v>2043</c:v>
                </c:pt>
                <c:pt idx="29">
                  <c:v>2044</c:v>
                </c:pt>
                <c:pt idx="30">
                  <c:v>2045</c:v>
                </c:pt>
                <c:pt idx="31">
                  <c:v>2046</c:v>
                </c:pt>
                <c:pt idx="32">
                  <c:v>2047</c:v>
                </c:pt>
                <c:pt idx="33">
                  <c:v>2048</c:v>
                </c:pt>
                <c:pt idx="34">
                  <c:v>2049</c:v>
                </c:pt>
                <c:pt idx="35">
                  <c:v>2050</c:v>
                </c:pt>
              </c:numCache>
            </c:numRef>
          </c:cat>
          <c:val>
            <c:numRef>
              <c:f>'Zero Net Pathways'!$C$33:$AL$33</c:f>
              <c:numCache>
                <c:formatCode>_-* #,##0_-;\-* #,##0_-;_-* "-"??_-;_-@_-</c:formatCode>
                <c:ptCount val="36"/>
                <c:pt idx="0">
                  <c:v>4700672.0338636925</c:v>
                </c:pt>
                <c:pt idx="1">
                  <c:v>4696369.2346580112</c:v>
                </c:pt>
                <c:pt idx="2">
                  <c:v>4741394.2660014536</c:v>
                </c:pt>
                <c:pt idx="3">
                  <c:v>4673472.859191576</c:v>
                </c:pt>
                <c:pt idx="4">
                  <c:v>4660297.4720965521</c:v>
                </c:pt>
                <c:pt idx="5">
                  <c:v>4649580.4904540591</c:v>
                </c:pt>
                <c:pt idx="6">
                  <c:v>4642890.7137661427</c:v>
                </c:pt>
                <c:pt idx="7">
                  <c:v>4632332.9970868519</c:v>
                </c:pt>
                <c:pt idx="8">
                  <c:v>4616270.8836241802</c:v>
                </c:pt>
                <c:pt idx="9">
                  <c:v>4594685.0072553838</c:v>
                </c:pt>
                <c:pt idx="10">
                  <c:v>4571846.7739768438</c:v>
                </c:pt>
                <c:pt idx="11">
                  <c:v>4543213.4843731821</c:v>
                </c:pt>
                <c:pt idx="12">
                  <c:v>4634368.8789914437</c:v>
                </c:pt>
                <c:pt idx="13">
                  <c:v>4594867.5550485309</c:v>
                </c:pt>
                <c:pt idx="14">
                  <c:v>4505432.4575895956</c:v>
                </c:pt>
                <c:pt idx="15">
                  <c:v>4412266.7716306318</c:v>
                </c:pt>
                <c:pt idx="16">
                  <c:v>4309352.5715974774</c:v>
                </c:pt>
                <c:pt idx="17">
                  <c:v>4275880.8768228898</c:v>
                </c:pt>
                <c:pt idx="18">
                  <c:v>4183799.5100896894</c:v>
                </c:pt>
                <c:pt idx="19">
                  <c:v>3999927.726037276</c:v>
                </c:pt>
                <c:pt idx="20">
                  <c:v>3801904.7604337926</c:v>
                </c:pt>
                <c:pt idx="21">
                  <c:v>3862147.8481064807</c:v>
                </c:pt>
                <c:pt idx="22">
                  <c:v>3928653.8962255539</c:v>
                </c:pt>
                <c:pt idx="23">
                  <c:v>3991201.2891816767</c:v>
                </c:pt>
                <c:pt idx="24">
                  <c:v>4054264.154867196</c:v>
                </c:pt>
                <c:pt idx="25">
                  <c:v>4117805.5253755567</c:v>
                </c:pt>
                <c:pt idx="26">
                  <c:v>4203587.6251553576</c:v>
                </c:pt>
                <c:pt idx="27">
                  <c:v>4273644.4212558176</c:v>
                </c:pt>
                <c:pt idx="28">
                  <c:v>4344249.5902041234</c:v>
                </c:pt>
                <c:pt idx="29">
                  <c:v>4415353.0654669004</c:v>
                </c:pt>
                <c:pt idx="30">
                  <c:v>4486899.2442879044</c:v>
                </c:pt>
                <c:pt idx="31">
                  <c:v>4546767.5256832177</c:v>
                </c:pt>
                <c:pt idx="32">
                  <c:v>4621293.569344312</c:v>
                </c:pt>
                <c:pt idx="33">
                  <c:v>4696123.8765626764</c:v>
                </c:pt>
                <c:pt idx="34">
                  <c:v>4771177.3962028772</c:v>
                </c:pt>
                <c:pt idx="35">
                  <c:v>4846364.9515051609</c:v>
                </c:pt>
              </c:numCache>
            </c:numRef>
          </c:val>
          <c:smooth val="0"/>
        </c:ser>
        <c:dLbls>
          <c:showLegendKey val="0"/>
          <c:showVal val="0"/>
          <c:showCatName val="0"/>
          <c:showSerName val="0"/>
          <c:showPercent val="0"/>
          <c:showBubbleSize val="0"/>
        </c:dLbls>
        <c:marker val="1"/>
        <c:smooth val="0"/>
        <c:axId val="379272576"/>
        <c:axId val="379290752"/>
      </c:lineChart>
      <c:catAx>
        <c:axId val="379272576"/>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en-US"/>
          </a:p>
        </c:txPr>
        <c:crossAx val="379290752"/>
        <c:crosses val="autoZero"/>
        <c:auto val="1"/>
        <c:lblAlgn val="ctr"/>
        <c:lblOffset val="100"/>
        <c:tickLblSkip val="5"/>
        <c:noMultiLvlLbl val="0"/>
      </c:catAx>
      <c:valAx>
        <c:axId val="379290752"/>
        <c:scaling>
          <c:orientation val="minMax"/>
        </c:scaling>
        <c:delete val="0"/>
        <c:axPos val="l"/>
        <c:majorGridlines>
          <c:spPr>
            <a:ln w="9525" cap="flat" cmpd="sng" algn="ctr">
              <a:solidFill>
                <a:schemeClr val="tx1">
                  <a:lumMod val="15000"/>
                  <a:lumOff val="85000"/>
                </a:schemeClr>
              </a:solidFill>
              <a:prstDash val="sysDot"/>
              <a:round/>
            </a:ln>
            <a:effectLst/>
          </c:spPr>
        </c:majorGridlines>
        <c:numFmt formatCode="#,##0" sourceLinked="0"/>
        <c:majorTickMark val="out"/>
        <c:minorTickMark val="none"/>
        <c:tickLblPos val="nextTo"/>
        <c:spPr>
          <a:noFill/>
          <a:effectLst/>
        </c:spPr>
        <c:txPr>
          <a:bodyPr rot="-60000000" vert="horz"/>
          <a:lstStyle/>
          <a:p>
            <a:pPr>
              <a:defRPr/>
            </a:pPr>
            <a:endParaRPr lang="en-US"/>
          </a:p>
        </c:txPr>
        <c:crossAx val="379272576"/>
        <c:crosses val="autoZero"/>
        <c:crossBetween val="between"/>
      </c:valAx>
      <c:spPr>
        <a:noFill/>
        <a:ln>
          <a:noFill/>
        </a:ln>
        <a:effectLst/>
      </c:spPr>
    </c:plotArea>
    <c:legend>
      <c:legendPos val="r"/>
      <c:overlay val="0"/>
    </c:legend>
    <c:plotVisOnly val="1"/>
    <c:dispBlanksAs val="gap"/>
    <c:showDLblsOverMax val="0"/>
  </c:chart>
  <c:spPr>
    <a:noFill/>
    <a:ln w="9525" cap="flat" cmpd="sng" algn="ctr">
      <a:noFill/>
      <a:round/>
    </a:ln>
    <a:effectLst/>
  </c:spPr>
  <c:txPr>
    <a:bodyPr/>
    <a:lstStyle/>
    <a:p>
      <a:pPr>
        <a:defRPr sz="900">
          <a:latin typeface="+mn-lt"/>
        </a:defRPr>
      </a:pPr>
      <a:endParaRPr lang="en-US"/>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3"/>
          <c:order val="0"/>
          <c:tx>
            <c:strRef>
              <c:f>'Zero Net Pathways'!$B$34</c:f>
              <c:strCache>
                <c:ptCount val="1"/>
                <c:pt idx="0">
                  <c:v>Significant</c:v>
                </c:pt>
              </c:strCache>
            </c:strRef>
          </c:tx>
          <c:spPr>
            <a:ln w="38100" cap="rnd">
              <a:solidFill>
                <a:schemeClr val="accent4"/>
              </a:solidFill>
              <a:round/>
            </a:ln>
            <a:effectLst/>
          </c:spPr>
          <c:marker>
            <c:symbol val="none"/>
          </c:marker>
          <c:cat>
            <c:numRef>
              <c:f>'Zero Net Pathways'!$C$32:$AL$32</c:f>
              <c:numCache>
                <c:formatCode>General</c:formatCode>
                <c:ptCount val="3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pt idx="16">
                  <c:v>2031</c:v>
                </c:pt>
                <c:pt idx="17">
                  <c:v>2032</c:v>
                </c:pt>
                <c:pt idx="18">
                  <c:v>2033</c:v>
                </c:pt>
                <c:pt idx="19">
                  <c:v>2034</c:v>
                </c:pt>
                <c:pt idx="20">
                  <c:v>2035</c:v>
                </c:pt>
                <c:pt idx="21">
                  <c:v>2036</c:v>
                </c:pt>
                <c:pt idx="22">
                  <c:v>2037</c:v>
                </c:pt>
                <c:pt idx="23">
                  <c:v>2038</c:v>
                </c:pt>
                <c:pt idx="24">
                  <c:v>2039</c:v>
                </c:pt>
                <c:pt idx="25">
                  <c:v>2040</c:v>
                </c:pt>
                <c:pt idx="26">
                  <c:v>2041</c:v>
                </c:pt>
                <c:pt idx="27">
                  <c:v>2042</c:v>
                </c:pt>
                <c:pt idx="28">
                  <c:v>2043</c:v>
                </c:pt>
                <c:pt idx="29">
                  <c:v>2044</c:v>
                </c:pt>
                <c:pt idx="30">
                  <c:v>2045</c:v>
                </c:pt>
                <c:pt idx="31">
                  <c:v>2046</c:v>
                </c:pt>
                <c:pt idx="32">
                  <c:v>2047</c:v>
                </c:pt>
                <c:pt idx="33">
                  <c:v>2048</c:v>
                </c:pt>
                <c:pt idx="34">
                  <c:v>2049</c:v>
                </c:pt>
                <c:pt idx="35">
                  <c:v>2050</c:v>
                </c:pt>
              </c:numCache>
            </c:numRef>
          </c:cat>
          <c:val>
            <c:numRef>
              <c:f>'Zero Net Pathways'!$C$34:$AL$34</c:f>
              <c:numCache>
                <c:formatCode>_-* #,##0_-;\-* #,##0_-;_-* "-"??_-;_-@_-</c:formatCode>
                <c:ptCount val="36"/>
                <c:pt idx="0">
                  <c:v>4700672.0338636925</c:v>
                </c:pt>
                <c:pt idx="1">
                  <c:v>4696369.2346580112</c:v>
                </c:pt>
                <c:pt idx="2">
                  <c:v>4741394.2660014536</c:v>
                </c:pt>
                <c:pt idx="3">
                  <c:v>4673472.859191576</c:v>
                </c:pt>
                <c:pt idx="4">
                  <c:v>4660297.4720965521</c:v>
                </c:pt>
                <c:pt idx="5">
                  <c:v>4649580.4904540591</c:v>
                </c:pt>
                <c:pt idx="6">
                  <c:v>4571534.7318394212</c:v>
                </c:pt>
                <c:pt idx="7">
                  <c:v>4490357.9937950298</c:v>
                </c:pt>
                <c:pt idx="8">
                  <c:v>4404582.5184466504</c:v>
                </c:pt>
                <c:pt idx="9">
                  <c:v>4314111.0369169302</c:v>
                </c:pt>
                <c:pt idx="10">
                  <c:v>4223689.6032174313</c:v>
                </c:pt>
                <c:pt idx="11">
                  <c:v>4082950.082974901</c:v>
                </c:pt>
                <c:pt idx="12">
                  <c:v>4096276.56518781</c:v>
                </c:pt>
                <c:pt idx="13">
                  <c:v>3788567.035002064</c:v>
                </c:pt>
                <c:pt idx="14">
                  <c:v>3553418.3573113075</c:v>
                </c:pt>
                <c:pt idx="15">
                  <c:v>3339083.2338987831</c:v>
                </c:pt>
                <c:pt idx="16">
                  <c:v>3087613.1635764707</c:v>
                </c:pt>
                <c:pt idx="17">
                  <c:v>2933365.3285993161</c:v>
                </c:pt>
                <c:pt idx="18">
                  <c:v>2770269.2915973286</c:v>
                </c:pt>
                <c:pt idx="19">
                  <c:v>2541332.5626675761</c:v>
                </c:pt>
                <c:pt idx="20">
                  <c:v>2186903.9561544321</c:v>
                </c:pt>
                <c:pt idx="21">
                  <c:v>2077711.655214289</c:v>
                </c:pt>
                <c:pt idx="22">
                  <c:v>1970859.6813678998</c:v>
                </c:pt>
                <c:pt idx="23">
                  <c:v>1856274.6587258824</c:v>
                </c:pt>
                <c:pt idx="24">
                  <c:v>1738300.6425200328</c:v>
                </c:pt>
                <c:pt idx="25">
                  <c:v>1590637.1380599625</c:v>
                </c:pt>
                <c:pt idx="26">
                  <c:v>1482064.0347196646</c:v>
                </c:pt>
                <c:pt idx="27">
                  <c:v>1353481.8133389899</c:v>
                </c:pt>
                <c:pt idx="28">
                  <c:v>1221024.9243863034</c:v>
                </c:pt>
                <c:pt idx="29">
                  <c:v>1084502.1704429281</c:v>
                </c:pt>
                <c:pt idx="30">
                  <c:v>955565.93959695986</c:v>
                </c:pt>
                <c:pt idx="31">
                  <c:v>899268.76799750049</c:v>
                </c:pt>
                <c:pt idx="32">
                  <c:v>854657.68168984586</c:v>
                </c:pt>
                <c:pt idx="33">
                  <c:v>807302.80057462351</c:v>
                </c:pt>
                <c:pt idx="34">
                  <c:v>757044.75032253982</c:v>
                </c:pt>
                <c:pt idx="35">
                  <c:v>703714.0406885976</c:v>
                </c:pt>
              </c:numCache>
            </c:numRef>
          </c:val>
          <c:smooth val="0"/>
        </c:ser>
        <c:ser>
          <c:idx val="4"/>
          <c:order val="1"/>
          <c:tx>
            <c:strRef>
              <c:f>'Zero Net Pathways'!$B$35</c:f>
              <c:strCache>
                <c:ptCount val="1"/>
                <c:pt idx="0">
                  <c:v>Accelerated</c:v>
                </c:pt>
              </c:strCache>
            </c:strRef>
          </c:tx>
          <c:spPr>
            <a:ln w="38100" cap="rnd">
              <a:solidFill>
                <a:schemeClr val="accent5"/>
              </a:solidFill>
              <a:round/>
            </a:ln>
            <a:effectLst/>
          </c:spPr>
          <c:marker>
            <c:symbol val="none"/>
          </c:marker>
          <c:cat>
            <c:numRef>
              <c:f>'Zero Net Pathways'!$C$32:$AL$32</c:f>
              <c:numCache>
                <c:formatCode>General</c:formatCode>
                <c:ptCount val="3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pt idx="16">
                  <c:v>2031</c:v>
                </c:pt>
                <c:pt idx="17">
                  <c:v>2032</c:v>
                </c:pt>
                <c:pt idx="18">
                  <c:v>2033</c:v>
                </c:pt>
                <c:pt idx="19">
                  <c:v>2034</c:v>
                </c:pt>
                <c:pt idx="20">
                  <c:v>2035</c:v>
                </c:pt>
                <c:pt idx="21">
                  <c:v>2036</c:v>
                </c:pt>
                <c:pt idx="22">
                  <c:v>2037</c:v>
                </c:pt>
                <c:pt idx="23">
                  <c:v>2038</c:v>
                </c:pt>
                <c:pt idx="24">
                  <c:v>2039</c:v>
                </c:pt>
                <c:pt idx="25">
                  <c:v>2040</c:v>
                </c:pt>
                <c:pt idx="26">
                  <c:v>2041</c:v>
                </c:pt>
                <c:pt idx="27">
                  <c:v>2042</c:v>
                </c:pt>
                <c:pt idx="28">
                  <c:v>2043</c:v>
                </c:pt>
                <c:pt idx="29">
                  <c:v>2044</c:v>
                </c:pt>
                <c:pt idx="30">
                  <c:v>2045</c:v>
                </c:pt>
                <c:pt idx="31">
                  <c:v>2046</c:v>
                </c:pt>
                <c:pt idx="32">
                  <c:v>2047</c:v>
                </c:pt>
                <c:pt idx="33">
                  <c:v>2048</c:v>
                </c:pt>
                <c:pt idx="34">
                  <c:v>2049</c:v>
                </c:pt>
                <c:pt idx="35">
                  <c:v>2050</c:v>
                </c:pt>
              </c:numCache>
            </c:numRef>
          </c:cat>
          <c:val>
            <c:numRef>
              <c:f>'Zero Net Pathways'!$C$35:$AL$35</c:f>
              <c:numCache>
                <c:formatCode>_-* #,##0_-;\-* #,##0_-;_-* "-"??_-;_-@_-</c:formatCode>
                <c:ptCount val="36"/>
                <c:pt idx="0">
                  <c:v>4700672.0338636925</c:v>
                </c:pt>
                <c:pt idx="1">
                  <c:v>4696369.2346580112</c:v>
                </c:pt>
                <c:pt idx="2">
                  <c:v>4741394.2660014536</c:v>
                </c:pt>
                <c:pt idx="3">
                  <c:v>4673472.859191576</c:v>
                </c:pt>
                <c:pt idx="4">
                  <c:v>4660297.4720965521</c:v>
                </c:pt>
                <c:pt idx="5">
                  <c:v>4649580.4904540591</c:v>
                </c:pt>
                <c:pt idx="6">
                  <c:v>4485049.2645214647</c:v>
                </c:pt>
                <c:pt idx="7">
                  <c:v>4319395.4426308852</c:v>
                </c:pt>
                <c:pt idx="8">
                  <c:v>4150727.3409125605</c:v>
                </c:pt>
                <c:pt idx="9">
                  <c:v>3978817.8218198856</c:v>
                </c:pt>
                <c:pt idx="10">
                  <c:v>3808892.2626495361</c:v>
                </c:pt>
                <c:pt idx="11">
                  <c:v>3616198.6795546627</c:v>
                </c:pt>
                <c:pt idx="12">
                  <c:v>3538394.5119108511</c:v>
                </c:pt>
                <c:pt idx="13">
                  <c:v>3134059.0172052123</c:v>
                </c:pt>
                <c:pt idx="14">
                  <c:v>2804207.6602098839</c:v>
                </c:pt>
                <c:pt idx="15">
                  <c:v>2500815.5439957492</c:v>
                </c:pt>
                <c:pt idx="16">
                  <c:v>2236895.5486129834</c:v>
                </c:pt>
                <c:pt idx="17">
                  <c:v>2082987.2505858531</c:v>
                </c:pt>
                <c:pt idx="18">
                  <c:v>1941603.2594246455</c:v>
                </c:pt>
                <c:pt idx="19">
                  <c:v>1742143.2339213425</c:v>
                </c:pt>
                <c:pt idx="20">
                  <c:v>1364636.3768618121</c:v>
                </c:pt>
                <c:pt idx="21">
                  <c:v>1232658.4641950736</c:v>
                </c:pt>
                <c:pt idx="22">
                  <c:v>1102621.9891827139</c:v>
                </c:pt>
                <c:pt idx="23">
                  <c:v>964662.42515710648</c:v>
                </c:pt>
                <c:pt idx="24">
                  <c:v>823114.30982106226</c:v>
                </c:pt>
                <c:pt idx="25">
                  <c:v>655534.93941322248</c:v>
                </c:pt>
                <c:pt idx="26">
                  <c:v>654974.34892797563</c:v>
                </c:pt>
                <c:pt idx="27">
                  <c:v>636797.35688114632</c:v>
                </c:pt>
                <c:pt idx="28">
                  <c:v>617236.11059749639</c:v>
                </c:pt>
                <c:pt idx="29">
                  <c:v>596198.056702503</c:v>
                </c:pt>
                <c:pt idx="30">
                  <c:v>585738.52491778648</c:v>
                </c:pt>
                <c:pt idx="31">
                  <c:v>547054.66786235617</c:v>
                </c:pt>
                <c:pt idx="32">
                  <c:v>520865.51971764769</c:v>
                </c:pt>
                <c:pt idx="33">
                  <c:v>492769.88928975351</c:v>
                </c:pt>
                <c:pt idx="34">
                  <c:v>462637.97365414817</c:v>
                </c:pt>
                <c:pt idx="35">
                  <c:v>430330.76334360242</c:v>
                </c:pt>
              </c:numCache>
            </c:numRef>
          </c:val>
          <c:smooth val="0"/>
        </c:ser>
        <c:ser>
          <c:idx val="0"/>
          <c:order val="2"/>
          <c:tx>
            <c:strRef>
              <c:f>'Zero Net Pathways'!$B$37</c:f>
              <c:strCache>
                <c:ptCount val="1"/>
                <c:pt idx="0">
                  <c:v>2020 offsets</c:v>
                </c:pt>
              </c:strCache>
            </c:strRef>
          </c:tx>
          <c:spPr>
            <a:ln w="38100" cap="rnd">
              <a:solidFill>
                <a:schemeClr val="accent1"/>
              </a:solidFill>
              <a:round/>
            </a:ln>
            <a:effectLst/>
          </c:spPr>
          <c:marker>
            <c:symbol val="none"/>
          </c:marker>
          <c:cat>
            <c:numRef>
              <c:f>'Zero Net Pathways'!$C$32:$AL$32</c:f>
              <c:numCache>
                <c:formatCode>General</c:formatCode>
                <c:ptCount val="3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pt idx="16">
                  <c:v>2031</c:v>
                </c:pt>
                <c:pt idx="17">
                  <c:v>2032</c:v>
                </c:pt>
                <c:pt idx="18">
                  <c:v>2033</c:v>
                </c:pt>
                <c:pt idx="19">
                  <c:v>2034</c:v>
                </c:pt>
                <c:pt idx="20">
                  <c:v>2035</c:v>
                </c:pt>
                <c:pt idx="21">
                  <c:v>2036</c:v>
                </c:pt>
                <c:pt idx="22">
                  <c:v>2037</c:v>
                </c:pt>
                <c:pt idx="23">
                  <c:v>2038</c:v>
                </c:pt>
                <c:pt idx="24">
                  <c:v>2039</c:v>
                </c:pt>
                <c:pt idx="25">
                  <c:v>2040</c:v>
                </c:pt>
                <c:pt idx="26">
                  <c:v>2041</c:v>
                </c:pt>
                <c:pt idx="27">
                  <c:v>2042</c:v>
                </c:pt>
                <c:pt idx="28">
                  <c:v>2043</c:v>
                </c:pt>
                <c:pt idx="29">
                  <c:v>2044</c:v>
                </c:pt>
                <c:pt idx="30">
                  <c:v>2045</c:v>
                </c:pt>
                <c:pt idx="31">
                  <c:v>2046</c:v>
                </c:pt>
                <c:pt idx="32">
                  <c:v>2047</c:v>
                </c:pt>
                <c:pt idx="33">
                  <c:v>2048</c:v>
                </c:pt>
                <c:pt idx="34">
                  <c:v>2049</c:v>
                </c:pt>
                <c:pt idx="35">
                  <c:v>2050</c:v>
                </c:pt>
              </c:numCache>
            </c:numRef>
          </c:cat>
          <c:val>
            <c:numRef>
              <c:f>'Zero Net Pathways'!$C$37:$AL$37</c:f>
              <c:numCache>
                <c:formatCode>_-* #,##0_-;\-* #,##0_-;_-* "-"??_-;_-@_-</c:formatCode>
                <c:ptCount val="36"/>
                <c:pt idx="0">
                  <c:v>4700672.0338636925</c:v>
                </c:pt>
                <c:pt idx="1">
                  <c:v>4696369.2346580112</c:v>
                </c:pt>
                <c:pt idx="2">
                  <c:v>4741394.2660014536</c:v>
                </c:pt>
                <c:pt idx="3">
                  <c:v>4673472.859191576</c:v>
                </c:pt>
                <c:pt idx="4">
                  <c:v>4660297.4720965521</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numCache>
            </c:numRef>
          </c:val>
          <c:smooth val="0"/>
        </c:ser>
        <c:ser>
          <c:idx val="2"/>
          <c:order val="3"/>
          <c:tx>
            <c:strRef>
              <c:f>'Zero Net Pathways'!$B$33</c:f>
              <c:strCache>
                <c:ptCount val="1"/>
                <c:pt idx="0">
                  <c:v>BAU</c:v>
                </c:pt>
              </c:strCache>
            </c:strRef>
          </c:tx>
          <c:spPr>
            <a:ln w="38100" cap="rnd">
              <a:solidFill>
                <a:srgbClr val="FFC000"/>
              </a:solidFill>
              <a:round/>
            </a:ln>
            <a:effectLst/>
          </c:spPr>
          <c:marker>
            <c:symbol val="none"/>
          </c:marker>
          <c:cat>
            <c:numRef>
              <c:f>'Zero Net Pathways'!$C$32:$AL$32</c:f>
              <c:numCache>
                <c:formatCode>General</c:formatCode>
                <c:ptCount val="3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pt idx="16">
                  <c:v>2031</c:v>
                </c:pt>
                <c:pt idx="17">
                  <c:v>2032</c:v>
                </c:pt>
                <c:pt idx="18">
                  <c:v>2033</c:v>
                </c:pt>
                <c:pt idx="19">
                  <c:v>2034</c:v>
                </c:pt>
                <c:pt idx="20">
                  <c:v>2035</c:v>
                </c:pt>
                <c:pt idx="21">
                  <c:v>2036</c:v>
                </c:pt>
                <c:pt idx="22">
                  <c:v>2037</c:v>
                </c:pt>
                <c:pt idx="23">
                  <c:v>2038</c:v>
                </c:pt>
                <c:pt idx="24">
                  <c:v>2039</c:v>
                </c:pt>
                <c:pt idx="25">
                  <c:v>2040</c:v>
                </c:pt>
                <c:pt idx="26">
                  <c:v>2041</c:v>
                </c:pt>
                <c:pt idx="27">
                  <c:v>2042</c:v>
                </c:pt>
                <c:pt idx="28">
                  <c:v>2043</c:v>
                </c:pt>
                <c:pt idx="29">
                  <c:v>2044</c:v>
                </c:pt>
                <c:pt idx="30">
                  <c:v>2045</c:v>
                </c:pt>
                <c:pt idx="31">
                  <c:v>2046</c:v>
                </c:pt>
                <c:pt idx="32">
                  <c:v>2047</c:v>
                </c:pt>
                <c:pt idx="33">
                  <c:v>2048</c:v>
                </c:pt>
                <c:pt idx="34">
                  <c:v>2049</c:v>
                </c:pt>
                <c:pt idx="35">
                  <c:v>2050</c:v>
                </c:pt>
              </c:numCache>
            </c:numRef>
          </c:cat>
          <c:val>
            <c:numRef>
              <c:f>'Zero Net Pathways'!$C$33:$AL$33</c:f>
              <c:numCache>
                <c:formatCode>_-* #,##0_-;\-* #,##0_-;_-* "-"??_-;_-@_-</c:formatCode>
                <c:ptCount val="36"/>
                <c:pt idx="0">
                  <c:v>4700672.0338636925</c:v>
                </c:pt>
                <c:pt idx="1">
                  <c:v>4696369.2346580112</c:v>
                </c:pt>
                <c:pt idx="2">
                  <c:v>4741394.2660014536</c:v>
                </c:pt>
                <c:pt idx="3">
                  <c:v>4673472.859191576</c:v>
                </c:pt>
                <c:pt idx="4">
                  <c:v>4660297.4720965521</c:v>
                </c:pt>
                <c:pt idx="5">
                  <c:v>4649580.4904540591</c:v>
                </c:pt>
                <c:pt idx="6">
                  <c:v>4642890.7137661427</c:v>
                </c:pt>
                <c:pt idx="7">
                  <c:v>4632332.9970868519</c:v>
                </c:pt>
                <c:pt idx="8">
                  <c:v>4616270.8836241802</c:v>
                </c:pt>
                <c:pt idx="9">
                  <c:v>4594685.0072553838</c:v>
                </c:pt>
                <c:pt idx="10">
                  <c:v>4571846.7739768438</c:v>
                </c:pt>
                <c:pt idx="11">
                  <c:v>4543213.4843731821</c:v>
                </c:pt>
                <c:pt idx="12">
                  <c:v>4634368.8789914437</c:v>
                </c:pt>
                <c:pt idx="13">
                  <c:v>4594867.5550485309</c:v>
                </c:pt>
                <c:pt idx="14">
                  <c:v>4505432.4575895956</c:v>
                </c:pt>
                <c:pt idx="15">
                  <c:v>4412266.7716306318</c:v>
                </c:pt>
                <c:pt idx="16">
                  <c:v>4309352.5715974774</c:v>
                </c:pt>
                <c:pt idx="17">
                  <c:v>4275880.8768228898</c:v>
                </c:pt>
                <c:pt idx="18">
                  <c:v>4183799.5100896894</c:v>
                </c:pt>
                <c:pt idx="19">
                  <c:v>3999927.726037276</c:v>
                </c:pt>
                <c:pt idx="20">
                  <c:v>3801904.7604337926</c:v>
                </c:pt>
                <c:pt idx="21">
                  <c:v>3862147.8481064807</c:v>
                </c:pt>
                <c:pt idx="22">
                  <c:v>3928653.8962255539</c:v>
                </c:pt>
                <c:pt idx="23">
                  <c:v>3991201.2891816767</c:v>
                </c:pt>
                <c:pt idx="24">
                  <c:v>4054264.154867196</c:v>
                </c:pt>
                <c:pt idx="25">
                  <c:v>4117805.5253755567</c:v>
                </c:pt>
                <c:pt idx="26">
                  <c:v>4203587.6251553576</c:v>
                </c:pt>
                <c:pt idx="27">
                  <c:v>4273644.4212558176</c:v>
                </c:pt>
                <c:pt idx="28">
                  <c:v>4344249.5902041234</c:v>
                </c:pt>
                <c:pt idx="29">
                  <c:v>4415353.0654669004</c:v>
                </c:pt>
                <c:pt idx="30">
                  <c:v>4486899.2442879044</c:v>
                </c:pt>
                <c:pt idx="31">
                  <c:v>4546767.5256832177</c:v>
                </c:pt>
                <c:pt idx="32">
                  <c:v>4621293.569344312</c:v>
                </c:pt>
                <c:pt idx="33">
                  <c:v>4696123.8765626764</c:v>
                </c:pt>
                <c:pt idx="34">
                  <c:v>4771177.3962028772</c:v>
                </c:pt>
                <c:pt idx="35">
                  <c:v>4846364.9515051609</c:v>
                </c:pt>
              </c:numCache>
            </c:numRef>
          </c:val>
          <c:smooth val="0"/>
        </c:ser>
        <c:dLbls>
          <c:showLegendKey val="0"/>
          <c:showVal val="0"/>
          <c:showCatName val="0"/>
          <c:showSerName val="0"/>
          <c:showPercent val="0"/>
          <c:showBubbleSize val="0"/>
        </c:dLbls>
        <c:marker val="1"/>
        <c:smooth val="0"/>
        <c:axId val="404117376"/>
        <c:axId val="404118912"/>
      </c:lineChart>
      <c:catAx>
        <c:axId val="404117376"/>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en-US"/>
          </a:p>
        </c:txPr>
        <c:crossAx val="404118912"/>
        <c:crosses val="autoZero"/>
        <c:auto val="1"/>
        <c:lblAlgn val="ctr"/>
        <c:lblOffset val="100"/>
        <c:tickLblSkip val="5"/>
        <c:noMultiLvlLbl val="0"/>
      </c:catAx>
      <c:valAx>
        <c:axId val="404118912"/>
        <c:scaling>
          <c:orientation val="minMax"/>
        </c:scaling>
        <c:delete val="0"/>
        <c:axPos val="l"/>
        <c:majorGridlines>
          <c:spPr>
            <a:ln w="9525" cap="flat" cmpd="sng" algn="ctr">
              <a:solidFill>
                <a:schemeClr val="tx1">
                  <a:lumMod val="15000"/>
                  <a:lumOff val="85000"/>
                </a:schemeClr>
              </a:solidFill>
              <a:prstDash val="sysDot"/>
              <a:round/>
            </a:ln>
            <a:effectLst/>
          </c:spPr>
        </c:majorGridlines>
        <c:numFmt formatCode="#,##0" sourceLinked="0"/>
        <c:majorTickMark val="out"/>
        <c:minorTickMark val="none"/>
        <c:tickLblPos val="nextTo"/>
        <c:spPr>
          <a:noFill/>
          <a:effectLst/>
        </c:spPr>
        <c:txPr>
          <a:bodyPr rot="-60000000" vert="horz"/>
          <a:lstStyle/>
          <a:p>
            <a:pPr>
              <a:defRPr/>
            </a:pPr>
            <a:endParaRPr lang="en-US"/>
          </a:p>
        </c:txPr>
        <c:crossAx val="404117376"/>
        <c:crosses val="autoZero"/>
        <c:crossBetween val="between"/>
      </c:valAx>
      <c:spPr>
        <a:noFill/>
        <a:ln>
          <a:noFill/>
        </a:ln>
        <a:effectLst/>
      </c:spPr>
    </c:plotArea>
    <c:legend>
      <c:legendPos val="r"/>
      <c:overlay val="0"/>
    </c:legend>
    <c:plotVisOnly val="1"/>
    <c:dispBlanksAs val="gap"/>
    <c:showDLblsOverMax val="0"/>
  </c:chart>
  <c:spPr>
    <a:noFill/>
    <a:ln w="9525" cap="flat" cmpd="sng" algn="ctr">
      <a:noFill/>
      <a:round/>
    </a:ln>
    <a:effectLst/>
  </c:spPr>
  <c:txPr>
    <a:bodyPr/>
    <a:lstStyle/>
    <a:p>
      <a:pPr>
        <a:defRPr sz="900">
          <a:latin typeface="+mn-lt"/>
        </a:defRPr>
      </a:pPr>
      <a:endParaRPr lang="en-US"/>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7326791175896403"/>
          <c:y val="4.5128205128205132E-2"/>
          <c:w val="0.61202569059310763"/>
          <c:h val="0.86469743589743586"/>
        </c:manualLayout>
      </c:layout>
      <c:areaChart>
        <c:grouping val="stacked"/>
        <c:varyColors val="0"/>
        <c:ser>
          <c:idx val="5"/>
          <c:order val="0"/>
          <c:tx>
            <c:strRef>
              <c:f>'HIDDEN_Dashboard charts data'!$B$11</c:f>
              <c:strCache>
                <c:ptCount val="1"/>
                <c:pt idx="0">
                  <c:v>Trajectory</c:v>
                </c:pt>
              </c:strCache>
            </c:strRef>
          </c:tx>
          <c:spPr>
            <a:noFill/>
            <a:ln w="25400">
              <a:noFill/>
            </a:ln>
            <a:effectLst/>
          </c:spPr>
          <c:cat>
            <c:numRef>
              <c:f>'HIDDEN_Dashboard charts data'!$F$5:$AO$5</c:f>
              <c:numCache>
                <c:formatCode>General</c:formatCode>
                <c:ptCount val="3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pt idx="16">
                  <c:v>2031</c:v>
                </c:pt>
                <c:pt idx="17">
                  <c:v>2032</c:v>
                </c:pt>
                <c:pt idx="18">
                  <c:v>2033</c:v>
                </c:pt>
                <c:pt idx="19">
                  <c:v>2034</c:v>
                </c:pt>
                <c:pt idx="20">
                  <c:v>2035</c:v>
                </c:pt>
                <c:pt idx="21">
                  <c:v>2036</c:v>
                </c:pt>
                <c:pt idx="22">
                  <c:v>2037</c:v>
                </c:pt>
                <c:pt idx="23">
                  <c:v>2038</c:v>
                </c:pt>
                <c:pt idx="24">
                  <c:v>2039</c:v>
                </c:pt>
                <c:pt idx="25">
                  <c:v>2040</c:v>
                </c:pt>
                <c:pt idx="26">
                  <c:v>2041</c:v>
                </c:pt>
                <c:pt idx="27">
                  <c:v>2042</c:v>
                </c:pt>
                <c:pt idx="28">
                  <c:v>2043</c:v>
                </c:pt>
                <c:pt idx="29">
                  <c:v>2044</c:v>
                </c:pt>
                <c:pt idx="30">
                  <c:v>2045</c:v>
                </c:pt>
                <c:pt idx="31">
                  <c:v>2046</c:v>
                </c:pt>
                <c:pt idx="32">
                  <c:v>2047</c:v>
                </c:pt>
                <c:pt idx="33">
                  <c:v>2048</c:v>
                </c:pt>
                <c:pt idx="34">
                  <c:v>2049</c:v>
                </c:pt>
                <c:pt idx="35">
                  <c:v>2050</c:v>
                </c:pt>
              </c:numCache>
            </c:numRef>
          </c:cat>
          <c:val>
            <c:numRef>
              <c:f>'HIDDEN_Dashboard charts data'!$F$11:$AO$11</c:f>
              <c:numCache>
                <c:formatCode>_-* #,##0_-;\-* #,##0_-;_-* "-"??_-;_-@_-</c:formatCode>
                <c:ptCount val="36"/>
                <c:pt idx="0">
                  <c:v>4700672.0338636925</c:v>
                </c:pt>
                <c:pt idx="1">
                  <c:v>4696369.2346580112</c:v>
                </c:pt>
                <c:pt idx="2">
                  <c:v>4741394.2660014536</c:v>
                </c:pt>
                <c:pt idx="3">
                  <c:v>4673472.859191576</c:v>
                </c:pt>
                <c:pt idx="4">
                  <c:v>4660297.4720965521</c:v>
                </c:pt>
                <c:pt idx="5">
                  <c:v>4649580.4904540591</c:v>
                </c:pt>
                <c:pt idx="6">
                  <c:v>4569755.9083100092</c:v>
                </c:pt>
                <c:pt idx="7">
                  <c:v>4486927.4055597363</c:v>
                </c:pt>
                <c:pt idx="8">
                  <c:v>4399627.2243290031</c:v>
                </c:pt>
                <c:pt idx="9">
                  <c:v>4307758.0957404599</c:v>
                </c:pt>
                <c:pt idx="10">
                  <c:v>4216066.0738056665</c:v>
                </c:pt>
                <c:pt idx="11">
                  <c:v>4082950.082974901</c:v>
                </c:pt>
                <c:pt idx="12">
                  <c:v>4096276.56518781</c:v>
                </c:pt>
                <c:pt idx="13">
                  <c:v>3788567.0350020635</c:v>
                </c:pt>
                <c:pt idx="14">
                  <c:v>3553418.3573113075</c:v>
                </c:pt>
                <c:pt idx="15">
                  <c:v>3339083.2338987836</c:v>
                </c:pt>
                <c:pt idx="16">
                  <c:v>3087613.1635764702</c:v>
                </c:pt>
                <c:pt idx="17">
                  <c:v>2933365.3285993156</c:v>
                </c:pt>
                <c:pt idx="18">
                  <c:v>2770269.2915973291</c:v>
                </c:pt>
                <c:pt idx="19">
                  <c:v>2541332.5626675757</c:v>
                </c:pt>
                <c:pt idx="20">
                  <c:v>2186903.9561544321</c:v>
                </c:pt>
                <c:pt idx="21">
                  <c:v>2077711.6552142885</c:v>
                </c:pt>
                <c:pt idx="22">
                  <c:v>1970859.6813678993</c:v>
                </c:pt>
                <c:pt idx="23">
                  <c:v>1856274.6587258829</c:v>
                </c:pt>
                <c:pt idx="24">
                  <c:v>1738300.6425200328</c:v>
                </c:pt>
                <c:pt idx="25">
                  <c:v>1590637.1380599621</c:v>
                </c:pt>
                <c:pt idx="26">
                  <c:v>1482064.0347196646</c:v>
                </c:pt>
                <c:pt idx="27">
                  <c:v>1353481.8133389903</c:v>
                </c:pt>
                <c:pt idx="28">
                  <c:v>1221024.9243863029</c:v>
                </c:pt>
                <c:pt idx="29">
                  <c:v>1084502.1704429276</c:v>
                </c:pt>
                <c:pt idx="30">
                  <c:v>955565.93959695986</c:v>
                </c:pt>
                <c:pt idx="31">
                  <c:v>899268.76799750002</c:v>
                </c:pt>
                <c:pt idx="32">
                  <c:v>854657.6816898454</c:v>
                </c:pt>
                <c:pt idx="33">
                  <c:v>807302.80057462351</c:v>
                </c:pt>
                <c:pt idx="34">
                  <c:v>757044.75032253889</c:v>
                </c:pt>
                <c:pt idx="35">
                  <c:v>703714.04068859806</c:v>
                </c:pt>
              </c:numCache>
            </c:numRef>
          </c:val>
          <c:extLst xmlns:c16r2="http://schemas.microsoft.com/office/drawing/2015/06/chart">
            <c:ext xmlns:c16="http://schemas.microsoft.com/office/drawing/2014/chart" uri="{C3380CC4-5D6E-409C-BE32-E72D297353CC}">
              <c16:uniqueId val="{00000000-EB1C-6C46-B431-FECDF723B0A6}"/>
            </c:ext>
          </c:extLst>
        </c:ser>
        <c:ser>
          <c:idx val="0"/>
          <c:order val="1"/>
          <c:tx>
            <c:strRef>
              <c:f>'HIDDEN_Dashboard charts data'!$B$7</c:f>
              <c:strCache>
                <c:ptCount val="1"/>
                <c:pt idx="0">
                  <c:v>Energy Supply</c:v>
                </c:pt>
              </c:strCache>
            </c:strRef>
          </c:tx>
          <c:spPr>
            <a:solidFill>
              <a:srgbClr val="0070C0"/>
            </a:solidFill>
            <a:ln>
              <a:noFill/>
            </a:ln>
            <a:effectLst/>
          </c:spPr>
          <c:cat>
            <c:numRef>
              <c:f>'HIDDEN_Dashboard charts data'!$F$5:$AO$5</c:f>
              <c:numCache>
                <c:formatCode>General</c:formatCode>
                <c:ptCount val="3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pt idx="16">
                  <c:v>2031</c:v>
                </c:pt>
                <c:pt idx="17">
                  <c:v>2032</c:v>
                </c:pt>
                <c:pt idx="18">
                  <c:v>2033</c:v>
                </c:pt>
                <c:pt idx="19">
                  <c:v>2034</c:v>
                </c:pt>
                <c:pt idx="20">
                  <c:v>2035</c:v>
                </c:pt>
                <c:pt idx="21">
                  <c:v>2036</c:v>
                </c:pt>
                <c:pt idx="22">
                  <c:v>2037</c:v>
                </c:pt>
                <c:pt idx="23">
                  <c:v>2038</c:v>
                </c:pt>
                <c:pt idx="24">
                  <c:v>2039</c:v>
                </c:pt>
                <c:pt idx="25">
                  <c:v>2040</c:v>
                </c:pt>
                <c:pt idx="26">
                  <c:v>2041</c:v>
                </c:pt>
                <c:pt idx="27">
                  <c:v>2042</c:v>
                </c:pt>
                <c:pt idx="28">
                  <c:v>2043</c:v>
                </c:pt>
                <c:pt idx="29">
                  <c:v>2044</c:v>
                </c:pt>
                <c:pt idx="30">
                  <c:v>2045</c:v>
                </c:pt>
                <c:pt idx="31">
                  <c:v>2046</c:v>
                </c:pt>
                <c:pt idx="32">
                  <c:v>2047</c:v>
                </c:pt>
                <c:pt idx="33">
                  <c:v>2048</c:v>
                </c:pt>
                <c:pt idx="34">
                  <c:v>2049</c:v>
                </c:pt>
                <c:pt idx="35">
                  <c:v>2050</c:v>
                </c:pt>
              </c:numCache>
            </c:numRef>
          </c:cat>
          <c:val>
            <c:numRef>
              <c:f>'HIDDEN_Dashboard charts data'!$F$7:$AO$7</c:f>
              <c:numCache>
                <c:formatCode>_-* #,##0_-;\-* #,##0_-;_-* "-"??_-;_-@_-</c:formatCode>
                <c:ptCount val="36"/>
                <c:pt idx="0">
                  <c:v>0</c:v>
                </c:pt>
                <c:pt idx="1">
                  <c:v>0</c:v>
                </c:pt>
                <c:pt idx="2">
                  <c:v>0</c:v>
                </c:pt>
                <c:pt idx="3">
                  <c:v>0</c:v>
                </c:pt>
                <c:pt idx="4">
                  <c:v>0</c:v>
                </c:pt>
                <c:pt idx="5">
                  <c:v>0</c:v>
                </c:pt>
                <c:pt idx="6">
                  <c:v>22399.835294117649</c:v>
                </c:pt>
                <c:pt idx="7">
                  <c:v>43199.682352941178</c:v>
                </c:pt>
                <c:pt idx="8">
                  <c:v>62399.541176470579</c:v>
                </c:pt>
                <c:pt idx="9">
                  <c:v>79999.411764705874</c:v>
                </c:pt>
                <c:pt idx="10">
                  <c:v>95999.294117647034</c:v>
                </c:pt>
                <c:pt idx="11">
                  <c:v>142771.96482546255</c:v>
                </c:pt>
                <c:pt idx="12">
                  <c:v>167024.78896888721</c:v>
                </c:pt>
                <c:pt idx="13">
                  <c:v>384622.60463739512</c:v>
                </c:pt>
                <c:pt idx="14">
                  <c:v>480952.40247720643</c:v>
                </c:pt>
                <c:pt idx="15">
                  <c:v>554395.31585750275</c:v>
                </c:pt>
                <c:pt idx="16">
                  <c:v>634699.7140005168</c:v>
                </c:pt>
                <c:pt idx="17">
                  <c:v>693450.73913363321</c:v>
                </c:pt>
                <c:pt idx="18">
                  <c:v>713966.00309516164</c:v>
                </c:pt>
                <c:pt idx="19">
                  <c:v>714357.01915990689</c:v>
                </c:pt>
                <c:pt idx="20">
                  <c:v>797849.98641276138</c:v>
                </c:pt>
                <c:pt idx="21">
                  <c:v>892170.22962003108</c:v>
                </c:pt>
                <c:pt idx="22">
                  <c:v>988191.22496037779</c:v>
                </c:pt>
                <c:pt idx="23">
                  <c:v>1086241.6420220097</c:v>
                </c:pt>
                <c:pt idx="24">
                  <c:v>1186397.4509601947</c:v>
                </c:pt>
                <c:pt idx="25">
                  <c:v>1311031.5185874624</c:v>
                </c:pt>
                <c:pt idx="26">
                  <c:v>1419469.2397614764</c:v>
                </c:pt>
                <c:pt idx="27">
                  <c:v>1530072.5003954889</c:v>
                </c:pt>
                <c:pt idx="28">
                  <c:v>1642915.1905094488</c:v>
                </c:pt>
                <c:pt idx="29">
                  <c:v>1758071.2829088108</c:v>
                </c:pt>
                <c:pt idx="30">
                  <c:v>1866462.7706082647</c:v>
                </c:pt>
                <c:pt idx="31">
                  <c:v>1885026.4142833317</c:v>
                </c:pt>
                <c:pt idx="32">
                  <c:v>1904038.9458241556</c:v>
                </c:pt>
                <c:pt idx="33">
                  <c:v>1923500.2841181336</c:v>
                </c:pt>
                <c:pt idx="34">
                  <c:v>1943410.1294394333</c:v>
                </c:pt>
                <c:pt idx="35">
                  <c:v>1963767.9522209221</c:v>
                </c:pt>
              </c:numCache>
            </c:numRef>
          </c:val>
          <c:extLst xmlns:c16r2="http://schemas.microsoft.com/office/drawing/2015/06/chart">
            <c:ext xmlns:c16="http://schemas.microsoft.com/office/drawing/2014/chart" uri="{C3380CC4-5D6E-409C-BE32-E72D297353CC}">
              <c16:uniqueId val="{00000001-EB1C-6C46-B431-FECDF723B0A6}"/>
            </c:ext>
          </c:extLst>
        </c:ser>
        <c:ser>
          <c:idx val="1"/>
          <c:order val="2"/>
          <c:tx>
            <c:strRef>
              <c:f>'HIDDEN_Dashboard charts data'!$B$8</c:f>
              <c:strCache>
                <c:ptCount val="1"/>
                <c:pt idx="0">
                  <c:v>Buildings</c:v>
                </c:pt>
              </c:strCache>
            </c:strRef>
          </c:tx>
          <c:spPr>
            <a:solidFill>
              <a:schemeClr val="accent2"/>
            </a:solidFill>
            <a:ln>
              <a:noFill/>
            </a:ln>
            <a:effectLst/>
          </c:spPr>
          <c:cat>
            <c:numRef>
              <c:f>'HIDDEN_Dashboard charts data'!$F$5:$AO$5</c:f>
              <c:numCache>
                <c:formatCode>General</c:formatCode>
                <c:ptCount val="3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pt idx="16">
                  <c:v>2031</c:v>
                </c:pt>
                <c:pt idx="17">
                  <c:v>2032</c:v>
                </c:pt>
                <c:pt idx="18">
                  <c:v>2033</c:v>
                </c:pt>
                <c:pt idx="19">
                  <c:v>2034</c:v>
                </c:pt>
                <c:pt idx="20">
                  <c:v>2035</c:v>
                </c:pt>
                <c:pt idx="21">
                  <c:v>2036</c:v>
                </c:pt>
                <c:pt idx="22">
                  <c:v>2037</c:v>
                </c:pt>
                <c:pt idx="23">
                  <c:v>2038</c:v>
                </c:pt>
                <c:pt idx="24">
                  <c:v>2039</c:v>
                </c:pt>
                <c:pt idx="25">
                  <c:v>2040</c:v>
                </c:pt>
                <c:pt idx="26">
                  <c:v>2041</c:v>
                </c:pt>
                <c:pt idx="27">
                  <c:v>2042</c:v>
                </c:pt>
                <c:pt idx="28">
                  <c:v>2043</c:v>
                </c:pt>
                <c:pt idx="29">
                  <c:v>2044</c:v>
                </c:pt>
                <c:pt idx="30">
                  <c:v>2045</c:v>
                </c:pt>
                <c:pt idx="31">
                  <c:v>2046</c:v>
                </c:pt>
                <c:pt idx="32">
                  <c:v>2047</c:v>
                </c:pt>
                <c:pt idx="33">
                  <c:v>2048</c:v>
                </c:pt>
                <c:pt idx="34">
                  <c:v>2049</c:v>
                </c:pt>
                <c:pt idx="35">
                  <c:v>2050</c:v>
                </c:pt>
              </c:numCache>
            </c:numRef>
          </c:cat>
          <c:val>
            <c:numRef>
              <c:f>'HIDDEN_Dashboard charts data'!$F$8:$AO$8</c:f>
              <c:numCache>
                <c:formatCode>_-* #,##0_-;\-* #,##0_-;_-* "-"??_-;_-@_-</c:formatCode>
                <c:ptCount val="36"/>
                <c:pt idx="0">
                  <c:v>0</c:v>
                </c:pt>
                <c:pt idx="1">
                  <c:v>0</c:v>
                </c:pt>
                <c:pt idx="2">
                  <c:v>0</c:v>
                </c:pt>
                <c:pt idx="3">
                  <c:v>0</c:v>
                </c:pt>
                <c:pt idx="4">
                  <c:v>0</c:v>
                </c:pt>
                <c:pt idx="5">
                  <c:v>0</c:v>
                </c:pt>
                <c:pt idx="6">
                  <c:v>27751.635869369064</c:v>
                </c:pt>
                <c:pt idx="7">
                  <c:v>56034.335350045993</c:v>
                </c:pt>
                <c:pt idx="8">
                  <c:v>84667.73654409415</c:v>
                </c:pt>
                <c:pt idx="9">
                  <c:v>113717.32890848999</c:v>
                </c:pt>
                <c:pt idx="10">
                  <c:v>142711.47552234103</c:v>
                </c:pt>
                <c:pt idx="11">
                  <c:v>176350.99399999311</c:v>
                </c:pt>
                <c:pt idx="12">
                  <c:v>205608.50529894492</c:v>
                </c:pt>
                <c:pt idx="13">
                  <c:v>231664.13128815033</c:v>
                </c:pt>
                <c:pt idx="14">
                  <c:v>256225.54782283894</c:v>
                </c:pt>
                <c:pt idx="15">
                  <c:v>278910.69860600075</c:v>
                </c:pt>
                <c:pt idx="16">
                  <c:v>323427.86887947191</c:v>
                </c:pt>
                <c:pt idx="17">
                  <c:v>361429.22407325613</c:v>
                </c:pt>
                <c:pt idx="18">
                  <c:v>387605.92872541689</c:v>
                </c:pt>
                <c:pt idx="19">
                  <c:v>407686.87461324048</c:v>
                </c:pt>
                <c:pt idx="20">
                  <c:v>455692.00212865078</c:v>
                </c:pt>
                <c:pt idx="21">
                  <c:v>505617.16124345677</c:v>
                </c:pt>
                <c:pt idx="22">
                  <c:v>557450.4630927071</c:v>
                </c:pt>
                <c:pt idx="23">
                  <c:v>610706.42613475292</c:v>
                </c:pt>
                <c:pt idx="24">
                  <c:v>665430.32812650059</c:v>
                </c:pt>
                <c:pt idx="25">
                  <c:v>725503.74476692337</c:v>
                </c:pt>
                <c:pt idx="26">
                  <c:v>784574.26528059249</c:v>
                </c:pt>
                <c:pt idx="27">
                  <c:v>845403.86486323178</c:v>
                </c:pt>
                <c:pt idx="28">
                  <c:v>908047.97276042635</c:v>
                </c:pt>
                <c:pt idx="29">
                  <c:v>972563.55077893869</c:v>
                </c:pt>
                <c:pt idx="30">
                  <c:v>1036310.1213127025</c:v>
                </c:pt>
                <c:pt idx="31">
                  <c:v>1105166.9871253537</c:v>
                </c:pt>
                <c:pt idx="32">
                  <c:v>1176134.9364392972</c:v>
                </c:pt>
                <c:pt idx="33">
                  <c:v>1249278.9954696926</c:v>
                </c:pt>
                <c:pt idx="34">
                  <c:v>1324666.0192146967</c:v>
                </c:pt>
                <c:pt idx="35">
                  <c:v>1402364.7420577267</c:v>
                </c:pt>
              </c:numCache>
            </c:numRef>
          </c:val>
          <c:extLst xmlns:c16r2="http://schemas.microsoft.com/office/drawing/2015/06/chart">
            <c:ext xmlns:c16="http://schemas.microsoft.com/office/drawing/2014/chart" uri="{C3380CC4-5D6E-409C-BE32-E72D297353CC}">
              <c16:uniqueId val="{00000002-EB1C-6C46-B431-FECDF723B0A6}"/>
            </c:ext>
          </c:extLst>
        </c:ser>
        <c:ser>
          <c:idx val="2"/>
          <c:order val="3"/>
          <c:tx>
            <c:strRef>
              <c:f>'HIDDEN_Dashboard charts data'!$B$9</c:f>
              <c:strCache>
                <c:ptCount val="1"/>
                <c:pt idx="0">
                  <c:v>Transport</c:v>
                </c:pt>
              </c:strCache>
            </c:strRef>
          </c:tx>
          <c:spPr>
            <a:solidFill>
              <a:srgbClr val="00A3AE"/>
            </a:solidFill>
            <a:ln>
              <a:solidFill>
                <a:srgbClr val="00A3AE"/>
              </a:solidFill>
            </a:ln>
            <a:effectLst/>
          </c:spPr>
          <c:cat>
            <c:numRef>
              <c:f>'HIDDEN_Dashboard charts data'!$F$5:$AO$5</c:f>
              <c:numCache>
                <c:formatCode>General</c:formatCode>
                <c:ptCount val="3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pt idx="16">
                  <c:v>2031</c:v>
                </c:pt>
                <c:pt idx="17">
                  <c:v>2032</c:v>
                </c:pt>
                <c:pt idx="18">
                  <c:v>2033</c:v>
                </c:pt>
                <c:pt idx="19">
                  <c:v>2034</c:v>
                </c:pt>
                <c:pt idx="20">
                  <c:v>2035</c:v>
                </c:pt>
                <c:pt idx="21">
                  <c:v>2036</c:v>
                </c:pt>
                <c:pt idx="22">
                  <c:v>2037</c:v>
                </c:pt>
                <c:pt idx="23">
                  <c:v>2038</c:v>
                </c:pt>
                <c:pt idx="24">
                  <c:v>2039</c:v>
                </c:pt>
                <c:pt idx="25">
                  <c:v>2040</c:v>
                </c:pt>
                <c:pt idx="26">
                  <c:v>2041</c:v>
                </c:pt>
                <c:pt idx="27">
                  <c:v>2042</c:v>
                </c:pt>
                <c:pt idx="28">
                  <c:v>2043</c:v>
                </c:pt>
                <c:pt idx="29">
                  <c:v>2044</c:v>
                </c:pt>
                <c:pt idx="30">
                  <c:v>2045</c:v>
                </c:pt>
                <c:pt idx="31">
                  <c:v>2046</c:v>
                </c:pt>
                <c:pt idx="32">
                  <c:v>2047</c:v>
                </c:pt>
                <c:pt idx="33">
                  <c:v>2048</c:v>
                </c:pt>
                <c:pt idx="34">
                  <c:v>2049</c:v>
                </c:pt>
                <c:pt idx="35">
                  <c:v>2050</c:v>
                </c:pt>
              </c:numCache>
            </c:numRef>
          </c:cat>
          <c:val>
            <c:numRef>
              <c:f>'HIDDEN_Dashboard charts data'!$F$9:$AO$9</c:f>
              <c:numCache>
                <c:formatCode>_-* #,##0_-;\-* #,##0_-;_-* "-"??_-;_-@_-</c:formatCode>
                <c:ptCount val="36"/>
                <c:pt idx="0">
                  <c:v>0</c:v>
                </c:pt>
                <c:pt idx="1">
                  <c:v>0</c:v>
                </c:pt>
                <c:pt idx="2">
                  <c:v>0</c:v>
                </c:pt>
                <c:pt idx="3">
                  <c:v>0</c:v>
                </c:pt>
                <c:pt idx="4">
                  <c:v>0</c:v>
                </c:pt>
                <c:pt idx="5">
                  <c:v>0</c:v>
                </c:pt>
                <c:pt idx="6">
                  <c:v>19836.264939434979</c:v>
                </c:pt>
                <c:pt idx="7">
                  <c:v>39741.430011750403</c:v>
                </c:pt>
                <c:pt idx="8">
                  <c:v>59718.413492401436</c:v>
                </c:pt>
                <c:pt idx="9">
                  <c:v>79770.249696839077</c:v>
                </c:pt>
                <c:pt idx="10">
                  <c:v>99900.092577576157</c:v>
                </c:pt>
                <c:pt idx="11">
                  <c:v>120111.21942341313</c:v>
                </c:pt>
                <c:pt idx="12">
                  <c:v>140407.03466361668</c:v>
                </c:pt>
                <c:pt idx="13">
                  <c:v>160791.0737799182</c:v>
                </c:pt>
                <c:pt idx="14">
                  <c:v>181267.00732927618</c:v>
                </c:pt>
                <c:pt idx="15">
                  <c:v>201838.64508042519</c:v>
                </c:pt>
                <c:pt idx="16">
                  <c:v>222427.11208732717</c:v>
                </c:pt>
                <c:pt idx="17">
                  <c:v>243173.73853681906</c:v>
                </c:pt>
                <c:pt idx="18">
                  <c:v>264082.42637815815</c:v>
                </c:pt>
                <c:pt idx="19">
                  <c:v>285157.20138178789</c:v>
                </c:pt>
                <c:pt idx="20">
                  <c:v>306402.21677821735</c:v>
                </c:pt>
                <c:pt idx="21">
                  <c:v>327821.756998503</c:v>
                </c:pt>
                <c:pt idx="22">
                  <c:v>349420.24151908921</c:v>
                </c:pt>
                <c:pt idx="23">
                  <c:v>371202.22881383338</c:v>
                </c:pt>
                <c:pt idx="24">
                  <c:v>393172.42041612032</c:v>
                </c:pt>
                <c:pt idx="25">
                  <c:v>415335.66509404365</c:v>
                </c:pt>
                <c:pt idx="26">
                  <c:v>437696.96314171655</c:v>
                </c:pt>
                <c:pt idx="27">
                  <c:v>460261.47078984918</c:v>
                </c:pt>
                <c:pt idx="28">
                  <c:v>483034.50473881781</c:v>
                </c:pt>
                <c:pt idx="29">
                  <c:v>506021.5468175353</c:v>
                </c:pt>
                <c:pt idx="30">
                  <c:v>529228.248771518</c:v>
                </c:pt>
                <c:pt idx="31">
                  <c:v>552660.43718363857</c:v>
                </c:pt>
                <c:pt idx="32">
                  <c:v>576324.11853114131</c:v>
                </c:pt>
                <c:pt idx="33">
                  <c:v>600225.48438259528</c:v>
                </c:pt>
                <c:pt idx="34">
                  <c:v>624370.91673855809</c:v>
                </c:pt>
                <c:pt idx="35">
                  <c:v>648766.99351981701</c:v>
                </c:pt>
              </c:numCache>
            </c:numRef>
          </c:val>
          <c:extLst xmlns:c16r2="http://schemas.microsoft.com/office/drawing/2015/06/chart">
            <c:ext xmlns:c16="http://schemas.microsoft.com/office/drawing/2014/chart" uri="{C3380CC4-5D6E-409C-BE32-E72D297353CC}">
              <c16:uniqueId val="{00000003-EB1C-6C46-B431-FECDF723B0A6}"/>
            </c:ext>
          </c:extLst>
        </c:ser>
        <c:ser>
          <c:idx val="3"/>
          <c:order val="4"/>
          <c:tx>
            <c:strRef>
              <c:f>'HIDDEN_Dashboard charts data'!$B$10</c:f>
              <c:strCache>
                <c:ptCount val="1"/>
                <c:pt idx="0">
                  <c:v>Waste</c:v>
                </c:pt>
              </c:strCache>
            </c:strRef>
          </c:tx>
          <c:spPr>
            <a:solidFill>
              <a:schemeClr val="accent4"/>
            </a:solidFill>
            <a:ln>
              <a:noFill/>
            </a:ln>
            <a:effectLst/>
          </c:spPr>
          <c:cat>
            <c:numRef>
              <c:f>'HIDDEN_Dashboard charts data'!$F$5:$AO$5</c:f>
              <c:numCache>
                <c:formatCode>General</c:formatCode>
                <c:ptCount val="3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pt idx="16">
                  <c:v>2031</c:v>
                </c:pt>
                <c:pt idx="17">
                  <c:v>2032</c:v>
                </c:pt>
                <c:pt idx="18">
                  <c:v>2033</c:v>
                </c:pt>
                <c:pt idx="19">
                  <c:v>2034</c:v>
                </c:pt>
                <c:pt idx="20">
                  <c:v>2035</c:v>
                </c:pt>
                <c:pt idx="21">
                  <c:v>2036</c:v>
                </c:pt>
                <c:pt idx="22">
                  <c:v>2037</c:v>
                </c:pt>
                <c:pt idx="23">
                  <c:v>2038</c:v>
                </c:pt>
                <c:pt idx="24">
                  <c:v>2039</c:v>
                </c:pt>
                <c:pt idx="25">
                  <c:v>2040</c:v>
                </c:pt>
                <c:pt idx="26">
                  <c:v>2041</c:v>
                </c:pt>
                <c:pt idx="27">
                  <c:v>2042</c:v>
                </c:pt>
                <c:pt idx="28">
                  <c:v>2043</c:v>
                </c:pt>
                <c:pt idx="29">
                  <c:v>2044</c:v>
                </c:pt>
                <c:pt idx="30">
                  <c:v>2045</c:v>
                </c:pt>
                <c:pt idx="31">
                  <c:v>2046</c:v>
                </c:pt>
                <c:pt idx="32">
                  <c:v>2047</c:v>
                </c:pt>
                <c:pt idx="33">
                  <c:v>2048</c:v>
                </c:pt>
                <c:pt idx="34">
                  <c:v>2049</c:v>
                </c:pt>
                <c:pt idx="35">
                  <c:v>2050</c:v>
                </c:pt>
              </c:numCache>
            </c:numRef>
          </c:cat>
          <c:val>
            <c:numRef>
              <c:f>'HIDDEN_Dashboard charts data'!$F$10:$AO$10</c:f>
              <c:numCache>
                <c:formatCode>_-* #,##0_-;\-* #,##0_-;_-* "-"??_-;_-@_-</c:formatCode>
                <c:ptCount val="36"/>
                <c:pt idx="0">
                  <c:v>0</c:v>
                </c:pt>
                <c:pt idx="1">
                  <c:v>0</c:v>
                </c:pt>
                <c:pt idx="2">
                  <c:v>0</c:v>
                </c:pt>
                <c:pt idx="3">
                  <c:v>0</c:v>
                </c:pt>
                <c:pt idx="4">
                  <c:v>0</c:v>
                </c:pt>
                <c:pt idx="5">
                  <c:v>0</c:v>
                </c:pt>
                <c:pt idx="6">
                  <c:v>3147.0693532118166</c:v>
                </c:pt>
                <c:pt idx="7">
                  <c:v>6430.1438123781481</c:v>
                </c:pt>
                <c:pt idx="8">
                  <c:v>9857.9680822105875</c:v>
                </c:pt>
                <c:pt idx="9">
                  <c:v>13439.921144888867</c:v>
                </c:pt>
                <c:pt idx="10">
                  <c:v>17169.837953612834</c:v>
                </c:pt>
                <c:pt idx="11">
                  <c:v>21029.223149412115</c:v>
                </c:pt>
                <c:pt idx="12">
                  <c:v>25051.984872185058</c:v>
                </c:pt>
                <c:pt idx="13">
                  <c:v>29222.710341003673</c:v>
                </c:pt>
                <c:pt idx="14">
                  <c:v>33569.142648966423</c:v>
                </c:pt>
                <c:pt idx="15">
                  <c:v>38038.87818791953</c:v>
                </c:pt>
                <c:pt idx="16">
                  <c:v>41184.713053691259</c:v>
                </c:pt>
                <c:pt idx="17">
                  <c:v>44461.846479865642</c:v>
                </c:pt>
                <c:pt idx="18">
                  <c:v>47875.860293624042</c:v>
                </c:pt>
                <c:pt idx="19">
                  <c:v>51394.068214764826</c:v>
                </c:pt>
                <c:pt idx="20">
                  <c:v>55056.598959731193</c:v>
                </c:pt>
                <c:pt idx="21">
                  <c:v>58827.045030201021</c:v>
                </c:pt>
                <c:pt idx="22">
                  <c:v>62732.285285480291</c:v>
                </c:pt>
                <c:pt idx="23">
                  <c:v>66776.333485198047</c:v>
                </c:pt>
                <c:pt idx="24">
                  <c:v>70963.312844347471</c:v>
                </c:pt>
                <c:pt idx="25">
                  <c:v>75297.458867165144</c:v>
                </c:pt>
                <c:pt idx="26">
                  <c:v>79783.122251907684</c:v>
                </c:pt>
                <c:pt idx="27">
                  <c:v>84424.771868257158</c:v>
                </c:pt>
                <c:pt idx="28">
                  <c:v>89226.997809127366</c:v>
                </c:pt>
                <c:pt idx="29">
                  <c:v>94194.514518687269</c:v>
                </c:pt>
                <c:pt idx="30">
                  <c:v>99332.163998459262</c:v>
                </c:pt>
                <c:pt idx="31">
                  <c:v>104644.91909339372</c:v>
                </c:pt>
                <c:pt idx="32">
                  <c:v>110137.88685987232</c:v>
                </c:pt>
                <c:pt idx="33">
                  <c:v>115816.31201763121</c:v>
                </c:pt>
                <c:pt idx="34">
                  <c:v>121685.58048764968</c:v>
                </c:pt>
                <c:pt idx="35">
                  <c:v>127751.22301809693</c:v>
                </c:pt>
              </c:numCache>
            </c:numRef>
          </c:val>
          <c:extLst xmlns:c16r2="http://schemas.microsoft.com/office/drawing/2015/06/chart">
            <c:ext xmlns:c16="http://schemas.microsoft.com/office/drawing/2014/chart" uri="{C3380CC4-5D6E-409C-BE32-E72D297353CC}">
              <c16:uniqueId val="{00000004-EB1C-6C46-B431-FECDF723B0A6}"/>
            </c:ext>
          </c:extLst>
        </c:ser>
        <c:dLbls>
          <c:showLegendKey val="0"/>
          <c:showVal val="0"/>
          <c:showCatName val="0"/>
          <c:showSerName val="0"/>
          <c:showPercent val="0"/>
          <c:showBubbleSize val="0"/>
        </c:dLbls>
        <c:axId val="407895040"/>
        <c:axId val="408826624"/>
      </c:areaChart>
      <c:lineChart>
        <c:grouping val="standard"/>
        <c:varyColors val="0"/>
        <c:ser>
          <c:idx val="4"/>
          <c:order val="5"/>
          <c:tx>
            <c:strRef>
              <c:f>'HIDDEN_Dashboard charts data'!$B$7</c:f>
              <c:strCache>
                <c:ptCount val="1"/>
                <c:pt idx="0">
                  <c:v>Energy Supply</c:v>
                </c:pt>
              </c:strCache>
            </c:strRef>
          </c:tx>
          <c:spPr>
            <a:ln w="28575" cap="rnd">
              <a:solidFill>
                <a:schemeClr val="accent5"/>
              </a:solidFill>
              <a:prstDash val="dash"/>
              <a:round/>
            </a:ln>
            <a:effectLst/>
          </c:spPr>
          <c:marker>
            <c:symbol val="none"/>
          </c:marker>
          <c:val>
            <c:numRef>
              <c:f>'HIDDEN_Dashboard charts data'!$F$6:$AO$6</c:f>
              <c:numCache>
                <c:formatCode>_-* #,##0_-;\-* #,##0_-;_-* "-"??_-;_-@_-</c:formatCode>
                <c:ptCount val="36"/>
                <c:pt idx="0">
                  <c:v>4700672.0338636925</c:v>
                </c:pt>
                <c:pt idx="1">
                  <c:v>4696369.2346580112</c:v>
                </c:pt>
                <c:pt idx="2">
                  <c:v>4741394.2660014536</c:v>
                </c:pt>
                <c:pt idx="3">
                  <c:v>4673472.859191576</c:v>
                </c:pt>
                <c:pt idx="4">
                  <c:v>4660297.4720965521</c:v>
                </c:pt>
                <c:pt idx="5">
                  <c:v>4649580.4904540591</c:v>
                </c:pt>
                <c:pt idx="6">
                  <c:v>4642890.7137661427</c:v>
                </c:pt>
                <c:pt idx="7">
                  <c:v>4632332.9970868519</c:v>
                </c:pt>
                <c:pt idx="8">
                  <c:v>4616270.8836241802</c:v>
                </c:pt>
                <c:pt idx="9">
                  <c:v>4594685.0072553838</c:v>
                </c:pt>
                <c:pt idx="10">
                  <c:v>4571846.7739768438</c:v>
                </c:pt>
                <c:pt idx="11">
                  <c:v>4543213.4843731821</c:v>
                </c:pt>
                <c:pt idx="12">
                  <c:v>4634368.8789914437</c:v>
                </c:pt>
                <c:pt idx="13">
                  <c:v>4594867.5550485309</c:v>
                </c:pt>
                <c:pt idx="14">
                  <c:v>4505432.4575895956</c:v>
                </c:pt>
                <c:pt idx="15">
                  <c:v>4412266.7716306318</c:v>
                </c:pt>
                <c:pt idx="16">
                  <c:v>4309352.5715974774</c:v>
                </c:pt>
                <c:pt idx="17">
                  <c:v>4275880.8768228898</c:v>
                </c:pt>
                <c:pt idx="18">
                  <c:v>4183799.5100896894</c:v>
                </c:pt>
                <c:pt idx="19">
                  <c:v>3999927.726037276</c:v>
                </c:pt>
                <c:pt idx="20">
                  <c:v>3801904.7604337926</c:v>
                </c:pt>
                <c:pt idx="21">
                  <c:v>3862147.8481064807</c:v>
                </c:pt>
                <c:pt idx="22">
                  <c:v>3928653.8962255539</c:v>
                </c:pt>
                <c:pt idx="23">
                  <c:v>3991201.2891816767</c:v>
                </c:pt>
                <c:pt idx="24">
                  <c:v>4054264.154867196</c:v>
                </c:pt>
                <c:pt idx="25">
                  <c:v>4117805.5253755567</c:v>
                </c:pt>
                <c:pt idx="26">
                  <c:v>4203587.6251553576</c:v>
                </c:pt>
                <c:pt idx="27">
                  <c:v>4273644.4212558176</c:v>
                </c:pt>
                <c:pt idx="28">
                  <c:v>4344249.5902041234</c:v>
                </c:pt>
                <c:pt idx="29">
                  <c:v>4415353.0654669004</c:v>
                </c:pt>
                <c:pt idx="30">
                  <c:v>4486899.2442879044</c:v>
                </c:pt>
                <c:pt idx="31">
                  <c:v>4546767.5256832177</c:v>
                </c:pt>
                <c:pt idx="32">
                  <c:v>4621293.569344312</c:v>
                </c:pt>
                <c:pt idx="33">
                  <c:v>4696123.8765626764</c:v>
                </c:pt>
                <c:pt idx="34">
                  <c:v>4771177.3962028772</c:v>
                </c:pt>
                <c:pt idx="35">
                  <c:v>4846364.9515051609</c:v>
                </c:pt>
              </c:numCache>
            </c:numRef>
          </c:val>
          <c:smooth val="0"/>
          <c:extLst xmlns:c16r2="http://schemas.microsoft.com/office/drawing/2015/06/chart">
            <c:ext xmlns:c16="http://schemas.microsoft.com/office/drawing/2014/chart" uri="{C3380CC4-5D6E-409C-BE32-E72D297353CC}">
              <c16:uniqueId val="{00000005-EB1C-6C46-B431-FECDF723B0A6}"/>
            </c:ext>
          </c:extLst>
        </c:ser>
        <c:ser>
          <c:idx val="6"/>
          <c:order val="6"/>
          <c:tx>
            <c:strRef>
              <c:f>'HIDDEN_Dashboard charts data'!$B$11</c:f>
              <c:strCache>
                <c:ptCount val="1"/>
                <c:pt idx="0">
                  <c:v>Trajectory</c:v>
                </c:pt>
              </c:strCache>
            </c:strRef>
          </c:tx>
          <c:spPr>
            <a:ln w="28575" cap="rnd">
              <a:solidFill>
                <a:schemeClr val="accent1">
                  <a:lumMod val="60000"/>
                </a:schemeClr>
              </a:solidFill>
              <a:round/>
            </a:ln>
            <a:effectLst/>
          </c:spPr>
          <c:marker>
            <c:symbol val="none"/>
          </c:marker>
          <c:val>
            <c:numRef>
              <c:f>'HIDDEN_Dashboard charts data'!$F$11:$AO$11</c:f>
              <c:numCache>
                <c:formatCode>_-* #,##0_-;\-* #,##0_-;_-* "-"??_-;_-@_-</c:formatCode>
                <c:ptCount val="36"/>
                <c:pt idx="0">
                  <c:v>4700672.0338636925</c:v>
                </c:pt>
                <c:pt idx="1">
                  <c:v>4696369.2346580112</c:v>
                </c:pt>
                <c:pt idx="2">
                  <c:v>4741394.2660014536</c:v>
                </c:pt>
                <c:pt idx="3">
                  <c:v>4673472.859191576</c:v>
                </c:pt>
                <c:pt idx="4">
                  <c:v>4660297.4720965521</c:v>
                </c:pt>
                <c:pt idx="5">
                  <c:v>4649580.4904540591</c:v>
                </c:pt>
                <c:pt idx="6">
                  <c:v>4569755.9083100092</c:v>
                </c:pt>
                <c:pt idx="7">
                  <c:v>4486927.4055597363</c:v>
                </c:pt>
                <c:pt idx="8">
                  <c:v>4399627.2243290031</c:v>
                </c:pt>
                <c:pt idx="9">
                  <c:v>4307758.0957404599</c:v>
                </c:pt>
                <c:pt idx="10">
                  <c:v>4216066.0738056665</c:v>
                </c:pt>
                <c:pt idx="11">
                  <c:v>4082950.082974901</c:v>
                </c:pt>
                <c:pt idx="12">
                  <c:v>4096276.56518781</c:v>
                </c:pt>
                <c:pt idx="13">
                  <c:v>3788567.0350020635</c:v>
                </c:pt>
                <c:pt idx="14">
                  <c:v>3553418.3573113075</c:v>
                </c:pt>
                <c:pt idx="15">
                  <c:v>3339083.2338987836</c:v>
                </c:pt>
                <c:pt idx="16">
                  <c:v>3087613.1635764702</c:v>
                </c:pt>
                <c:pt idx="17">
                  <c:v>2933365.3285993156</c:v>
                </c:pt>
                <c:pt idx="18">
                  <c:v>2770269.2915973291</c:v>
                </c:pt>
                <c:pt idx="19">
                  <c:v>2541332.5626675757</c:v>
                </c:pt>
                <c:pt idx="20">
                  <c:v>2186903.9561544321</c:v>
                </c:pt>
                <c:pt idx="21">
                  <c:v>2077711.6552142885</c:v>
                </c:pt>
                <c:pt idx="22">
                  <c:v>1970859.6813678993</c:v>
                </c:pt>
                <c:pt idx="23">
                  <c:v>1856274.6587258829</c:v>
                </c:pt>
                <c:pt idx="24">
                  <c:v>1738300.6425200328</c:v>
                </c:pt>
                <c:pt idx="25">
                  <c:v>1590637.1380599621</c:v>
                </c:pt>
                <c:pt idx="26">
                  <c:v>1482064.0347196646</c:v>
                </c:pt>
                <c:pt idx="27">
                  <c:v>1353481.8133389903</c:v>
                </c:pt>
                <c:pt idx="28">
                  <c:v>1221024.9243863029</c:v>
                </c:pt>
                <c:pt idx="29">
                  <c:v>1084502.1704429276</c:v>
                </c:pt>
                <c:pt idx="30">
                  <c:v>955565.93959695986</c:v>
                </c:pt>
                <c:pt idx="31">
                  <c:v>899268.76799750002</c:v>
                </c:pt>
                <c:pt idx="32">
                  <c:v>854657.6816898454</c:v>
                </c:pt>
                <c:pt idx="33">
                  <c:v>807302.80057462351</c:v>
                </c:pt>
                <c:pt idx="34">
                  <c:v>757044.75032253889</c:v>
                </c:pt>
                <c:pt idx="35">
                  <c:v>703714.04068859806</c:v>
                </c:pt>
              </c:numCache>
            </c:numRef>
          </c:val>
          <c:smooth val="0"/>
          <c:extLst xmlns:c16r2="http://schemas.microsoft.com/office/drawing/2015/06/chart">
            <c:ext xmlns:c16="http://schemas.microsoft.com/office/drawing/2014/chart" uri="{C3380CC4-5D6E-409C-BE32-E72D297353CC}">
              <c16:uniqueId val="{00000006-EB1C-6C46-B431-FECDF723B0A6}"/>
            </c:ext>
          </c:extLst>
        </c:ser>
        <c:dLbls>
          <c:showLegendKey val="0"/>
          <c:showVal val="0"/>
          <c:showCatName val="0"/>
          <c:showSerName val="0"/>
          <c:showPercent val="0"/>
          <c:showBubbleSize val="0"/>
        </c:dLbls>
        <c:marker val="1"/>
        <c:smooth val="0"/>
        <c:axId val="407895040"/>
        <c:axId val="408826624"/>
      </c:lineChart>
      <c:catAx>
        <c:axId val="407895040"/>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0"/>
          <a:lstStyle/>
          <a:p>
            <a:pPr>
              <a:defRPr/>
            </a:pPr>
            <a:endParaRPr lang="en-US"/>
          </a:p>
        </c:txPr>
        <c:crossAx val="408826624"/>
        <c:crosses val="autoZero"/>
        <c:auto val="1"/>
        <c:lblAlgn val="ctr"/>
        <c:lblOffset val="100"/>
        <c:tickLblSkip val="5"/>
        <c:noMultiLvlLbl val="0"/>
      </c:catAx>
      <c:valAx>
        <c:axId val="408826624"/>
        <c:scaling>
          <c:orientation val="minMax"/>
          <c:min val="0"/>
        </c:scaling>
        <c:delete val="0"/>
        <c:axPos val="l"/>
        <c:majorGridlines>
          <c:spPr>
            <a:ln w="9525" cap="flat" cmpd="sng" algn="ctr">
              <a:solidFill>
                <a:schemeClr val="tx1">
                  <a:lumMod val="15000"/>
                  <a:lumOff val="85000"/>
                </a:schemeClr>
              </a:solidFill>
              <a:prstDash val="sysDot"/>
              <a:round/>
            </a:ln>
            <a:effectLst/>
          </c:spPr>
        </c:majorGridlines>
        <c:title>
          <c:tx>
            <c:rich>
              <a:bodyPr rot="-5400000" vert="horz"/>
              <a:lstStyle/>
              <a:p>
                <a:pPr>
                  <a:defRPr/>
                </a:pPr>
                <a:r>
                  <a:rPr lang="en-AU"/>
                  <a:t>Emissions (tCO</a:t>
                </a:r>
                <a:r>
                  <a:rPr lang="en-AU" baseline="-25000"/>
                  <a:t>2</a:t>
                </a:r>
                <a:r>
                  <a:rPr lang="en-AU"/>
                  <a:t>-e)</a:t>
                </a:r>
              </a:p>
            </c:rich>
          </c:tx>
          <c:overlay val="0"/>
        </c:title>
        <c:numFmt formatCode="_-* #,##0_-;\-* #,##0_-;_-* &quot;-&quot;??_-;_-@_-" sourceLinked="1"/>
        <c:majorTickMark val="out"/>
        <c:minorTickMark val="none"/>
        <c:tickLblPos val="nextTo"/>
        <c:spPr>
          <a:noFill/>
          <a:effectLst/>
        </c:spPr>
        <c:txPr>
          <a:bodyPr rot="-60000000" vert="horz"/>
          <a:lstStyle/>
          <a:p>
            <a:pPr>
              <a:defRPr/>
            </a:pPr>
            <a:endParaRPr lang="en-US"/>
          </a:p>
        </c:txPr>
        <c:crossAx val="407895040"/>
        <c:crosses val="autoZero"/>
        <c:crossBetween val="midCat"/>
      </c:valAx>
      <c:spPr>
        <a:noFill/>
        <a:ln>
          <a:noFill/>
        </a:ln>
        <a:effectLst/>
      </c:spPr>
    </c:plotArea>
    <c:legend>
      <c:legendPos val="r"/>
      <c:legendEntry>
        <c:idx val="4"/>
        <c:delete val="1"/>
      </c:legendEntry>
      <c:legendEntry>
        <c:idx val="5"/>
        <c:delete val="1"/>
      </c:legendEntry>
      <c:legendEntry>
        <c:idx val="6"/>
        <c:delete val="1"/>
      </c:legendEntry>
      <c:overlay val="0"/>
    </c:legend>
    <c:plotVisOnly val="1"/>
    <c:dispBlanksAs val="zero"/>
    <c:showDLblsOverMax val="0"/>
  </c:chart>
  <c:spPr>
    <a:noFill/>
    <a:ln w="9525" cap="flat" cmpd="sng" algn="ctr">
      <a:noFill/>
      <a:round/>
    </a:ln>
    <a:effectLst/>
  </c:spPr>
  <c:txPr>
    <a:bodyPr/>
    <a:lstStyle/>
    <a:p>
      <a:pPr>
        <a:defRPr sz="900" b="0">
          <a:latin typeface="+mn-lt"/>
        </a:defRPr>
      </a:pPr>
      <a:endParaRPr lang="en-US"/>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7326791175896403"/>
          <c:y val="4.5128205128205132E-2"/>
          <c:w val="0.61202569059310763"/>
          <c:h val="0.86469743589743586"/>
        </c:manualLayout>
      </c:layout>
      <c:areaChart>
        <c:grouping val="stacked"/>
        <c:varyColors val="0"/>
        <c:ser>
          <c:idx val="5"/>
          <c:order val="0"/>
          <c:tx>
            <c:strRef>
              <c:f>'HIDDEN_Dashboard charts data'!$B$11</c:f>
              <c:strCache>
                <c:ptCount val="1"/>
                <c:pt idx="0">
                  <c:v>Trajectory</c:v>
                </c:pt>
              </c:strCache>
            </c:strRef>
          </c:tx>
          <c:spPr>
            <a:noFill/>
            <a:ln w="25400">
              <a:noFill/>
            </a:ln>
            <a:effectLst/>
          </c:spPr>
          <c:cat>
            <c:numRef>
              <c:f>'HIDDEN_Dashboard charts data'!$F$5:$AO$5</c:f>
              <c:numCache>
                <c:formatCode>General</c:formatCode>
                <c:ptCount val="3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pt idx="16">
                  <c:v>2031</c:v>
                </c:pt>
                <c:pt idx="17">
                  <c:v>2032</c:v>
                </c:pt>
                <c:pt idx="18">
                  <c:v>2033</c:v>
                </c:pt>
                <c:pt idx="19">
                  <c:v>2034</c:v>
                </c:pt>
                <c:pt idx="20">
                  <c:v>2035</c:v>
                </c:pt>
                <c:pt idx="21">
                  <c:v>2036</c:v>
                </c:pt>
                <c:pt idx="22">
                  <c:v>2037</c:v>
                </c:pt>
                <c:pt idx="23">
                  <c:v>2038</c:v>
                </c:pt>
                <c:pt idx="24">
                  <c:v>2039</c:v>
                </c:pt>
                <c:pt idx="25">
                  <c:v>2040</c:v>
                </c:pt>
                <c:pt idx="26">
                  <c:v>2041</c:v>
                </c:pt>
                <c:pt idx="27">
                  <c:v>2042</c:v>
                </c:pt>
                <c:pt idx="28">
                  <c:v>2043</c:v>
                </c:pt>
                <c:pt idx="29">
                  <c:v>2044</c:v>
                </c:pt>
                <c:pt idx="30">
                  <c:v>2045</c:v>
                </c:pt>
                <c:pt idx="31">
                  <c:v>2046</c:v>
                </c:pt>
                <c:pt idx="32">
                  <c:v>2047</c:v>
                </c:pt>
                <c:pt idx="33">
                  <c:v>2048</c:v>
                </c:pt>
                <c:pt idx="34">
                  <c:v>2049</c:v>
                </c:pt>
                <c:pt idx="35">
                  <c:v>2050</c:v>
                </c:pt>
              </c:numCache>
            </c:numRef>
          </c:cat>
          <c:val>
            <c:numRef>
              <c:f>'HIDDEN_Dashboard charts data'!$F$11:$AO$11</c:f>
              <c:numCache>
                <c:formatCode>_-* #,##0_-;\-* #,##0_-;_-* "-"??_-;_-@_-</c:formatCode>
                <c:ptCount val="36"/>
                <c:pt idx="0">
                  <c:v>4700672.0338636925</c:v>
                </c:pt>
                <c:pt idx="1">
                  <c:v>4696369.2346580112</c:v>
                </c:pt>
                <c:pt idx="2">
                  <c:v>4741394.2660014536</c:v>
                </c:pt>
                <c:pt idx="3">
                  <c:v>4673472.859191576</c:v>
                </c:pt>
                <c:pt idx="4">
                  <c:v>4660297.4720965521</c:v>
                </c:pt>
                <c:pt idx="5">
                  <c:v>4649580.4904540591</c:v>
                </c:pt>
                <c:pt idx="6">
                  <c:v>4479712.7939332295</c:v>
                </c:pt>
                <c:pt idx="7">
                  <c:v>4309103.6779250028</c:v>
                </c:pt>
                <c:pt idx="8">
                  <c:v>4135861.4585596193</c:v>
                </c:pt>
                <c:pt idx="9">
                  <c:v>3959758.9982904736</c:v>
                </c:pt>
                <c:pt idx="10">
                  <c:v>3786021.6744142422</c:v>
                </c:pt>
                <c:pt idx="11">
                  <c:v>3588753.9736723099</c:v>
                </c:pt>
                <c:pt idx="12">
                  <c:v>3533709.5272443634</c:v>
                </c:pt>
                <c:pt idx="13">
                  <c:v>3134059.0172052123</c:v>
                </c:pt>
                <c:pt idx="14">
                  <c:v>2804207.6602098839</c:v>
                </c:pt>
                <c:pt idx="15">
                  <c:v>2500815.5439957501</c:v>
                </c:pt>
                <c:pt idx="16">
                  <c:v>2236895.548612983</c:v>
                </c:pt>
                <c:pt idx="17">
                  <c:v>2082987.2505858522</c:v>
                </c:pt>
                <c:pt idx="18">
                  <c:v>1941603.2594246455</c:v>
                </c:pt>
                <c:pt idx="19">
                  <c:v>1742143.2339213425</c:v>
                </c:pt>
                <c:pt idx="20">
                  <c:v>1364636.3768618116</c:v>
                </c:pt>
                <c:pt idx="21">
                  <c:v>1232658.464195074</c:v>
                </c:pt>
                <c:pt idx="22">
                  <c:v>1102621.989182713</c:v>
                </c:pt>
                <c:pt idx="23">
                  <c:v>964662.42515710788</c:v>
                </c:pt>
                <c:pt idx="24">
                  <c:v>823114.30982106179</c:v>
                </c:pt>
                <c:pt idx="25">
                  <c:v>655534.93941322155</c:v>
                </c:pt>
                <c:pt idx="26">
                  <c:v>654974.3489279761</c:v>
                </c:pt>
                <c:pt idx="27">
                  <c:v>636797.35688114585</c:v>
                </c:pt>
                <c:pt idx="28">
                  <c:v>617236.11059749639</c:v>
                </c:pt>
                <c:pt idx="29">
                  <c:v>596198.05670250254</c:v>
                </c:pt>
                <c:pt idx="30">
                  <c:v>585738.52491778648</c:v>
                </c:pt>
                <c:pt idx="31">
                  <c:v>547054.66786235571</c:v>
                </c:pt>
                <c:pt idx="32">
                  <c:v>520865.51971764676</c:v>
                </c:pt>
                <c:pt idx="33">
                  <c:v>492769.88928975537</c:v>
                </c:pt>
                <c:pt idx="34">
                  <c:v>462637.9736541491</c:v>
                </c:pt>
                <c:pt idx="35">
                  <c:v>430330.76334360335</c:v>
                </c:pt>
              </c:numCache>
            </c:numRef>
          </c:val>
          <c:extLst xmlns:c16r2="http://schemas.microsoft.com/office/drawing/2015/06/chart">
            <c:ext xmlns:c16="http://schemas.microsoft.com/office/drawing/2014/chart" uri="{C3380CC4-5D6E-409C-BE32-E72D297353CC}">
              <c16:uniqueId val="{00000000-01FC-704C-A246-CD94502C54EB}"/>
            </c:ext>
          </c:extLst>
        </c:ser>
        <c:ser>
          <c:idx val="0"/>
          <c:order val="1"/>
          <c:tx>
            <c:strRef>
              <c:f>'HIDDEN_Dashboard charts data'!$B$7</c:f>
              <c:strCache>
                <c:ptCount val="1"/>
                <c:pt idx="0">
                  <c:v>Energy Supply</c:v>
                </c:pt>
              </c:strCache>
            </c:strRef>
          </c:tx>
          <c:spPr>
            <a:solidFill>
              <a:srgbClr val="0070C0"/>
            </a:solidFill>
            <a:ln>
              <a:noFill/>
            </a:ln>
            <a:effectLst/>
          </c:spPr>
          <c:cat>
            <c:numRef>
              <c:f>'HIDDEN_Dashboard charts data'!$F$5:$AO$5</c:f>
              <c:numCache>
                <c:formatCode>General</c:formatCode>
                <c:ptCount val="3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pt idx="16">
                  <c:v>2031</c:v>
                </c:pt>
                <c:pt idx="17">
                  <c:v>2032</c:v>
                </c:pt>
                <c:pt idx="18">
                  <c:v>2033</c:v>
                </c:pt>
                <c:pt idx="19">
                  <c:v>2034</c:v>
                </c:pt>
                <c:pt idx="20">
                  <c:v>2035</c:v>
                </c:pt>
                <c:pt idx="21">
                  <c:v>2036</c:v>
                </c:pt>
                <c:pt idx="22">
                  <c:v>2037</c:v>
                </c:pt>
                <c:pt idx="23">
                  <c:v>2038</c:v>
                </c:pt>
                <c:pt idx="24">
                  <c:v>2039</c:v>
                </c:pt>
                <c:pt idx="25">
                  <c:v>2040</c:v>
                </c:pt>
                <c:pt idx="26">
                  <c:v>2041</c:v>
                </c:pt>
                <c:pt idx="27">
                  <c:v>2042</c:v>
                </c:pt>
                <c:pt idx="28">
                  <c:v>2043</c:v>
                </c:pt>
                <c:pt idx="29">
                  <c:v>2044</c:v>
                </c:pt>
                <c:pt idx="30">
                  <c:v>2045</c:v>
                </c:pt>
                <c:pt idx="31">
                  <c:v>2046</c:v>
                </c:pt>
                <c:pt idx="32">
                  <c:v>2047</c:v>
                </c:pt>
                <c:pt idx="33">
                  <c:v>2048</c:v>
                </c:pt>
                <c:pt idx="34">
                  <c:v>2049</c:v>
                </c:pt>
                <c:pt idx="35">
                  <c:v>2050</c:v>
                </c:pt>
              </c:numCache>
            </c:numRef>
          </c:cat>
          <c:val>
            <c:numRef>
              <c:f>'HIDDEN_Dashboard charts data'!$F$7:$AO$7</c:f>
              <c:numCache>
                <c:formatCode>_-* #,##0_-;\-* #,##0_-;_-* "-"??_-;_-@_-</c:formatCode>
                <c:ptCount val="36"/>
                <c:pt idx="0">
                  <c:v>0</c:v>
                </c:pt>
                <c:pt idx="1">
                  <c:v>0</c:v>
                </c:pt>
                <c:pt idx="2">
                  <c:v>0</c:v>
                </c:pt>
                <c:pt idx="3">
                  <c:v>0</c:v>
                </c:pt>
                <c:pt idx="4">
                  <c:v>0</c:v>
                </c:pt>
                <c:pt idx="5">
                  <c:v>0</c:v>
                </c:pt>
                <c:pt idx="6">
                  <c:v>47281.269938823527</c:v>
                </c:pt>
                <c:pt idx="7">
                  <c:v>90507.629625882342</c:v>
                </c:pt>
                <c:pt idx="8">
                  <c:v>130406.95401882351</c:v>
                </c:pt>
                <c:pt idx="9">
                  <c:v>166979.24311764701</c:v>
                </c:pt>
                <c:pt idx="10">
                  <c:v>200224.49692235288</c:v>
                </c:pt>
                <c:pt idx="11">
                  <c:v>240148.92045176463</c:v>
                </c:pt>
                <c:pt idx="12">
                  <c:v>268222.49497513671</c:v>
                </c:pt>
                <c:pt idx="13">
                  <c:v>517683.38402361469</c:v>
                </c:pt>
                <c:pt idx="14">
                  <c:v>650701.31186766177</c:v>
                </c:pt>
                <c:pt idx="15">
                  <c:v>757673.59833858605</c:v>
                </c:pt>
                <c:pt idx="16">
                  <c:v>872278.56869469839</c:v>
                </c:pt>
                <c:pt idx="17">
                  <c:v>957011.67041532963</c:v>
                </c:pt>
                <c:pt idx="18">
                  <c:v>988548.89859446674</c:v>
                </c:pt>
                <c:pt idx="19">
                  <c:v>991707.66699992772</c:v>
                </c:pt>
                <c:pt idx="20">
                  <c:v>1110052.1550090588</c:v>
                </c:pt>
                <c:pt idx="21">
                  <c:v>1238993.2661573058</c:v>
                </c:pt>
                <c:pt idx="22">
                  <c:v>1370239.9624960485</c:v>
                </c:pt>
                <c:pt idx="23">
                  <c:v>1504247.2389429552</c:v>
                </c:pt>
                <c:pt idx="24">
                  <c:v>1641118.4679791173</c:v>
                </c:pt>
                <c:pt idx="25">
                  <c:v>1798317.569743864</c:v>
                </c:pt>
                <c:pt idx="26">
                  <c:v>1812907.3934415288</c:v>
                </c:pt>
                <c:pt idx="27">
                  <c:v>1827932.3513557329</c:v>
                </c:pt>
                <c:pt idx="28">
                  <c:v>1843392.1938767626</c:v>
                </c:pt>
                <c:pt idx="29">
                  <c:v>1859286.522152262</c:v>
                </c:pt>
                <c:pt idx="30">
                  <c:v>1866462.7706082631</c:v>
                </c:pt>
                <c:pt idx="31">
                  <c:v>1885026.4142833315</c:v>
                </c:pt>
                <c:pt idx="32">
                  <c:v>1904038.9458241556</c:v>
                </c:pt>
                <c:pt idx="33">
                  <c:v>1923500.2841181331</c:v>
                </c:pt>
                <c:pt idx="34">
                  <c:v>1943410.1294394333</c:v>
                </c:pt>
                <c:pt idx="35">
                  <c:v>1963767.9522209219</c:v>
                </c:pt>
              </c:numCache>
            </c:numRef>
          </c:val>
          <c:extLst xmlns:c16r2="http://schemas.microsoft.com/office/drawing/2015/06/chart">
            <c:ext xmlns:c16="http://schemas.microsoft.com/office/drawing/2014/chart" uri="{C3380CC4-5D6E-409C-BE32-E72D297353CC}">
              <c16:uniqueId val="{00000001-01FC-704C-A246-CD94502C54EB}"/>
            </c:ext>
          </c:extLst>
        </c:ser>
        <c:ser>
          <c:idx val="1"/>
          <c:order val="2"/>
          <c:tx>
            <c:strRef>
              <c:f>'HIDDEN_Dashboard charts data'!$B$8</c:f>
              <c:strCache>
                <c:ptCount val="1"/>
                <c:pt idx="0">
                  <c:v>Buildings</c:v>
                </c:pt>
              </c:strCache>
            </c:strRef>
          </c:tx>
          <c:spPr>
            <a:solidFill>
              <a:srgbClr val="00B050"/>
            </a:solidFill>
            <a:ln>
              <a:noFill/>
            </a:ln>
            <a:effectLst/>
          </c:spPr>
          <c:cat>
            <c:numRef>
              <c:f>'HIDDEN_Dashboard charts data'!$F$5:$AO$5</c:f>
              <c:numCache>
                <c:formatCode>General</c:formatCode>
                <c:ptCount val="3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pt idx="16">
                  <c:v>2031</c:v>
                </c:pt>
                <c:pt idx="17">
                  <c:v>2032</c:v>
                </c:pt>
                <c:pt idx="18">
                  <c:v>2033</c:v>
                </c:pt>
                <c:pt idx="19">
                  <c:v>2034</c:v>
                </c:pt>
                <c:pt idx="20">
                  <c:v>2035</c:v>
                </c:pt>
                <c:pt idx="21">
                  <c:v>2036</c:v>
                </c:pt>
                <c:pt idx="22">
                  <c:v>2037</c:v>
                </c:pt>
                <c:pt idx="23">
                  <c:v>2038</c:v>
                </c:pt>
                <c:pt idx="24">
                  <c:v>2039</c:v>
                </c:pt>
                <c:pt idx="25">
                  <c:v>2040</c:v>
                </c:pt>
                <c:pt idx="26">
                  <c:v>2041</c:v>
                </c:pt>
                <c:pt idx="27">
                  <c:v>2042</c:v>
                </c:pt>
                <c:pt idx="28">
                  <c:v>2043</c:v>
                </c:pt>
                <c:pt idx="29">
                  <c:v>2044</c:v>
                </c:pt>
                <c:pt idx="30">
                  <c:v>2045</c:v>
                </c:pt>
                <c:pt idx="31">
                  <c:v>2046</c:v>
                </c:pt>
                <c:pt idx="32">
                  <c:v>2047</c:v>
                </c:pt>
                <c:pt idx="33">
                  <c:v>2048</c:v>
                </c:pt>
                <c:pt idx="34">
                  <c:v>2049</c:v>
                </c:pt>
                <c:pt idx="35">
                  <c:v>2050</c:v>
                </c:pt>
              </c:numCache>
            </c:numRef>
          </c:cat>
          <c:val>
            <c:numRef>
              <c:f>'HIDDEN_Dashboard charts data'!$F$8:$AO$8</c:f>
              <c:numCache>
                <c:formatCode>_-* #,##0_-;\-* #,##0_-;_-* "-"??_-;_-@_-</c:formatCode>
                <c:ptCount val="36"/>
                <c:pt idx="0">
                  <c:v>0</c:v>
                </c:pt>
                <c:pt idx="1">
                  <c:v>0</c:v>
                </c:pt>
                <c:pt idx="2">
                  <c:v>0</c:v>
                </c:pt>
                <c:pt idx="3">
                  <c:v>0</c:v>
                </c:pt>
                <c:pt idx="4">
                  <c:v>0</c:v>
                </c:pt>
                <c:pt idx="5">
                  <c:v>0</c:v>
                </c:pt>
                <c:pt idx="6">
                  <c:v>68443.301573679666</c:v>
                </c:pt>
                <c:pt idx="7">
                  <c:v>137451.28064623073</c:v>
                </c:pt>
                <c:pt idx="8">
                  <c:v>206663.21342177995</c:v>
                </c:pt>
                <c:pt idx="9">
                  <c:v>276224.44355875748</c:v>
                </c:pt>
                <c:pt idx="10">
                  <c:v>345184.51484313962</c:v>
                </c:pt>
                <c:pt idx="11">
                  <c:v>424911.44824259914</c:v>
                </c:pt>
                <c:pt idx="12">
                  <c:v>493709.44787963078</c:v>
                </c:pt>
                <c:pt idx="13">
                  <c:v>554740.63756647974</c:v>
                </c:pt>
                <c:pt idx="14">
                  <c:v>612105.64529511158</c:v>
                </c:pt>
                <c:pt idx="15">
                  <c:v>665020.49798828503</c:v>
                </c:pt>
                <c:pt idx="16">
                  <c:v>687549.54718043504</c:v>
                </c:pt>
                <c:pt idx="17">
                  <c:v>698988.75569108536</c:v>
                </c:pt>
                <c:pt idx="18">
                  <c:v>692081.48898935341</c:v>
                </c:pt>
                <c:pt idx="19">
                  <c:v>679478.1243554008</c:v>
                </c:pt>
                <c:pt idx="20">
                  <c:v>715153.82812786463</c:v>
                </c:pt>
                <c:pt idx="21">
                  <c:v>752596.61556466832</c:v>
                </c:pt>
                <c:pt idx="22">
                  <c:v>791632.00975656719</c:v>
                </c:pt>
                <c:pt idx="23">
                  <c:v>831436.15664765425</c:v>
                </c:pt>
                <c:pt idx="24">
                  <c:v>872033.17405785876</c:v>
                </c:pt>
                <c:pt idx="25">
                  <c:v>918352.43939458497</c:v>
                </c:pt>
                <c:pt idx="26">
                  <c:v>962030.50722998939</c:v>
                </c:pt>
                <c:pt idx="27">
                  <c:v>1006678.9715882801</c:v>
                </c:pt>
                <c:pt idx="28">
                  <c:v>1052326.103096195</c:v>
                </c:pt>
                <c:pt idx="29">
                  <c:v>1099000.9036504575</c:v>
                </c:pt>
                <c:pt idx="30">
                  <c:v>1143730.7370418953</c:v>
                </c:pt>
                <c:pt idx="31">
                  <c:v>1193077.7096664966</c:v>
                </c:pt>
                <c:pt idx="32">
                  <c:v>1243581.883361191</c:v>
                </c:pt>
                <c:pt idx="33">
                  <c:v>1295275.5439627063</c:v>
                </c:pt>
                <c:pt idx="34">
                  <c:v>1348191.8275480249</c:v>
                </c:pt>
                <c:pt idx="35">
                  <c:v>1402364.7420577267</c:v>
                </c:pt>
              </c:numCache>
            </c:numRef>
          </c:val>
          <c:extLst xmlns:c16r2="http://schemas.microsoft.com/office/drawing/2015/06/chart">
            <c:ext xmlns:c16="http://schemas.microsoft.com/office/drawing/2014/chart" uri="{C3380CC4-5D6E-409C-BE32-E72D297353CC}">
              <c16:uniqueId val="{00000002-01FC-704C-A246-CD94502C54EB}"/>
            </c:ext>
          </c:extLst>
        </c:ser>
        <c:ser>
          <c:idx val="2"/>
          <c:order val="3"/>
          <c:tx>
            <c:strRef>
              <c:f>'HIDDEN_Dashboard charts data'!$B$9</c:f>
              <c:strCache>
                <c:ptCount val="1"/>
                <c:pt idx="0">
                  <c:v>Transport</c:v>
                </c:pt>
              </c:strCache>
            </c:strRef>
          </c:tx>
          <c:spPr>
            <a:solidFill>
              <a:srgbClr val="00A3AE"/>
            </a:solidFill>
            <a:ln>
              <a:solidFill>
                <a:srgbClr val="00A3AE"/>
              </a:solidFill>
            </a:ln>
            <a:effectLst/>
          </c:spPr>
          <c:cat>
            <c:numRef>
              <c:f>'HIDDEN_Dashboard charts data'!$F$5:$AO$5</c:f>
              <c:numCache>
                <c:formatCode>General</c:formatCode>
                <c:ptCount val="3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pt idx="16">
                  <c:v>2031</c:v>
                </c:pt>
                <c:pt idx="17">
                  <c:v>2032</c:v>
                </c:pt>
                <c:pt idx="18">
                  <c:v>2033</c:v>
                </c:pt>
                <c:pt idx="19">
                  <c:v>2034</c:v>
                </c:pt>
                <c:pt idx="20">
                  <c:v>2035</c:v>
                </c:pt>
                <c:pt idx="21">
                  <c:v>2036</c:v>
                </c:pt>
                <c:pt idx="22">
                  <c:v>2037</c:v>
                </c:pt>
                <c:pt idx="23">
                  <c:v>2038</c:v>
                </c:pt>
                <c:pt idx="24">
                  <c:v>2039</c:v>
                </c:pt>
                <c:pt idx="25">
                  <c:v>2040</c:v>
                </c:pt>
                <c:pt idx="26">
                  <c:v>2041</c:v>
                </c:pt>
                <c:pt idx="27">
                  <c:v>2042</c:v>
                </c:pt>
                <c:pt idx="28">
                  <c:v>2043</c:v>
                </c:pt>
                <c:pt idx="29">
                  <c:v>2044</c:v>
                </c:pt>
                <c:pt idx="30">
                  <c:v>2045</c:v>
                </c:pt>
                <c:pt idx="31">
                  <c:v>2046</c:v>
                </c:pt>
                <c:pt idx="32">
                  <c:v>2047</c:v>
                </c:pt>
                <c:pt idx="33">
                  <c:v>2048</c:v>
                </c:pt>
                <c:pt idx="34">
                  <c:v>2049</c:v>
                </c:pt>
                <c:pt idx="35">
                  <c:v>2050</c:v>
                </c:pt>
              </c:numCache>
            </c:numRef>
          </c:cat>
          <c:val>
            <c:numRef>
              <c:f>'HIDDEN_Dashboard charts data'!$F$9:$AO$9</c:f>
              <c:numCache>
                <c:formatCode>_-* #,##0_-;\-* #,##0_-;_-* "-"??_-;_-@_-</c:formatCode>
                <c:ptCount val="36"/>
                <c:pt idx="0">
                  <c:v>0</c:v>
                </c:pt>
                <c:pt idx="1">
                  <c:v>0</c:v>
                </c:pt>
                <c:pt idx="2">
                  <c:v>0</c:v>
                </c:pt>
                <c:pt idx="3">
                  <c:v>0</c:v>
                </c:pt>
                <c:pt idx="4">
                  <c:v>0</c:v>
                </c:pt>
                <c:pt idx="5">
                  <c:v>0</c:v>
                </c:pt>
                <c:pt idx="6">
                  <c:v>42867.169967198322</c:v>
                </c:pt>
                <c:pt idx="7">
                  <c:v>85811.414077358117</c:v>
                </c:pt>
                <c:pt idx="8">
                  <c:v>128837.82573637781</c:v>
                </c:pt>
                <c:pt idx="9">
                  <c:v>171951.72503623407</c:v>
                </c:pt>
                <c:pt idx="10">
                  <c:v>215158.66591732198</c:v>
                </c:pt>
                <c:pt idx="11">
                  <c:v>258464.44353494866</c:v>
                </c:pt>
                <c:pt idx="12">
                  <c:v>301875.1018355639</c:v>
                </c:pt>
                <c:pt idx="13">
                  <c:v>345396.94134846237</c:v>
                </c:pt>
                <c:pt idx="14">
                  <c:v>389036.52719884447</c:v>
                </c:pt>
                <c:pt idx="15">
                  <c:v>432800.6973482793</c:v>
                </c:pt>
                <c:pt idx="16">
                  <c:v>449585.08194157551</c:v>
                </c:pt>
                <c:pt idx="17">
                  <c:v>466463.42076820653</c:v>
                </c:pt>
                <c:pt idx="18">
                  <c:v>483437.49890337139</c:v>
                </c:pt>
                <c:pt idx="19">
                  <c:v>500509.15592839022</c:v>
                </c:pt>
                <c:pt idx="20">
                  <c:v>517680.28748203715</c:v>
                </c:pt>
                <c:pt idx="21">
                  <c:v>534952.84685386182</c:v>
                </c:pt>
                <c:pt idx="22">
                  <c:v>552328.84662061289</c:v>
                </c:pt>
                <c:pt idx="23">
                  <c:v>569810.36032689596</c:v>
                </c:pt>
                <c:pt idx="24">
                  <c:v>587399.52421124047</c:v>
                </c:pt>
                <c:pt idx="25">
                  <c:v>605098.53897876642</c:v>
                </c:pt>
                <c:pt idx="26">
                  <c:v>622909.67162168841</c:v>
                </c:pt>
                <c:pt idx="27">
                  <c:v>640835.2572889101</c:v>
                </c:pt>
                <c:pt idx="28">
                  <c:v>658877.7012060089</c:v>
                </c:pt>
                <c:pt idx="29">
                  <c:v>677039.48064693774</c:v>
                </c:pt>
                <c:pt idx="30">
                  <c:v>695323.14695880306</c:v>
                </c:pt>
                <c:pt idx="31">
                  <c:v>713731.327641121</c:v>
                </c:pt>
                <c:pt idx="32">
                  <c:v>732266.7284809819</c:v>
                </c:pt>
                <c:pt idx="33">
                  <c:v>750932.1357455973</c:v>
                </c:pt>
                <c:pt idx="34">
                  <c:v>769730.41843373794</c:v>
                </c:pt>
                <c:pt idx="35">
                  <c:v>788664.53058760799</c:v>
                </c:pt>
              </c:numCache>
            </c:numRef>
          </c:val>
          <c:extLst xmlns:c16r2="http://schemas.microsoft.com/office/drawing/2015/06/chart">
            <c:ext xmlns:c16="http://schemas.microsoft.com/office/drawing/2014/chart" uri="{C3380CC4-5D6E-409C-BE32-E72D297353CC}">
              <c16:uniqueId val="{00000003-01FC-704C-A246-CD94502C54EB}"/>
            </c:ext>
          </c:extLst>
        </c:ser>
        <c:ser>
          <c:idx val="3"/>
          <c:order val="4"/>
          <c:tx>
            <c:strRef>
              <c:f>'HIDDEN_Dashboard charts data'!$B$10</c:f>
              <c:strCache>
                <c:ptCount val="1"/>
                <c:pt idx="0">
                  <c:v>Waste</c:v>
                </c:pt>
              </c:strCache>
            </c:strRef>
          </c:tx>
          <c:spPr>
            <a:solidFill>
              <a:schemeClr val="accent4"/>
            </a:solidFill>
            <a:ln>
              <a:noFill/>
            </a:ln>
            <a:effectLst/>
          </c:spPr>
          <c:cat>
            <c:numRef>
              <c:f>'HIDDEN_Dashboard charts data'!$F$5:$AO$5</c:f>
              <c:numCache>
                <c:formatCode>General</c:formatCode>
                <c:ptCount val="3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pt idx="16">
                  <c:v>2031</c:v>
                </c:pt>
                <c:pt idx="17">
                  <c:v>2032</c:v>
                </c:pt>
                <c:pt idx="18">
                  <c:v>2033</c:v>
                </c:pt>
                <c:pt idx="19">
                  <c:v>2034</c:v>
                </c:pt>
                <c:pt idx="20">
                  <c:v>2035</c:v>
                </c:pt>
                <c:pt idx="21">
                  <c:v>2036</c:v>
                </c:pt>
                <c:pt idx="22">
                  <c:v>2037</c:v>
                </c:pt>
                <c:pt idx="23">
                  <c:v>2038</c:v>
                </c:pt>
                <c:pt idx="24">
                  <c:v>2039</c:v>
                </c:pt>
                <c:pt idx="25">
                  <c:v>2040</c:v>
                </c:pt>
                <c:pt idx="26">
                  <c:v>2041</c:v>
                </c:pt>
                <c:pt idx="27">
                  <c:v>2042</c:v>
                </c:pt>
                <c:pt idx="28">
                  <c:v>2043</c:v>
                </c:pt>
                <c:pt idx="29">
                  <c:v>2044</c:v>
                </c:pt>
                <c:pt idx="30">
                  <c:v>2045</c:v>
                </c:pt>
                <c:pt idx="31">
                  <c:v>2046</c:v>
                </c:pt>
                <c:pt idx="32">
                  <c:v>2047</c:v>
                </c:pt>
                <c:pt idx="33">
                  <c:v>2048</c:v>
                </c:pt>
                <c:pt idx="34">
                  <c:v>2049</c:v>
                </c:pt>
                <c:pt idx="35">
                  <c:v>2050</c:v>
                </c:pt>
              </c:numCache>
            </c:numRef>
          </c:cat>
          <c:val>
            <c:numRef>
              <c:f>'HIDDEN_Dashboard charts data'!$F$10:$AO$10</c:f>
              <c:numCache>
                <c:formatCode>_-* #,##0_-;\-* #,##0_-;_-* "-"??_-;_-@_-</c:formatCode>
                <c:ptCount val="36"/>
                <c:pt idx="0">
                  <c:v>0</c:v>
                </c:pt>
                <c:pt idx="1">
                  <c:v>0</c:v>
                </c:pt>
                <c:pt idx="2">
                  <c:v>0</c:v>
                </c:pt>
                <c:pt idx="3">
                  <c:v>0</c:v>
                </c:pt>
                <c:pt idx="4">
                  <c:v>0</c:v>
                </c:pt>
                <c:pt idx="5">
                  <c:v>0</c:v>
                </c:pt>
                <c:pt idx="6">
                  <c:v>4586.1783532118134</c:v>
                </c:pt>
                <c:pt idx="7">
                  <c:v>9458.9948123781433</c:v>
                </c:pt>
                <c:pt idx="8">
                  <c:v>14501.431887579696</c:v>
                </c:pt>
                <c:pt idx="9">
                  <c:v>19770.597252271407</c:v>
                </c:pt>
                <c:pt idx="10">
                  <c:v>25257.421879787318</c:v>
                </c:pt>
                <c:pt idx="11">
                  <c:v>30934.698471559757</c:v>
                </c:pt>
                <c:pt idx="12">
                  <c:v>36852.307056748796</c:v>
                </c:pt>
                <c:pt idx="13">
                  <c:v>42987.574904762034</c:v>
                </c:pt>
                <c:pt idx="14">
                  <c:v>49381.313018093912</c:v>
                </c:pt>
                <c:pt idx="15">
                  <c:v>55956.433959731607</c:v>
                </c:pt>
                <c:pt idx="16">
                  <c:v>63043.825167785304</c:v>
                </c:pt>
                <c:pt idx="17">
                  <c:v>70429.779362416113</c:v>
                </c:pt>
                <c:pt idx="18">
                  <c:v>78128.364177852374</c:v>
                </c:pt>
                <c:pt idx="19">
                  <c:v>86089.544832214728</c:v>
                </c:pt>
                <c:pt idx="20">
                  <c:v>94382.112953020056</c:v>
                </c:pt>
                <c:pt idx="21">
                  <c:v>102946.65533557048</c:v>
                </c:pt>
                <c:pt idx="22">
                  <c:v>111831.08816961234</c:v>
                </c:pt>
                <c:pt idx="23">
                  <c:v>121045.10810706367</c:v>
                </c:pt>
                <c:pt idx="24">
                  <c:v>130598.67879791722</c:v>
                </c:pt>
                <c:pt idx="25">
                  <c:v>140502.03784511937</c:v>
                </c:pt>
                <c:pt idx="26">
                  <c:v>150765.70393417453</c:v>
                </c:pt>
                <c:pt idx="27">
                  <c:v>161400.48414174901</c:v>
                </c:pt>
                <c:pt idx="28">
                  <c:v>172417.48142766088</c:v>
                </c:pt>
                <c:pt idx="29">
                  <c:v>183828.10231474054</c:v>
                </c:pt>
                <c:pt idx="30">
                  <c:v>195644.06476115657</c:v>
                </c:pt>
                <c:pt idx="31">
                  <c:v>207877.40622991286</c:v>
                </c:pt>
                <c:pt idx="32">
                  <c:v>220540.49196033622</c:v>
                </c:pt>
                <c:pt idx="33">
                  <c:v>233646.02344648461</c:v>
                </c:pt>
                <c:pt idx="34">
                  <c:v>247207.04712753222</c:v>
                </c:pt>
                <c:pt idx="35">
                  <c:v>261236.96329530116</c:v>
                </c:pt>
              </c:numCache>
            </c:numRef>
          </c:val>
          <c:extLst xmlns:c16r2="http://schemas.microsoft.com/office/drawing/2015/06/chart">
            <c:ext xmlns:c16="http://schemas.microsoft.com/office/drawing/2014/chart" uri="{C3380CC4-5D6E-409C-BE32-E72D297353CC}">
              <c16:uniqueId val="{00000004-01FC-704C-A246-CD94502C54EB}"/>
            </c:ext>
          </c:extLst>
        </c:ser>
        <c:dLbls>
          <c:showLegendKey val="0"/>
          <c:showVal val="0"/>
          <c:showCatName val="0"/>
          <c:showSerName val="0"/>
          <c:showPercent val="0"/>
          <c:showBubbleSize val="0"/>
        </c:dLbls>
        <c:axId val="408029056"/>
        <c:axId val="408030592"/>
      </c:areaChart>
      <c:lineChart>
        <c:grouping val="standard"/>
        <c:varyColors val="0"/>
        <c:ser>
          <c:idx val="4"/>
          <c:order val="5"/>
          <c:tx>
            <c:strRef>
              <c:f>'HIDDEN_Dashboard charts data'!$B$7</c:f>
              <c:strCache>
                <c:ptCount val="1"/>
                <c:pt idx="0">
                  <c:v>Energy Supply</c:v>
                </c:pt>
              </c:strCache>
            </c:strRef>
          </c:tx>
          <c:spPr>
            <a:ln w="28575" cap="rnd">
              <a:solidFill>
                <a:schemeClr val="accent5"/>
              </a:solidFill>
              <a:prstDash val="dash"/>
              <a:round/>
            </a:ln>
            <a:effectLst/>
          </c:spPr>
          <c:marker>
            <c:symbol val="none"/>
          </c:marker>
          <c:val>
            <c:numRef>
              <c:f>'HIDDEN_Dashboard charts data'!$F$6:$AO$6</c:f>
              <c:numCache>
                <c:formatCode>_-* #,##0_-;\-* #,##0_-;_-* "-"??_-;_-@_-</c:formatCode>
                <c:ptCount val="36"/>
                <c:pt idx="0">
                  <c:v>4700672.0338636925</c:v>
                </c:pt>
                <c:pt idx="1">
                  <c:v>4696369.2346580112</c:v>
                </c:pt>
                <c:pt idx="2">
                  <c:v>4741394.2660014536</c:v>
                </c:pt>
                <c:pt idx="3">
                  <c:v>4673472.859191576</c:v>
                </c:pt>
                <c:pt idx="4">
                  <c:v>4660297.4720965521</c:v>
                </c:pt>
                <c:pt idx="5">
                  <c:v>4649580.4904540591</c:v>
                </c:pt>
                <c:pt idx="6">
                  <c:v>4642890.7137661427</c:v>
                </c:pt>
                <c:pt idx="7">
                  <c:v>4632332.9970868519</c:v>
                </c:pt>
                <c:pt idx="8">
                  <c:v>4616270.8836241802</c:v>
                </c:pt>
                <c:pt idx="9">
                  <c:v>4594685.0072553838</c:v>
                </c:pt>
                <c:pt idx="10">
                  <c:v>4571846.7739768438</c:v>
                </c:pt>
                <c:pt idx="11">
                  <c:v>4543213.4843731821</c:v>
                </c:pt>
                <c:pt idx="12">
                  <c:v>4634368.8789914437</c:v>
                </c:pt>
                <c:pt idx="13">
                  <c:v>4594867.5550485309</c:v>
                </c:pt>
                <c:pt idx="14">
                  <c:v>4505432.4575895956</c:v>
                </c:pt>
                <c:pt idx="15">
                  <c:v>4412266.7716306318</c:v>
                </c:pt>
                <c:pt idx="16">
                  <c:v>4309352.5715974774</c:v>
                </c:pt>
                <c:pt idx="17">
                  <c:v>4275880.8768228898</c:v>
                </c:pt>
                <c:pt idx="18">
                  <c:v>4183799.5100896894</c:v>
                </c:pt>
                <c:pt idx="19">
                  <c:v>3999927.726037276</c:v>
                </c:pt>
                <c:pt idx="20">
                  <c:v>3801904.7604337926</c:v>
                </c:pt>
                <c:pt idx="21">
                  <c:v>3862147.8481064807</c:v>
                </c:pt>
                <c:pt idx="22">
                  <c:v>3928653.8962255539</c:v>
                </c:pt>
                <c:pt idx="23">
                  <c:v>3991201.2891816767</c:v>
                </c:pt>
                <c:pt idx="24">
                  <c:v>4054264.154867196</c:v>
                </c:pt>
                <c:pt idx="25">
                  <c:v>4117805.5253755567</c:v>
                </c:pt>
                <c:pt idx="26">
                  <c:v>4203587.6251553576</c:v>
                </c:pt>
                <c:pt idx="27">
                  <c:v>4273644.4212558176</c:v>
                </c:pt>
                <c:pt idx="28">
                  <c:v>4344249.5902041234</c:v>
                </c:pt>
                <c:pt idx="29">
                  <c:v>4415353.0654669004</c:v>
                </c:pt>
                <c:pt idx="30">
                  <c:v>4486899.2442879044</c:v>
                </c:pt>
                <c:pt idx="31">
                  <c:v>4546767.5256832177</c:v>
                </c:pt>
                <c:pt idx="32">
                  <c:v>4621293.569344312</c:v>
                </c:pt>
                <c:pt idx="33">
                  <c:v>4696123.8765626764</c:v>
                </c:pt>
                <c:pt idx="34">
                  <c:v>4771177.3962028772</c:v>
                </c:pt>
                <c:pt idx="35">
                  <c:v>4846364.9515051609</c:v>
                </c:pt>
              </c:numCache>
            </c:numRef>
          </c:val>
          <c:smooth val="0"/>
          <c:extLst xmlns:c16r2="http://schemas.microsoft.com/office/drawing/2015/06/chart">
            <c:ext xmlns:c16="http://schemas.microsoft.com/office/drawing/2014/chart" uri="{C3380CC4-5D6E-409C-BE32-E72D297353CC}">
              <c16:uniqueId val="{00000005-01FC-704C-A246-CD94502C54EB}"/>
            </c:ext>
          </c:extLst>
        </c:ser>
        <c:ser>
          <c:idx val="6"/>
          <c:order val="6"/>
          <c:tx>
            <c:strRef>
              <c:f>'HIDDEN_Dashboard charts data'!$B$11</c:f>
              <c:strCache>
                <c:ptCount val="1"/>
                <c:pt idx="0">
                  <c:v>Trajectory</c:v>
                </c:pt>
              </c:strCache>
            </c:strRef>
          </c:tx>
          <c:spPr>
            <a:ln w="28575" cap="rnd">
              <a:solidFill>
                <a:schemeClr val="accent1">
                  <a:lumMod val="60000"/>
                </a:schemeClr>
              </a:solidFill>
              <a:round/>
            </a:ln>
            <a:effectLst/>
          </c:spPr>
          <c:marker>
            <c:symbol val="none"/>
          </c:marker>
          <c:val>
            <c:numRef>
              <c:f>'HIDDEN_Dashboard charts data'!$F$11:$AO$11</c:f>
              <c:numCache>
                <c:formatCode>_-* #,##0_-;\-* #,##0_-;_-* "-"??_-;_-@_-</c:formatCode>
                <c:ptCount val="36"/>
                <c:pt idx="0">
                  <c:v>4700672.0338636925</c:v>
                </c:pt>
                <c:pt idx="1">
                  <c:v>4696369.2346580112</c:v>
                </c:pt>
                <c:pt idx="2">
                  <c:v>4741394.2660014536</c:v>
                </c:pt>
                <c:pt idx="3">
                  <c:v>4673472.859191576</c:v>
                </c:pt>
                <c:pt idx="4">
                  <c:v>4660297.4720965521</c:v>
                </c:pt>
                <c:pt idx="5">
                  <c:v>4649580.4904540591</c:v>
                </c:pt>
                <c:pt idx="6">
                  <c:v>4479712.7939332295</c:v>
                </c:pt>
                <c:pt idx="7">
                  <c:v>4309103.6779250028</c:v>
                </c:pt>
                <c:pt idx="8">
                  <c:v>4135861.4585596193</c:v>
                </c:pt>
                <c:pt idx="9">
                  <c:v>3959758.9982904736</c:v>
                </c:pt>
                <c:pt idx="10">
                  <c:v>3786021.6744142422</c:v>
                </c:pt>
                <c:pt idx="11">
                  <c:v>3588753.9736723099</c:v>
                </c:pt>
                <c:pt idx="12">
                  <c:v>3533709.5272443634</c:v>
                </c:pt>
                <c:pt idx="13">
                  <c:v>3134059.0172052123</c:v>
                </c:pt>
                <c:pt idx="14">
                  <c:v>2804207.6602098839</c:v>
                </c:pt>
                <c:pt idx="15">
                  <c:v>2500815.5439957501</c:v>
                </c:pt>
                <c:pt idx="16">
                  <c:v>2236895.548612983</c:v>
                </c:pt>
                <c:pt idx="17">
                  <c:v>2082987.2505858522</c:v>
                </c:pt>
                <c:pt idx="18">
                  <c:v>1941603.2594246455</c:v>
                </c:pt>
                <c:pt idx="19">
                  <c:v>1742143.2339213425</c:v>
                </c:pt>
                <c:pt idx="20">
                  <c:v>1364636.3768618116</c:v>
                </c:pt>
                <c:pt idx="21">
                  <c:v>1232658.464195074</c:v>
                </c:pt>
                <c:pt idx="22">
                  <c:v>1102621.989182713</c:v>
                </c:pt>
                <c:pt idx="23">
                  <c:v>964662.42515710788</c:v>
                </c:pt>
                <c:pt idx="24">
                  <c:v>823114.30982106179</c:v>
                </c:pt>
                <c:pt idx="25">
                  <c:v>655534.93941322155</c:v>
                </c:pt>
                <c:pt idx="26">
                  <c:v>654974.3489279761</c:v>
                </c:pt>
                <c:pt idx="27">
                  <c:v>636797.35688114585</c:v>
                </c:pt>
                <c:pt idx="28">
                  <c:v>617236.11059749639</c:v>
                </c:pt>
                <c:pt idx="29">
                  <c:v>596198.05670250254</c:v>
                </c:pt>
                <c:pt idx="30">
                  <c:v>585738.52491778648</c:v>
                </c:pt>
                <c:pt idx="31">
                  <c:v>547054.66786235571</c:v>
                </c:pt>
                <c:pt idx="32">
                  <c:v>520865.51971764676</c:v>
                </c:pt>
                <c:pt idx="33">
                  <c:v>492769.88928975537</c:v>
                </c:pt>
                <c:pt idx="34">
                  <c:v>462637.9736541491</c:v>
                </c:pt>
                <c:pt idx="35">
                  <c:v>430330.76334360335</c:v>
                </c:pt>
              </c:numCache>
            </c:numRef>
          </c:val>
          <c:smooth val="0"/>
          <c:extLst xmlns:c16r2="http://schemas.microsoft.com/office/drawing/2015/06/chart">
            <c:ext xmlns:c16="http://schemas.microsoft.com/office/drawing/2014/chart" uri="{C3380CC4-5D6E-409C-BE32-E72D297353CC}">
              <c16:uniqueId val="{00000006-01FC-704C-A246-CD94502C54EB}"/>
            </c:ext>
          </c:extLst>
        </c:ser>
        <c:dLbls>
          <c:showLegendKey val="0"/>
          <c:showVal val="0"/>
          <c:showCatName val="0"/>
          <c:showSerName val="0"/>
          <c:showPercent val="0"/>
          <c:showBubbleSize val="0"/>
        </c:dLbls>
        <c:marker val="1"/>
        <c:smooth val="0"/>
        <c:axId val="408029056"/>
        <c:axId val="408030592"/>
      </c:lineChart>
      <c:catAx>
        <c:axId val="408029056"/>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0"/>
          <a:lstStyle/>
          <a:p>
            <a:pPr>
              <a:defRPr/>
            </a:pPr>
            <a:endParaRPr lang="en-US"/>
          </a:p>
        </c:txPr>
        <c:crossAx val="408030592"/>
        <c:crosses val="autoZero"/>
        <c:auto val="1"/>
        <c:lblAlgn val="ctr"/>
        <c:lblOffset val="100"/>
        <c:tickLblSkip val="5"/>
        <c:noMultiLvlLbl val="0"/>
      </c:catAx>
      <c:valAx>
        <c:axId val="408030592"/>
        <c:scaling>
          <c:orientation val="minMax"/>
          <c:min val="0"/>
        </c:scaling>
        <c:delete val="0"/>
        <c:axPos val="l"/>
        <c:majorGridlines>
          <c:spPr>
            <a:ln w="9525" cap="flat" cmpd="sng" algn="ctr">
              <a:solidFill>
                <a:schemeClr val="tx1">
                  <a:lumMod val="15000"/>
                  <a:lumOff val="85000"/>
                </a:schemeClr>
              </a:solidFill>
              <a:prstDash val="sysDot"/>
              <a:round/>
            </a:ln>
            <a:effectLst/>
          </c:spPr>
        </c:majorGridlines>
        <c:title>
          <c:tx>
            <c:rich>
              <a:bodyPr rot="-5400000" vert="horz"/>
              <a:lstStyle/>
              <a:p>
                <a:pPr>
                  <a:defRPr/>
                </a:pPr>
                <a:r>
                  <a:rPr lang="en-AU"/>
                  <a:t>Emissions (tCO</a:t>
                </a:r>
                <a:r>
                  <a:rPr lang="en-AU" baseline="-25000"/>
                  <a:t>2</a:t>
                </a:r>
                <a:r>
                  <a:rPr lang="en-AU"/>
                  <a:t>-e)</a:t>
                </a:r>
              </a:p>
            </c:rich>
          </c:tx>
          <c:overlay val="0"/>
        </c:title>
        <c:numFmt formatCode="_-* #,##0_-;\-* #,##0_-;_-* &quot;-&quot;??_-;_-@_-" sourceLinked="1"/>
        <c:majorTickMark val="out"/>
        <c:minorTickMark val="none"/>
        <c:tickLblPos val="nextTo"/>
        <c:spPr>
          <a:noFill/>
          <a:effectLst/>
        </c:spPr>
        <c:txPr>
          <a:bodyPr rot="-60000000" vert="horz"/>
          <a:lstStyle/>
          <a:p>
            <a:pPr>
              <a:defRPr/>
            </a:pPr>
            <a:endParaRPr lang="en-US"/>
          </a:p>
        </c:txPr>
        <c:crossAx val="408029056"/>
        <c:crosses val="autoZero"/>
        <c:crossBetween val="midCat"/>
      </c:valAx>
      <c:spPr>
        <a:noFill/>
        <a:ln>
          <a:noFill/>
        </a:ln>
        <a:effectLst/>
      </c:spPr>
    </c:plotArea>
    <c:legend>
      <c:legendPos val="r"/>
      <c:legendEntry>
        <c:idx val="4"/>
        <c:delete val="1"/>
      </c:legendEntry>
      <c:legendEntry>
        <c:idx val="5"/>
        <c:delete val="1"/>
      </c:legendEntry>
      <c:legendEntry>
        <c:idx val="6"/>
        <c:delete val="1"/>
      </c:legendEntry>
      <c:overlay val="0"/>
    </c:legend>
    <c:plotVisOnly val="1"/>
    <c:dispBlanksAs val="zero"/>
    <c:showDLblsOverMax val="0"/>
  </c:chart>
  <c:spPr>
    <a:noFill/>
    <a:ln w="9525" cap="flat" cmpd="sng" algn="ctr">
      <a:noFill/>
      <a:round/>
    </a:ln>
    <a:effectLst/>
  </c:spPr>
  <c:txPr>
    <a:bodyPr/>
    <a:lstStyle/>
    <a:p>
      <a:pPr>
        <a:defRPr sz="900" b="0">
          <a:latin typeface="+mn-lt"/>
        </a:defRPr>
      </a:pPr>
      <a:endParaRPr lang="en-US"/>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5355183791831445"/>
          <c:y val="8.3927418409640603E-2"/>
          <c:w val="0.49508794889021662"/>
          <c:h val="0.79685914260717405"/>
        </c:manualLayout>
      </c:layout>
      <c:areaChart>
        <c:grouping val="stacked"/>
        <c:varyColors val="0"/>
        <c:ser>
          <c:idx val="0"/>
          <c:order val="0"/>
          <c:tx>
            <c:strRef>
              <c:f>'HIDDEN_Dashboard charts data'!$B$14:$C$14</c:f>
              <c:strCache>
                <c:ptCount val="1"/>
                <c:pt idx="0">
                  <c:v>Advocate for a more ambitious VRET</c:v>
                </c:pt>
              </c:strCache>
            </c:strRef>
          </c:tx>
          <c:spPr>
            <a:solidFill>
              <a:schemeClr val="accent5">
                <a:lumMod val="20000"/>
                <a:lumOff val="80000"/>
              </a:schemeClr>
            </a:solidFill>
          </c:spPr>
          <c:cat>
            <c:numRef>
              <c:f>'HIDDEN_Dashboard charts data'!$F$13:$AO$13</c:f>
              <c:numCache>
                <c:formatCode>General</c:formatCode>
                <c:ptCount val="3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pt idx="16">
                  <c:v>2031</c:v>
                </c:pt>
                <c:pt idx="17">
                  <c:v>2032</c:v>
                </c:pt>
                <c:pt idx="18">
                  <c:v>2033</c:v>
                </c:pt>
                <c:pt idx="19">
                  <c:v>2034</c:v>
                </c:pt>
                <c:pt idx="20">
                  <c:v>2035</c:v>
                </c:pt>
                <c:pt idx="21">
                  <c:v>2036</c:v>
                </c:pt>
                <c:pt idx="22">
                  <c:v>2037</c:v>
                </c:pt>
                <c:pt idx="23">
                  <c:v>2038</c:v>
                </c:pt>
                <c:pt idx="24">
                  <c:v>2039</c:v>
                </c:pt>
                <c:pt idx="25">
                  <c:v>2040</c:v>
                </c:pt>
                <c:pt idx="26">
                  <c:v>2041</c:v>
                </c:pt>
                <c:pt idx="27">
                  <c:v>2042</c:v>
                </c:pt>
                <c:pt idx="28">
                  <c:v>2043</c:v>
                </c:pt>
                <c:pt idx="29">
                  <c:v>2044</c:v>
                </c:pt>
                <c:pt idx="30">
                  <c:v>2045</c:v>
                </c:pt>
                <c:pt idx="31">
                  <c:v>2046</c:v>
                </c:pt>
                <c:pt idx="32">
                  <c:v>2047</c:v>
                </c:pt>
                <c:pt idx="33">
                  <c:v>2048</c:v>
                </c:pt>
                <c:pt idx="34">
                  <c:v>2049</c:v>
                </c:pt>
                <c:pt idx="35">
                  <c:v>2050</c:v>
                </c:pt>
              </c:numCache>
            </c:numRef>
          </c:cat>
          <c:val>
            <c:numRef>
              <c:f>'HIDDEN_Dashboard charts data'!$F$14:$AO$14</c:f>
              <c:numCache>
                <c:formatCode>_-* #,##0_-;\-* #,##0_-;_-* "-"??_-;_-@_-</c:formatCode>
                <c:ptCount val="36"/>
                <c:pt idx="0">
                  <c:v>0</c:v>
                </c:pt>
                <c:pt idx="1">
                  <c:v>0</c:v>
                </c:pt>
                <c:pt idx="2">
                  <c:v>0</c:v>
                </c:pt>
                <c:pt idx="3">
                  <c:v>0</c:v>
                </c:pt>
                <c:pt idx="4">
                  <c:v>0</c:v>
                </c:pt>
                <c:pt idx="5">
                  <c:v>0</c:v>
                </c:pt>
                <c:pt idx="6">
                  <c:v>0</c:v>
                </c:pt>
                <c:pt idx="7">
                  <c:v>0</c:v>
                </c:pt>
                <c:pt idx="8">
                  <c:v>0</c:v>
                </c:pt>
                <c:pt idx="9">
                  <c:v>0</c:v>
                </c:pt>
                <c:pt idx="10">
                  <c:v>0</c:v>
                </c:pt>
                <c:pt idx="11">
                  <c:v>36721.047178403751</c:v>
                </c:pt>
                <c:pt idx="12">
                  <c:v>48533.986256592048</c:v>
                </c:pt>
                <c:pt idx="13">
                  <c:v>257104.84869306919</c:v>
                </c:pt>
                <c:pt idx="14">
                  <c:v>346369.23177154525</c:v>
                </c:pt>
                <c:pt idx="15">
                  <c:v>414616.71220905276</c:v>
                </c:pt>
                <c:pt idx="16">
                  <c:v>494396.2757925138</c:v>
                </c:pt>
                <c:pt idx="17">
                  <c:v>556358.40716050798</c:v>
                </c:pt>
                <c:pt idx="18">
                  <c:v>585893.23558049998</c:v>
                </c:pt>
                <c:pt idx="19">
                  <c:v>596747.44038017699</c:v>
                </c:pt>
                <c:pt idx="20">
                  <c:v>676286.33797317103</c:v>
                </c:pt>
                <c:pt idx="21">
                  <c:v>766269.61078090395</c:v>
                </c:pt>
                <c:pt idx="22">
                  <c:v>857991.36035522062</c:v>
                </c:pt>
                <c:pt idx="23">
                  <c:v>951779.97660289682</c:v>
                </c:pt>
                <c:pt idx="24">
                  <c:v>1047711.1527556083</c:v>
                </c:pt>
                <c:pt idx="25">
                  <c:v>1166764.830812078</c:v>
                </c:pt>
                <c:pt idx="26">
                  <c:v>1270665.2804215217</c:v>
                </c:pt>
                <c:pt idx="27">
                  <c:v>1376746.4651028358</c:v>
                </c:pt>
                <c:pt idx="28">
                  <c:v>1485082.0863935691</c:v>
                </c:pt>
                <c:pt idx="29">
                  <c:v>1595745.9317211232</c:v>
                </c:pt>
                <c:pt idx="30">
                  <c:v>1700473.7220159336</c:v>
                </c:pt>
                <c:pt idx="31">
                  <c:v>1714425.4906089336</c:v>
                </c:pt>
                <c:pt idx="32">
                  <c:v>1728832.9327483317</c:v>
                </c:pt>
                <c:pt idx="33">
                  <c:v>1743695.931481661</c:v>
                </c:pt>
                <c:pt idx="34">
                  <c:v>1759014.151495178</c:v>
                </c:pt>
                <c:pt idx="35">
                  <c:v>1774787.0278835762</c:v>
                </c:pt>
              </c:numCache>
            </c:numRef>
          </c:val>
          <c:extLst xmlns:c16r2="http://schemas.microsoft.com/office/drawing/2015/06/chart">
            <c:ext xmlns:c16="http://schemas.microsoft.com/office/drawing/2014/chart" uri="{C3380CC4-5D6E-409C-BE32-E72D297353CC}">
              <c16:uniqueId val="{00000000-A5C8-374D-A9D8-0B628AFEF850}"/>
            </c:ext>
          </c:extLst>
        </c:ser>
        <c:ser>
          <c:idx val="1"/>
          <c:order val="1"/>
          <c:tx>
            <c:strRef>
              <c:f>'HIDDEN_Dashboard charts data'!$B$15:$C$15</c:f>
              <c:strCache>
                <c:ptCount val="1"/>
                <c:pt idx="0">
                  <c:v>Facilitate corporate Power Purchase Agreements</c:v>
                </c:pt>
              </c:strCache>
            </c:strRef>
          </c:tx>
          <c:spPr>
            <a:solidFill>
              <a:srgbClr val="00B0F0"/>
            </a:solidFill>
          </c:spPr>
          <c:cat>
            <c:numRef>
              <c:f>'HIDDEN_Dashboard charts data'!$F$13:$AO$13</c:f>
              <c:numCache>
                <c:formatCode>General</c:formatCode>
                <c:ptCount val="3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pt idx="16">
                  <c:v>2031</c:v>
                </c:pt>
                <c:pt idx="17">
                  <c:v>2032</c:v>
                </c:pt>
                <c:pt idx="18">
                  <c:v>2033</c:v>
                </c:pt>
                <c:pt idx="19">
                  <c:v>2034</c:v>
                </c:pt>
                <c:pt idx="20">
                  <c:v>2035</c:v>
                </c:pt>
                <c:pt idx="21">
                  <c:v>2036</c:v>
                </c:pt>
                <c:pt idx="22">
                  <c:v>2037</c:v>
                </c:pt>
                <c:pt idx="23">
                  <c:v>2038</c:v>
                </c:pt>
                <c:pt idx="24">
                  <c:v>2039</c:v>
                </c:pt>
                <c:pt idx="25">
                  <c:v>2040</c:v>
                </c:pt>
                <c:pt idx="26">
                  <c:v>2041</c:v>
                </c:pt>
                <c:pt idx="27">
                  <c:v>2042</c:v>
                </c:pt>
                <c:pt idx="28">
                  <c:v>2043</c:v>
                </c:pt>
                <c:pt idx="29">
                  <c:v>2044</c:v>
                </c:pt>
                <c:pt idx="30">
                  <c:v>2045</c:v>
                </c:pt>
                <c:pt idx="31">
                  <c:v>2046</c:v>
                </c:pt>
                <c:pt idx="32">
                  <c:v>2047</c:v>
                </c:pt>
                <c:pt idx="33">
                  <c:v>2048</c:v>
                </c:pt>
                <c:pt idx="34">
                  <c:v>2049</c:v>
                </c:pt>
                <c:pt idx="35">
                  <c:v>2050</c:v>
                </c:pt>
              </c:numCache>
            </c:numRef>
          </c:cat>
          <c:val>
            <c:numRef>
              <c:f>'HIDDEN_Dashboard charts data'!$F$15:$AO$15</c:f>
              <c:numCache>
                <c:formatCode>_-* #,##0_-;\-* #,##0_-;_-* "-"??_-;_-@_-</c:formatCode>
                <c:ptCount val="36"/>
                <c:pt idx="0">
                  <c:v>0</c:v>
                </c:pt>
                <c:pt idx="1">
                  <c:v>0</c:v>
                </c:pt>
                <c:pt idx="2">
                  <c:v>0</c:v>
                </c:pt>
                <c:pt idx="3">
                  <c:v>0</c:v>
                </c:pt>
                <c:pt idx="4">
                  <c:v>0</c:v>
                </c:pt>
                <c:pt idx="5">
                  <c:v>0</c:v>
                </c:pt>
                <c:pt idx="6">
                  <c:v>19567.058823529413</c:v>
                </c:pt>
                <c:pt idx="7">
                  <c:v>37736.470588235294</c:v>
                </c:pt>
                <c:pt idx="8">
                  <c:v>54508.235294117643</c:v>
                </c:pt>
                <c:pt idx="9">
                  <c:v>69882.352941176461</c:v>
                </c:pt>
                <c:pt idx="10">
                  <c:v>83858.823529411748</c:v>
                </c:pt>
                <c:pt idx="11">
                  <c:v>100630.5882352941</c:v>
                </c:pt>
                <c:pt idx="12">
                  <c:v>112434.66291440556</c:v>
                </c:pt>
                <c:pt idx="13">
                  <c:v>121000.24286284973</c:v>
                </c:pt>
                <c:pt idx="14">
                  <c:v>127704.53981128083</c:v>
                </c:pt>
                <c:pt idx="15">
                  <c:v>132634.43089350426</c:v>
                </c:pt>
                <c:pt idx="16">
                  <c:v>133132.44082708933</c:v>
                </c:pt>
                <c:pt idx="17">
                  <c:v>130085.45626089083</c:v>
                </c:pt>
                <c:pt idx="18">
                  <c:v>121526.88744112814</c:v>
                </c:pt>
                <c:pt idx="19">
                  <c:v>111598.47889385614</c:v>
                </c:pt>
                <c:pt idx="20">
                  <c:v>115350.45355492723</c:v>
                </c:pt>
                <c:pt idx="21">
                  <c:v>119465.75865692456</c:v>
                </c:pt>
                <c:pt idx="22">
                  <c:v>123545.267255271</c:v>
                </c:pt>
                <c:pt idx="23">
                  <c:v>127589.24473670403</c:v>
                </c:pt>
                <c:pt idx="24">
                  <c:v>131597.95387107611</c:v>
                </c:pt>
                <c:pt idx="25">
                  <c:v>136893.1262048074</c:v>
                </c:pt>
                <c:pt idx="26">
                  <c:v>141198.49495272819</c:v>
                </c:pt>
                <c:pt idx="27">
                  <c:v>145489.44474610171</c:v>
                </c:pt>
                <c:pt idx="28">
                  <c:v>149766.15443387334</c:v>
                </c:pt>
                <c:pt idx="29">
                  <c:v>154028.79991930682</c:v>
                </c:pt>
                <c:pt idx="30">
                  <c:v>157505.24343460356</c:v>
                </c:pt>
                <c:pt idx="31">
                  <c:v>161881.40266710165</c:v>
                </c:pt>
                <c:pt idx="32">
                  <c:v>166251.12303938443</c:v>
                </c:pt>
                <c:pt idx="33">
                  <c:v>170614.43855951645</c:v>
                </c:pt>
                <c:pt idx="34">
                  <c:v>174971.38299648973</c:v>
                </c:pt>
                <c:pt idx="35">
                  <c:v>179321.98988232075</c:v>
                </c:pt>
              </c:numCache>
            </c:numRef>
          </c:val>
          <c:extLst xmlns:c16r2="http://schemas.microsoft.com/office/drawing/2015/06/chart">
            <c:ext xmlns:c16="http://schemas.microsoft.com/office/drawing/2014/chart" uri="{C3380CC4-5D6E-409C-BE32-E72D297353CC}">
              <c16:uniqueId val="{00000001-A5C8-374D-A9D8-0B628AFEF850}"/>
            </c:ext>
          </c:extLst>
        </c:ser>
        <c:ser>
          <c:idx val="2"/>
          <c:order val="2"/>
          <c:tx>
            <c:strRef>
              <c:f>'HIDDEN_Dashboard charts data'!$B$16:$C$16</c:f>
              <c:strCache>
                <c:ptCount val="1"/>
                <c:pt idx="0">
                  <c:v>Facilitate residents uptake of renewable energy products</c:v>
                </c:pt>
              </c:strCache>
            </c:strRef>
          </c:tx>
          <c:spPr>
            <a:solidFill>
              <a:srgbClr val="0070C0"/>
            </a:solidFill>
          </c:spPr>
          <c:cat>
            <c:numRef>
              <c:f>'HIDDEN_Dashboard charts data'!$F$13:$AO$13</c:f>
              <c:numCache>
                <c:formatCode>General</c:formatCode>
                <c:ptCount val="3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pt idx="16">
                  <c:v>2031</c:v>
                </c:pt>
                <c:pt idx="17">
                  <c:v>2032</c:v>
                </c:pt>
                <c:pt idx="18">
                  <c:v>2033</c:v>
                </c:pt>
                <c:pt idx="19">
                  <c:v>2034</c:v>
                </c:pt>
                <c:pt idx="20">
                  <c:v>2035</c:v>
                </c:pt>
                <c:pt idx="21">
                  <c:v>2036</c:v>
                </c:pt>
                <c:pt idx="22">
                  <c:v>2037</c:v>
                </c:pt>
                <c:pt idx="23">
                  <c:v>2038</c:v>
                </c:pt>
                <c:pt idx="24">
                  <c:v>2039</c:v>
                </c:pt>
                <c:pt idx="25">
                  <c:v>2040</c:v>
                </c:pt>
                <c:pt idx="26">
                  <c:v>2041</c:v>
                </c:pt>
                <c:pt idx="27">
                  <c:v>2042</c:v>
                </c:pt>
                <c:pt idx="28">
                  <c:v>2043</c:v>
                </c:pt>
                <c:pt idx="29">
                  <c:v>2044</c:v>
                </c:pt>
                <c:pt idx="30">
                  <c:v>2045</c:v>
                </c:pt>
                <c:pt idx="31">
                  <c:v>2046</c:v>
                </c:pt>
                <c:pt idx="32">
                  <c:v>2047</c:v>
                </c:pt>
                <c:pt idx="33">
                  <c:v>2048</c:v>
                </c:pt>
                <c:pt idx="34">
                  <c:v>2049</c:v>
                </c:pt>
                <c:pt idx="35">
                  <c:v>2050</c:v>
                </c:pt>
              </c:numCache>
            </c:numRef>
          </c:cat>
          <c:val>
            <c:numRef>
              <c:f>'HIDDEN_Dashboard charts data'!$F$16:$AO$16</c:f>
              <c:numCache>
                <c:formatCode>_-* #,##0_-;\-* #,##0_-;_-* "-"??_-;_-@_-</c:formatCode>
                <c:ptCount val="36"/>
                <c:pt idx="0">
                  <c:v>0</c:v>
                </c:pt>
                <c:pt idx="1">
                  <c:v>0</c:v>
                </c:pt>
                <c:pt idx="2">
                  <c:v>0</c:v>
                </c:pt>
                <c:pt idx="3">
                  <c:v>0</c:v>
                </c:pt>
                <c:pt idx="4">
                  <c:v>0</c:v>
                </c:pt>
                <c:pt idx="5">
                  <c:v>0</c:v>
                </c:pt>
                <c:pt idx="6">
                  <c:v>1053.9529411764704</c:v>
                </c:pt>
                <c:pt idx="7">
                  <c:v>2032.6235294117646</c:v>
                </c:pt>
                <c:pt idx="8">
                  <c:v>2936.0117647058819</c:v>
                </c:pt>
                <c:pt idx="9">
                  <c:v>3764.117647058823</c:v>
                </c:pt>
                <c:pt idx="10">
                  <c:v>4516.9411764705874</c:v>
                </c:pt>
                <c:pt idx="11">
                  <c:v>5420.3294117647047</c:v>
                </c:pt>
                <c:pt idx="12">
                  <c:v>6056.139797889572</c:v>
                </c:pt>
                <c:pt idx="13">
                  <c:v>6517.5130814762233</c:v>
                </c:pt>
                <c:pt idx="14">
                  <c:v>6878.6308943803542</c:v>
                </c:pt>
                <c:pt idx="15">
                  <c:v>7144.17275494557</c:v>
                </c:pt>
                <c:pt idx="16">
                  <c:v>7170.9973809136754</c:v>
                </c:pt>
                <c:pt idx="17">
                  <c:v>7006.8757122343468</c:v>
                </c:pt>
                <c:pt idx="18">
                  <c:v>6545.8800735334935</c:v>
                </c:pt>
                <c:pt idx="19">
                  <c:v>6011.0998858736148</c:v>
                </c:pt>
                <c:pt idx="20">
                  <c:v>6213.1948846631249</c:v>
                </c:pt>
                <c:pt idx="21">
                  <c:v>6434.8601822025275</c:v>
                </c:pt>
                <c:pt idx="22">
                  <c:v>6654.5973498861877</c:v>
                </c:pt>
                <c:pt idx="23">
                  <c:v>6872.4206824088305</c:v>
                </c:pt>
                <c:pt idx="24">
                  <c:v>7088.3443335102356</c:v>
                </c:pt>
                <c:pt idx="25">
                  <c:v>7373.5615705771252</c:v>
                </c:pt>
                <c:pt idx="26">
                  <c:v>7605.4643872264951</c:v>
                </c:pt>
                <c:pt idx="27">
                  <c:v>7836.590546551387</c:v>
                </c:pt>
                <c:pt idx="28">
                  <c:v>8066.9496820063596</c:v>
                </c:pt>
                <c:pt idx="29">
                  <c:v>8296.5512683808447</c:v>
                </c:pt>
                <c:pt idx="30">
                  <c:v>8483.8051577275091</c:v>
                </c:pt>
                <c:pt idx="31">
                  <c:v>8719.5210072961563</c:v>
                </c:pt>
                <c:pt idx="32">
                  <c:v>8954.8900364395704</c:v>
                </c:pt>
                <c:pt idx="33">
                  <c:v>9189.9140769557725</c:v>
                </c:pt>
                <c:pt idx="34">
                  <c:v>9424.5949477654685</c:v>
                </c:pt>
                <c:pt idx="35">
                  <c:v>9658.9344550250025</c:v>
                </c:pt>
              </c:numCache>
            </c:numRef>
          </c:val>
          <c:extLst xmlns:c16r2="http://schemas.microsoft.com/office/drawing/2015/06/chart">
            <c:ext xmlns:c16="http://schemas.microsoft.com/office/drawing/2014/chart" uri="{C3380CC4-5D6E-409C-BE32-E72D297353CC}">
              <c16:uniqueId val="{00000002-A5C8-374D-A9D8-0B628AFEF850}"/>
            </c:ext>
          </c:extLst>
        </c:ser>
        <c:ser>
          <c:idx val="3"/>
          <c:order val="3"/>
          <c:tx>
            <c:strRef>
              <c:f>'HIDDEN_Dashboard charts data'!$B$17:$C$17</c:f>
              <c:strCache>
                <c:ptCount val="1"/>
                <c:pt idx="0">
                  <c:v>Incentivise innovative renewable energy technologies</c:v>
                </c:pt>
              </c:strCache>
            </c:strRef>
          </c:tx>
          <c:spPr>
            <a:solidFill>
              <a:srgbClr val="0070C0"/>
            </a:solidFill>
          </c:spPr>
          <c:cat>
            <c:numRef>
              <c:f>'HIDDEN_Dashboard charts data'!$F$13:$AO$13</c:f>
              <c:numCache>
                <c:formatCode>General</c:formatCode>
                <c:ptCount val="3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pt idx="16">
                  <c:v>2031</c:v>
                </c:pt>
                <c:pt idx="17">
                  <c:v>2032</c:v>
                </c:pt>
                <c:pt idx="18">
                  <c:v>2033</c:v>
                </c:pt>
                <c:pt idx="19">
                  <c:v>2034</c:v>
                </c:pt>
                <c:pt idx="20">
                  <c:v>2035</c:v>
                </c:pt>
                <c:pt idx="21">
                  <c:v>2036</c:v>
                </c:pt>
                <c:pt idx="22">
                  <c:v>2037</c:v>
                </c:pt>
                <c:pt idx="23">
                  <c:v>2038</c:v>
                </c:pt>
                <c:pt idx="24">
                  <c:v>2039</c:v>
                </c:pt>
                <c:pt idx="25">
                  <c:v>2040</c:v>
                </c:pt>
                <c:pt idx="26">
                  <c:v>2041</c:v>
                </c:pt>
                <c:pt idx="27">
                  <c:v>2042</c:v>
                </c:pt>
                <c:pt idx="28">
                  <c:v>2043</c:v>
                </c:pt>
                <c:pt idx="29">
                  <c:v>2044</c:v>
                </c:pt>
                <c:pt idx="30">
                  <c:v>2045</c:v>
                </c:pt>
                <c:pt idx="31">
                  <c:v>2046</c:v>
                </c:pt>
                <c:pt idx="32">
                  <c:v>2047</c:v>
                </c:pt>
                <c:pt idx="33">
                  <c:v>2048</c:v>
                </c:pt>
                <c:pt idx="34">
                  <c:v>2049</c:v>
                </c:pt>
                <c:pt idx="35">
                  <c:v>2050</c:v>
                </c:pt>
              </c:numCache>
            </c:numRef>
          </c:cat>
          <c:val>
            <c:numRef>
              <c:f>'HIDDEN_Dashboard charts data'!$F$17:$AO$17</c:f>
              <c:numCache>
                <c:formatCode>_-* #,##0_-;\-* #,##0_-;_-* "-"??_-;_-@_-</c:formatCode>
                <c:ptCount val="36"/>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numCache>
            </c:numRef>
          </c:val>
          <c:extLst xmlns:c16r2="http://schemas.microsoft.com/office/drawing/2015/06/chart">
            <c:ext xmlns:c16="http://schemas.microsoft.com/office/drawing/2014/chart" uri="{C3380CC4-5D6E-409C-BE32-E72D297353CC}">
              <c16:uniqueId val="{00000003-A5C8-374D-A9D8-0B628AFEF850}"/>
            </c:ext>
          </c:extLst>
        </c:ser>
        <c:dLbls>
          <c:showLegendKey val="0"/>
          <c:showVal val="0"/>
          <c:showCatName val="0"/>
          <c:showSerName val="0"/>
          <c:showPercent val="0"/>
          <c:showBubbleSize val="0"/>
        </c:dLbls>
        <c:axId val="409707264"/>
        <c:axId val="409708800"/>
      </c:areaChart>
      <c:catAx>
        <c:axId val="409707264"/>
        <c:scaling>
          <c:orientation val="minMax"/>
        </c:scaling>
        <c:delete val="0"/>
        <c:axPos val="b"/>
        <c:numFmt formatCode="General" sourceLinked="1"/>
        <c:majorTickMark val="out"/>
        <c:minorTickMark val="none"/>
        <c:tickLblPos val="nextTo"/>
        <c:txPr>
          <a:bodyPr rot="-60000000" vert="horz"/>
          <a:lstStyle/>
          <a:p>
            <a:pPr>
              <a:defRPr/>
            </a:pPr>
            <a:endParaRPr lang="en-US"/>
          </a:p>
        </c:txPr>
        <c:crossAx val="409708800"/>
        <c:crosses val="autoZero"/>
        <c:auto val="1"/>
        <c:lblAlgn val="ctr"/>
        <c:lblOffset val="100"/>
        <c:tickLblSkip val="5"/>
        <c:noMultiLvlLbl val="0"/>
      </c:catAx>
      <c:valAx>
        <c:axId val="409708800"/>
        <c:scaling>
          <c:orientation val="minMax"/>
        </c:scaling>
        <c:delete val="0"/>
        <c:axPos val="l"/>
        <c:majorGridlines/>
        <c:title>
          <c:tx>
            <c:rich>
              <a:bodyPr rot="-5400000" vert="horz"/>
              <a:lstStyle/>
              <a:p>
                <a:pPr>
                  <a:defRPr b="0"/>
                </a:pPr>
                <a:r>
                  <a:rPr lang="en-AU" b="0"/>
                  <a:t>Emissions (tCO</a:t>
                </a:r>
                <a:r>
                  <a:rPr lang="en-US" sz="900" b="0" i="0" u="none" strike="noStrike" baseline="-25000">
                    <a:effectLst/>
                  </a:rPr>
                  <a:t>2</a:t>
                </a:r>
                <a:r>
                  <a:rPr lang="en-AU" b="0"/>
                  <a:t>-e)</a:t>
                </a:r>
              </a:p>
            </c:rich>
          </c:tx>
          <c:layout>
            <c:manualLayout>
              <c:xMode val="edge"/>
              <c:yMode val="edge"/>
              <c:x val="6.7629424890925591E-3"/>
              <c:y val="0.17448272090988626"/>
            </c:manualLayout>
          </c:layout>
          <c:overlay val="0"/>
        </c:title>
        <c:numFmt formatCode="#,##0" sourceLinked="0"/>
        <c:majorTickMark val="none"/>
        <c:minorTickMark val="none"/>
        <c:tickLblPos val="nextTo"/>
        <c:txPr>
          <a:bodyPr rot="-60000000" vert="horz"/>
          <a:lstStyle/>
          <a:p>
            <a:pPr>
              <a:defRPr/>
            </a:pPr>
            <a:endParaRPr lang="en-US"/>
          </a:p>
        </c:txPr>
        <c:crossAx val="409707264"/>
        <c:crosses val="autoZero"/>
        <c:crossBetween val="midCat"/>
      </c:valAx>
      <c:spPr>
        <a:noFill/>
        <a:ln w="25400">
          <a:noFill/>
        </a:ln>
      </c:spPr>
    </c:plotArea>
    <c:legend>
      <c:legendPos val="r"/>
      <c:legendEntry>
        <c:idx val="0"/>
        <c:delete val="1"/>
      </c:legendEntry>
      <c:overlay val="0"/>
      <c:txPr>
        <a:bodyPr rot="0" vert="horz"/>
        <a:lstStyle/>
        <a:p>
          <a:pPr>
            <a:defRPr/>
          </a:pPr>
          <a:endParaRPr lang="en-US"/>
        </a:p>
      </c:txPr>
    </c:legend>
    <c:plotVisOnly val="1"/>
    <c:dispBlanksAs val="zero"/>
    <c:showDLblsOverMax val="0"/>
  </c:chart>
  <c:spPr>
    <a:ln>
      <a:noFill/>
    </a:ln>
  </c:spPr>
  <c:txPr>
    <a:bodyPr/>
    <a:lstStyle/>
    <a:p>
      <a:pPr>
        <a:defRPr sz="900"/>
      </a:pPr>
      <a:endParaRPr lang="en-US"/>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5355178865889535"/>
          <c:y val="8.390603118073138E-2"/>
          <c:w val="0.49508794889021662"/>
          <c:h val="0.79685914260717405"/>
        </c:manualLayout>
      </c:layout>
      <c:areaChart>
        <c:grouping val="stacked"/>
        <c:varyColors val="0"/>
        <c:ser>
          <c:idx val="0"/>
          <c:order val="0"/>
          <c:tx>
            <c:strRef>
              <c:f>'HIDDEN_Dashboard charts data'!$B$14:$C$14</c:f>
              <c:strCache>
                <c:ptCount val="1"/>
                <c:pt idx="0">
                  <c:v>Advocate for a more ambitious VRET</c:v>
                </c:pt>
              </c:strCache>
            </c:strRef>
          </c:tx>
          <c:spPr>
            <a:solidFill>
              <a:schemeClr val="accent5">
                <a:lumMod val="20000"/>
                <a:lumOff val="80000"/>
              </a:schemeClr>
            </a:solidFill>
            <a:ln w="25400">
              <a:noFill/>
            </a:ln>
            <a:effectLst/>
          </c:spPr>
          <c:cat>
            <c:numRef>
              <c:f>'HIDDEN_Dashboard charts data'!$F$13:$AO$13</c:f>
              <c:numCache>
                <c:formatCode>General</c:formatCode>
                <c:ptCount val="3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pt idx="16">
                  <c:v>2031</c:v>
                </c:pt>
                <c:pt idx="17">
                  <c:v>2032</c:v>
                </c:pt>
                <c:pt idx="18">
                  <c:v>2033</c:v>
                </c:pt>
                <c:pt idx="19">
                  <c:v>2034</c:v>
                </c:pt>
                <c:pt idx="20">
                  <c:v>2035</c:v>
                </c:pt>
                <c:pt idx="21">
                  <c:v>2036</c:v>
                </c:pt>
                <c:pt idx="22">
                  <c:v>2037</c:v>
                </c:pt>
                <c:pt idx="23">
                  <c:v>2038</c:v>
                </c:pt>
                <c:pt idx="24">
                  <c:v>2039</c:v>
                </c:pt>
                <c:pt idx="25">
                  <c:v>2040</c:v>
                </c:pt>
                <c:pt idx="26">
                  <c:v>2041</c:v>
                </c:pt>
                <c:pt idx="27">
                  <c:v>2042</c:v>
                </c:pt>
                <c:pt idx="28">
                  <c:v>2043</c:v>
                </c:pt>
                <c:pt idx="29">
                  <c:v>2044</c:v>
                </c:pt>
                <c:pt idx="30">
                  <c:v>2045</c:v>
                </c:pt>
                <c:pt idx="31">
                  <c:v>2046</c:v>
                </c:pt>
                <c:pt idx="32">
                  <c:v>2047</c:v>
                </c:pt>
                <c:pt idx="33">
                  <c:v>2048</c:v>
                </c:pt>
                <c:pt idx="34">
                  <c:v>2049</c:v>
                </c:pt>
                <c:pt idx="35">
                  <c:v>2050</c:v>
                </c:pt>
              </c:numCache>
            </c:numRef>
          </c:cat>
          <c:val>
            <c:numRef>
              <c:f>'HIDDEN_Dashboard charts data'!$F$14:$AO$14</c:f>
              <c:numCache>
                <c:formatCode>_-* #,##0_-;\-* #,##0_-;_-* "-"??_-;_-@_-</c:formatCode>
                <c:ptCount val="36"/>
                <c:pt idx="0">
                  <c:v>0</c:v>
                </c:pt>
                <c:pt idx="1">
                  <c:v>0</c:v>
                </c:pt>
                <c:pt idx="2">
                  <c:v>0</c:v>
                </c:pt>
                <c:pt idx="3">
                  <c:v>0</c:v>
                </c:pt>
                <c:pt idx="4">
                  <c:v>0</c:v>
                </c:pt>
                <c:pt idx="5">
                  <c:v>0</c:v>
                </c:pt>
                <c:pt idx="6">
                  <c:v>0</c:v>
                </c:pt>
                <c:pt idx="7">
                  <c:v>0</c:v>
                </c:pt>
                <c:pt idx="8">
                  <c:v>0</c:v>
                </c:pt>
                <c:pt idx="9">
                  <c:v>0</c:v>
                </c:pt>
                <c:pt idx="10">
                  <c:v>0</c:v>
                </c:pt>
                <c:pt idx="11">
                  <c:v>0</c:v>
                </c:pt>
                <c:pt idx="12">
                  <c:v>25979.014310168743</c:v>
                </c:pt>
                <c:pt idx="13">
                  <c:v>262104.63741962175</c:v>
                </c:pt>
                <c:pt idx="14">
                  <c:v>381025.34033629799</c:v>
                </c:pt>
                <c:pt idx="15">
                  <c:v>478116.39104168635</c:v>
                </c:pt>
                <c:pt idx="16">
                  <c:v>591671.69227869238</c:v>
                </c:pt>
                <c:pt idx="17">
                  <c:v>682827.00646907918</c:v>
                </c:pt>
                <c:pt idx="18">
                  <c:v>732403.36356514343</c:v>
                </c:pt>
                <c:pt idx="19">
                  <c:v>756488.50944046816</c:v>
                </c:pt>
                <c:pt idx="20">
                  <c:v>866924.85812987806</c:v>
                </c:pt>
                <c:pt idx="21">
                  <c:v>987192.02847905166</c:v>
                </c:pt>
                <c:pt idx="22">
                  <c:v>1109840.2332857342</c:v>
                </c:pt>
                <c:pt idx="23">
                  <c:v>1235323.9081047294</c:v>
                </c:pt>
                <c:pt idx="24">
                  <c:v>1363745.8715699445</c:v>
                </c:pt>
                <c:pt idx="25">
                  <c:v>1509784.194193095</c:v>
                </c:pt>
                <c:pt idx="26">
                  <c:v>1515299.4747616195</c:v>
                </c:pt>
                <c:pt idx="27">
                  <c:v>1521280.2807704266</c:v>
                </c:pt>
                <c:pt idx="28">
                  <c:v>1527725.9856450032</c:v>
                </c:pt>
                <c:pt idx="29">
                  <c:v>1534635.8197768866</c:v>
                </c:pt>
                <c:pt idx="30">
                  <c:v>1534484.6734236008</c:v>
                </c:pt>
                <c:pt idx="31">
                  <c:v>1543824.5669345357</c:v>
                </c:pt>
                <c:pt idx="32">
                  <c:v>1553626.9196725078</c:v>
                </c:pt>
                <c:pt idx="33">
                  <c:v>1563891.578845189</c:v>
                </c:pt>
                <c:pt idx="34">
                  <c:v>1574618.1735509227</c:v>
                </c:pt>
                <c:pt idx="35">
                  <c:v>1585806.1035462304</c:v>
                </c:pt>
              </c:numCache>
            </c:numRef>
          </c:val>
          <c:extLst xmlns:c16r2="http://schemas.microsoft.com/office/drawing/2015/06/chart">
            <c:ext xmlns:c16="http://schemas.microsoft.com/office/drawing/2014/chart" uri="{C3380CC4-5D6E-409C-BE32-E72D297353CC}">
              <c16:uniqueId val="{00000000-EF31-0642-BA72-C83B01092FED}"/>
            </c:ext>
          </c:extLst>
        </c:ser>
        <c:ser>
          <c:idx val="1"/>
          <c:order val="1"/>
          <c:tx>
            <c:strRef>
              <c:f>'HIDDEN_Dashboard charts data'!$B$15:$C$15</c:f>
              <c:strCache>
                <c:ptCount val="1"/>
                <c:pt idx="0">
                  <c:v>Facilitate corporate Power Purchase Agreements</c:v>
                </c:pt>
              </c:strCache>
            </c:strRef>
          </c:tx>
          <c:spPr>
            <a:solidFill>
              <a:srgbClr val="00B0F0"/>
            </a:solidFill>
            <a:ln w="25400">
              <a:noFill/>
            </a:ln>
            <a:effectLst/>
          </c:spPr>
          <c:cat>
            <c:numRef>
              <c:f>'HIDDEN_Dashboard charts data'!$F$13:$AO$13</c:f>
              <c:numCache>
                <c:formatCode>General</c:formatCode>
                <c:ptCount val="3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pt idx="16">
                  <c:v>2031</c:v>
                </c:pt>
                <c:pt idx="17">
                  <c:v>2032</c:v>
                </c:pt>
                <c:pt idx="18">
                  <c:v>2033</c:v>
                </c:pt>
                <c:pt idx="19">
                  <c:v>2034</c:v>
                </c:pt>
                <c:pt idx="20">
                  <c:v>2035</c:v>
                </c:pt>
                <c:pt idx="21">
                  <c:v>2036</c:v>
                </c:pt>
                <c:pt idx="22">
                  <c:v>2037</c:v>
                </c:pt>
                <c:pt idx="23">
                  <c:v>2038</c:v>
                </c:pt>
                <c:pt idx="24">
                  <c:v>2039</c:v>
                </c:pt>
                <c:pt idx="25">
                  <c:v>2040</c:v>
                </c:pt>
                <c:pt idx="26">
                  <c:v>2041</c:v>
                </c:pt>
                <c:pt idx="27">
                  <c:v>2042</c:v>
                </c:pt>
                <c:pt idx="28">
                  <c:v>2043</c:v>
                </c:pt>
                <c:pt idx="29">
                  <c:v>2044</c:v>
                </c:pt>
                <c:pt idx="30">
                  <c:v>2045</c:v>
                </c:pt>
                <c:pt idx="31">
                  <c:v>2046</c:v>
                </c:pt>
                <c:pt idx="32">
                  <c:v>2047</c:v>
                </c:pt>
                <c:pt idx="33">
                  <c:v>2048</c:v>
                </c:pt>
                <c:pt idx="34">
                  <c:v>2049</c:v>
                </c:pt>
                <c:pt idx="35">
                  <c:v>2050</c:v>
                </c:pt>
              </c:numCache>
            </c:numRef>
          </c:cat>
          <c:val>
            <c:numRef>
              <c:f>'HIDDEN_Dashboard charts data'!$F$15:$AO$15</c:f>
              <c:numCache>
                <c:formatCode>_-* #,##0_-;\-* #,##0_-;_-* "-"??_-;_-@_-</c:formatCode>
                <c:ptCount val="36"/>
                <c:pt idx="0">
                  <c:v>0</c:v>
                </c:pt>
                <c:pt idx="1">
                  <c:v>0</c:v>
                </c:pt>
                <c:pt idx="2">
                  <c:v>0</c:v>
                </c:pt>
                <c:pt idx="3">
                  <c:v>0</c:v>
                </c:pt>
                <c:pt idx="4">
                  <c:v>0</c:v>
                </c:pt>
                <c:pt idx="5">
                  <c:v>0</c:v>
                </c:pt>
                <c:pt idx="6">
                  <c:v>39134.117647058825</c:v>
                </c:pt>
                <c:pt idx="7">
                  <c:v>75472.941176470587</c:v>
                </c:pt>
                <c:pt idx="8">
                  <c:v>109016.47058823529</c:v>
                </c:pt>
                <c:pt idx="9">
                  <c:v>139764.70588235292</c:v>
                </c:pt>
                <c:pt idx="10">
                  <c:v>167717.6470588235</c:v>
                </c:pt>
                <c:pt idx="11">
                  <c:v>201261.17647058819</c:v>
                </c:pt>
                <c:pt idx="12">
                  <c:v>224869.32582881112</c:v>
                </c:pt>
                <c:pt idx="13">
                  <c:v>242000.48572569946</c:v>
                </c:pt>
                <c:pt idx="14">
                  <c:v>255409.07962256167</c:v>
                </c:pt>
                <c:pt idx="15">
                  <c:v>265268.86178700853</c:v>
                </c:pt>
                <c:pt idx="16">
                  <c:v>266264.88165417867</c:v>
                </c:pt>
                <c:pt idx="17">
                  <c:v>260170.91252178166</c:v>
                </c:pt>
                <c:pt idx="18">
                  <c:v>243053.77488225629</c:v>
                </c:pt>
                <c:pt idx="19">
                  <c:v>223196.95778771228</c:v>
                </c:pt>
                <c:pt idx="20">
                  <c:v>230700.90710985445</c:v>
                </c:pt>
                <c:pt idx="21">
                  <c:v>238931.51731384912</c:v>
                </c:pt>
                <c:pt idx="22">
                  <c:v>247090.534510542</c:v>
                </c:pt>
                <c:pt idx="23">
                  <c:v>255178.48947340806</c:v>
                </c:pt>
                <c:pt idx="24">
                  <c:v>263195.90774215222</c:v>
                </c:pt>
                <c:pt idx="25">
                  <c:v>273786.2524096148</c:v>
                </c:pt>
                <c:pt idx="26">
                  <c:v>282396.98990545637</c:v>
                </c:pt>
                <c:pt idx="27">
                  <c:v>290978.88949220342</c:v>
                </c:pt>
                <c:pt idx="28">
                  <c:v>299532.30886774667</c:v>
                </c:pt>
                <c:pt idx="29">
                  <c:v>308057.59983861365</c:v>
                </c:pt>
                <c:pt idx="30">
                  <c:v>315010.48686920712</c:v>
                </c:pt>
                <c:pt idx="31">
                  <c:v>323762.80533420329</c:v>
                </c:pt>
                <c:pt idx="32">
                  <c:v>332502.24607876886</c:v>
                </c:pt>
                <c:pt idx="33">
                  <c:v>341228.8771190329</c:v>
                </c:pt>
                <c:pt idx="34">
                  <c:v>349942.76599297946</c:v>
                </c:pt>
                <c:pt idx="35">
                  <c:v>358643.9797646415</c:v>
                </c:pt>
              </c:numCache>
            </c:numRef>
          </c:val>
          <c:extLst xmlns:c16r2="http://schemas.microsoft.com/office/drawing/2015/06/chart">
            <c:ext xmlns:c16="http://schemas.microsoft.com/office/drawing/2014/chart" uri="{C3380CC4-5D6E-409C-BE32-E72D297353CC}">
              <c16:uniqueId val="{00000001-EF31-0642-BA72-C83B01092FED}"/>
            </c:ext>
          </c:extLst>
        </c:ser>
        <c:ser>
          <c:idx val="2"/>
          <c:order val="2"/>
          <c:tx>
            <c:strRef>
              <c:f>'HIDDEN_Dashboard charts data'!$B$16:$C$16</c:f>
              <c:strCache>
                <c:ptCount val="1"/>
                <c:pt idx="0">
                  <c:v>Facilitate residents uptake of renewable energy products</c:v>
                </c:pt>
              </c:strCache>
            </c:strRef>
          </c:tx>
          <c:spPr>
            <a:solidFill>
              <a:srgbClr val="0070C0"/>
            </a:solidFill>
            <a:ln w="25400">
              <a:noFill/>
            </a:ln>
            <a:effectLst/>
          </c:spPr>
          <c:cat>
            <c:numRef>
              <c:f>'HIDDEN_Dashboard charts data'!$F$13:$AO$13</c:f>
              <c:numCache>
                <c:formatCode>General</c:formatCode>
                <c:ptCount val="3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pt idx="16">
                  <c:v>2031</c:v>
                </c:pt>
                <c:pt idx="17">
                  <c:v>2032</c:v>
                </c:pt>
                <c:pt idx="18">
                  <c:v>2033</c:v>
                </c:pt>
                <c:pt idx="19">
                  <c:v>2034</c:v>
                </c:pt>
                <c:pt idx="20">
                  <c:v>2035</c:v>
                </c:pt>
                <c:pt idx="21">
                  <c:v>2036</c:v>
                </c:pt>
                <c:pt idx="22">
                  <c:v>2037</c:v>
                </c:pt>
                <c:pt idx="23">
                  <c:v>2038</c:v>
                </c:pt>
                <c:pt idx="24">
                  <c:v>2039</c:v>
                </c:pt>
                <c:pt idx="25">
                  <c:v>2040</c:v>
                </c:pt>
                <c:pt idx="26">
                  <c:v>2041</c:v>
                </c:pt>
                <c:pt idx="27">
                  <c:v>2042</c:v>
                </c:pt>
                <c:pt idx="28">
                  <c:v>2043</c:v>
                </c:pt>
                <c:pt idx="29">
                  <c:v>2044</c:v>
                </c:pt>
                <c:pt idx="30">
                  <c:v>2045</c:v>
                </c:pt>
                <c:pt idx="31">
                  <c:v>2046</c:v>
                </c:pt>
                <c:pt idx="32">
                  <c:v>2047</c:v>
                </c:pt>
                <c:pt idx="33">
                  <c:v>2048</c:v>
                </c:pt>
                <c:pt idx="34">
                  <c:v>2049</c:v>
                </c:pt>
                <c:pt idx="35">
                  <c:v>2050</c:v>
                </c:pt>
              </c:numCache>
            </c:numRef>
          </c:cat>
          <c:val>
            <c:numRef>
              <c:f>'HIDDEN_Dashboard charts data'!$F$16:$AO$16</c:f>
              <c:numCache>
                <c:formatCode>_-* #,##0_-;\-* #,##0_-;_-* "-"??_-;_-@_-</c:formatCode>
                <c:ptCount val="36"/>
                <c:pt idx="0">
                  <c:v>0</c:v>
                </c:pt>
                <c:pt idx="1">
                  <c:v>0</c:v>
                </c:pt>
                <c:pt idx="2">
                  <c:v>0</c:v>
                </c:pt>
                <c:pt idx="3">
                  <c:v>0</c:v>
                </c:pt>
                <c:pt idx="4">
                  <c:v>0</c:v>
                </c:pt>
                <c:pt idx="5">
                  <c:v>0</c:v>
                </c:pt>
                <c:pt idx="6">
                  <c:v>2810.6817035294107</c:v>
                </c:pt>
                <c:pt idx="7">
                  <c:v>4742.9237435294117</c:v>
                </c:pt>
                <c:pt idx="8">
                  <c:v>6524.6010776470566</c:v>
                </c:pt>
                <c:pt idx="9">
                  <c:v>8155.71370588235</c:v>
                </c:pt>
                <c:pt idx="10">
                  <c:v>9636.2616282352919</c:v>
                </c:pt>
                <c:pt idx="11">
                  <c:v>11443.038098823525</c:v>
                </c:pt>
                <c:pt idx="12">
                  <c:v>12689.170169669538</c:v>
                </c:pt>
                <c:pt idx="13">
                  <c:v>13578.260878293489</c:v>
                </c:pt>
                <c:pt idx="14">
                  <c:v>14266.891908802132</c:v>
                </c:pt>
                <c:pt idx="15">
                  <c:v>14288.34550989114</c:v>
                </c:pt>
                <c:pt idx="16">
                  <c:v>14341.994761827351</c:v>
                </c:pt>
                <c:pt idx="17">
                  <c:v>14013.751424468694</c:v>
                </c:pt>
                <c:pt idx="18">
                  <c:v>13091.760147066987</c:v>
                </c:pt>
                <c:pt idx="19">
                  <c:v>12022.19977174723</c:v>
                </c:pt>
                <c:pt idx="20">
                  <c:v>12426.38976932625</c:v>
                </c:pt>
                <c:pt idx="21">
                  <c:v>12869.720364405055</c:v>
                </c:pt>
                <c:pt idx="22">
                  <c:v>13309.194699772375</c:v>
                </c:pt>
                <c:pt idx="23">
                  <c:v>13744.841364817661</c:v>
                </c:pt>
                <c:pt idx="24">
                  <c:v>14176.688667020471</c:v>
                </c:pt>
                <c:pt idx="25">
                  <c:v>14747.12314115425</c:v>
                </c:pt>
                <c:pt idx="26">
                  <c:v>15210.92877445299</c:v>
                </c:pt>
                <c:pt idx="27">
                  <c:v>15673.181093102774</c:v>
                </c:pt>
                <c:pt idx="28">
                  <c:v>16133.899364012719</c:v>
                </c:pt>
                <c:pt idx="29">
                  <c:v>16593.102536761689</c:v>
                </c:pt>
                <c:pt idx="30">
                  <c:v>16967.610315455018</c:v>
                </c:pt>
                <c:pt idx="31">
                  <c:v>17439.042014592313</c:v>
                </c:pt>
                <c:pt idx="32">
                  <c:v>17909.780072879141</c:v>
                </c:pt>
                <c:pt idx="33">
                  <c:v>18379.828153911545</c:v>
                </c:pt>
                <c:pt idx="34">
                  <c:v>18849.189895530937</c:v>
                </c:pt>
                <c:pt idx="35">
                  <c:v>19317.868910050005</c:v>
                </c:pt>
              </c:numCache>
            </c:numRef>
          </c:val>
          <c:extLst xmlns:c16r2="http://schemas.microsoft.com/office/drawing/2015/06/chart">
            <c:ext xmlns:c16="http://schemas.microsoft.com/office/drawing/2014/chart" uri="{C3380CC4-5D6E-409C-BE32-E72D297353CC}">
              <c16:uniqueId val="{00000002-EF31-0642-BA72-C83B01092FED}"/>
            </c:ext>
          </c:extLst>
        </c:ser>
        <c:ser>
          <c:idx val="3"/>
          <c:order val="3"/>
          <c:tx>
            <c:strRef>
              <c:f>'HIDDEN_Dashboard charts data'!$B$17:$C$17</c:f>
              <c:strCache>
                <c:ptCount val="1"/>
                <c:pt idx="0">
                  <c:v>Incentivise innovative renewable energy technologies</c:v>
                </c:pt>
              </c:strCache>
            </c:strRef>
          </c:tx>
          <c:spPr>
            <a:solidFill>
              <a:srgbClr val="0070C0"/>
            </a:solidFill>
            <a:ln w="25400">
              <a:noFill/>
            </a:ln>
            <a:effectLst/>
          </c:spPr>
          <c:cat>
            <c:numRef>
              <c:f>'HIDDEN_Dashboard charts data'!$F$13:$AO$13</c:f>
              <c:numCache>
                <c:formatCode>General</c:formatCode>
                <c:ptCount val="3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pt idx="16">
                  <c:v>2031</c:v>
                </c:pt>
                <c:pt idx="17">
                  <c:v>2032</c:v>
                </c:pt>
                <c:pt idx="18">
                  <c:v>2033</c:v>
                </c:pt>
                <c:pt idx="19">
                  <c:v>2034</c:v>
                </c:pt>
                <c:pt idx="20">
                  <c:v>2035</c:v>
                </c:pt>
                <c:pt idx="21">
                  <c:v>2036</c:v>
                </c:pt>
                <c:pt idx="22">
                  <c:v>2037</c:v>
                </c:pt>
                <c:pt idx="23">
                  <c:v>2038</c:v>
                </c:pt>
                <c:pt idx="24">
                  <c:v>2039</c:v>
                </c:pt>
                <c:pt idx="25">
                  <c:v>2040</c:v>
                </c:pt>
                <c:pt idx="26">
                  <c:v>2041</c:v>
                </c:pt>
                <c:pt idx="27">
                  <c:v>2042</c:v>
                </c:pt>
                <c:pt idx="28">
                  <c:v>2043</c:v>
                </c:pt>
                <c:pt idx="29">
                  <c:v>2044</c:v>
                </c:pt>
                <c:pt idx="30">
                  <c:v>2045</c:v>
                </c:pt>
                <c:pt idx="31">
                  <c:v>2046</c:v>
                </c:pt>
                <c:pt idx="32">
                  <c:v>2047</c:v>
                </c:pt>
                <c:pt idx="33">
                  <c:v>2048</c:v>
                </c:pt>
                <c:pt idx="34">
                  <c:v>2049</c:v>
                </c:pt>
                <c:pt idx="35">
                  <c:v>2050</c:v>
                </c:pt>
              </c:numCache>
            </c:numRef>
          </c:cat>
          <c:val>
            <c:numRef>
              <c:f>'HIDDEN_Dashboard charts data'!$F$17:$AO$17</c:f>
              <c:numCache>
                <c:formatCode>_-* #,##0_-;\-* #,##0_-;_-* "-"??_-;_-@_-</c:formatCode>
                <c:ptCount val="36"/>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numCache>
            </c:numRef>
          </c:val>
          <c:extLst xmlns:c16r2="http://schemas.microsoft.com/office/drawing/2015/06/chart">
            <c:ext xmlns:c16="http://schemas.microsoft.com/office/drawing/2014/chart" uri="{C3380CC4-5D6E-409C-BE32-E72D297353CC}">
              <c16:uniqueId val="{00000003-EF31-0642-BA72-C83B01092FED}"/>
            </c:ext>
          </c:extLst>
        </c:ser>
        <c:dLbls>
          <c:showLegendKey val="0"/>
          <c:showVal val="0"/>
          <c:showCatName val="0"/>
          <c:showSerName val="0"/>
          <c:showPercent val="0"/>
          <c:showBubbleSize val="0"/>
        </c:dLbls>
        <c:axId val="410679936"/>
        <c:axId val="410694016"/>
      </c:areaChart>
      <c:catAx>
        <c:axId val="410679936"/>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en-US"/>
          </a:p>
        </c:txPr>
        <c:crossAx val="410694016"/>
        <c:crosses val="autoZero"/>
        <c:auto val="1"/>
        <c:lblAlgn val="ctr"/>
        <c:lblOffset val="100"/>
        <c:tickLblSkip val="5"/>
        <c:noMultiLvlLbl val="0"/>
      </c:catAx>
      <c:valAx>
        <c:axId val="410694016"/>
        <c:scaling>
          <c:orientation val="minMax"/>
        </c:scaling>
        <c:delete val="0"/>
        <c:axPos val="l"/>
        <c:majorGridlines>
          <c:spPr>
            <a:ln w="9525" cap="flat" cmpd="sng" algn="ctr">
              <a:solidFill>
                <a:schemeClr val="tx1">
                  <a:lumMod val="15000"/>
                  <a:lumOff val="85000"/>
                </a:schemeClr>
              </a:solidFill>
              <a:prstDash val="sysDot"/>
              <a:round/>
            </a:ln>
            <a:effectLst/>
          </c:spPr>
        </c:majorGridlines>
        <c:title>
          <c:tx>
            <c:rich>
              <a:bodyPr rot="-5400000" vert="horz"/>
              <a:lstStyle/>
              <a:p>
                <a:pPr>
                  <a:defRPr b="0"/>
                </a:pPr>
                <a:r>
                  <a:rPr lang="en-AU" b="0"/>
                  <a:t>Emissions (tCO</a:t>
                </a:r>
                <a:r>
                  <a:rPr lang="en-US" sz="900" b="0" i="0" u="none" strike="noStrike" baseline="-25000">
                    <a:effectLst/>
                  </a:rPr>
                  <a:t>2</a:t>
                </a:r>
                <a:r>
                  <a:rPr lang="en-AU" b="0"/>
                  <a:t>-e)</a:t>
                </a:r>
              </a:p>
            </c:rich>
          </c:tx>
          <c:layout>
            <c:manualLayout>
              <c:xMode val="edge"/>
              <c:yMode val="edge"/>
              <c:x val="6.7629424890925591E-3"/>
              <c:y val="0.17448272090988626"/>
            </c:manualLayout>
          </c:layout>
          <c:overlay val="0"/>
          <c:spPr>
            <a:noFill/>
            <a:ln>
              <a:noFill/>
            </a:ln>
            <a:effectLst/>
          </c:spPr>
        </c:title>
        <c:numFmt formatCode="#,##0" sourceLinked="0"/>
        <c:majorTickMark val="none"/>
        <c:minorTickMark val="none"/>
        <c:tickLblPos val="nextTo"/>
        <c:spPr>
          <a:noFill/>
          <a:ln>
            <a:noFill/>
          </a:ln>
          <a:effectLst/>
        </c:spPr>
        <c:txPr>
          <a:bodyPr rot="-60000000" vert="horz"/>
          <a:lstStyle/>
          <a:p>
            <a:pPr>
              <a:defRPr/>
            </a:pPr>
            <a:endParaRPr lang="en-US"/>
          </a:p>
        </c:txPr>
        <c:crossAx val="410679936"/>
        <c:crosses val="autoZero"/>
        <c:crossBetween val="midCat"/>
      </c:valAx>
      <c:spPr>
        <a:noFill/>
        <a:ln>
          <a:noFill/>
        </a:ln>
        <a:effectLst/>
      </c:spPr>
    </c:plotArea>
    <c:legend>
      <c:legendPos val="r"/>
      <c:legendEntry>
        <c:idx val="0"/>
        <c:delete val="1"/>
      </c:legendEntry>
      <c:overlay val="0"/>
      <c:spPr>
        <a:noFill/>
        <a:ln>
          <a:noFill/>
        </a:ln>
        <a:effectLst/>
      </c:spPr>
      <c:txPr>
        <a:bodyPr rot="0" vert="horz"/>
        <a:lstStyle/>
        <a:p>
          <a:pPr>
            <a:defRPr/>
          </a:pPr>
          <a:endParaRPr lang="en-US"/>
        </a:p>
      </c:txPr>
    </c:legend>
    <c:plotVisOnly val="1"/>
    <c:dispBlanksAs val="zero"/>
    <c:showDLblsOverMax val="0"/>
  </c:chart>
  <c:spPr>
    <a:noFill/>
    <a:ln w="9525" cap="flat" cmpd="sng" algn="ctr">
      <a:noFill/>
      <a:round/>
    </a:ln>
    <a:effectLst/>
  </c:spPr>
  <c:txPr>
    <a:bodyPr/>
    <a:lstStyle/>
    <a:p>
      <a:pPr>
        <a:defRPr sz="900">
          <a:solidFill>
            <a:sysClr val="windowText" lastClr="000000"/>
          </a:solidFill>
        </a:defRPr>
      </a:pPr>
      <a:endParaRPr lang="en-US"/>
    </a:p>
  </c:tx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386283576721937"/>
          <c:y val="5.0925925925925923E-2"/>
          <c:w val="0.49694080984613237"/>
          <c:h val="0.79685914260717405"/>
        </c:manualLayout>
      </c:layout>
      <c:areaChart>
        <c:grouping val="stacked"/>
        <c:varyColors val="0"/>
        <c:ser>
          <c:idx val="0"/>
          <c:order val="0"/>
          <c:tx>
            <c:strRef>
              <c:f>'HIDDEN_Dashboard charts data'!$B$21:$D$21</c:f>
              <c:strCache>
                <c:ptCount val="1"/>
                <c:pt idx="0">
                  <c:v>Advocate for all new buildings to be zero net by 2030 - COMMERCIAL BUILDINGS</c:v>
                </c:pt>
              </c:strCache>
            </c:strRef>
          </c:tx>
          <c:spPr>
            <a:solidFill>
              <a:schemeClr val="bg2"/>
            </a:solidFill>
            <a:ln w="25400">
              <a:noFill/>
            </a:ln>
            <a:effectLst/>
          </c:spPr>
          <c:cat>
            <c:numRef>
              <c:f>'HIDDEN_Dashboard charts data'!$F$13:$AO$13</c:f>
              <c:numCache>
                <c:formatCode>General</c:formatCode>
                <c:ptCount val="3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pt idx="16">
                  <c:v>2031</c:v>
                </c:pt>
                <c:pt idx="17">
                  <c:v>2032</c:v>
                </c:pt>
                <c:pt idx="18">
                  <c:v>2033</c:v>
                </c:pt>
                <c:pt idx="19">
                  <c:v>2034</c:v>
                </c:pt>
                <c:pt idx="20">
                  <c:v>2035</c:v>
                </c:pt>
                <c:pt idx="21">
                  <c:v>2036</c:v>
                </c:pt>
                <c:pt idx="22">
                  <c:v>2037</c:v>
                </c:pt>
                <c:pt idx="23">
                  <c:v>2038</c:v>
                </c:pt>
                <c:pt idx="24">
                  <c:v>2039</c:v>
                </c:pt>
                <c:pt idx="25">
                  <c:v>2040</c:v>
                </c:pt>
                <c:pt idx="26">
                  <c:v>2041</c:v>
                </c:pt>
                <c:pt idx="27">
                  <c:v>2042</c:v>
                </c:pt>
                <c:pt idx="28">
                  <c:v>2043</c:v>
                </c:pt>
                <c:pt idx="29">
                  <c:v>2044</c:v>
                </c:pt>
                <c:pt idx="30">
                  <c:v>2045</c:v>
                </c:pt>
                <c:pt idx="31">
                  <c:v>2046</c:v>
                </c:pt>
                <c:pt idx="32">
                  <c:v>2047</c:v>
                </c:pt>
                <c:pt idx="33">
                  <c:v>2048</c:v>
                </c:pt>
                <c:pt idx="34">
                  <c:v>2049</c:v>
                </c:pt>
                <c:pt idx="35">
                  <c:v>2050</c:v>
                </c:pt>
              </c:numCache>
            </c:numRef>
          </c:cat>
          <c:val>
            <c:numRef>
              <c:f>'HIDDEN_Dashboard charts data'!$F$21:$AO$21</c:f>
              <c:numCache>
                <c:formatCode>_-* #,##0_-;\-* #,##0_-;_-* "-"??_-;_-@_-</c:formatCode>
                <c:ptCount val="36"/>
                <c:pt idx="0">
                  <c:v>0</c:v>
                </c:pt>
                <c:pt idx="1">
                  <c:v>0</c:v>
                </c:pt>
                <c:pt idx="2">
                  <c:v>0</c:v>
                </c:pt>
                <c:pt idx="3">
                  <c:v>0</c:v>
                </c:pt>
                <c:pt idx="4">
                  <c:v>0</c:v>
                </c:pt>
                <c:pt idx="5">
                  <c:v>0</c:v>
                </c:pt>
                <c:pt idx="6">
                  <c:v>1297.4664013415174</c:v>
                </c:pt>
                <c:pt idx="7">
                  <c:v>3705.9929821481887</c:v>
                </c:pt>
                <c:pt idx="8">
                  <c:v>7095.8745913785069</c:v>
                </c:pt>
                <c:pt idx="9">
                  <c:v>11433.91664181837</c:v>
                </c:pt>
                <c:pt idx="10">
                  <c:v>16530.604047783774</c:v>
                </c:pt>
                <c:pt idx="11">
                  <c:v>23074.37948625203</c:v>
                </c:pt>
                <c:pt idx="12">
                  <c:v>29562.600874582113</c:v>
                </c:pt>
                <c:pt idx="13">
                  <c:v>35891.508681720457</c:v>
                </c:pt>
                <c:pt idx="14">
                  <c:v>42369.538291195538</c:v>
                </c:pt>
                <c:pt idx="15">
                  <c:v>48488.354303585453</c:v>
                </c:pt>
                <c:pt idx="16">
                  <c:v>53552.753143024798</c:v>
                </c:pt>
                <c:pt idx="17">
                  <c:v>57288.574995646733</c:v>
                </c:pt>
                <c:pt idx="18">
                  <c:v>58333.149611459085</c:v>
                </c:pt>
                <c:pt idx="19">
                  <c:v>57994.047905379259</c:v>
                </c:pt>
                <c:pt idx="20">
                  <c:v>64688.865108558079</c:v>
                </c:pt>
                <c:pt idx="21">
                  <c:v>71917.255559149678</c:v>
                </c:pt>
                <c:pt idx="22">
                  <c:v>79575.379128406028</c:v>
                </c:pt>
                <c:pt idx="23">
                  <c:v>87672.515704614227</c:v>
                </c:pt>
                <c:pt idx="24">
                  <c:v>96218.141650195277</c:v>
                </c:pt>
                <c:pt idx="25">
                  <c:v>106247.5749647269</c:v>
                </c:pt>
                <c:pt idx="26">
                  <c:v>116081.41743669919</c:v>
                </c:pt>
                <c:pt idx="27">
                  <c:v>126446.63857350854</c:v>
                </c:pt>
                <c:pt idx="28">
                  <c:v>137357.54175921844</c:v>
                </c:pt>
                <c:pt idx="29">
                  <c:v>148828.79514642668</c:v>
                </c:pt>
                <c:pt idx="30">
                  <c:v>160090.45394317075</c:v>
                </c:pt>
                <c:pt idx="31">
                  <c:v>172838.99636792956</c:v>
                </c:pt>
                <c:pt idx="32">
                  <c:v>186216.06765150663</c:v>
                </c:pt>
                <c:pt idx="33">
                  <c:v>200239.34869745225</c:v>
                </c:pt>
                <c:pt idx="34">
                  <c:v>214926.97150432086</c:v>
                </c:pt>
                <c:pt idx="35">
                  <c:v>230297.53079020837</c:v>
                </c:pt>
              </c:numCache>
            </c:numRef>
          </c:val>
          <c:extLst xmlns:c16r2="http://schemas.microsoft.com/office/drawing/2015/06/chart">
            <c:ext xmlns:c16="http://schemas.microsoft.com/office/drawing/2014/chart" uri="{C3380CC4-5D6E-409C-BE32-E72D297353CC}">
              <c16:uniqueId val="{00000000-89AC-3946-987C-371753AD9727}"/>
            </c:ext>
          </c:extLst>
        </c:ser>
        <c:ser>
          <c:idx val="1"/>
          <c:order val="1"/>
          <c:tx>
            <c:strRef>
              <c:f>'HIDDEN_Dashboard charts data'!$B$22</c:f>
              <c:strCache>
                <c:ptCount val="1"/>
                <c:pt idx="0">
                  <c:v>Advocate for all new buildings to be zero net by 2030 - RESIDENTIAL BUILDINGS</c:v>
                </c:pt>
              </c:strCache>
            </c:strRef>
          </c:tx>
          <c:spPr>
            <a:solidFill>
              <a:schemeClr val="accent2">
                <a:lumMod val="20000"/>
                <a:lumOff val="80000"/>
              </a:schemeClr>
            </a:solidFill>
            <a:ln w="25400">
              <a:noFill/>
            </a:ln>
            <a:effectLst/>
          </c:spPr>
          <c:cat>
            <c:numRef>
              <c:f>'HIDDEN_Dashboard charts data'!$F$13:$AO$13</c:f>
              <c:numCache>
                <c:formatCode>General</c:formatCode>
                <c:ptCount val="3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pt idx="16">
                  <c:v>2031</c:v>
                </c:pt>
                <c:pt idx="17">
                  <c:v>2032</c:v>
                </c:pt>
                <c:pt idx="18">
                  <c:v>2033</c:v>
                </c:pt>
                <c:pt idx="19">
                  <c:v>2034</c:v>
                </c:pt>
                <c:pt idx="20">
                  <c:v>2035</c:v>
                </c:pt>
                <c:pt idx="21">
                  <c:v>2036</c:v>
                </c:pt>
                <c:pt idx="22">
                  <c:v>2037</c:v>
                </c:pt>
                <c:pt idx="23">
                  <c:v>2038</c:v>
                </c:pt>
                <c:pt idx="24">
                  <c:v>2039</c:v>
                </c:pt>
                <c:pt idx="25">
                  <c:v>2040</c:v>
                </c:pt>
                <c:pt idx="26">
                  <c:v>2041</c:v>
                </c:pt>
                <c:pt idx="27">
                  <c:v>2042</c:v>
                </c:pt>
                <c:pt idx="28">
                  <c:v>2043</c:v>
                </c:pt>
                <c:pt idx="29">
                  <c:v>2044</c:v>
                </c:pt>
                <c:pt idx="30">
                  <c:v>2045</c:v>
                </c:pt>
                <c:pt idx="31">
                  <c:v>2046</c:v>
                </c:pt>
                <c:pt idx="32">
                  <c:v>2047</c:v>
                </c:pt>
                <c:pt idx="33">
                  <c:v>2048</c:v>
                </c:pt>
                <c:pt idx="34">
                  <c:v>2049</c:v>
                </c:pt>
                <c:pt idx="35">
                  <c:v>2050</c:v>
                </c:pt>
              </c:numCache>
            </c:numRef>
          </c:cat>
          <c:val>
            <c:numRef>
              <c:f>'HIDDEN_Dashboard charts data'!$F$22:$AO$22</c:f>
              <c:numCache>
                <c:formatCode>_-* #,##0_-;\-* #,##0_-;_-* "-"??_-;_-@_-</c:formatCode>
                <c:ptCount val="36"/>
                <c:pt idx="0">
                  <c:v>0</c:v>
                </c:pt>
                <c:pt idx="1">
                  <c:v>0</c:v>
                </c:pt>
                <c:pt idx="2">
                  <c:v>0</c:v>
                </c:pt>
                <c:pt idx="3">
                  <c:v>0</c:v>
                </c:pt>
                <c:pt idx="4">
                  <c:v>0</c:v>
                </c:pt>
                <c:pt idx="5">
                  <c:v>0</c:v>
                </c:pt>
                <c:pt idx="6">
                  <c:v>574.10979814449649</c:v>
                </c:pt>
                <c:pt idx="7">
                  <c:v>1563.1224756203103</c:v>
                </c:pt>
                <c:pt idx="8">
                  <c:v>2916.381285532339</c:v>
                </c:pt>
                <c:pt idx="9">
                  <c:v>4703.8407831166796</c:v>
                </c:pt>
                <c:pt idx="10">
                  <c:v>6657.7438776420677</c:v>
                </c:pt>
                <c:pt idx="11">
                  <c:v>8857.6940285151013</c:v>
                </c:pt>
                <c:pt idx="12">
                  <c:v>11061.029860880642</c:v>
                </c:pt>
                <c:pt idx="13">
                  <c:v>12947.872626071434</c:v>
                </c:pt>
                <c:pt idx="14">
                  <c:v>14546.910232775874</c:v>
                </c:pt>
                <c:pt idx="15">
                  <c:v>16024.142749848503</c:v>
                </c:pt>
                <c:pt idx="16">
                  <c:v>17003.412896824237</c:v>
                </c:pt>
                <c:pt idx="17">
                  <c:v>17736.843036924347</c:v>
                </c:pt>
                <c:pt idx="18">
                  <c:v>17828.37611088921</c:v>
                </c:pt>
                <c:pt idx="19">
                  <c:v>17334.897237820533</c:v>
                </c:pt>
                <c:pt idx="20">
                  <c:v>18913.129607377563</c:v>
                </c:pt>
                <c:pt idx="21">
                  <c:v>20618.825934255114</c:v>
                </c:pt>
                <c:pt idx="22">
                  <c:v>23005.294287515615</c:v>
                </c:pt>
                <c:pt idx="23">
                  <c:v>25547.891419289655</c:v>
                </c:pt>
                <c:pt idx="24">
                  <c:v>28251.747687948679</c:v>
                </c:pt>
                <c:pt idx="25">
                  <c:v>31425.526266440447</c:v>
                </c:pt>
                <c:pt idx="26">
                  <c:v>34577.973088221959</c:v>
                </c:pt>
                <c:pt idx="27">
                  <c:v>37925.537215388795</c:v>
                </c:pt>
                <c:pt idx="28">
                  <c:v>41475.570090296838</c:v>
                </c:pt>
                <c:pt idx="29">
                  <c:v>45235.693397905146</c:v>
                </c:pt>
                <c:pt idx="30">
                  <c:v>48973.671127044836</c:v>
                </c:pt>
                <c:pt idx="31">
                  <c:v>53210.634843235297</c:v>
                </c:pt>
                <c:pt idx="32">
                  <c:v>57689.493995095028</c:v>
                </c:pt>
                <c:pt idx="33">
                  <c:v>62419.62341727296</c:v>
                </c:pt>
                <c:pt idx="34">
                  <c:v>67410.742520222164</c:v>
                </c:pt>
                <c:pt idx="35">
                  <c:v>72672.927451448937</c:v>
                </c:pt>
              </c:numCache>
            </c:numRef>
          </c:val>
          <c:extLst xmlns:c16r2="http://schemas.microsoft.com/office/drawing/2015/06/chart">
            <c:ext xmlns:c16="http://schemas.microsoft.com/office/drawing/2014/chart" uri="{C3380CC4-5D6E-409C-BE32-E72D297353CC}">
              <c16:uniqueId val="{00000001-89AC-3946-987C-371753AD9727}"/>
            </c:ext>
          </c:extLst>
        </c:ser>
        <c:ser>
          <c:idx val="2"/>
          <c:order val="2"/>
          <c:tx>
            <c:strRef>
              <c:f>'HIDDEN_Dashboard charts data'!$B$23</c:f>
              <c:strCache>
                <c:ptCount val="1"/>
                <c:pt idx="0">
                  <c:v>Advocate for all existing building to be zero net by 2050 - COMMERCIAL BUILDINGS</c:v>
                </c:pt>
              </c:strCache>
            </c:strRef>
          </c:tx>
          <c:spPr>
            <a:solidFill>
              <a:schemeClr val="accent2">
                <a:lumMod val="40000"/>
                <a:lumOff val="60000"/>
              </a:schemeClr>
            </a:solidFill>
            <a:ln w="25400">
              <a:noFill/>
            </a:ln>
            <a:effectLst/>
          </c:spPr>
          <c:cat>
            <c:numRef>
              <c:f>'HIDDEN_Dashboard charts data'!$F$13:$AO$13</c:f>
              <c:numCache>
                <c:formatCode>General</c:formatCode>
                <c:ptCount val="3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pt idx="16">
                  <c:v>2031</c:v>
                </c:pt>
                <c:pt idx="17">
                  <c:v>2032</c:v>
                </c:pt>
                <c:pt idx="18">
                  <c:v>2033</c:v>
                </c:pt>
                <c:pt idx="19">
                  <c:v>2034</c:v>
                </c:pt>
                <c:pt idx="20">
                  <c:v>2035</c:v>
                </c:pt>
                <c:pt idx="21">
                  <c:v>2036</c:v>
                </c:pt>
                <c:pt idx="22">
                  <c:v>2037</c:v>
                </c:pt>
                <c:pt idx="23">
                  <c:v>2038</c:v>
                </c:pt>
                <c:pt idx="24">
                  <c:v>2039</c:v>
                </c:pt>
                <c:pt idx="25">
                  <c:v>2040</c:v>
                </c:pt>
                <c:pt idx="26">
                  <c:v>2041</c:v>
                </c:pt>
                <c:pt idx="27">
                  <c:v>2042</c:v>
                </c:pt>
                <c:pt idx="28">
                  <c:v>2043</c:v>
                </c:pt>
                <c:pt idx="29">
                  <c:v>2044</c:v>
                </c:pt>
                <c:pt idx="30">
                  <c:v>2045</c:v>
                </c:pt>
                <c:pt idx="31">
                  <c:v>2046</c:v>
                </c:pt>
                <c:pt idx="32">
                  <c:v>2047</c:v>
                </c:pt>
                <c:pt idx="33">
                  <c:v>2048</c:v>
                </c:pt>
                <c:pt idx="34">
                  <c:v>2049</c:v>
                </c:pt>
                <c:pt idx="35">
                  <c:v>2050</c:v>
                </c:pt>
              </c:numCache>
            </c:numRef>
          </c:cat>
          <c:val>
            <c:numRef>
              <c:f>'HIDDEN_Dashboard charts data'!$F$23:$AO$23</c:f>
              <c:numCache>
                <c:formatCode>_-* #,##0_-;\-* #,##0_-;_-* "-"??_-;_-@_-</c:formatCode>
                <c:ptCount val="36"/>
                <c:pt idx="0">
                  <c:v>0</c:v>
                </c:pt>
                <c:pt idx="1">
                  <c:v>0</c:v>
                </c:pt>
                <c:pt idx="2">
                  <c:v>0</c:v>
                </c:pt>
                <c:pt idx="3">
                  <c:v>0</c:v>
                </c:pt>
                <c:pt idx="4">
                  <c:v>0</c:v>
                </c:pt>
                <c:pt idx="5">
                  <c:v>0</c:v>
                </c:pt>
                <c:pt idx="6">
                  <c:v>16493.351279932489</c:v>
                </c:pt>
                <c:pt idx="7">
                  <c:v>31808.60603986981</c:v>
                </c:pt>
                <c:pt idx="8">
                  <c:v>45945.764279811941</c:v>
                </c:pt>
                <c:pt idx="9">
                  <c:v>58904.825999758898</c:v>
                </c:pt>
                <c:pt idx="10">
                  <c:v>70685.791199710686</c:v>
                </c:pt>
                <c:pt idx="11">
                  <c:v>84822.949439652832</c:v>
                </c:pt>
                <c:pt idx="12">
                  <c:v>94772.771330259537</c:v>
                </c:pt>
                <c:pt idx="13">
                  <c:v>101992.8201010105</c:v>
                </c:pt>
                <c:pt idx="14">
                  <c:v>107643.96704408023</c:v>
                </c:pt>
                <c:pt idx="15">
                  <c:v>111799.44212718989</c:v>
                </c:pt>
                <c:pt idx="16">
                  <c:v>128250.53915471789</c:v>
                </c:pt>
                <c:pt idx="17">
                  <c:v>139555.65943855155</c:v>
                </c:pt>
                <c:pt idx="18">
                  <c:v>142520.67656647984</c:v>
                </c:pt>
                <c:pt idx="19">
                  <c:v>141101.909947432</c:v>
                </c:pt>
                <c:pt idx="20">
                  <c:v>155568.85215621063</c:v>
                </c:pt>
                <c:pt idx="21">
                  <c:v>170414.33810891825</c:v>
                </c:pt>
                <c:pt idx="22">
                  <c:v>185134.32398505445</c:v>
                </c:pt>
                <c:pt idx="23">
                  <c:v>199729.74021224398</c:v>
                </c:pt>
                <c:pt idx="24">
                  <c:v>214201.50804349332</c:v>
                </c:pt>
                <c:pt idx="25">
                  <c:v>230778.31355921316</c:v>
                </c:pt>
                <c:pt idx="26">
                  <c:v>245715.02066255827</c:v>
                </c:pt>
                <c:pt idx="27">
                  <c:v>260599.62053534508</c:v>
                </c:pt>
                <c:pt idx="28">
                  <c:v>275432.75950204884</c:v>
                </c:pt>
                <c:pt idx="29">
                  <c:v>290215.07324203785</c:v>
                </c:pt>
                <c:pt idx="30">
                  <c:v>303459.20595594967</c:v>
                </c:pt>
                <c:pt idx="31">
                  <c:v>318388.30161268258</c:v>
                </c:pt>
                <c:pt idx="32">
                  <c:v>333295.07321980101</c:v>
                </c:pt>
                <c:pt idx="33">
                  <c:v>348179.63868601766</c:v>
                </c:pt>
                <c:pt idx="34">
                  <c:v>363042.11509116145</c:v>
                </c:pt>
                <c:pt idx="35">
                  <c:v>377882.61869344849</c:v>
                </c:pt>
              </c:numCache>
            </c:numRef>
          </c:val>
          <c:extLst xmlns:c16r2="http://schemas.microsoft.com/office/drawing/2015/06/chart">
            <c:ext xmlns:c16="http://schemas.microsoft.com/office/drawing/2014/chart" uri="{C3380CC4-5D6E-409C-BE32-E72D297353CC}">
              <c16:uniqueId val="{00000002-89AC-3946-987C-371753AD9727}"/>
            </c:ext>
          </c:extLst>
        </c:ser>
        <c:ser>
          <c:idx val="3"/>
          <c:order val="3"/>
          <c:tx>
            <c:strRef>
              <c:f>'HIDDEN_Dashboard charts data'!$B$24</c:f>
              <c:strCache>
                <c:ptCount val="1"/>
                <c:pt idx="0">
                  <c:v>Advocate for all existing building to be zero net by 2050 - RESIDENTIAL BUILDINGS</c:v>
                </c:pt>
              </c:strCache>
            </c:strRef>
          </c:tx>
          <c:spPr>
            <a:solidFill>
              <a:schemeClr val="accent2">
                <a:lumMod val="60000"/>
                <a:lumOff val="40000"/>
              </a:schemeClr>
            </a:solidFill>
            <a:ln w="25400">
              <a:noFill/>
            </a:ln>
            <a:effectLst/>
          </c:spPr>
          <c:cat>
            <c:numRef>
              <c:f>'HIDDEN_Dashboard charts data'!$F$13:$AO$13</c:f>
              <c:numCache>
                <c:formatCode>General</c:formatCode>
                <c:ptCount val="3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pt idx="16">
                  <c:v>2031</c:v>
                </c:pt>
                <c:pt idx="17">
                  <c:v>2032</c:v>
                </c:pt>
                <c:pt idx="18">
                  <c:v>2033</c:v>
                </c:pt>
                <c:pt idx="19">
                  <c:v>2034</c:v>
                </c:pt>
                <c:pt idx="20">
                  <c:v>2035</c:v>
                </c:pt>
                <c:pt idx="21">
                  <c:v>2036</c:v>
                </c:pt>
                <c:pt idx="22">
                  <c:v>2037</c:v>
                </c:pt>
                <c:pt idx="23">
                  <c:v>2038</c:v>
                </c:pt>
                <c:pt idx="24">
                  <c:v>2039</c:v>
                </c:pt>
                <c:pt idx="25">
                  <c:v>2040</c:v>
                </c:pt>
                <c:pt idx="26">
                  <c:v>2041</c:v>
                </c:pt>
                <c:pt idx="27">
                  <c:v>2042</c:v>
                </c:pt>
                <c:pt idx="28">
                  <c:v>2043</c:v>
                </c:pt>
                <c:pt idx="29">
                  <c:v>2044</c:v>
                </c:pt>
                <c:pt idx="30">
                  <c:v>2045</c:v>
                </c:pt>
                <c:pt idx="31">
                  <c:v>2046</c:v>
                </c:pt>
                <c:pt idx="32">
                  <c:v>2047</c:v>
                </c:pt>
                <c:pt idx="33">
                  <c:v>2048</c:v>
                </c:pt>
                <c:pt idx="34">
                  <c:v>2049</c:v>
                </c:pt>
                <c:pt idx="35">
                  <c:v>2050</c:v>
                </c:pt>
              </c:numCache>
            </c:numRef>
          </c:cat>
          <c:val>
            <c:numRef>
              <c:f>'HIDDEN_Dashboard charts data'!$F$24:$AO$24</c:f>
              <c:numCache>
                <c:formatCode>_-* #,##0_-;\-* #,##0_-;_-* "-"??_-;_-@_-</c:formatCode>
                <c:ptCount val="36"/>
                <c:pt idx="0">
                  <c:v>0</c:v>
                </c:pt>
                <c:pt idx="1">
                  <c:v>0</c:v>
                </c:pt>
                <c:pt idx="2">
                  <c:v>0</c:v>
                </c:pt>
                <c:pt idx="3">
                  <c:v>0</c:v>
                </c:pt>
                <c:pt idx="4">
                  <c:v>0</c:v>
                </c:pt>
                <c:pt idx="5">
                  <c:v>0</c:v>
                </c:pt>
                <c:pt idx="6">
                  <c:v>2060.6887065711931</c:v>
                </c:pt>
                <c:pt idx="7">
                  <c:v>3974.1853626730153</c:v>
                </c:pt>
                <c:pt idx="8">
                  <c:v>5740.4899683054664</c:v>
                </c:pt>
                <c:pt idx="9">
                  <c:v>7359.6025234685467</c:v>
                </c:pt>
                <c:pt idx="10">
                  <c:v>8831.5230281622571</c:v>
                </c:pt>
                <c:pt idx="11">
                  <c:v>10597.827633794708</c:v>
                </c:pt>
                <c:pt idx="12">
                  <c:v>11840.964050061712</c:v>
                </c:pt>
                <c:pt idx="13">
                  <c:v>12743.041057351442</c:v>
                </c:pt>
                <c:pt idx="14">
                  <c:v>13449.098576354687</c:v>
                </c:pt>
                <c:pt idx="15">
                  <c:v>13968.28600096383</c:v>
                </c:pt>
                <c:pt idx="16">
                  <c:v>16023.695437163786</c:v>
                </c:pt>
                <c:pt idx="17">
                  <c:v>17436.163606908623</c:v>
                </c:pt>
                <c:pt idx="18">
                  <c:v>17806.61453629288</c:v>
                </c:pt>
                <c:pt idx="19">
                  <c:v>17629.353026517772</c:v>
                </c:pt>
                <c:pt idx="20">
                  <c:v>19436.861029122454</c:v>
                </c:pt>
                <c:pt idx="21">
                  <c:v>21291.664502782001</c:v>
                </c:pt>
                <c:pt idx="22">
                  <c:v>23130.787925366712</c:v>
                </c:pt>
                <c:pt idx="23">
                  <c:v>24954.347545034165</c:v>
                </c:pt>
                <c:pt idx="24">
                  <c:v>26762.458463659914</c:v>
                </c:pt>
                <c:pt idx="25">
                  <c:v>28833.573990001307</c:v>
                </c:pt>
                <c:pt idx="26">
                  <c:v>30699.774686197896</c:v>
                </c:pt>
                <c:pt idx="27">
                  <c:v>32559.46507531864</c:v>
                </c:pt>
                <c:pt idx="28">
                  <c:v>34412.725909511741</c:v>
                </c:pt>
                <c:pt idx="29">
                  <c:v>36259.636610919675</c:v>
                </c:pt>
                <c:pt idx="30">
                  <c:v>37914.366098497761</c:v>
                </c:pt>
                <c:pt idx="31">
                  <c:v>39779.615816217745</c:v>
                </c:pt>
                <c:pt idx="32">
                  <c:v>41642.076354459001</c:v>
                </c:pt>
                <c:pt idx="33">
                  <c:v>43501.762444803258</c:v>
                </c:pt>
                <c:pt idx="34">
                  <c:v>45358.688715271084</c:v>
                </c:pt>
                <c:pt idx="35">
                  <c:v>47212.869691230211</c:v>
                </c:pt>
              </c:numCache>
            </c:numRef>
          </c:val>
          <c:extLst xmlns:c16r2="http://schemas.microsoft.com/office/drawing/2015/06/chart">
            <c:ext xmlns:c16="http://schemas.microsoft.com/office/drawing/2014/chart" uri="{C3380CC4-5D6E-409C-BE32-E72D297353CC}">
              <c16:uniqueId val="{00000003-89AC-3946-987C-371753AD9727}"/>
            </c:ext>
          </c:extLst>
        </c:ser>
        <c:ser>
          <c:idx val="4"/>
          <c:order val="4"/>
          <c:tx>
            <c:strRef>
              <c:f>'HIDDEN_Dashboard charts data'!$B$25:$C$25</c:f>
              <c:strCache>
                <c:ptCount val="1"/>
                <c:pt idx="0">
                  <c:v>Partner to deliver gas to electricity substitution</c:v>
                </c:pt>
              </c:strCache>
            </c:strRef>
          </c:tx>
          <c:spPr>
            <a:solidFill>
              <a:srgbClr val="00B050"/>
            </a:solidFill>
            <a:ln w="25400">
              <a:noFill/>
            </a:ln>
            <a:effectLst/>
          </c:spPr>
          <c:val>
            <c:numRef>
              <c:f>'HIDDEN_Dashboard charts data'!$F$25:$AO$25</c:f>
              <c:numCache>
                <c:formatCode>_-* #,##0_-;\-* #,##0_-;_-* "-"??_-;_-@_-</c:formatCode>
                <c:ptCount val="36"/>
                <c:pt idx="0">
                  <c:v>0</c:v>
                </c:pt>
                <c:pt idx="1">
                  <c:v>0</c:v>
                </c:pt>
                <c:pt idx="2">
                  <c:v>0</c:v>
                </c:pt>
                <c:pt idx="3">
                  <c:v>0</c:v>
                </c:pt>
                <c:pt idx="4">
                  <c:v>0</c:v>
                </c:pt>
                <c:pt idx="5">
                  <c:v>0</c:v>
                </c:pt>
                <c:pt idx="6">
                  <c:v>7326.0196833793661</c:v>
                </c:pt>
                <c:pt idx="7">
                  <c:v>14982.428489734664</c:v>
                </c:pt>
                <c:pt idx="8">
                  <c:v>22969.226419065893</c:v>
                </c:pt>
                <c:pt idx="9">
                  <c:v>31315.142960327488</c:v>
                </c:pt>
                <c:pt idx="10">
                  <c:v>40005.813369042226</c:v>
                </c:pt>
                <c:pt idx="11">
                  <c:v>48998.143411778459</c:v>
                </c:pt>
                <c:pt idx="12">
                  <c:v>58371.1391831609</c:v>
                </c:pt>
                <c:pt idx="13">
                  <c:v>68088.888821996472</c:v>
                </c:pt>
                <c:pt idx="14">
                  <c:v>78216.033678432635</c:v>
                </c:pt>
                <c:pt idx="15">
                  <c:v>88630.473424413096</c:v>
                </c:pt>
                <c:pt idx="16">
                  <c:v>108597.46824774118</c:v>
                </c:pt>
                <c:pt idx="17">
                  <c:v>129411.98299522491</c:v>
                </c:pt>
                <c:pt idx="18">
                  <c:v>151117.11190029589</c:v>
                </c:pt>
                <c:pt idx="19">
                  <c:v>173626.66649609091</c:v>
                </c:pt>
                <c:pt idx="20">
                  <c:v>197084.29422738208</c:v>
                </c:pt>
                <c:pt idx="21">
                  <c:v>221375.07713835174</c:v>
                </c:pt>
                <c:pt idx="22">
                  <c:v>246604.67776636427</c:v>
                </c:pt>
                <c:pt idx="23">
                  <c:v>272801.93125357095</c:v>
                </c:pt>
                <c:pt idx="24">
                  <c:v>299996.47228120337</c:v>
                </c:pt>
                <c:pt idx="25">
                  <c:v>328218.75598654151</c:v>
                </c:pt>
                <c:pt idx="26">
                  <c:v>357500.07940691517</c:v>
                </c:pt>
                <c:pt idx="27">
                  <c:v>387872.60346367076</c:v>
                </c:pt>
                <c:pt idx="28">
                  <c:v>419369.37549935048</c:v>
                </c:pt>
                <c:pt idx="29">
                  <c:v>452024.35238164931</c:v>
                </c:pt>
                <c:pt idx="30">
                  <c:v>485872.4241880395</c:v>
                </c:pt>
                <c:pt idx="31">
                  <c:v>520949.43848528841</c:v>
                </c:pt>
                <c:pt idx="32">
                  <c:v>557292.2252184354</c:v>
                </c:pt>
                <c:pt idx="33">
                  <c:v>594938.62222414662</c:v>
                </c:pt>
                <c:pt idx="34">
                  <c:v>633927.50138372136</c:v>
                </c:pt>
                <c:pt idx="35">
                  <c:v>674298.79543139064</c:v>
                </c:pt>
              </c:numCache>
            </c:numRef>
          </c:val>
          <c:extLst xmlns:c16r2="http://schemas.microsoft.com/office/drawing/2015/06/chart">
            <c:ext xmlns:c16="http://schemas.microsoft.com/office/drawing/2014/chart" uri="{C3380CC4-5D6E-409C-BE32-E72D297353CC}">
              <c16:uniqueId val="{00000004-89AC-3946-987C-371753AD9727}"/>
            </c:ext>
          </c:extLst>
        </c:ser>
        <c:dLbls>
          <c:showLegendKey val="0"/>
          <c:showVal val="0"/>
          <c:showCatName val="0"/>
          <c:showSerName val="0"/>
          <c:showPercent val="0"/>
          <c:showBubbleSize val="0"/>
        </c:dLbls>
        <c:axId val="410835200"/>
        <c:axId val="420233216"/>
      </c:areaChart>
      <c:catAx>
        <c:axId val="410835200"/>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en-US"/>
          </a:p>
        </c:txPr>
        <c:crossAx val="420233216"/>
        <c:crosses val="autoZero"/>
        <c:auto val="1"/>
        <c:lblAlgn val="ctr"/>
        <c:lblOffset val="100"/>
        <c:tickLblSkip val="5"/>
        <c:noMultiLvlLbl val="0"/>
      </c:catAx>
      <c:valAx>
        <c:axId val="420233216"/>
        <c:scaling>
          <c:orientation val="minMax"/>
        </c:scaling>
        <c:delete val="0"/>
        <c:axPos val="l"/>
        <c:majorGridlines>
          <c:spPr>
            <a:ln w="9525" cap="flat" cmpd="sng" algn="ctr">
              <a:solidFill>
                <a:schemeClr val="tx1">
                  <a:lumMod val="15000"/>
                  <a:lumOff val="85000"/>
                </a:schemeClr>
              </a:solidFill>
              <a:prstDash val="sysDot"/>
              <a:round/>
            </a:ln>
            <a:effectLst/>
          </c:spPr>
        </c:majorGridlines>
        <c:title>
          <c:tx>
            <c:rich>
              <a:bodyPr rot="-5400000" vert="horz"/>
              <a:lstStyle/>
              <a:p>
                <a:pPr>
                  <a:defRPr b="0"/>
                </a:pPr>
                <a:r>
                  <a:rPr lang="en-AU" b="0"/>
                  <a:t>Emissions (tCO</a:t>
                </a:r>
                <a:r>
                  <a:rPr lang="en-US" sz="900" b="0" i="0" u="none" strike="noStrike" baseline="-25000">
                    <a:effectLst/>
                  </a:rPr>
                  <a:t>2</a:t>
                </a:r>
                <a:r>
                  <a:rPr lang="en-AU" b="0"/>
                  <a:t>-e)</a:t>
                </a:r>
              </a:p>
            </c:rich>
          </c:tx>
          <c:layout>
            <c:manualLayout>
              <c:xMode val="edge"/>
              <c:yMode val="edge"/>
              <c:x val="1.651394999112658E-4"/>
              <c:y val="0.17448288915808602"/>
            </c:manualLayout>
          </c:layout>
          <c:overlay val="0"/>
          <c:spPr>
            <a:noFill/>
            <a:ln>
              <a:noFill/>
            </a:ln>
            <a:effectLst/>
          </c:spPr>
        </c:title>
        <c:numFmt formatCode="#,##0" sourceLinked="0"/>
        <c:majorTickMark val="none"/>
        <c:minorTickMark val="none"/>
        <c:tickLblPos val="nextTo"/>
        <c:spPr>
          <a:noFill/>
          <a:ln>
            <a:noFill/>
          </a:ln>
          <a:effectLst/>
        </c:spPr>
        <c:txPr>
          <a:bodyPr rot="-60000000" vert="horz"/>
          <a:lstStyle/>
          <a:p>
            <a:pPr>
              <a:defRPr/>
            </a:pPr>
            <a:endParaRPr lang="en-US"/>
          </a:p>
        </c:txPr>
        <c:crossAx val="410835200"/>
        <c:crosses val="autoZero"/>
        <c:crossBetween val="midCat"/>
      </c:valAx>
      <c:spPr>
        <a:noFill/>
        <a:ln>
          <a:noFill/>
        </a:ln>
        <a:effectLst/>
      </c:spPr>
    </c:plotArea>
    <c:legend>
      <c:legendPos val="r"/>
      <c:layout>
        <c:manualLayout>
          <c:xMode val="edge"/>
          <c:yMode val="edge"/>
          <c:x val="0.66170464666889883"/>
          <c:y val="5.6784047827354911E-2"/>
          <c:w val="0.33829535333110117"/>
          <c:h val="0.8401356080489939"/>
        </c:manualLayout>
      </c:layout>
      <c:overlay val="0"/>
      <c:spPr>
        <a:noFill/>
        <a:ln>
          <a:noFill/>
        </a:ln>
        <a:effectLst/>
      </c:spPr>
      <c:txPr>
        <a:bodyPr rot="0" vert="horz"/>
        <a:lstStyle/>
        <a:p>
          <a:pPr>
            <a:defRPr/>
          </a:pPr>
          <a:endParaRPr lang="en-US"/>
        </a:p>
      </c:txPr>
    </c:legend>
    <c:plotVisOnly val="1"/>
    <c:dispBlanksAs val="zero"/>
    <c:showDLblsOverMax val="0"/>
  </c:chart>
  <c:spPr>
    <a:noFill/>
    <a:ln w="9525" cap="flat" cmpd="sng" algn="ctr">
      <a:noFill/>
      <a:round/>
    </a:ln>
    <a:effectLst/>
  </c:spPr>
  <c:txPr>
    <a:bodyPr/>
    <a:lstStyle/>
    <a:p>
      <a:pPr>
        <a:defRPr sz="900">
          <a:latin typeface="+mn-lt"/>
        </a:defRPr>
      </a:pPr>
      <a:endParaRPr lang="en-US"/>
    </a:p>
  </c:tx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386283576721937"/>
          <c:y val="5.0925925925925923E-2"/>
          <c:w val="0.49694080984613237"/>
          <c:h val="0.79685914260717405"/>
        </c:manualLayout>
      </c:layout>
      <c:areaChart>
        <c:grouping val="stacked"/>
        <c:varyColors val="0"/>
        <c:ser>
          <c:idx val="0"/>
          <c:order val="0"/>
          <c:tx>
            <c:strRef>
              <c:f>'HIDDEN_Dashboard charts data'!$B$21:$D$21</c:f>
              <c:strCache>
                <c:ptCount val="1"/>
                <c:pt idx="0">
                  <c:v>Advocate for all new buildings to be zero net by 2030 - COMMERCIAL BUILDINGS</c:v>
                </c:pt>
              </c:strCache>
            </c:strRef>
          </c:tx>
          <c:spPr>
            <a:noFill/>
            <a:ln w="25400">
              <a:noFill/>
            </a:ln>
            <a:effectLst/>
          </c:spPr>
          <c:cat>
            <c:numRef>
              <c:f>'HIDDEN_Dashboard charts data'!$F$13:$AO$13</c:f>
              <c:numCache>
                <c:formatCode>General</c:formatCode>
                <c:ptCount val="3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pt idx="16">
                  <c:v>2031</c:v>
                </c:pt>
                <c:pt idx="17">
                  <c:v>2032</c:v>
                </c:pt>
                <c:pt idx="18">
                  <c:v>2033</c:v>
                </c:pt>
                <c:pt idx="19">
                  <c:v>2034</c:v>
                </c:pt>
                <c:pt idx="20">
                  <c:v>2035</c:v>
                </c:pt>
                <c:pt idx="21">
                  <c:v>2036</c:v>
                </c:pt>
                <c:pt idx="22">
                  <c:v>2037</c:v>
                </c:pt>
                <c:pt idx="23">
                  <c:v>2038</c:v>
                </c:pt>
                <c:pt idx="24">
                  <c:v>2039</c:v>
                </c:pt>
                <c:pt idx="25">
                  <c:v>2040</c:v>
                </c:pt>
                <c:pt idx="26">
                  <c:v>2041</c:v>
                </c:pt>
                <c:pt idx="27">
                  <c:v>2042</c:v>
                </c:pt>
                <c:pt idx="28">
                  <c:v>2043</c:v>
                </c:pt>
                <c:pt idx="29">
                  <c:v>2044</c:v>
                </c:pt>
                <c:pt idx="30">
                  <c:v>2045</c:v>
                </c:pt>
                <c:pt idx="31">
                  <c:v>2046</c:v>
                </c:pt>
                <c:pt idx="32">
                  <c:v>2047</c:v>
                </c:pt>
                <c:pt idx="33">
                  <c:v>2048</c:v>
                </c:pt>
                <c:pt idx="34">
                  <c:v>2049</c:v>
                </c:pt>
                <c:pt idx="35">
                  <c:v>2050</c:v>
                </c:pt>
              </c:numCache>
            </c:numRef>
          </c:cat>
          <c:val>
            <c:numRef>
              <c:f>'HIDDEN_Dashboard charts data'!$F$21:$AO$21</c:f>
              <c:numCache>
                <c:formatCode>_-* #,##0_-;\-* #,##0_-;_-* "-"??_-;_-@_-</c:formatCode>
                <c:ptCount val="36"/>
                <c:pt idx="0">
                  <c:v>0</c:v>
                </c:pt>
                <c:pt idx="1">
                  <c:v>0</c:v>
                </c:pt>
                <c:pt idx="2">
                  <c:v>0</c:v>
                </c:pt>
                <c:pt idx="3">
                  <c:v>0</c:v>
                </c:pt>
                <c:pt idx="4">
                  <c:v>0</c:v>
                </c:pt>
                <c:pt idx="5">
                  <c:v>0</c:v>
                </c:pt>
                <c:pt idx="6">
                  <c:v>2594.9328026830349</c:v>
                </c:pt>
                <c:pt idx="7">
                  <c:v>7411.9859642963775</c:v>
                </c:pt>
                <c:pt idx="8">
                  <c:v>14191.749182757014</c:v>
                </c:pt>
                <c:pt idx="9">
                  <c:v>22867.833283636741</c:v>
                </c:pt>
                <c:pt idx="10">
                  <c:v>33061.208095567548</c:v>
                </c:pt>
                <c:pt idx="11">
                  <c:v>46148.75897250406</c:v>
                </c:pt>
                <c:pt idx="12">
                  <c:v>59125.201749164225</c:v>
                </c:pt>
                <c:pt idx="13">
                  <c:v>71783.017363440915</c:v>
                </c:pt>
                <c:pt idx="14">
                  <c:v>84739.076582391077</c:v>
                </c:pt>
                <c:pt idx="15">
                  <c:v>96976.708607170905</c:v>
                </c:pt>
                <c:pt idx="16">
                  <c:v>102005.244081952</c:v>
                </c:pt>
                <c:pt idx="17">
                  <c:v>104161.04544663042</c:v>
                </c:pt>
                <c:pt idx="18">
                  <c:v>101448.95584601579</c:v>
                </c:pt>
                <c:pt idx="19">
                  <c:v>96656.746508965414</c:v>
                </c:pt>
                <c:pt idx="20">
                  <c:v>103502.18417369291</c:v>
                </c:pt>
                <c:pt idx="21">
                  <c:v>110641.93162946102</c:v>
                </c:pt>
                <c:pt idx="22">
                  <c:v>117889.45056060149</c:v>
                </c:pt>
                <c:pt idx="23">
                  <c:v>125246.4510065917</c:v>
                </c:pt>
                <c:pt idx="24">
                  <c:v>132714.67813820034</c:v>
                </c:pt>
                <c:pt idx="25">
                  <c:v>141663.43328630249</c:v>
                </c:pt>
                <c:pt idx="26">
                  <c:v>149782.4741118699</c:v>
                </c:pt>
                <c:pt idx="27">
                  <c:v>158058.29821688563</c:v>
                </c:pt>
                <c:pt idx="28">
                  <c:v>166493.99001117382</c:v>
                </c:pt>
                <c:pt idx="29">
                  <c:v>175092.70017226663</c:v>
                </c:pt>
                <c:pt idx="30">
                  <c:v>182960.5187921951</c:v>
                </c:pt>
                <c:pt idx="31">
                  <c:v>192043.32929769944</c:v>
                </c:pt>
                <c:pt idx="32">
                  <c:v>201314.66773135844</c:v>
                </c:pt>
                <c:pt idx="33">
                  <c:v>210778.26178679176</c:v>
                </c:pt>
                <c:pt idx="34">
                  <c:v>220437.91949161104</c:v>
                </c:pt>
                <c:pt idx="35">
                  <c:v>230297.53079020837</c:v>
                </c:pt>
              </c:numCache>
            </c:numRef>
          </c:val>
          <c:extLst xmlns:c16r2="http://schemas.microsoft.com/office/drawing/2015/06/chart">
            <c:ext xmlns:c16="http://schemas.microsoft.com/office/drawing/2014/chart" uri="{C3380CC4-5D6E-409C-BE32-E72D297353CC}">
              <c16:uniqueId val="{00000000-D0F1-5447-BEE7-16A833788769}"/>
            </c:ext>
          </c:extLst>
        </c:ser>
        <c:ser>
          <c:idx val="1"/>
          <c:order val="1"/>
          <c:tx>
            <c:strRef>
              <c:f>'HIDDEN_Dashboard charts data'!$B$22</c:f>
              <c:strCache>
                <c:ptCount val="1"/>
                <c:pt idx="0">
                  <c:v>Advocate for all new buildings to be zero net by 2030 - RESIDENTIAL BUILDINGS</c:v>
                </c:pt>
              </c:strCache>
            </c:strRef>
          </c:tx>
          <c:spPr>
            <a:solidFill>
              <a:schemeClr val="accent2">
                <a:lumMod val="20000"/>
                <a:lumOff val="80000"/>
              </a:schemeClr>
            </a:solidFill>
            <a:ln w="25400">
              <a:noFill/>
            </a:ln>
            <a:effectLst/>
          </c:spPr>
          <c:cat>
            <c:numRef>
              <c:f>'HIDDEN_Dashboard charts data'!$F$13:$AO$13</c:f>
              <c:numCache>
                <c:formatCode>General</c:formatCode>
                <c:ptCount val="3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pt idx="16">
                  <c:v>2031</c:v>
                </c:pt>
                <c:pt idx="17">
                  <c:v>2032</c:v>
                </c:pt>
                <c:pt idx="18">
                  <c:v>2033</c:v>
                </c:pt>
                <c:pt idx="19">
                  <c:v>2034</c:v>
                </c:pt>
                <c:pt idx="20">
                  <c:v>2035</c:v>
                </c:pt>
                <c:pt idx="21">
                  <c:v>2036</c:v>
                </c:pt>
                <c:pt idx="22">
                  <c:v>2037</c:v>
                </c:pt>
                <c:pt idx="23">
                  <c:v>2038</c:v>
                </c:pt>
                <c:pt idx="24">
                  <c:v>2039</c:v>
                </c:pt>
                <c:pt idx="25">
                  <c:v>2040</c:v>
                </c:pt>
                <c:pt idx="26">
                  <c:v>2041</c:v>
                </c:pt>
                <c:pt idx="27">
                  <c:v>2042</c:v>
                </c:pt>
                <c:pt idx="28">
                  <c:v>2043</c:v>
                </c:pt>
                <c:pt idx="29">
                  <c:v>2044</c:v>
                </c:pt>
                <c:pt idx="30">
                  <c:v>2045</c:v>
                </c:pt>
                <c:pt idx="31">
                  <c:v>2046</c:v>
                </c:pt>
                <c:pt idx="32">
                  <c:v>2047</c:v>
                </c:pt>
                <c:pt idx="33">
                  <c:v>2048</c:v>
                </c:pt>
                <c:pt idx="34">
                  <c:v>2049</c:v>
                </c:pt>
                <c:pt idx="35">
                  <c:v>2050</c:v>
                </c:pt>
              </c:numCache>
            </c:numRef>
          </c:cat>
          <c:val>
            <c:numRef>
              <c:f>'HIDDEN_Dashboard charts data'!$F$22:$AO$22</c:f>
              <c:numCache>
                <c:formatCode>_-* #,##0_-;\-* #,##0_-;_-* "-"??_-;_-@_-</c:formatCode>
                <c:ptCount val="36"/>
                <c:pt idx="0">
                  <c:v>0</c:v>
                </c:pt>
                <c:pt idx="1">
                  <c:v>0</c:v>
                </c:pt>
                <c:pt idx="2">
                  <c:v>0</c:v>
                </c:pt>
                <c:pt idx="3">
                  <c:v>0</c:v>
                </c:pt>
                <c:pt idx="4">
                  <c:v>0</c:v>
                </c:pt>
                <c:pt idx="5">
                  <c:v>0</c:v>
                </c:pt>
                <c:pt idx="6">
                  <c:v>1148.219596288993</c:v>
                </c:pt>
                <c:pt idx="7">
                  <c:v>3126.2449512406206</c:v>
                </c:pt>
                <c:pt idx="8">
                  <c:v>5832.762571064678</c:v>
                </c:pt>
                <c:pt idx="9">
                  <c:v>9407.6815662333593</c:v>
                </c:pt>
                <c:pt idx="10">
                  <c:v>13315.487755284135</c:v>
                </c:pt>
                <c:pt idx="11">
                  <c:v>17715.388057030203</c:v>
                </c:pt>
                <c:pt idx="12">
                  <c:v>22122.059721761285</c:v>
                </c:pt>
                <c:pt idx="13">
                  <c:v>25895.745252142868</c:v>
                </c:pt>
                <c:pt idx="14">
                  <c:v>29093.820465551747</c:v>
                </c:pt>
                <c:pt idx="15">
                  <c:v>32048.285499697005</c:v>
                </c:pt>
                <c:pt idx="16">
                  <c:v>32387.453136808072</c:v>
                </c:pt>
                <c:pt idx="17">
                  <c:v>32248.805521680624</c:v>
                </c:pt>
                <c:pt idx="18">
                  <c:v>31005.871497198623</c:v>
                </c:pt>
                <c:pt idx="19">
                  <c:v>28891.495396367558</c:v>
                </c:pt>
                <c:pt idx="20">
                  <c:v>30261.007371804091</c:v>
                </c:pt>
                <c:pt idx="21">
                  <c:v>31721.270668084784</c:v>
                </c:pt>
                <c:pt idx="22">
                  <c:v>34081.917462986094</c:v>
                </c:pt>
                <c:pt idx="23">
                  <c:v>36496.987741842349</c:v>
                </c:pt>
                <c:pt idx="24">
                  <c:v>38967.927845446451</c:v>
                </c:pt>
                <c:pt idx="25">
                  <c:v>41900.701688587244</c:v>
                </c:pt>
                <c:pt idx="26">
                  <c:v>44616.739468673484</c:v>
                </c:pt>
                <c:pt idx="27">
                  <c:v>47406.921519235977</c:v>
                </c:pt>
                <c:pt idx="28">
                  <c:v>50273.418291268878</c:v>
                </c:pt>
                <c:pt idx="29">
                  <c:v>53218.462821064859</c:v>
                </c:pt>
                <c:pt idx="30">
                  <c:v>55969.909859479798</c:v>
                </c:pt>
                <c:pt idx="31">
                  <c:v>59122.927603594741</c:v>
                </c:pt>
                <c:pt idx="32">
                  <c:v>62367.02053523784</c:v>
                </c:pt>
                <c:pt idx="33">
                  <c:v>65704.866755024137</c:v>
                </c:pt>
                <c:pt idx="34">
                  <c:v>69139.223097663722</c:v>
                </c:pt>
                <c:pt idx="35">
                  <c:v>72672.927451448937</c:v>
                </c:pt>
              </c:numCache>
            </c:numRef>
          </c:val>
          <c:extLst xmlns:c16r2="http://schemas.microsoft.com/office/drawing/2015/06/chart">
            <c:ext xmlns:c16="http://schemas.microsoft.com/office/drawing/2014/chart" uri="{C3380CC4-5D6E-409C-BE32-E72D297353CC}">
              <c16:uniqueId val="{00000001-D0F1-5447-BEE7-16A833788769}"/>
            </c:ext>
          </c:extLst>
        </c:ser>
        <c:ser>
          <c:idx val="3"/>
          <c:order val="2"/>
          <c:tx>
            <c:strRef>
              <c:f>'HIDDEN_Dashboard charts data'!$B$24</c:f>
              <c:strCache>
                <c:ptCount val="1"/>
                <c:pt idx="0">
                  <c:v>Advocate for all existing building to be zero net by 2050 - RESIDENTIAL BUILDINGS</c:v>
                </c:pt>
              </c:strCache>
            </c:strRef>
          </c:tx>
          <c:spPr>
            <a:solidFill>
              <a:schemeClr val="accent2">
                <a:lumMod val="40000"/>
                <a:lumOff val="60000"/>
              </a:schemeClr>
            </a:solidFill>
            <a:ln w="25400">
              <a:noFill/>
            </a:ln>
            <a:effectLst/>
          </c:spPr>
          <c:cat>
            <c:numRef>
              <c:f>'HIDDEN_Dashboard charts data'!$F$13:$AO$13</c:f>
              <c:numCache>
                <c:formatCode>General</c:formatCode>
                <c:ptCount val="3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pt idx="16">
                  <c:v>2031</c:v>
                </c:pt>
                <c:pt idx="17">
                  <c:v>2032</c:v>
                </c:pt>
                <c:pt idx="18">
                  <c:v>2033</c:v>
                </c:pt>
                <c:pt idx="19">
                  <c:v>2034</c:v>
                </c:pt>
                <c:pt idx="20">
                  <c:v>2035</c:v>
                </c:pt>
                <c:pt idx="21">
                  <c:v>2036</c:v>
                </c:pt>
                <c:pt idx="22">
                  <c:v>2037</c:v>
                </c:pt>
                <c:pt idx="23">
                  <c:v>2038</c:v>
                </c:pt>
                <c:pt idx="24">
                  <c:v>2039</c:v>
                </c:pt>
                <c:pt idx="25">
                  <c:v>2040</c:v>
                </c:pt>
                <c:pt idx="26">
                  <c:v>2041</c:v>
                </c:pt>
                <c:pt idx="27">
                  <c:v>2042</c:v>
                </c:pt>
                <c:pt idx="28">
                  <c:v>2043</c:v>
                </c:pt>
                <c:pt idx="29">
                  <c:v>2044</c:v>
                </c:pt>
                <c:pt idx="30">
                  <c:v>2045</c:v>
                </c:pt>
                <c:pt idx="31">
                  <c:v>2046</c:v>
                </c:pt>
                <c:pt idx="32">
                  <c:v>2047</c:v>
                </c:pt>
                <c:pt idx="33">
                  <c:v>2048</c:v>
                </c:pt>
                <c:pt idx="34">
                  <c:v>2049</c:v>
                </c:pt>
                <c:pt idx="35">
                  <c:v>2050</c:v>
                </c:pt>
              </c:numCache>
            </c:numRef>
          </c:cat>
          <c:val>
            <c:numRef>
              <c:f>'HIDDEN_Dashboard charts data'!$F$24:$AO$24</c:f>
              <c:numCache>
                <c:formatCode>_-* #,##0_-;\-* #,##0_-;_-* "-"??_-;_-@_-</c:formatCode>
                <c:ptCount val="36"/>
                <c:pt idx="0">
                  <c:v>0</c:v>
                </c:pt>
                <c:pt idx="1">
                  <c:v>0</c:v>
                </c:pt>
                <c:pt idx="2">
                  <c:v>0</c:v>
                </c:pt>
                <c:pt idx="3">
                  <c:v>0</c:v>
                </c:pt>
                <c:pt idx="4">
                  <c:v>0</c:v>
                </c:pt>
                <c:pt idx="5">
                  <c:v>0</c:v>
                </c:pt>
                <c:pt idx="6">
                  <c:v>5151.7217664279833</c:v>
                </c:pt>
                <c:pt idx="7">
                  <c:v>9935.4634066825402</c:v>
                </c:pt>
                <c:pt idx="8">
                  <c:v>14351.224920763669</c:v>
                </c:pt>
                <c:pt idx="9">
                  <c:v>18399.006308671367</c:v>
                </c:pt>
                <c:pt idx="10">
                  <c:v>22078.807570405643</c:v>
                </c:pt>
                <c:pt idx="11">
                  <c:v>26494.569084486771</c:v>
                </c:pt>
                <c:pt idx="12">
                  <c:v>29602.410125154274</c:v>
                </c:pt>
                <c:pt idx="13">
                  <c:v>31857.602643378606</c:v>
                </c:pt>
                <c:pt idx="14">
                  <c:v>33622.746440886716</c:v>
                </c:pt>
                <c:pt idx="15">
                  <c:v>34920.715002409575</c:v>
                </c:pt>
                <c:pt idx="16">
                  <c:v>35051.833768795776</c:v>
                </c:pt>
                <c:pt idx="17">
                  <c:v>34249.607084999079</c:v>
                </c:pt>
                <c:pt idx="18">
                  <c:v>31996.260494901275</c:v>
                </c:pt>
                <c:pt idx="19">
                  <c:v>29382.255044196285</c:v>
                </c:pt>
                <c:pt idx="20">
                  <c:v>30370.095358003844</c:v>
                </c:pt>
                <c:pt idx="21">
                  <c:v>31453.595288200697</c:v>
                </c:pt>
                <c:pt idx="22">
                  <c:v>32527.670520046944</c:v>
                </c:pt>
                <c:pt idx="23">
                  <c:v>33592.390926007538</c:v>
                </c:pt>
                <c:pt idx="24">
                  <c:v>34647.825689559715</c:v>
                </c:pt>
                <c:pt idx="25">
                  <c:v>36041.96748750165</c:v>
                </c:pt>
                <c:pt idx="26">
                  <c:v>37175.508409067777</c:v>
                </c:pt>
                <c:pt idx="27">
                  <c:v>38305.253029786647</c:v>
                </c:pt>
                <c:pt idx="28">
                  <c:v>39431.248437982213</c:v>
                </c:pt>
                <c:pt idx="29">
                  <c:v>40553.540946423331</c:v>
                </c:pt>
                <c:pt idx="30">
                  <c:v>41468.837920231934</c:v>
                </c:pt>
                <c:pt idx="31">
                  <c:v>42621.016945947595</c:v>
                </c:pt>
                <c:pt idx="32">
                  <c:v>43771.500713493835</c:v>
                </c:pt>
                <c:pt idx="33">
                  <c:v>44920.29817669902</c:v>
                </c:pt>
                <c:pt idx="34">
                  <c:v>46067.418226447204</c:v>
                </c:pt>
                <c:pt idx="35">
                  <c:v>47212.869691230211</c:v>
                </c:pt>
              </c:numCache>
            </c:numRef>
          </c:val>
          <c:extLst xmlns:c16r2="http://schemas.microsoft.com/office/drawing/2015/06/chart">
            <c:ext xmlns:c16="http://schemas.microsoft.com/office/drawing/2014/chart" uri="{C3380CC4-5D6E-409C-BE32-E72D297353CC}">
              <c16:uniqueId val="{00000002-D0F1-5447-BEE7-16A833788769}"/>
            </c:ext>
          </c:extLst>
        </c:ser>
        <c:ser>
          <c:idx val="4"/>
          <c:order val="3"/>
          <c:tx>
            <c:strRef>
              <c:f>'HIDDEN_Dashboard charts data'!$B$25:$C$25</c:f>
              <c:strCache>
                <c:ptCount val="1"/>
                <c:pt idx="0">
                  <c:v>Partner to deliver gas to electricity substitution</c:v>
                </c:pt>
              </c:strCache>
            </c:strRef>
          </c:tx>
          <c:spPr>
            <a:solidFill>
              <a:srgbClr val="00B050"/>
            </a:solidFill>
            <a:ln w="25400">
              <a:noFill/>
            </a:ln>
            <a:effectLst/>
          </c:spPr>
          <c:val>
            <c:numRef>
              <c:f>'HIDDEN_Dashboard charts data'!$F$25:$AO$25</c:f>
              <c:numCache>
                <c:formatCode>_-* #,##0_-;\-* #,##0_-;_-* "-"??_-;_-@_-</c:formatCode>
                <c:ptCount val="36"/>
                <c:pt idx="0">
                  <c:v>0</c:v>
                </c:pt>
                <c:pt idx="1">
                  <c:v>0</c:v>
                </c:pt>
                <c:pt idx="2">
                  <c:v>0</c:v>
                </c:pt>
                <c:pt idx="3">
                  <c:v>0</c:v>
                </c:pt>
                <c:pt idx="4">
                  <c:v>0</c:v>
                </c:pt>
                <c:pt idx="5">
                  <c:v>0</c:v>
                </c:pt>
                <c:pt idx="6">
                  <c:v>18315.049208448418</c:v>
                </c:pt>
                <c:pt idx="7">
                  <c:v>37456.071224336658</c:v>
                </c:pt>
                <c:pt idx="8">
                  <c:v>57423.066047664739</c:v>
                </c:pt>
                <c:pt idx="9">
                  <c:v>78287.857400818713</c:v>
                </c:pt>
                <c:pt idx="10">
                  <c:v>100014.53342260556</c:v>
                </c:pt>
                <c:pt idx="11">
                  <c:v>122495.35852944614</c:v>
                </c:pt>
                <c:pt idx="12">
                  <c:v>145927.84795790218</c:v>
                </c:pt>
                <c:pt idx="13">
                  <c:v>170222.22205499114</c:v>
                </c:pt>
                <c:pt idx="14">
                  <c:v>195540.08419608159</c:v>
                </c:pt>
                <c:pt idx="15">
                  <c:v>221576.18356103275</c:v>
                </c:pt>
                <c:pt idx="16">
                  <c:v>237556.96179193383</c:v>
                </c:pt>
                <c:pt idx="17">
                  <c:v>254202.10945490605</c:v>
                </c:pt>
                <c:pt idx="18">
                  <c:v>271538.56044584425</c:v>
                </c:pt>
                <c:pt idx="19">
                  <c:v>289377.7774934849</c:v>
                </c:pt>
                <c:pt idx="20">
                  <c:v>307944.20973028464</c:v>
                </c:pt>
                <c:pt idx="21">
                  <c:v>327031.36395438336</c:v>
                </c:pt>
                <c:pt idx="22">
                  <c:v>346787.82810894982</c:v>
                </c:pt>
                <c:pt idx="23">
                  <c:v>367233.36899519194</c:v>
                </c:pt>
                <c:pt idx="24">
                  <c:v>388388.29000691517</c:v>
                </c:pt>
                <c:pt idx="25">
                  <c:v>410273.444983177</c:v>
                </c:pt>
                <c:pt idx="26">
                  <c:v>432910.25240681146</c:v>
                </c:pt>
                <c:pt idx="27">
                  <c:v>456320.70995725982</c:v>
                </c:pt>
                <c:pt idx="28">
                  <c:v>480527.40942633915</c:v>
                </c:pt>
                <c:pt idx="29">
                  <c:v>505553.55200579204</c:v>
                </c:pt>
                <c:pt idx="30">
                  <c:v>531422.96395566838</c:v>
                </c:pt>
                <c:pt idx="31">
                  <c:v>558160.11266280909</c:v>
                </c:pt>
                <c:pt idx="32">
                  <c:v>585790.12309892359</c:v>
                </c:pt>
                <c:pt idx="33">
                  <c:v>614338.79468797764</c:v>
                </c:pt>
                <c:pt idx="34">
                  <c:v>643832.61859284202</c:v>
                </c:pt>
                <c:pt idx="35">
                  <c:v>674298.79543139064</c:v>
                </c:pt>
              </c:numCache>
            </c:numRef>
          </c:val>
          <c:extLst xmlns:c16r2="http://schemas.microsoft.com/office/drawing/2015/06/chart">
            <c:ext xmlns:c16="http://schemas.microsoft.com/office/drawing/2014/chart" uri="{C3380CC4-5D6E-409C-BE32-E72D297353CC}">
              <c16:uniqueId val="{00000003-D0F1-5447-BEE7-16A833788769}"/>
            </c:ext>
          </c:extLst>
        </c:ser>
        <c:dLbls>
          <c:showLegendKey val="0"/>
          <c:showVal val="0"/>
          <c:showCatName val="0"/>
          <c:showSerName val="0"/>
          <c:showPercent val="0"/>
          <c:showBubbleSize val="0"/>
        </c:dLbls>
        <c:axId val="411021312"/>
        <c:axId val="411022848"/>
      </c:areaChart>
      <c:catAx>
        <c:axId val="411021312"/>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en-US"/>
          </a:p>
        </c:txPr>
        <c:crossAx val="411022848"/>
        <c:crosses val="autoZero"/>
        <c:auto val="1"/>
        <c:lblAlgn val="ctr"/>
        <c:lblOffset val="100"/>
        <c:tickLblSkip val="5"/>
        <c:noMultiLvlLbl val="0"/>
      </c:catAx>
      <c:valAx>
        <c:axId val="411022848"/>
        <c:scaling>
          <c:orientation val="minMax"/>
        </c:scaling>
        <c:delete val="0"/>
        <c:axPos val="l"/>
        <c:majorGridlines>
          <c:spPr>
            <a:ln w="9525" cap="flat" cmpd="sng" algn="ctr">
              <a:solidFill>
                <a:schemeClr val="tx1">
                  <a:lumMod val="15000"/>
                  <a:lumOff val="85000"/>
                </a:schemeClr>
              </a:solidFill>
              <a:prstDash val="sysDot"/>
              <a:round/>
            </a:ln>
            <a:effectLst/>
          </c:spPr>
        </c:majorGridlines>
        <c:title>
          <c:tx>
            <c:rich>
              <a:bodyPr rot="-5400000" vert="horz"/>
              <a:lstStyle/>
              <a:p>
                <a:pPr>
                  <a:defRPr b="0"/>
                </a:pPr>
                <a:r>
                  <a:rPr lang="en-AU" b="0"/>
                  <a:t>Emissions (tCO</a:t>
                </a:r>
                <a:r>
                  <a:rPr lang="en-US" sz="900" b="0" i="0" u="none" strike="noStrike" baseline="-25000">
                    <a:effectLst/>
                  </a:rPr>
                  <a:t>2</a:t>
                </a:r>
                <a:r>
                  <a:rPr lang="en-AU" b="0"/>
                  <a:t>-e)</a:t>
                </a:r>
              </a:p>
            </c:rich>
          </c:tx>
          <c:layout>
            <c:manualLayout>
              <c:xMode val="edge"/>
              <c:yMode val="edge"/>
              <c:x val="4.9100815331767893E-3"/>
              <c:y val="0.17448272090988626"/>
            </c:manualLayout>
          </c:layout>
          <c:overlay val="0"/>
          <c:spPr>
            <a:noFill/>
            <a:ln>
              <a:noFill/>
            </a:ln>
            <a:effectLst/>
          </c:spPr>
        </c:title>
        <c:numFmt formatCode="#,##0" sourceLinked="0"/>
        <c:majorTickMark val="none"/>
        <c:minorTickMark val="none"/>
        <c:tickLblPos val="nextTo"/>
        <c:spPr>
          <a:noFill/>
          <a:ln>
            <a:noFill/>
          </a:ln>
          <a:effectLst/>
        </c:spPr>
        <c:txPr>
          <a:bodyPr rot="-60000000" vert="horz"/>
          <a:lstStyle/>
          <a:p>
            <a:pPr>
              <a:defRPr/>
            </a:pPr>
            <a:endParaRPr lang="en-US"/>
          </a:p>
        </c:txPr>
        <c:crossAx val="411021312"/>
        <c:crosses val="autoZero"/>
        <c:crossBetween val="midCat"/>
      </c:valAx>
      <c:spPr>
        <a:noFill/>
        <a:ln>
          <a:noFill/>
        </a:ln>
        <a:effectLst/>
      </c:spPr>
    </c:plotArea>
    <c:legend>
      <c:legendPos val="r"/>
      <c:layout>
        <c:manualLayout>
          <c:xMode val="edge"/>
          <c:yMode val="edge"/>
          <c:x val="0.66170464666889883"/>
          <c:y val="5.6784047827354911E-2"/>
          <c:w val="0.33829535333110117"/>
          <c:h val="0.8401356080489939"/>
        </c:manualLayout>
      </c:layout>
      <c:overlay val="0"/>
      <c:spPr>
        <a:noFill/>
        <a:ln>
          <a:noFill/>
        </a:ln>
        <a:effectLst/>
      </c:spPr>
      <c:txPr>
        <a:bodyPr rot="0" vert="horz"/>
        <a:lstStyle/>
        <a:p>
          <a:pPr>
            <a:defRPr/>
          </a:pPr>
          <a:endParaRPr lang="en-US"/>
        </a:p>
      </c:txPr>
    </c:legend>
    <c:plotVisOnly val="1"/>
    <c:dispBlanksAs val="zero"/>
    <c:showDLblsOverMax val="0"/>
  </c:chart>
  <c:spPr>
    <a:noFill/>
    <a:ln w="9525" cap="flat" cmpd="sng" algn="ctr">
      <a:noFill/>
      <a:round/>
    </a:ln>
    <a:effectLst/>
  </c:spPr>
  <c:txPr>
    <a:bodyPr/>
    <a:lstStyle/>
    <a:p>
      <a:pPr>
        <a:defRPr sz="900">
          <a:solidFill>
            <a:sysClr val="windowText" lastClr="000000"/>
          </a:solidFill>
        </a:defRPr>
      </a:pPr>
      <a:endParaRPr lang="en-US"/>
    </a:p>
  </c:tx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595642275284074"/>
          <c:y val="5.0925925925925923E-2"/>
          <c:w val="0.47470647837514313"/>
          <c:h val="0.79685914260717405"/>
        </c:manualLayout>
      </c:layout>
      <c:areaChart>
        <c:grouping val="stacked"/>
        <c:varyColors val="0"/>
        <c:ser>
          <c:idx val="0"/>
          <c:order val="0"/>
          <c:tx>
            <c:strRef>
              <c:f>'HIDDEN_Dashboard charts data'!$B$28</c:f>
              <c:strCache>
                <c:ptCount val="1"/>
                <c:pt idx="0">
                  <c:v>Reallocate road space to pedestrians and cyclists</c:v>
                </c:pt>
              </c:strCache>
            </c:strRef>
          </c:tx>
          <c:spPr>
            <a:solidFill>
              <a:schemeClr val="accent5">
                <a:lumMod val="40000"/>
                <a:lumOff val="60000"/>
              </a:schemeClr>
            </a:solidFill>
            <a:ln>
              <a:noFill/>
            </a:ln>
            <a:effectLst/>
          </c:spPr>
          <c:cat>
            <c:numRef>
              <c:f>'HIDDEN_Dashboard charts data'!$F$13:$AO$13</c:f>
              <c:numCache>
                <c:formatCode>General</c:formatCode>
                <c:ptCount val="3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pt idx="16">
                  <c:v>2031</c:v>
                </c:pt>
                <c:pt idx="17">
                  <c:v>2032</c:v>
                </c:pt>
                <c:pt idx="18">
                  <c:v>2033</c:v>
                </c:pt>
                <c:pt idx="19">
                  <c:v>2034</c:v>
                </c:pt>
                <c:pt idx="20">
                  <c:v>2035</c:v>
                </c:pt>
                <c:pt idx="21">
                  <c:v>2036</c:v>
                </c:pt>
                <c:pt idx="22">
                  <c:v>2037</c:v>
                </c:pt>
                <c:pt idx="23">
                  <c:v>2038</c:v>
                </c:pt>
                <c:pt idx="24">
                  <c:v>2039</c:v>
                </c:pt>
                <c:pt idx="25">
                  <c:v>2040</c:v>
                </c:pt>
                <c:pt idx="26">
                  <c:v>2041</c:v>
                </c:pt>
                <c:pt idx="27">
                  <c:v>2042</c:v>
                </c:pt>
                <c:pt idx="28">
                  <c:v>2043</c:v>
                </c:pt>
                <c:pt idx="29">
                  <c:v>2044</c:v>
                </c:pt>
                <c:pt idx="30">
                  <c:v>2045</c:v>
                </c:pt>
                <c:pt idx="31">
                  <c:v>2046</c:v>
                </c:pt>
                <c:pt idx="32">
                  <c:v>2047</c:v>
                </c:pt>
                <c:pt idx="33">
                  <c:v>2048</c:v>
                </c:pt>
                <c:pt idx="34">
                  <c:v>2049</c:v>
                </c:pt>
                <c:pt idx="35">
                  <c:v>2050</c:v>
                </c:pt>
              </c:numCache>
            </c:numRef>
          </c:cat>
          <c:val>
            <c:numRef>
              <c:f>('HIDDEN_Dashboard charts data'!$C$28,'HIDDEN_Dashboard charts data'!$F$28:$AO$28)</c:f>
              <c:numCache>
                <c:formatCode>_-* #,##0_-;\-* #,##0_-;_-* "-"??_-;_-@_-</c:formatCode>
                <c:ptCount val="37"/>
                <c:pt idx="1">
                  <c:v>0</c:v>
                </c:pt>
                <c:pt idx="2">
                  <c:v>0</c:v>
                </c:pt>
                <c:pt idx="3">
                  <c:v>0</c:v>
                </c:pt>
                <c:pt idx="4">
                  <c:v>0</c:v>
                </c:pt>
                <c:pt idx="5">
                  <c:v>0</c:v>
                </c:pt>
                <c:pt idx="6">
                  <c:v>0</c:v>
                </c:pt>
                <c:pt idx="7">
                  <c:v>4124.9332918762739</c:v>
                </c:pt>
                <c:pt idx="8">
                  <c:v>8278.3471288522978</c:v>
                </c:pt>
                <c:pt idx="9">
                  <c:v>12460.388993576602</c:v>
                </c:pt>
                <c:pt idx="10">
                  <c:v>16671.207047558986</c:v>
                </c:pt>
                <c:pt idx="11">
                  <c:v>20910.950134100032</c:v>
                </c:pt>
                <c:pt idx="12">
                  <c:v>25179.767781232706</c:v>
                </c:pt>
                <c:pt idx="13">
                  <c:v>29477.810204676189</c:v>
                </c:pt>
                <c:pt idx="14">
                  <c:v>33805.228310801933</c:v>
                </c:pt>
                <c:pt idx="15">
                  <c:v>38162.173699611973</c:v>
                </c:pt>
                <c:pt idx="16">
                  <c:v>42548.798667729585</c:v>
                </c:pt>
                <c:pt idx="17">
                  <c:v>44118.877047074944</c:v>
                </c:pt>
                <c:pt idx="18">
                  <c:v>45699.288915126817</c:v>
                </c:pt>
                <c:pt idx="19">
                  <c:v>47290.086907148972</c:v>
                </c:pt>
                <c:pt idx="20">
                  <c:v>48891.323898670293</c:v>
                </c:pt>
                <c:pt idx="21">
                  <c:v>50503.053006516435</c:v>
                </c:pt>
                <c:pt idx="22">
                  <c:v>52125.327589845539</c:v>
                </c:pt>
                <c:pt idx="23">
                  <c:v>53758.201251188526</c:v>
                </c:pt>
                <c:pt idx="24">
                  <c:v>55401.727837493418</c:v>
                </c:pt>
                <c:pt idx="25">
                  <c:v>57055.961441174186</c:v>
                </c:pt>
                <c:pt idx="26">
                  <c:v>58720.956401163698</c:v>
                </c:pt>
                <c:pt idx="27">
                  <c:v>60396.767303971195</c:v>
                </c:pt>
                <c:pt idx="28">
                  <c:v>62083.448984744085</c:v>
                </c:pt>
                <c:pt idx="29">
                  <c:v>63781.05652833404</c:v>
                </c:pt>
                <c:pt idx="30">
                  <c:v>65489.645270367677</c:v>
                </c:pt>
                <c:pt idx="31">
                  <c:v>67209.270798321333</c:v>
                </c:pt>
                <c:pt idx="32">
                  <c:v>68939.988952600645</c:v>
                </c:pt>
                <c:pt idx="33">
                  <c:v>70681.855827624328</c:v>
                </c:pt>
                <c:pt idx="34">
                  <c:v>72434.927772912502</c:v>
                </c:pt>
                <c:pt idx="35">
                  <c:v>74199.261394179528</c:v>
                </c:pt>
                <c:pt idx="36">
                  <c:v>75974.913554431245</c:v>
                </c:pt>
              </c:numCache>
            </c:numRef>
          </c:val>
          <c:extLst xmlns:c16r2="http://schemas.microsoft.com/office/drawing/2015/06/chart">
            <c:ext xmlns:c16="http://schemas.microsoft.com/office/drawing/2014/chart" uri="{C3380CC4-5D6E-409C-BE32-E72D297353CC}">
              <c16:uniqueId val="{00000000-9101-3C4C-B968-410EE57C185B}"/>
            </c:ext>
          </c:extLst>
        </c:ser>
        <c:ser>
          <c:idx val="1"/>
          <c:order val="1"/>
          <c:tx>
            <c:strRef>
              <c:f>'HIDDEN_Dashboard charts data'!$B$29</c:f>
              <c:strCache>
                <c:ptCount val="1"/>
                <c:pt idx="0">
                  <c:v>Implement higher charges for congestion and parking</c:v>
                </c:pt>
              </c:strCache>
            </c:strRef>
          </c:tx>
          <c:spPr>
            <a:solidFill>
              <a:schemeClr val="accent5">
                <a:lumMod val="60000"/>
                <a:lumOff val="40000"/>
              </a:schemeClr>
            </a:solidFill>
            <a:ln>
              <a:noFill/>
            </a:ln>
            <a:effectLst/>
          </c:spPr>
          <c:cat>
            <c:numRef>
              <c:f>'HIDDEN_Dashboard charts data'!$F$13:$AO$13</c:f>
              <c:numCache>
                <c:formatCode>General</c:formatCode>
                <c:ptCount val="3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pt idx="16">
                  <c:v>2031</c:v>
                </c:pt>
                <c:pt idx="17">
                  <c:v>2032</c:v>
                </c:pt>
                <c:pt idx="18">
                  <c:v>2033</c:v>
                </c:pt>
                <c:pt idx="19">
                  <c:v>2034</c:v>
                </c:pt>
                <c:pt idx="20">
                  <c:v>2035</c:v>
                </c:pt>
                <c:pt idx="21">
                  <c:v>2036</c:v>
                </c:pt>
                <c:pt idx="22">
                  <c:v>2037</c:v>
                </c:pt>
                <c:pt idx="23">
                  <c:v>2038</c:v>
                </c:pt>
                <c:pt idx="24">
                  <c:v>2039</c:v>
                </c:pt>
                <c:pt idx="25">
                  <c:v>2040</c:v>
                </c:pt>
                <c:pt idx="26">
                  <c:v>2041</c:v>
                </c:pt>
                <c:pt idx="27">
                  <c:v>2042</c:v>
                </c:pt>
                <c:pt idx="28">
                  <c:v>2043</c:v>
                </c:pt>
                <c:pt idx="29">
                  <c:v>2044</c:v>
                </c:pt>
                <c:pt idx="30">
                  <c:v>2045</c:v>
                </c:pt>
                <c:pt idx="31">
                  <c:v>2046</c:v>
                </c:pt>
                <c:pt idx="32">
                  <c:v>2047</c:v>
                </c:pt>
                <c:pt idx="33">
                  <c:v>2048</c:v>
                </c:pt>
                <c:pt idx="34">
                  <c:v>2049</c:v>
                </c:pt>
                <c:pt idx="35">
                  <c:v>2050</c:v>
                </c:pt>
              </c:numCache>
            </c:numRef>
          </c:cat>
          <c:val>
            <c:numRef>
              <c:f>('HIDDEN_Dashboard charts data'!$C$29,'HIDDEN_Dashboard charts data'!$F$29:$AO$29)</c:f>
              <c:numCache>
                <c:formatCode>_-* #,##0_-;\-* #,##0_-;_-* "-"??_-;_-@_-</c:formatCode>
                <c:ptCount val="37"/>
                <c:pt idx="1">
                  <c:v>0</c:v>
                </c:pt>
                <c:pt idx="2">
                  <c:v>0</c:v>
                </c:pt>
                <c:pt idx="3">
                  <c:v>0</c:v>
                </c:pt>
                <c:pt idx="4">
                  <c:v>0</c:v>
                </c:pt>
                <c:pt idx="5">
                  <c:v>0</c:v>
                </c:pt>
                <c:pt idx="6">
                  <c:v>0</c:v>
                </c:pt>
                <c:pt idx="7">
                  <c:v>3437.4444098968947</c:v>
                </c:pt>
                <c:pt idx="8">
                  <c:v>6898.6226073769158</c:v>
                </c:pt>
                <c:pt idx="9">
                  <c:v>10383.65749464717</c:v>
                </c:pt>
                <c:pt idx="10">
                  <c:v>13892.672539632489</c:v>
                </c:pt>
                <c:pt idx="11">
                  <c:v>17425.791778416693</c:v>
                </c:pt>
                <c:pt idx="12">
                  <c:v>20983.139817693922</c:v>
                </c:pt>
                <c:pt idx="13">
                  <c:v>24564.841837230157</c:v>
                </c:pt>
                <c:pt idx="14">
                  <c:v>28171.023592334943</c:v>
                </c:pt>
                <c:pt idx="15">
                  <c:v>31801.811416343306</c:v>
                </c:pt>
                <c:pt idx="16">
                  <c:v>35457.332223107987</c:v>
                </c:pt>
                <c:pt idx="17">
                  <c:v>37358.726531797329</c:v>
                </c:pt>
                <c:pt idx="18">
                  <c:v>39272.826411437112</c:v>
                </c:pt>
                <c:pt idx="19">
                  <c:v>41199.696926682824</c:v>
                </c:pt>
                <c:pt idx="20">
                  <c:v>43139.403440003203</c:v>
                </c:pt>
                <c:pt idx="21">
                  <c:v>45092.011612961105</c:v>
                </c:pt>
                <c:pt idx="22">
                  <c:v>47057.58740749945</c:v>
                </c:pt>
                <c:pt idx="23">
                  <c:v>49036.19708723278</c:v>
                </c:pt>
                <c:pt idx="24">
                  <c:v>51027.907218743945</c:v>
                </c:pt>
                <c:pt idx="25">
                  <c:v>53032.784672886264</c:v>
                </c:pt>
                <c:pt idx="26">
                  <c:v>55050.896626090973</c:v>
                </c:pt>
                <c:pt idx="27">
                  <c:v>57082.310561680097</c:v>
                </c:pt>
                <c:pt idx="28">
                  <c:v>59127.094271184847</c:v>
                </c:pt>
                <c:pt idx="29">
                  <c:v>61185.315855669287</c:v>
                </c:pt>
                <c:pt idx="30">
                  <c:v>63257.043727059696</c:v>
                </c:pt>
                <c:pt idx="31">
                  <c:v>65342.346609479086</c:v>
                </c:pt>
                <c:pt idx="32">
                  <c:v>67441.293540587605</c:v>
                </c:pt>
                <c:pt idx="33">
                  <c:v>69553.953872928207</c:v>
                </c:pt>
                <c:pt idx="34">
                  <c:v>71680.39727527801</c:v>
                </c:pt>
                <c:pt idx="35">
                  <c:v>73820.693734005152</c:v>
                </c:pt>
                <c:pt idx="36">
                  <c:v>75974.913554431245</c:v>
                </c:pt>
              </c:numCache>
            </c:numRef>
          </c:val>
          <c:extLst xmlns:c16r2="http://schemas.microsoft.com/office/drawing/2015/06/chart">
            <c:ext xmlns:c16="http://schemas.microsoft.com/office/drawing/2014/chart" uri="{C3380CC4-5D6E-409C-BE32-E72D297353CC}">
              <c16:uniqueId val="{00000001-9101-3C4C-B968-410EE57C185B}"/>
            </c:ext>
          </c:extLst>
        </c:ser>
        <c:ser>
          <c:idx val="2"/>
          <c:order val="2"/>
          <c:tx>
            <c:strRef>
              <c:f>'HIDDEN_Dashboard charts data'!$B$30</c:f>
              <c:strCache>
                <c:ptCount val="1"/>
                <c:pt idx="0">
                  <c:v>Advocate for all public transport to be powered by renewable energy
</c:v>
                </c:pt>
              </c:strCache>
            </c:strRef>
          </c:tx>
          <c:spPr>
            <a:solidFill>
              <a:schemeClr val="accent5">
                <a:lumMod val="75000"/>
              </a:schemeClr>
            </a:solidFill>
            <a:ln>
              <a:noFill/>
            </a:ln>
            <a:effectLst/>
          </c:spPr>
          <c:cat>
            <c:numRef>
              <c:f>'HIDDEN_Dashboard charts data'!$F$13:$AO$13</c:f>
              <c:numCache>
                <c:formatCode>General</c:formatCode>
                <c:ptCount val="3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pt idx="16">
                  <c:v>2031</c:v>
                </c:pt>
                <c:pt idx="17">
                  <c:v>2032</c:v>
                </c:pt>
                <c:pt idx="18">
                  <c:v>2033</c:v>
                </c:pt>
                <c:pt idx="19">
                  <c:v>2034</c:v>
                </c:pt>
                <c:pt idx="20">
                  <c:v>2035</c:v>
                </c:pt>
                <c:pt idx="21">
                  <c:v>2036</c:v>
                </c:pt>
                <c:pt idx="22">
                  <c:v>2037</c:v>
                </c:pt>
                <c:pt idx="23">
                  <c:v>2038</c:v>
                </c:pt>
                <c:pt idx="24">
                  <c:v>2039</c:v>
                </c:pt>
                <c:pt idx="25">
                  <c:v>2040</c:v>
                </c:pt>
                <c:pt idx="26">
                  <c:v>2041</c:v>
                </c:pt>
                <c:pt idx="27">
                  <c:v>2042</c:v>
                </c:pt>
                <c:pt idx="28">
                  <c:v>2043</c:v>
                </c:pt>
                <c:pt idx="29">
                  <c:v>2044</c:v>
                </c:pt>
                <c:pt idx="30">
                  <c:v>2045</c:v>
                </c:pt>
                <c:pt idx="31">
                  <c:v>2046</c:v>
                </c:pt>
                <c:pt idx="32">
                  <c:v>2047</c:v>
                </c:pt>
                <c:pt idx="33">
                  <c:v>2048</c:v>
                </c:pt>
                <c:pt idx="34">
                  <c:v>2049</c:v>
                </c:pt>
                <c:pt idx="35">
                  <c:v>2050</c:v>
                </c:pt>
              </c:numCache>
            </c:numRef>
          </c:cat>
          <c:val>
            <c:numRef>
              <c:f>('HIDDEN_Dashboard charts data'!$C$30,'HIDDEN_Dashboard charts data'!$F$30:$AO$30)</c:f>
              <c:numCache>
                <c:formatCode>_-* #,##0_-;\-* #,##0_-;_-* "-"??_-;_-@_-</c:formatCode>
                <c:ptCount val="37"/>
                <c:pt idx="1">
                  <c:v>0</c:v>
                </c:pt>
                <c:pt idx="2">
                  <c:v>0</c:v>
                </c:pt>
                <c:pt idx="3">
                  <c:v>0</c:v>
                </c:pt>
                <c:pt idx="4">
                  <c:v>0</c:v>
                </c:pt>
                <c:pt idx="5">
                  <c:v>0</c:v>
                </c:pt>
                <c:pt idx="6">
                  <c:v>0</c:v>
                </c:pt>
                <c:pt idx="7">
                  <c:v>2447.1626511081677</c:v>
                </c:pt>
                <c:pt idx="8">
                  <c:v>5008.7295604296805</c:v>
                </c:pt>
                <c:pt idx="9">
                  <c:v>7688.7120063806124</c:v>
                </c:pt>
                <c:pt idx="10">
                  <c:v>10491.246284903345</c:v>
                </c:pt>
                <c:pt idx="11">
                  <c:v>13420.597362303401</c:v>
                </c:pt>
                <c:pt idx="12">
                  <c:v>16481.162630547788</c:v>
                </c:pt>
                <c:pt idx="13">
                  <c:v>19677.475767819138</c:v>
                </c:pt>
                <c:pt idx="14">
                  <c:v>23014.210707194339</c:v>
                </c:pt>
                <c:pt idx="15">
                  <c:v>26496.185716393295</c:v>
                </c:pt>
                <c:pt idx="16">
                  <c:v>30128.367591621689</c:v>
                </c:pt>
                <c:pt idx="17">
                  <c:v>33145.060605689643</c:v>
                </c:pt>
                <c:pt idx="18">
                  <c:v>36286.321597635921</c:v>
                </c:pt>
                <c:pt idx="19">
                  <c:v>39556.325814486532</c:v>
                </c:pt>
                <c:pt idx="20">
                  <c:v>42959.375632983116</c:v>
                </c:pt>
                <c:pt idx="21">
                  <c:v>46499.904221574077</c:v>
                </c:pt>
                <c:pt idx="22">
                  <c:v>50182.479304141198</c:v>
                </c:pt>
                <c:pt idx="23">
                  <c:v>54011.807028217045</c:v>
                </c:pt>
                <c:pt idx="24">
                  <c:v>57992.735940521277</c:v>
                </c:pt>
                <c:pt idx="25">
                  <c:v>62130.261072719957</c:v>
                </c:pt>
                <c:pt idx="26">
                  <c:v>66429.528140388269</c:v>
                </c:pt>
                <c:pt idx="27">
                  <c:v>70895.837858236453</c:v>
                </c:pt>
                <c:pt idx="28">
                  <c:v>75534.650374740246</c:v>
                </c:pt>
                <c:pt idx="29">
                  <c:v>80351.589829399949</c:v>
                </c:pt>
                <c:pt idx="30">
                  <c:v>85352.449035937956</c:v>
                </c:pt>
                <c:pt idx="31">
                  <c:v>90543.19429483256</c:v>
                </c:pt>
                <c:pt idx="32">
                  <c:v>95929.970338675383</c:v>
                </c:pt>
                <c:pt idx="33">
                  <c:v>101519.1054139325</c:v>
                </c:pt>
                <c:pt idx="34">
                  <c:v>107317.11650278419</c:v>
                </c:pt>
                <c:pt idx="35">
                  <c:v>113330.71468881499</c:v>
                </c:pt>
                <c:pt idx="36">
                  <c:v>119566.81067042617</c:v>
                </c:pt>
              </c:numCache>
            </c:numRef>
          </c:val>
          <c:extLst xmlns:c16r2="http://schemas.microsoft.com/office/drawing/2015/06/chart">
            <c:ext xmlns:c16="http://schemas.microsoft.com/office/drawing/2014/chart" uri="{C3380CC4-5D6E-409C-BE32-E72D297353CC}">
              <c16:uniqueId val="{00000002-9101-3C4C-B968-410EE57C185B}"/>
            </c:ext>
          </c:extLst>
        </c:ser>
        <c:ser>
          <c:idx val="3"/>
          <c:order val="3"/>
          <c:tx>
            <c:strRef>
              <c:f>'HIDDEN_Dashboard charts data'!$B$31</c:f>
              <c:strCache>
                <c:ptCount val="1"/>
                <c:pt idx="0">
                  <c:v>Advocate for lower intensity of motor vehicles and support transition to electric vehicles</c:v>
                </c:pt>
              </c:strCache>
            </c:strRef>
          </c:tx>
          <c:spPr>
            <a:solidFill>
              <a:schemeClr val="accent5">
                <a:lumMod val="50000"/>
              </a:schemeClr>
            </a:solidFill>
            <a:ln>
              <a:noFill/>
            </a:ln>
            <a:effectLst/>
          </c:spPr>
          <c:cat>
            <c:numRef>
              <c:f>'HIDDEN_Dashboard charts data'!$F$13:$AO$13</c:f>
              <c:numCache>
                <c:formatCode>General</c:formatCode>
                <c:ptCount val="3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pt idx="16">
                  <c:v>2031</c:v>
                </c:pt>
                <c:pt idx="17">
                  <c:v>2032</c:v>
                </c:pt>
                <c:pt idx="18">
                  <c:v>2033</c:v>
                </c:pt>
                <c:pt idx="19">
                  <c:v>2034</c:v>
                </c:pt>
                <c:pt idx="20">
                  <c:v>2035</c:v>
                </c:pt>
                <c:pt idx="21">
                  <c:v>2036</c:v>
                </c:pt>
                <c:pt idx="22">
                  <c:v>2037</c:v>
                </c:pt>
                <c:pt idx="23">
                  <c:v>2038</c:v>
                </c:pt>
                <c:pt idx="24">
                  <c:v>2039</c:v>
                </c:pt>
                <c:pt idx="25">
                  <c:v>2040</c:v>
                </c:pt>
                <c:pt idx="26">
                  <c:v>2041</c:v>
                </c:pt>
                <c:pt idx="27">
                  <c:v>2042</c:v>
                </c:pt>
                <c:pt idx="28">
                  <c:v>2043</c:v>
                </c:pt>
                <c:pt idx="29">
                  <c:v>2044</c:v>
                </c:pt>
                <c:pt idx="30">
                  <c:v>2045</c:v>
                </c:pt>
                <c:pt idx="31">
                  <c:v>2046</c:v>
                </c:pt>
                <c:pt idx="32">
                  <c:v>2047</c:v>
                </c:pt>
                <c:pt idx="33">
                  <c:v>2048</c:v>
                </c:pt>
                <c:pt idx="34">
                  <c:v>2049</c:v>
                </c:pt>
                <c:pt idx="35">
                  <c:v>2050</c:v>
                </c:pt>
              </c:numCache>
            </c:numRef>
          </c:cat>
          <c:val>
            <c:numRef>
              <c:f>('HIDDEN_Dashboard charts data'!$C$31,'HIDDEN_Dashboard charts data'!$F$31:$AO$31)</c:f>
              <c:numCache>
                <c:formatCode>_-* #,##0_-;\-* #,##0_-;_-* "-"??_-;_-@_-</c:formatCode>
                <c:ptCount val="37"/>
                <c:pt idx="1">
                  <c:v>0</c:v>
                </c:pt>
                <c:pt idx="2">
                  <c:v>0</c:v>
                </c:pt>
                <c:pt idx="3">
                  <c:v>0</c:v>
                </c:pt>
                <c:pt idx="4">
                  <c:v>0</c:v>
                </c:pt>
                <c:pt idx="5">
                  <c:v>0</c:v>
                </c:pt>
                <c:pt idx="6">
                  <c:v>0</c:v>
                </c:pt>
                <c:pt idx="7">
                  <c:v>9826.7245865536406</c:v>
                </c:pt>
                <c:pt idx="8">
                  <c:v>19555.730715091511</c:v>
                </c:pt>
                <c:pt idx="9">
                  <c:v>29185.654997797054</c:v>
                </c:pt>
                <c:pt idx="10">
                  <c:v>38715.12382474426</c:v>
                </c:pt>
                <c:pt idx="11">
                  <c:v>48142.753302756035</c:v>
                </c:pt>
                <c:pt idx="12">
                  <c:v>57467.14919393872</c:v>
                </c:pt>
                <c:pt idx="13">
                  <c:v>66686.906853891196</c:v>
                </c:pt>
                <c:pt idx="14">
                  <c:v>75800.611169586977</c:v>
                </c:pt>
                <c:pt idx="15">
                  <c:v>84806.836496927586</c:v>
                </c:pt>
                <c:pt idx="16">
                  <c:v>93704.146597965941</c:v>
                </c:pt>
                <c:pt idx="17">
                  <c:v>107804.44790276526</c:v>
                </c:pt>
                <c:pt idx="18">
                  <c:v>121915.30161261921</c:v>
                </c:pt>
                <c:pt idx="19">
                  <c:v>136036.3167298398</c:v>
                </c:pt>
                <c:pt idx="20">
                  <c:v>150167.09841013129</c:v>
                </c:pt>
                <c:pt idx="21">
                  <c:v>164307.24793716575</c:v>
                </c:pt>
                <c:pt idx="22">
                  <c:v>178456.36269701683</c:v>
                </c:pt>
                <c:pt idx="23">
                  <c:v>192614.03615245089</c:v>
                </c:pt>
                <c:pt idx="24">
                  <c:v>206779.85781707475</c:v>
                </c:pt>
                <c:pt idx="25">
                  <c:v>220953.41322933987</c:v>
                </c:pt>
                <c:pt idx="26">
                  <c:v>235134.28392640071</c:v>
                </c:pt>
                <c:pt idx="27">
                  <c:v>249322.04741782878</c:v>
                </c:pt>
                <c:pt idx="28">
                  <c:v>263516.27715917997</c:v>
                </c:pt>
                <c:pt idx="29">
                  <c:v>277716.54252541449</c:v>
                </c:pt>
                <c:pt idx="30">
                  <c:v>291922.40878416994</c:v>
                </c:pt>
                <c:pt idx="31">
                  <c:v>306133.43706888508</c:v>
                </c:pt>
                <c:pt idx="32">
                  <c:v>320349.18435177498</c:v>
                </c:pt>
                <c:pt idx="33">
                  <c:v>334569.20341665624</c:v>
                </c:pt>
                <c:pt idx="34">
                  <c:v>348793.04283162055</c:v>
                </c:pt>
                <c:pt idx="35">
                  <c:v>363020.2469215584</c:v>
                </c:pt>
                <c:pt idx="36">
                  <c:v>377250.35574052838</c:v>
                </c:pt>
              </c:numCache>
            </c:numRef>
          </c:val>
          <c:extLst xmlns:c16r2="http://schemas.microsoft.com/office/drawing/2015/06/chart">
            <c:ext xmlns:c16="http://schemas.microsoft.com/office/drawing/2014/chart" uri="{C3380CC4-5D6E-409C-BE32-E72D297353CC}">
              <c16:uniqueId val="{00000003-9101-3C4C-B968-410EE57C185B}"/>
            </c:ext>
          </c:extLst>
        </c:ser>
        <c:dLbls>
          <c:showLegendKey val="0"/>
          <c:showVal val="0"/>
          <c:showCatName val="0"/>
          <c:showSerName val="0"/>
          <c:showPercent val="0"/>
          <c:showBubbleSize val="0"/>
        </c:dLbls>
        <c:axId val="420452224"/>
        <c:axId val="420453760"/>
      </c:areaChart>
      <c:catAx>
        <c:axId val="420452224"/>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en-US"/>
          </a:p>
        </c:txPr>
        <c:crossAx val="420453760"/>
        <c:crosses val="autoZero"/>
        <c:auto val="1"/>
        <c:lblAlgn val="ctr"/>
        <c:lblOffset val="100"/>
        <c:tickLblSkip val="5"/>
        <c:noMultiLvlLbl val="0"/>
      </c:catAx>
      <c:valAx>
        <c:axId val="420453760"/>
        <c:scaling>
          <c:orientation val="minMax"/>
        </c:scaling>
        <c:delete val="0"/>
        <c:axPos val="l"/>
        <c:majorGridlines>
          <c:spPr>
            <a:ln w="9525" cap="flat" cmpd="sng" algn="ctr">
              <a:solidFill>
                <a:schemeClr val="tx1">
                  <a:lumMod val="15000"/>
                  <a:lumOff val="85000"/>
                </a:schemeClr>
              </a:solidFill>
              <a:prstDash val="sysDot"/>
              <a:round/>
            </a:ln>
            <a:effectLst/>
          </c:spPr>
        </c:majorGridlines>
        <c:title>
          <c:tx>
            <c:rich>
              <a:bodyPr rot="-5400000" vert="horz"/>
              <a:lstStyle/>
              <a:p>
                <a:pPr>
                  <a:defRPr b="0"/>
                </a:pPr>
                <a:r>
                  <a:rPr lang="en-AU" b="0"/>
                  <a:t>Emissions (tCO</a:t>
                </a:r>
                <a:r>
                  <a:rPr lang="en-US" sz="900" b="0" i="0" u="none" strike="noStrike" baseline="-25000">
                    <a:effectLst/>
                  </a:rPr>
                  <a:t>2</a:t>
                </a:r>
                <a:r>
                  <a:rPr lang="en-AU" b="0"/>
                  <a:t>-e)</a:t>
                </a:r>
              </a:p>
            </c:rich>
          </c:tx>
          <c:layout>
            <c:manualLayout>
              <c:xMode val="edge"/>
              <c:yMode val="edge"/>
              <c:x val="1.7954222662823805E-2"/>
              <c:y val="0.20061679790026246"/>
            </c:manualLayout>
          </c:layout>
          <c:overlay val="0"/>
          <c:spPr>
            <a:noFill/>
            <a:ln>
              <a:noFill/>
            </a:ln>
            <a:effectLst/>
          </c:spPr>
        </c:title>
        <c:numFmt formatCode="#,##0" sourceLinked="0"/>
        <c:majorTickMark val="none"/>
        <c:minorTickMark val="none"/>
        <c:tickLblPos val="nextTo"/>
        <c:spPr>
          <a:noFill/>
          <a:ln>
            <a:noFill/>
          </a:ln>
          <a:effectLst/>
        </c:spPr>
        <c:txPr>
          <a:bodyPr rot="-60000000" vert="horz"/>
          <a:lstStyle/>
          <a:p>
            <a:pPr>
              <a:defRPr/>
            </a:pPr>
            <a:endParaRPr lang="en-US"/>
          </a:p>
        </c:txPr>
        <c:crossAx val="420452224"/>
        <c:crosses val="autoZero"/>
        <c:crossBetween val="midCat"/>
      </c:valAx>
      <c:spPr>
        <a:noFill/>
        <a:ln>
          <a:noFill/>
        </a:ln>
        <a:effectLst/>
      </c:spPr>
    </c:plotArea>
    <c:legend>
      <c:legendPos val="r"/>
      <c:overlay val="0"/>
      <c:spPr>
        <a:noFill/>
        <a:ln>
          <a:noFill/>
        </a:ln>
        <a:effectLst/>
      </c:spPr>
      <c:txPr>
        <a:bodyPr rot="0" vert="horz"/>
        <a:lstStyle/>
        <a:p>
          <a:pPr>
            <a:defRPr/>
          </a:pPr>
          <a:endParaRPr lang="en-US"/>
        </a:p>
      </c:txPr>
    </c:legend>
    <c:plotVisOnly val="1"/>
    <c:dispBlanksAs val="zero"/>
    <c:showDLblsOverMax val="0"/>
  </c:chart>
  <c:spPr>
    <a:noFill/>
    <a:ln w="9525" cap="flat" cmpd="sng" algn="ctr">
      <a:noFill/>
      <a:round/>
    </a:ln>
    <a:effectLst/>
  </c:spPr>
  <c:txPr>
    <a:bodyPr/>
    <a:lstStyle/>
    <a:p>
      <a:pPr>
        <a:defRPr sz="900">
          <a:solidFill>
            <a:sysClr val="windowText" lastClr="000000"/>
          </a:solidFill>
          <a:latin typeface="+mn-lt"/>
        </a:defRPr>
      </a:pPr>
      <a:endParaRPr lang="en-US"/>
    </a:p>
  </c:txPr>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595642275284074"/>
          <c:y val="5.0925925925925923E-2"/>
          <c:w val="0.47470647837514313"/>
          <c:h val="0.79685914260717405"/>
        </c:manualLayout>
      </c:layout>
      <c:areaChart>
        <c:grouping val="stacked"/>
        <c:varyColors val="0"/>
        <c:ser>
          <c:idx val="0"/>
          <c:order val="0"/>
          <c:tx>
            <c:strRef>
              <c:f>'HIDDEN_Dashboard charts data'!$B$28</c:f>
              <c:strCache>
                <c:ptCount val="1"/>
                <c:pt idx="0">
                  <c:v>Reallocate road space to pedestrians and cyclists</c:v>
                </c:pt>
              </c:strCache>
            </c:strRef>
          </c:tx>
          <c:spPr>
            <a:solidFill>
              <a:srgbClr val="00AECB">
                <a:lumMod val="40000"/>
                <a:lumOff val="60000"/>
              </a:srgbClr>
            </a:solidFill>
            <a:ln>
              <a:noFill/>
            </a:ln>
            <a:effectLst/>
          </c:spPr>
          <c:cat>
            <c:numRef>
              <c:f>'HIDDEN_Dashboard charts data'!$F$13:$AO$13</c:f>
              <c:numCache>
                <c:formatCode>General</c:formatCode>
                <c:ptCount val="3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pt idx="16">
                  <c:v>2031</c:v>
                </c:pt>
                <c:pt idx="17">
                  <c:v>2032</c:v>
                </c:pt>
                <c:pt idx="18">
                  <c:v>2033</c:v>
                </c:pt>
                <c:pt idx="19">
                  <c:v>2034</c:v>
                </c:pt>
                <c:pt idx="20">
                  <c:v>2035</c:v>
                </c:pt>
                <c:pt idx="21">
                  <c:v>2036</c:v>
                </c:pt>
                <c:pt idx="22">
                  <c:v>2037</c:v>
                </c:pt>
                <c:pt idx="23">
                  <c:v>2038</c:v>
                </c:pt>
                <c:pt idx="24">
                  <c:v>2039</c:v>
                </c:pt>
                <c:pt idx="25">
                  <c:v>2040</c:v>
                </c:pt>
                <c:pt idx="26">
                  <c:v>2041</c:v>
                </c:pt>
                <c:pt idx="27">
                  <c:v>2042</c:v>
                </c:pt>
                <c:pt idx="28">
                  <c:v>2043</c:v>
                </c:pt>
                <c:pt idx="29">
                  <c:v>2044</c:v>
                </c:pt>
                <c:pt idx="30">
                  <c:v>2045</c:v>
                </c:pt>
                <c:pt idx="31">
                  <c:v>2046</c:v>
                </c:pt>
                <c:pt idx="32">
                  <c:v>2047</c:v>
                </c:pt>
                <c:pt idx="33">
                  <c:v>2048</c:v>
                </c:pt>
                <c:pt idx="34">
                  <c:v>2049</c:v>
                </c:pt>
                <c:pt idx="35">
                  <c:v>2050</c:v>
                </c:pt>
              </c:numCache>
            </c:numRef>
          </c:cat>
          <c:val>
            <c:numRef>
              <c:f>('HIDDEN_Dashboard charts data'!$C$28,'HIDDEN_Dashboard charts data'!$F$28:$AO$28)</c:f>
              <c:numCache>
                <c:formatCode>_-* #,##0_-;\-* #,##0_-;_-* "-"??_-;_-@_-</c:formatCode>
                <c:ptCount val="37"/>
                <c:pt idx="1">
                  <c:v>0</c:v>
                </c:pt>
                <c:pt idx="2">
                  <c:v>0</c:v>
                </c:pt>
                <c:pt idx="3">
                  <c:v>0</c:v>
                </c:pt>
                <c:pt idx="4">
                  <c:v>0</c:v>
                </c:pt>
                <c:pt idx="5">
                  <c:v>0</c:v>
                </c:pt>
                <c:pt idx="6">
                  <c:v>0</c:v>
                </c:pt>
                <c:pt idx="7">
                  <c:v>8249.8665837525477</c:v>
                </c:pt>
                <c:pt idx="8">
                  <c:v>16556.694257704596</c:v>
                </c:pt>
                <c:pt idx="9">
                  <c:v>24920.777987153204</c:v>
                </c:pt>
                <c:pt idx="10">
                  <c:v>33342.414095117972</c:v>
                </c:pt>
                <c:pt idx="11">
                  <c:v>41821.900268200065</c:v>
                </c:pt>
                <c:pt idx="12">
                  <c:v>50359.535562465411</c:v>
                </c:pt>
                <c:pt idx="13">
                  <c:v>58955.620409352377</c:v>
                </c:pt>
                <c:pt idx="14">
                  <c:v>67610.456621603866</c:v>
                </c:pt>
                <c:pt idx="15">
                  <c:v>76324.347399223945</c:v>
                </c:pt>
                <c:pt idx="16">
                  <c:v>85097.59733545917</c:v>
                </c:pt>
                <c:pt idx="17">
                  <c:v>86814.564511986173</c:v>
                </c:pt>
                <c:pt idx="18">
                  <c:v>88542.372273058209</c:v>
                </c:pt>
                <c:pt idx="19">
                  <c:v>90281.075004557133</c:v>
                </c:pt>
                <c:pt idx="20">
                  <c:v>92030.727338673489</c:v>
                </c:pt>
                <c:pt idx="21">
                  <c:v>93791.384154959087</c:v>
                </c:pt>
                <c:pt idx="22">
                  <c:v>95563.100581383478</c:v>
                </c:pt>
                <c:pt idx="23">
                  <c:v>97345.931995395425</c:v>
                </c:pt>
                <c:pt idx="24">
                  <c:v>99139.934024988208</c:v>
                </c:pt>
                <c:pt idx="25">
                  <c:v>100945.16254976971</c:v>
                </c:pt>
                <c:pt idx="26">
                  <c:v>102761.67370203647</c:v>
                </c:pt>
                <c:pt idx="27">
                  <c:v>104589.52386785255</c:v>
                </c:pt>
                <c:pt idx="28">
                  <c:v>106428.7696881327</c:v>
                </c:pt>
                <c:pt idx="29">
                  <c:v>108279.46805972987</c:v>
                </c:pt>
                <c:pt idx="30">
                  <c:v>110141.67613652744</c:v>
                </c:pt>
                <c:pt idx="31">
                  <c:v>112015.45133053555</c:v>
                </c:pt>
                <c:pt idx="32">
                  <c:v>113900.85131299237</c:v>
                </c:pt>
                <c:pt idx="33">
                  <c:v>115797.93401546963</c:v>
                </c:pt>
                <c:pt idx="34">
                  <c:v>117706.7576309828</c:v>
                </c:pt>
                <c:pt idx="35">
                  <c:v>119627.38061510575</c:v>
                </c:pt>
                <c:pt idx="36">
                  <c:v>121559.86168709</c:v>
                </c:pt>
              </c:numCache>
            </c:numRef>
          </c:val>
          <c:extLst xmlns:c16r2="http://schemas.microsoft.com/office/drawing/2015/06/chart">
            <c:ext xmlns:c16="http://schemas.microsoft.com/office/drawing/2014/chart" uri="{C3380CC4-5D6E-409C-BE32-E72D297353CC}">
              <c16:uniqueId val="{00000000-25F6-E44F-8508-138AA48BDD80}"/>
            </c:ext>
          </c:extLst>
        </c:ser>
        <c:ser>
          <c:idx val="1"/>
          <c:order val="1"/>
          <c:tx>
            <c:strRef>
              <c:f>'HIDDEN_Dashboard charts data'!$B$29</c:f>
              <c:strCache>
                <c:ptCount val="1"/>
                <c:pt idx="0">
                  <c:v>Implement higher charges for congestion and parking</c:v>
                </c:pt>
              </c:strCache>
            </c:strRef>
          </c:tx>
          <c:spPr>
            <a:solidFill>
              <a:srgbClr val="00AECB">
                <a:lumMod val="60000"/>
                <a:lumOff val="40000"/>
              </a:srgbClr>
            </a:solidFill>
            <a:ln>
              <a:noFill/>
            </a:ln>
            <a:effectLst/>
          </c:spPr>
          <c:cat>
            <c:numRef>
              <c:f>'HIDDEN_Dashboard charts data'!$F$13:$AO$13</c:f>
              <c:numCache>
                <c:formatCode>General</c:formatCode>
                <c:ptCount val="3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pt idx="16">
                  <c:v>2031</c:v>
                </c:pt>
                <c:pt idx="17">
                  <c:v>2032</c:v>
                </c:pt>
                <c:pt idx="18">
                  <c:v>2033</c:v>
                </c:pt>
                <c:pt idx="19">
                  <c:v>2034</c:v>
                </c:pt>
                <c:pt idx="20">
                  <c:v>2035</c:v>
                </c:pt>
                <c:pt idx="21">
                  <c:v>2036</c:v>
                </c:pt>
                <c:pt idx="22">
                  <c:v>2037</c:v>
                </c:pt>
                <c:pt idx="23">
                  <c:v>2038</c:v>
                </c:pt>
                <c:pt idx="24">
                  <c:v>2039</c:v>
                </c:pt>
                <c:pt idx="25">
                  <c:v>2040</c:v>
                </c:pt>
                <c:pt idx="26">
                  <c:v>2041</c:v>
                </c:pt>
                <c:pt idx="27">
                  <c:v>2042</c:v>
                </c:pt>
                <c:pt idx="28">
                  <c:v>2043</c:v>
                </c:pt>
                <c:pt idx="29">
                  <c:v>2044</c:v>
                </c:pt>
                <c:pt idx="30">
                  <c:v>2045</c:v>
                </c:pt>
                <c:pt idx="31">
                  <c:v>2046</c:v>
                </c:pt>
                <c:pt idx="32">
                  <c:v>2047</c:v>
                </c:pt>
                <c:pt idx="33">
                  <c:v>2048</c:v>
                </c:pt>
                <c:pt idx="34">
                  <c:v>2049</c:v>
                </c:pt>
                <c:pt idx="35">
                  <c:v>2050</c:v>
                </c:pt>
              </c:numCache>
            </c:numRef>
          </c:cat>
          <c:val>
            <c:numRef>
              <c:f>('HIDDEN_Dashboard charts data'!$C$29,'HIDDEN_Dashboard charts data'!$F$29:$AO$29)</c:f>
              <c:numCache>
                <c:formatCode>_-* #,##0_-;\-* #,##0_-;_-* "-"??_-;_-@_-</c:formatCode>
                <c:ptCount val="37"/>
                <c:pt idx="1">
                  <c:v>0</c:v>
                </c:pt>
                <c:pt idx="2">
                  <c:v>0</c:v>
                </c:pt>
                <c:pt idx="3">
                  <c:v>0</c:v>
                </c:pt>
                <c:pt idx="4">
                  <c:v>0</c:v>
                </c:pt>
                <c:pt idx="5">
                  <c:v>0</c:v>
                </c:pt>
                <c:pt idx="6">
                  <c:v>0</c:v>
                </c:pt>
                <c:pt idx="7">
                  <c:v>5156.1666148453414</c:v>
                </c:pt>
                <c:pt idx="8">
                  <c:v>10347.933911065373</c:v>
                </c:pt>
                <c:pt idx="9">
                  <c:v>15575.48624197075</c:v>
                </c:pt>
                <c:pt idx="10">
                  <c:v>20839.008809448733</c:v>
                </c:pt>
                <c:pt idx="11">
                  <c:v>26138.687667625039</c:v>
                </c:pt>
                <c:pt idx="12">
                  <c:v>31474.709726540881</c:v>
                </c:pt>
                <c:pt idx="13">
                  <c:v>36847.262755845237</c:v>
                </c:pt>
                <c:pt idx="14">
                  <c:v>42256.535388502416</c:v>
                </c:pt>
                <c:pt idx="15">
                  <c:v>47702.717124514958</c:v>
                </c:pt>
                <c:pt idx="16">
                  <c:v>53185.998334661985</c:v>
                </c:pt>
                <c:pt idx="17">
                  <c:v>54259.102819991356</c:v>
                </c:pt>
                <c:pt idx="18">
                  <c:v>55338.982670661375</c:v>
                </c:pt>
                <c:pt idx="19">
                  <c:v>56425.671877848195</c:v>
                </c:pt>
                <c:pt idx="20">
                  <c:v>57519.204586670916</c:v>
                </c:pt>
                <c:pt idx="21">
                  <c:v>58619.615096849411</c:v>
                </c:pt>
                <c:pt idx="22">
                  <c:v>59726.937863364656</c:v>
                </c:pt>
                <c:pt idx="23">
                  <c:v>60841.207497122115</c:v>
                </c:pt>
                <c:pt idx="24">
                  <c:v>61962.458765617601</c:v>
                </c:pt>
                <c:pt idx="25">
                  <c:v>63090.726593606028</c:v>
                </c:pt>
                <c:pt idx="26">
                  <c:v>64226.046063772752</c:v>
                </c:pt>
                <c:pt idx="27">
                  <c:v>65368.452417407803</c:v>
                </c:pt>
                <c:pt idx="28">
                  <c:v>66517.981055082899</c:v>
                </c:pt>
                <c:pt idx="29">
                  <c:v>67674.667537331115</c:v>
                </c:pt>
                <c:pt idx="30">
                  <c:v>68838.547585329594</c:v>
                </c:pt>
                <c:pt idx="31">
                  <c:v>70009.65708158465</c:v>
                </c:pt>
                <c:pt idx="32">
                  <c:v>71188.03207062016</c:v>
                </c:pt>
                <c:pt idx="33">
                  <c:v>72373.708759668458</c:v>
                </c:pt>
                <c:pt idx="34">
                  <c:v>73566.723519364183</c:v>
                </c:pt>
                <c:pt idx="35">
                  <c:v>74767.112884441027</c:v>
                </c:pt>
                <c:pt idx="36">
                  <c:v>75974.913554431245</c:v>
                </c:pt>
              </c:numCache>
            </c:numRef>
          </c:val>
          <c:extLst xmlns:c16r2="http://schemas.microsoft.com/office/drawing/2015/06/chart">
            <c:ext xmlns:c16="http://schemas.microsoft.com/office/drawing/2014/chart" uri="{C3380CC4-5D6E-409C-BE32-E72D297353CC}">
              <c16:uniqueId val="{00000001-25F6-E44F-8508-138AA48BDD80}"/>
            </c:ext>
          </c:extLst>
        </c:ser>
        <c:ser>
          <c:idx val="2"/>
          <c:order val="2"/>
          <c:tx>
            <c:strRef>
              <c:f>'HIDDEN_Dashboard charts data'!$B$30</c:f>
              <c:strCache>
                <c:ptCount val="1"/>
                <c:pt idx="0">
                  <c:v>Advocate for all public transport to be powered by renewable energy
</c:v>
                </c:pt>
              </c:strCache>
            </c:strRef>
          </c:tx>
          <c:spPr>
            <a:solidFill>
              <a:srgbClr val="00AECB">
                <a:lumMod val="75000"/>
              </a:srgbClr>
            </a:solidFill>
            <a:ln>
              <a:noFill/>
            </a:ln>
            <a:effectLst/>
          </c:spPr>
          <c:cat>
            <c:numRef>
              <c:f>'HIDDEN_Dashboard charts data'!$F$13:$AO$13</c:f>
              <c:numCache>
                <c:formatCode>General</c:formatCode>
                <c:ptCount val="3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pt idx="16">
                  <c:v>2031</c:v>
                </c:pt>
                <c:pt idx="17">
                  <c:v>2032</c:v>
                </c:pt>
                <c:pt idx="18">
                  <c:v>2033</c:v>
                </c:pt>
                <c:pt idx="19">
                  <c:v>2034</c:v>
                </c:pt>
                <c:pt idx="20">
                  <c:v>2035</c:v>
                </c:pt>
                <c:pt idx="21">
                  <c:v>2036</c:v>
                </c:pt>
                <c:pt idx="22">
                  <c:v>2037</c:v>
                </c:pt>
                <c:pt idx="23">
                  <c:v>2038</c:v>
                </c:pt>
                <c:pt idx="24">
                  <c:v>2039</c:v>
                </c:pt>
                <c:pt idx="25">
                  <c:v>2040</c:v>
                </c:pt>
                <c:pt idx="26">
                  <c:v>2041</c:v>
                </c:pt>
                <c:pt idx="27">
                  <c:v>2042</c:v>
                </c:pt>
                <c:pt idx="28">
                  <c:v>2043</c:v>
                </c:pt>
                <c:pt idx="29">
                  <c:v>2044</c:v>
                </c:pt>
                <c:pt idx="30">
                  <c:v>2045</c:v>
                </c:pt>
                <c:pt idx="31">
                  <c:v>2046</c:v>
                </c:pt>
                <c:pt idx="32">
                  <c:v>2047</c:v>
                </c:pt>
                <c:pt idx="33">
                  <c:v>2048</c:v>
                </c:pt>
                <c:pt idx="34">
                  <c:v>2049</c:v>
                </c:pt>
                <c:pt idx="35">
                  <c:v>2050</c:v>
                </c:pt>
              </c:numCache>
            </c:numRef>
          </c:cat>
          <c:val>
            <c:numRef>
              <c:f>('HIDDEN_Dashboard charts data'!$C$30,'HIDDEN_Dashboard charts data'!$F$30:$AO$30)</c:f>
              <c:numCache>
                <c:formatCode>_-* #,##0_-;\-* #,##0_-;_-* "-"??_-;_-@_-</c:formatCode>
                <c:ptCount val="37"/>
                <c:pt idx="1">
                  <c:v>0</c:v>
                </c:pt>
                <c:pt idx="2">
                  <c:v>0</c:v>
                </c:pt>
                <c:pt idx="3">
                  <c:v>0</c:v>
                </c:pt>
                <c:pt idx="4">
                  <c:v>0</c:v>
                </c:pt>
                <c:pt idx="5">
                  <c:v>0</c:v>
                </c:pt>
                <c:pt idx="6">
                  <c:v>0</c:v>
                </c:pt>
                <c:pt idx="7">
                  <c:v>4894.3253022163353</c:v>
                </c:pt>
                <c:pt idx="8">
                  <c:v>10017.459120859361</c:v>
                </c:pt>
                <c:pt idx="9">
                  <c:v>15377.424012761225</c:v>
                </c:pt>
                <c:pt idx="10">
                  <c:v>20982.492569806691</c:v>
                </c:pt>
                <c:pt idx="11">
                  <c:v>26841.194724606801</c:v>
                </c:pt>
                <c:pt idx="12">
                  <c:v>32962.325261095575</c:v>
                </c:pt>
                <c:pt idx="13">
                  <c:v>39354.951535638276</c:v>
                </c:pt>
                <c:pt idx="14">
                  <c:v>46028.421414388678</c:v>
                </c:pt>
                <c:pt idx="15">
                  <c:v>52992.371432786589</c:v>
                </c:pt>
                <c:pt idx="16">
                  <c:v>60256.735183243378</c:v>
                </c:pt>
                <c:pt idx="17">
                  <c:v>62436.044396764213</c:v>
                </c:pt>
                <c:pt idx="18">
                  <c:v>64684.312413177067</c:v>
                </c:pt>
                <c:pt idx="19">
                  <c:v>67003.572298007799</c:v>
                </c:pt>
                <c:pt idx="20">
                  <c:v>69395.91448404963</c:v>
                </c:pt>
                <c:pt idx="21">
                  <c:v>71863.48834243264</c:v>
                </c:pt>
                <c:pt idx="22">
                  <c:v>74408.50379579555</c:v>
                </c:pt>
                <c:pt idx="23">
                  <c:v>77033.232974670187</c:v>
                </c:pt>
                <c:pt idx="24">
                  <c:v>79740.01191821674</c:v>
                </c:pt>
                <c:pt idx="25">
                  <c:v>82531.242320478734</c:v>
                </c:pt>
                <c:pt idx="26">
                  <c:v>85409.393323356329</c:v>
                </c:pt>
                <c:pt idx="27">
                  <c:v>88377.003357527603</c:v>
                </c:pt>
                <c:pt idx="28">
                  <c:v>91436.682032580284</c:v>
                </c:pt>
                <c:pt idx="29">
                  <c:v>94591.112077648024</c:v>
                </c:pt>
                <c:pt idx="30">
                  <c:v>97843.051333880067</c:v>
                </c:pt>
                <c:pt idx="31">
                  <c:v>101195.33480010694</c:v>
                </c:pt>
                <c:pt idx="32">
                  <c:v>104650.87673310038</c:v>
                </c:pt>
                <c:pt idx="33">
                  <c:v>108212.67280386208</c:v>
                </c:pt>
                <c:pt idx="34">
                  <c:v>111883.80231141328</c:v>
                </c:pt>
                <c:pt idx="35">
                  <c:v>115667.43045559464</c:v>
                </c:pt>
                <c:pt idx="36">
                  <c:v>119566.81067042617</c:v>
                </c:pt>
              </c:numCache>
            </c:numRef>
          </c:val>
          <c:extLst xmlns:c16r2="http://schemas.microsoft.com/office/drawing/2015/06/chart">
            <c:ext xmlns:c16="http://schemas.microsoft.com/office/drawing/2014/chart" uri="{C3380CC4-5D6E-409C-BE32-E72D297353CC}">
              <c16:uniqueId val="{00000002-25F6-E44F-8508-138AA48BDD80}"/>
            </c:ext>
          </c:extLst>
        </c:ser>
        <c:ser>
          <c:idx val="3"/>
          <c:order val="3"/>
          <c:tx>
            <c:strRef>
              <c:f>'HIDDEN_Dashboard charts data'!$B$31</c:f>
              <c:strCache>
                <c:ptCount val="1"/>
                <c:pt idx="0">
                  <c:v>Advocate for lower intensity of motor vehicles and support transition to electric vehicles</c:v>
                </c:pt>
              </c:strCache>
            </c:strRef>
          </c:tx>
          <c:spPr>
            <a:solidFill>
              <a:srgbClr val="00AECB">
                <a:lumMod val="50000"/>
              </a:srgbClr>
            </a:solidFill>
            <a:ln>
              <a:noFill/>
            </a:ln>
            <a:effectLst/>
          </c:spPr>
          <c:cat>
            <c:numRef>
              <c:f>'HIDDEN_Dashboard charts data'!$F$13:$AO$13</c:f>
              <c:numCache>
                <c:formatCode>General</c:formatCode>
                <c:ptCount val="3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pt idx="16">
                  <c:v>2031</c:v>
                </c:pt>
                <c:pt idx="17">
                  <c:v>2032</c:v>
                </c:pt>
                <c:pt idx="18">
                  <c:v>2033</c:v>
                </c:pt>
                <c:pt idx="19">
                  <c:v>2034</c:v>
                </c:pt>
                <c:pt idx="20">
                  <c:v>2035</c:v>
                </c:pt>
                <c:pt idx="21">
                  <c:v>2036</c:v>
                </c:pt>
                <c:pt idx="22">
                  <c:v>2037</c:v>
                </c:pt>
                <c:pt idx="23">
                  <c:v>2038</c:v>
                </c:pt>
                <c:pt idx="24">
                  <c:v>2039</c:v>
                </c:pt>
                <c:pt idx="25">
                  <c:v>2040</c:v>
                </c:pt>
                <c:pt idx="26">
                  <c:v>2041</c:v>
                </c:pt>
                <c:pt idx="27">
                  <c:v>2042</c:v>
                </c:pt>
                <c:pt idx="28">
                  <c:v>2043</c:v>
                </c:pt>
                <c:pt idx="29">
                  <c:v>2044</c:v>
                </c:pt>
                <c:pt idx="30">
                  <c:v>2045</c:v>
                </c:pt>
                <c:pt idx="31">
                  <c:v>2046</c:v>
                </c:pt>
                <c:pt idx="32">
                  <c:v>2047</c:v>
                </c:pt>
                <c:pt idx="33">
                  <c:v>2048</c:v>
                </c:pt>
                <c:pt idx="34">
                  <c:v>2049</c:v>
                </c:pt>
                <c:pt idx="35">
                  <c:v>2050</c:v>
                </c:pt>
              </c:numCache>
            </c:numRef>
          </c:cat>
          <c:val>
            <c:numRef>
              <c:f>('HIDDEN_Dashboard charts data'!$C$31,'HIDDEN_Dashboard charts data'!$F$31:$AO$31)</c:f>
              <c:numCache>
                <c:formatCode>_-* #,##0_-;\-* #,##0_-;_-* "-"??_-;_-@_-</c:formatCode>
                <c:ptCount val="37"/>
                <c:pt idx="1">
                  <c:v>0</c:v>
                </c:pt>
                <c:pt idx="2">
                  <c:v>0</c:v>
                </c:pt>
                <c:pt idx="3">
                  <c:v>0</c:v>
                </c:pt>
                <c:pt idx="4">
                  <c:v>0</c:v>
                </c:pt>
                <c:pt idx="5">
                  <c:v>0</c:v>
                </c:pt>
                <c:pt idx="6">
                  <c:v>0</c:v>
                </c:pt>
                <c:pt idx="7">
                  <c:v>24566.811466384097</c:v>
                </c:pt>
                <c:pt idx="8">
                  <c:v>48889.32678772878</c:v>
                </c:pt>
                <c:pt idx="9">
                  <c:v>72964.137494492636</c:v>
                </c:pt>
                <c:pt idx="10">
                  <c:v>96787.809561860675</c:v>
                </c:pt>
                <c:pt idx="11">
                  <c:v>120356.88325689008</c:v>
                </c:pt>
                <c:pt idx="12">
                  <c:v>143667.87298484679</c:v>
                </c:pt>
                <c:pt idx="13">
                  <c:v>166717.267134728</c:v>
                </c:pt>
                <c:pt idx="14">
                  <c:v>189501.52792396737</c:v>
                </c:pt>
                <c:pt idx="15">
                  <c:v>212017.09124231897</c:v>
                </c:pt>
                <c:pt idx="16">
                  <c:v>234260.36649491478</c:v>
                </c:pt>
                <c:pt idx="17">
                  <c:v>246075.37021283375</c:v>
                </c:pt>
                <c:pt idx="18">
                  <c:v>257897.75341130988</c:v>
                </c:pt>
                <c:pt idx="19">
                  <c:v>269727.17972295824</c:v>
                </c:pt>
                <c:pt idx="20">
                  <c:v>281563.30951899622</c:v>
                </c:pt>
                <c:pt idx="21">
                  <c:v>293405.79988779599</c:v>
                </c:pt>
                <c:pt idx="22">
                  <c:v>305254.30461331818</c:v>
                </c:pt>
                <c:pt idx="23">
                  <c:v>317108.4741534252</c:v>
                </c:pt>
                <c:pt idx="24">
                  <c:v>328967.95561807347</c:v>
                </c:pt>
                <c:pt idx="25">
                  <c:v>340832.39274738595</c:v>
                </c:pt>
                <c:pt idx="26">
                  <c:v>352701.42588960094</c:v>
                </c:pt>
                <c:pt idx="27">
                  <c:v>364574.69197890052</c:v>
                </c:pt>
                <c:pt idx="28">
                  <c:v>376451.82451311417</c:v>
                </c:pt>
                <c:pt idx="29">
                  <c:v>388332.45353129983</c:v>
                </c:pt>
                <c:pt idx="30">
                  <c:v>400216.20559120062</c:v>
                </c:pt>
                <c:pt idx="31">
                  <c:v>412102.70374657598</c:v>
                </c:pt>
                <c:pt idx="32">
                  <c:v>423991.56752440811</c:v>
                </c:pt>
                <c:pt idx="33">
                  <c:v>435882.41290198168</c:v>
                </c:pt>
                <c:pt idx="34">
                  <c:v>447774.8522838371</c:v>
                </c:pt>
                <c:pt idx="35">
                  <c:v>459668.49447859655</c:v>
                </c:pt>
                <c:pt idx="36">
                  <c:v>471562.94467566058</c:v>
                </c:pt>
              </c:numCache>
            </c:numRef>
          </c:val>
          <c:extLst xmlns:c16r2="http://schemas.microsoft.com/office/drawing/2015/06/chart">
            <c:ext xmlns:c16="http://schemas.microsoft.com/office/drawing/2014/chart" uri="{C3380CC4-5D6E-409C-BE32-E72D297353CC}">
              <c16:uniqueId val="{00000003-25F6-E44F-8508-138AA48BDD80}"/>
            </c:ext>
          </c:extLst>
        </c:ser>
        <c:dLbls>
          <c:showLegendKey val="0"/>
          <c:showVal val="0"/>
          <c:showCatName val="0"/>
          <c:showSerName val="0"/>
          <c:showPercent val="0"/>
          <c:showBubbleSize val="0"/>
        </c:dLbls>
        <c:axId val="422141312"/>
        <c:axId val="422151296"/>
      </c:areaChart>
      <c:catAx>
        <c:axId val="422141312"/>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en-US"/>
          </a:p>
        </c:txPr>
        <c:crossAx val="422151296"/>
        <c:crosses val="autoZero"/>
        <c:auto val="1"/>
        <c:lblAlgn val="ctr"/>
        <c:lblOffset val="100"/>
        <c:tickLblSkip val="5"/>
        <c:noMultiLvlLbl val="0"/>
      </c:catAx>
      <c:valAx>
        <c:axId val="422151296"/>
        <c:scaling>
          <c:orientation val="minMax"/>
        </c:scaling>
        <c:delete val="0"/>
        <c:axPos val="l"/>
        <c:majorGridlines>
          <c:spPr>
            <a:ln w="9525" cap="flat" cmpd="sng" algn="ctr">
              <a:solidFill>
                <a:schemeClr val="tx1">
                  <a:lumMod val="15000"/>
                  <a:lumOff val="85000"/>
                </a:schemeClr>
              </a:solidFill>
              <a:prstDash val="sysDot"/>
              <a:round/>
            </a:ln>
            <a:effectLst/>
          </c:spPr>
        </c:majorGridlines>
        <c:title>
          <c:tx>
            <c:rich>
              <a:bodyPr rot="-5400000" vert="horz"/>
              <a:lstStyle/>
              <a:p>
                <a:pPr>
                  <a:defRPr b="0"/>
                </a:pPr>
                <a:r>
                  <a:rPr lang="en-AU" b="0"/>
                  <a:t>Emissions (tCO</a:t>
                </a:r>
                <a:r>
                  <a:rPr lang="en-US" sz="900" b="0" i="0" u="none" strike="noStrike" baseline="-25000">
                    <a:effectLst/>
                  </a:rPr>
                  <a:t>2</a:t>
                </a:r>
                <a:r>
                  <a:rPr lang="en-AU" b="0"/>
                  <a:t>-e)</a:t>
                </a:r>
              </a:p>
            </c:rich>
          </c:tx>
          <c:layout>
            <c:manualLayout>
              <c:xMode val="edge"/>
              <c:yMode val="edge"/>
              <c:x val="1.7954222662823805E-2"/>
              <c:y val="0.20061679790026246"/>
            </c:manualLayout>
          </c:layout>
          <c:overlay val="0"/>
          <c:spPr>
            <a:noFill/>
            <a:ln>
              <a:noFill/>
            </a:ln>
            <a:effectLst/>
          </c:spPr>
        </c:title>
        <c:numFmt formatCode="#,##0" sourceLinked="0"/>
        <c:majorTickMark val="none"/>
        <c:minorTickMark val="none"/>
        <c:tickLblPos val="nextTo"/>
        <c:spPr>
          <a:noFill/>
          <a:ln>
            <a:noFill/>
          </a:ln>
          <a:effectLst/>
        </c:spPr>
        <c:txPr>
          <a:bodyPr rot="-60000000" vert="horz"/>
          <a:lstStyle/>
          <a:p>
            <a:pPr>
              <a:defRPr/>
            </a:pPr>
            <a:endParaRPr lang="en-US"/>
          </a:p>
        </c:txPr>
        <c:crossAx val="422141312"/>
        <c:crosses val="autoZero"/>
        <c:crossBetween val="midCat"/>
      </c:valAx>
      <c:spPr>
        <a:noFill/>
        <a:ln>
          <a:noFill/>
        </a:ln>
        <a:effectLst/>
      </c:spPr>
    </c:plotArea>
    <c:legend>
      <c:legendPos val="r"/>
      <c:overlay val="0"/>
      <c:spPr>
        <a:noFill/>
        <a:ln>
          <a:noFill/>
        </a:ln>
        <a:effectLst/>
      </c:spPr>
      <c:txPr>
        <a:bodyPr rot="0" vert="horz"/>
        <a:lstStyle/>
        <a:p>
          <a:pPr>
            <a:defRPr/>
          </a:pPr>
          <a:endParaRPr lang="en-US"/>
        </a:p>
      </c:txPr>
    </c:legend>
    <c:plotVisOnly val="1"/>
    <c:dispBlanksAs val="zero"/>
    <c:showDLblsOverMax val="0"/>
  </c:chart>
  <c:spPr>
    <a:noFill/>
    <a:ln w="9525" cap="flat" cmpd="sng" algn="ctr">
      <a:noFill/>
      <a:round/>
    </a:ln>
    <a:effectLst/>
  </c:spPr>
  <c:txPr>
    <a:bodyPr/>
    <a:lstStyle/>
    <a:p>
      <a:pPr>
        <a:defRPr sz="900">
          <a:solidFill>
            <a:sysClr val="windowText" lastClr="000000"/>
          </a:solidFill>
        </a:defRPr>
      </a:pPr>
      <a:endParaRPr lang="en-US"/>
    </a:p>
  </c:txPr>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113353510551459"/>
          <c:y val="5.0925925925925923E-2"/>
          <c:w val="0.48952936602246927"/>
          <c:h val="0.79685914260717405"/>
        </c:manualLayout>
      </c:layout>
      <c:areaChart>
        <c:grouping val="stacked"/>
        <c:varyColors val="0"/>
        <c:ser>
          <c:idx val="0"/>
          <c:order val="0"/>
          <c:tx>
            <c:strRef>
              <c:f>'HIDDEN_Dashboard charts data'!$B$34</c:f>
              <c:strCache>
                <c:ptCount val="1"/>
                <c:pt idx="0">
                  <c:v>Diversion of commercial and industrial waste from landfill</c:v>
                </c:pt>
              </c:strCache>
            </c:strRef>
          </c:tx>
          <c:spPr>
            <a:solidFill>
              <a:schemeClr val="accent4">
                <a:lumMod val="20000"/>
                <a:lumOff val="80000"/>
              </a:schemeClr>
            </a:solidFill>
            <a:ln w="25400">
              <a:noFill/>
            </a:ln>
            <a:effectLst/>
          </c:spPr>
          <c:cat>
            <c:numRef>
              <c:f>'HIDDEN_Dashboard charts data'!$F$13:$AO$13</c:f>
              <c:numCache>
                <c:formatCode>General</c:formatCode>
                <c:ptCount val="3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pt idx="16">
                  <c:v>2031</c:v>
                </c:pt>
                <c:pt idx="17">
                  <c:v>2032</c:v>
                </c:pt>
                <c:pt idx="18">
                  <c:v>2033</c:v>
                </c:pt>
                <c:pt idx="19">
                  <c:v>2034</c:v>
                </c:pt>
                <c:pt idx="20">
                  <c:v>2035</c:v>
                </c:pt>
                <c:pt idx="21">
                  <c:v>2036</c:v>
                </c:pt>
                <c:pt idx="22">
                  <c:v>2037</c:v>
                </c:pt>
                <c:pt idx="23">
                  <c:v>2038</c:v>
                </c:pt>
                <c:pt idx="24">
                  <c:v>2039</c:v>
                </c:pt>
                <c:pt idx="25">
                  <c:v>2040</c:v>
                </c:pt>
                <c:pt idx="26">
                  <c:v>2041</c:v>
                </c:pt>
                <c:pt idx="27">
                  <c:v>2042</c:v>
                </c:pt>
                <c:pt idx="28">
                  <c:v>2043</c:v>
                </c:pt>
                <c:pt idx="29">
                  <c:v>2044</c:v>
                </c:pt>
                <c:pt idx="30">
                  <c:v>2045</c:v>
                </c:pt>
                <c:pt idx="31">
                  <c:v>2046</c:v>
                </c:pt>
                <c:pt idx="32">
                  <c:v>2047</c:v>
                </c:pt>
                <c:pt idx="33">
                  <c:v>2048</c:v>
                </c:pt>
                <c:pt idx="34">
                  <c:v>2049</c:v>
                </c:pt>
                <c:pt idx="35">
                  <c:v>2050</c:v>
                </c:pt>
              </c:numCache>
            </c:numRef>
          </c:cat>
          <c:val>
            <c:numRef>
              <c:f>'HIDDEN_Dashboard charts data'!$F$34:$AO$34</c:f>
              <c:numCache>
                <c:formatCode>_-* #,##0_-;\-* #,##0_-;_-* "-"??_-;_-@_-</c:formatCode>
                <c:ptCount val="36"/>
                <c:pt idx="0">
                  <c:v>0</c:v>
                </c:pt>
                <c:pt idx="1">
                  <c:v>0</c:v>
                </c:pt>
                <c:pt idx="2">
                  <c:v>0</c:v>
                </c:pt>
                <c:pt idx="3">
                  <c:v>0</c:v>
                </c:pt>
                <c:pt idx="4">
                  <c:v>0</c:v>
                </c:pt>
                <c:pt idx="5">
                  <c:v>0</c:v>
                </c:pt>
                <c:pt idx="6">
                  <c:v>2984.6822580929147</c:v>
                </c:pt>
                <c:pt idx="7">
                  <c:v>6088.6468246156583</c:v>
                </c:pt>
                <c:pt idx="8">
                  <c:v>9334.3295763760107</c:v>
                </c:pt>
                <c:pt idx="9">
                  <c:v>12725.95129829651</c:v>
                </c:pt>
                <c:pt idx="10">
                  <c:v>16257.67436159018</c:v>
                </c:pt>
                <c:pt idx="11">
                  <c:v>19911.986025689228</c:v>
                </c:pt>
                <c:pt idx="12">
                  <c:v>23720.992993784195</c:v>
                </c:pt>
                <c:pt idx="13">
                  <c:v>27670.101303252333</c:v>
                </c:pt>
                <c:pt idx="14">
                  <c:v>31785.580028497498</c:v>
                </c:pt>
                <c:pt idx="15">
                  <c:v>36017.809798657778</c:v>
                </c:pt>
                <c:pt idx="16">
                  <c:v>39019.422080536897</c:v>
                </c:pt>
                <c:pt idx="17">
                  <c:v>42146.339134228067</c:v>
                </c:pt>
                <c:pt idx="18">
                  <c:v>45403.900788590487</c:v>
                </c:pt>
                <c:pt idx="19">
                  <c:v>48761.139248321881</c:v>
                </c:pt>
                <c:pt idx="20">
                  <c:v>52256.142080536578</c:v>
                </c:pt>
                <c:pt idx="21">
                  <c:v>55854.381604026537</c:v>
                </c:pt>
                <c:pt idx="22">
                  <c:v>59581.386614702584</c:v>
                </c:pt>
                <c:pt idx="23">
                  <c:v>63440.992952100874</c:v>
                </c:pt>
                <c:pt idx="24">
                  <c:v>67437.141083183058</c:v>
                </c:pt>
                <c:pt idx="25">
                  <c:v>71573.878811608884</c:v>
                </c:pt>
                <c:pt idx="26">
                  <c:v>75855.364054795878</c:v>
                </c:pt>
                <c:pt idx="27">
                  <c:v>80285.867690421117</c:v>
                </c:pt>
                <c:pt idx="28">
                  <c:v>84869.776474059909</c:v>
                </c:pt>
                <c:pt idx="29">
                  <c:v>89611.596029697859</c:v>
                </c:pt>
                <c:pt idx="30">
                  <c:v>94515.953914893034</c:v>
                </c:pt>
                <c:pt idx="31">
                  <c:v>99587.602762405761</c:v>
                </c:pt>
                <c:pt idx="32">
                  <c:v>104831.42350016371</c:v>
                </c:pt>
                <c:pt idx="33">
                  <c:v>110252.42865146569</c:v>
                </c:pt>
                <c:pt idx="34">
                  <c:v>115855.76571738027</c:v>
                </c:pt>
                <c:pt idx="35">
                  <c:v>121646.72064334044</c:v>
                </c:pt>
              </c:numCache>
            </c:numRef>
          </c:val>
        </c:ser>
        <c:ser>
          <c:idx val="1"/>
          <c:order val="1"/>
          <c:tx>
            <c:strRef>
              <c:f>'HIDDEN_Dashboard charts data'!$B$35</c:f>
              <c:strCache>
                <c:ptCount val="1"/>
                <c:pt idx="0">
                  <c:v>Diversion of residential waste from landfill</c:v>
                </c:pt>
              </c:strCache>
            </c:strRef>
          </c:tx>
          <c:spPr>
            <a:solidFill>
              <a:schemeClr val="accent4">
                <a:lumMod val="60000"/>
                <a:lumOff val="40000"/>
              </a:schemeClr>
            </a:solidFill>
            <a:ln w="25400">
              <a:noFill/>
            </a:ln>
            <a:effectLst/>
          </c:spPr>
          <c:cat>
            <c:numRef>
              <c:f>'HIDDEN_Dashboard charts data'!$F$13:$AO$13</c:f>
              <c:numCache>
                <c:formatCode>General</c:formatCode>
                <c:ptCount val="3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pt idx="16">
                  <c:v>2031</c:v>
                </c:pt>
                <c:pt idx="17">
                  <c:v>2032</c:v>
                </c:pt>
                <c:pt idx="18">
                  <c:v>2033</c:v>
                </c:pt>
                <c:pt idx="19">
                  <c:v>2034</c:v>
                </c:pt>
                <c:pt idx="20">
                  <c:v>2035</c:v>
                </c:pt>
                <c:pt idx="21">
                  <c:v>2036</c:v>
                </c:pt>
                <c:pt idx="22">
                  <c:v>2037</c:v>
                </c:pt>
                <c:pt idx="23">
                  <c:v>2038</c:v>
                </c:pt>
                <c:pt idx="24">
                  <c:v>2039</c:v>
                </c:pt>
                <c:pt idx="25">
                  <c:v>2040</c:v>
                </c:pt>
                <c:pt idx="26">
                  <c:v>2041</c:v>
                </c:pt>
                <c:pt idx="27">
                  <c:v>2042</c:v>
                </c:pt>
                <c:pt idx="28">
                  <c:v>2043</c:v>
                </c:pt>
                <c:pt idx="29">
                  <c:v>2044</c:v>
                </c:pt>
                <c:pt idx="30">
                  <c:v>2045</c:v>
                </c:pt>
                <c:pt idx="31">
                  <c:v>2046</c:v>
                </c:pt>
                <c:pt idx="32">
                  <c:v>2047</c:v>
                </c:pt>
                <c:pt idx="33">
                  <c:v>2048</c:v>
                </c:pt>
                <c:pt idx="34">
                  <c:v>2049</c:v>
                </c:pt>
                <c:pt idx="35">
                  <c:v>2050</c:v>
                </c:pt>
              </c:numCache>
            </c:numRef>
          </c:cat>
          <c:val>
            <c:numRef>
              <c:f>'HIDDEN_Dashboard charts data'!$F$35:$AO$35</c:f>
              <c:numCache>
                <c:formatCode>_-* #,##0_-;\-* #,##0_-;_-* "-"??_-;_-@_-</c:formatCode>
                <c:ptCount val="36"/>
                <c:pt idx="0">
                  <c:v>0</c:v>
                </c:pt>
                <c:pt idx="1">
                  <c:v>0</c:v>
                </c:pt>
                <c:pt idx="2">
                  <c:v>0</c:v>
                </c:pt>
                <c:pt idx="3">
                  <c:v>0</c:v>
                </c:pt>
                <c:pt idx="4">
                  <c:v>0</c:v>
                </c:pt>
                <c:pt idx="5">
                  <c:v>0</c:v>
                </c:pt>
                <c:pt idx="6">
                  <c:v>162.38709511890193</c:v>
                </c:pt>
                <c:pt idx="7">
                  <c:v>341.49698776248988</c:v>
                </c:pt>
                <c:pt idx="8">
                  <c:v>523.63850583457679</c:v>
                </c:pt>
                <c:pt idx="9">
                  <c:v>713.9698465923575</c:v>
                </c:pt>
                <c:pt idx="10">
                  <c:v>912.16359202265448</c:v>
                </c:pt>
                <c:pt idx="11">
                  <c:v>1117.2371237228872</c:v>
                </c:pt>
                <c:pt idx="12">
                  <c:v>1330.9918784008623</c:v>
                </c:pt>
                <c:pt idx="13">
                  <c:v>1552.6090377513392</c:v>
                </c:pt>
                <c:pt idx="14">
                  <c:v>1783.5626204689252</c:v>
                </c:pt>
                <c:pt idx="15">
                  <c:v>2021.0683892617526</c:v>
                </c:pt>
                <c:pt idx="16">
                  <c:v>2165.2909731543623</c:v>
                </c:pt>
                <c:pt idx="17">
                  <c:v>2315.5073456375758</c:v>
                </c:pt>
                <c:pt idx="18">
                  <c:v>2471.9595050335556</c:v>
                </c:pt>
                <c:pt idx="19">
                  <c:v>2632.9289664429452</c:v>
                </c:pt>
                <c:pt idx="20">
                  <c:v>2800.4568791946149</c:v>
                </c:pt>
                <c:pt idx="21">
                  <c:v>2972.6634261744839</c:v>
                </c:pt>
                <c:pt idx="22">
                  <c:v>3150.8986707777076</c:v>
                </c:pt>
                <c:pt idx="23">
                  <c:v>3335.3405330971727</c:v>
                </c:pt>
                <c:pt idx="24">
                  <c:v>3526.1717611644126</c:v>
                </c:pt>
                <c:pt idx="25">
                  <c:v>3723.58005555626</c:v>
                </c:pt>
                <c:pt idx="26">
                  <c:v>3927.7581971118052</c:v>
                </c:pt>
                <c:pt idx="27">
                  <c:v>4138.9041778360406</c:v>
                </c:pt>
                <c:pt idx="28">
                  <c:v>4357.2213350674574</c:v>
                </c:pt>
                <c:pt idx="29">
                  <c:v>4582.9184889894095</c:v>
                </c:pt>
                <c:pt idx="30">
                  <c:v>4816.2100835662277</c:v>
                </c:pt>
                <c:pt idx="31">
                  <c:v>5057.3163309879601</c:v>
                </c:pt>
                <c:pt idx="32">
                  <c:v>5306.4633597086067</c:v>
                </c:pt>
                <c:pt idx="33">
                  <c:v>5563.8833661655226</c:v>
                </c:pt>
                <c:pt idx="34">
                  <c:v>5829.8147702694114</c:v>
                </c:pt>
                <c:pt idx="35">
                  <c:v>6104.5023747564992</c:v>
                </c:pt>
              </c:numCache>
            </c:numRef>
          </c:val>
        </c:ser>
        <c:dLbls>
          <c:showLegendKey val="0"/>
          <c:showVal val="0"/>
          <c:showCatName val="0"/>
          <c:showSerName val="0"/>
          <c:showPercent val="0"/>
          <c:showBubbleSize val="0"/>
        </c:dLbls>
        <c:axId val="424085760"/>
        <c:axId val="424108032"/>
      </c:areaChart>
      <c:catAx>
        <c:axId val="424085760"/>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en-US"/>
          </a:p>
        </c:txPr>
        <c:crossAx val="424108032"/>
        <c:crosses val="autoZero"/>
        <c:auto val="1"/>
        <c:lblAlgn val="ctr"/>
        <c:lblOffset val="100"/>
        <c:tickLblSkip val="5"/>
        <c:noMultiLvlLbl val="0"/>
      </c:catAx>
      <c:valAx>
        <c:axId val="424108032"/>
        <c:scaling>
          <c:orientation val="minMax"/>
        </c:scaling>
        <c:delete val="0"/>
        <c:axPos val="l"/>
        <c:majorGridlines>
          <c:spPr>
            <a:ln w="9525" cap="flat" cmpd="sng" algn="ctr">
              <a:solidFill>
                <a:schemeClr val="tx1">
                  <a:lumMod val="15000"/>
                  <a:lumOff val="85000"/>
                </a:schemeClr>
              </a:solidFill>
              <a:prstDash val="sysDot"/>
              <a:round/>
            </a:ln>
            <a:effectLst/>
          </c:spPr>
        </c:majorGridlines>
        <c:title>
          <c:tx>
            <c:rich>
              <a:bodyPr rot="-5400000" vert="horz"/>
              <a:lstStyle/>
              <a:p>
                <a:pPr>
                  <a:defRPr b="0"/>
                </a:pPr>
                <a:r>
                  <a:rPr lang="en-AU" b="0"/>
                  <a:t>Emissions (tCO2-e)</a:t>
                </a:r>
              </a:p>
            </c:rich>
          </c:tx>
          <c:layout>
            <c:manualLayout>
              <c:xMode val="edge"/>
              <c:yMode val="edge"/>
              <c:x val="6.8370569273291876E-3"/>
              <c:y val="0.20061679790026246"/>
            </c:manualLayout>
          </c:layout>
          <c:overlay val="0"/>
          <c:spPr>
            <a:noFill/>
            <a:ln>
              <a:noFill/>
            </a:ln>
            <a:effectLst/>
          </c:spPr>
        </c:title>
        <c:numFmt formatCode="#,##0" sourceLinked="0"/>
        <c:majorTickMark val="none"/>
        <c:minorTickMark val="none"/>
        <c:tickLblPos val="nextTo"/>
        <c:spPr>
          <a:noFill/>
          <a:ln>
            <a:noFill/>
          </a:ln>
          <a:effectLst/>
        </c:spPr>
        <c:txPr>
          <a:bodyPr rot="-60000000" vert="horz"/>
          <a:lstStyle/>
          <a:p>
            <a:pPr>
              <a:defRPr/>
            </a:pPr>
            <a:endParaRPr lang="en-US"/>
          </a:p>
        </c:txPr>
        <c:crossAx val="424085760"/>
        <c:crosses val="autoZero"/>
        <c:crossBetween val="midCat"/>
      </c:valAx>
      <c:spPr>
        <a:noFill/>
        <a:ln>
          <a:noFill/>
        </a:ln>
        <a:effectLst/>
      </c:spPr>
    </c:plotArea>
    <c:legend>
      <c:legendPos val="r"/>
      <c:overlay val="0"/>
      <c:spPr>
        <a:noFill/>
        <a:ln>
          <a:noFill/>
        </a:ln>
        <a:effectLst/>
      </c:spPr>
      <c:txPr>
        <a:bodyPr rot="0" vert="horz"/>
        <a:lstStyle/>
        <a:p>
          <a:pPr>
            <a:defRPr/>
          </a:pPr>
          <a:endParaRPr lang="en-US"/>
        </a:p>
      </c:txPr>
    </c:legend>
    <c:plotVisOnly val="1"/>
    <c:dispBlanksAs val="zero"/>
    <c:showDLblsOverMax val="0"/>
  </c:chart>
  <c:spPr>
    <a:noFill/>
    <a:ln w="9525" cap="flat" cmpd="sng" algn="ctr">
      <a:solidFill>
        <a:schemeClr val="bg1"/>
      </a:solidFill>
      <a:round/>
    </a:ln>
    <a:effectLst/>
  </c:spPr>
  <c:txPr>
    <a:bodyPr/>
    <a:lstStyle/>
    <a:p>
      <a:pPr>
        <a:defRPr sz="900">
          <a:solidFill>
            <a:sysClr val="windowText" lastClr="000000"/>
          </a:solidFill>
        </a:defRPr>
      </a:pPr>
      <a:endParaRPr lang="en-US"/>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7326791175896403"/>
          <c:y val="4.5128205128205132E-2"/>
          <c:w val="0.61202569059310763"/>
          <c:h val="0.86469743589743586"/>
        </c:manualLayout>
      </c:layout>
      <c:areaChart>
        <c:grouping val="stacked"/>
        <c:varyColors val="0"/>
        <c:ser>
          <c:idx val="5"/>
          <c:order val="0"/>
          <c:tx>
            <c:strRef>
              <c:f>'HIDDEN_Dashboard charts data'!$B$11</c:f>
              <c:strCache>
                <c:ptCount val="1"/>
                <c:pt idx="0">
                  <c:v>Trajectory</c:v>
                </c:pt>
              </c:strCache>
            </c:strRef>
          </c:tx>
          <c:spPr>
            <a:noFill/>
            <a:ln w="25400">
              <a:noFill/>
            </a:ln>
            <a:effectLst/>
          </c:spPr>
          <c:cat>
            <c:numRef>
              <c:f>'HIDDEN_Dashboard charts data'!$F$5:$AO$5</c:f>
              <c:numCache>
                <c:formatCode>General</c:formatCode>
                <c:ptCount val="3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pt idx="16">
                  <c:v>2031</c:v>
                </c:pt>
                <c:pt idx="17">
                  <c:v>2032</c:v>
                </c:pt>
                <c:pt idx="18">
                  <c:v>2033</c:v>
                </c:pt>
                <c:pt idx="19">
                  <c:v>2034</c:v>
                </c:pt>
                <c:pt idx="20">
                  <c:v>2035</c:v>
                </c:pt>
                <c:pt idx="21">
                  <c:v>2036</c:v>
                </c:pt>
                <c:pt idx="22">
                  <c:v>2037</c:v>
                </c:pt>
                <c:pt idx="23">
                  <c:v>2038</c:v>
                </c:pt>
                <c:pt idx="24">
                  <c:v>2039</c:v>
                </c:pt>
                <c:pt idx="25">
                  <c:v>2040</c:v>
                </c:pt>
                <c:pt idx="26">
                  <c:v>2041</c:v>
                </c:pt>
                <c:pt idx="27">
                  <c:v>2042</c:v>
                </c:pt>
                <c:pt idx="28">
                  <c:v>2043</c:v>
                </c:pt>
                <c:pt idx="29">
                  <c:v>2044</c:v>
                </c:pt>
                <c:pt idx="30">
                  <c:v>2045</c:v>
                </c:pt>
                <c:pt idx="31">
                  <c:v>2046</c:v>
                </c:pt>
                <c:pt idx="32">
                  <c:v>2047</c:v>
                </c:pt>
                <c:pt idx="33">
                  <c:v>2048</c:v>
                </c:pt>
                <c:pt idx="34">
                  <c:v>2049</c:v>
                </c:pt>
                <c:pt idx="35">
                  <c:v>2050</c:v>
                </c:pt>
              </c:numCache>
            </c:numRef>
          </c:cat>
          <c:val>
            <c:numRef>
              <c:f>'HIDDEN_Dashboard charts data'!$F$11:$AO$11</c:f>
              <c:numCache>
                <c:formatCode>_-* #,##0_-;\-* #,##0_-;_-* "-"??_-;_-@_-</c:formatCode>
                <c:ptCount val="36"/>
                <c:pt idx="0">
                  <c:v>4700672.0338636925</c:v>
                </c:pt>
                <c:pt idx="1">
                  <c:v>4696369.2346580112</c:v>
                </c:pt>
                <c:pt idx="2">
                  <c:v>4741394.2660014536</c:v>
                </c:pt>
                <c:pt idx="3">
                  <c:v>4673472.859191576</c:v>
                </c:pt>
                <c:pt idx="4">
                  <c:v>4660297.4720965521</c:v>
                </c:pt>
                <c:pt idx="5">
                  <c:v>4649580.4904540591</c:v>
                </c:pt>
                <c:pt idx="6">
                  <c:v>4569755.9083100092</c:v>
                </c:pt>
                <c:pt idx="7">
                  <c:v>4486927.4055597363</c:v>
                </c:pt>
                <c:pt idx="8">
                  <c:v>4399627.2243290031</c:v>
                </c:pt>
                <c:pt idx="9">
                  <c:v>4307758.0957404599</c:v>
                </c:pt>
                <c:pt idx="10">
                  <c:v>4216066.0738056665</c:v>
                </c:pt>
                <c:pt idx="11">
                  <c:v>4082950.082974901</c:v>
                </c:pt>
                <c:pt idx="12">
                  <c:v>4096276.56518781</c:v>
                </c:pt>
                <c:pt idx="13">
                  <c:v>3788567.0350020635</c:v>
                </c:pt>
                <c:pt idx="14">
                  <c:v>3553418.3573113075</c:v>
                </c:pt>
                <c:pt idx="15">
                  <c:v>3339083.2338987836</c:v>
                </c:pt>
                <c:pt idx="16">
                  <c:v>3087613.1635764702</c:v>
                </c:pt>
                <c:pt idx="17">
                  <c:v>2933365.3285993156</c:v>
                </c:pt>
                <c:pt idx="18">
                  <c:v>2770269.2915973291</c:v>
                </c:pt>
                <c:pt idx="19">
                  <c:v>2541332.5626675757</c:v>
                </c:pt>
                <c:pt idx="20">
                  <c:v>2186903.9561544321</c:v>
                </c:pt>
                <c:pt idx="21">
                  <c:v>2077711.6552142885</c:v>
                </c:pt>
                <c:pt idx="22">
                  <c:v>1970859.6813678993</c:v>
                </c:pt>
                <c:pt idx="23">
                  <c:v>1856274.6587258829</c:v>
                </c:pt>
                <c:pt idx="24">
                  <c:v>1738300.6425200328</c:v>
                </c:pt>
                <c:pt idx="25">
                  <c:v>1590637.1380599621</c:v>
                </c:pt>
                <c:pt idx="26">
                  <c:v>1482064.0347196646</c:v>
                </c:pt>
                <c:pt idx="27">
                  <c:v>1353481.8133389903</c:v>
                </c:pt>
                <c:pt idx="28">
                  <c:v>1221024.9243863029</c:v>
                </c:pt>
                <c:pt idx="29">
                  <c:v>1084502.1704429276</c:v>
                </c:pt>
                <c:pt idx="30">
                  <c:v>955565.93959695986</c:v>
                </c:pt>
                <c:pt idx="31">
                  <c:v>899268.76799750002</c:v>
                </c:pt>
                <c:pt idx="32">
                  <c:v>854657.6816898454</c:v>
                </c:pt>
                <c:pt idx="33">
                  <c:v>807302.80057462351</c:v>
                </c:pt>
                <c:pt idx="34">
                  <c:v>757044.75032253889</c:v>
                </c:pt>
                <c:pt idx="35">
                  <c:v>703714.04068859806</c:v>
                </c:pt>
              </c:numCache>
            </c:numRef>
          </c:val>
          <c:extLst xmlns:c16r2="http://schemas.microsoft.com/office/drawing/2015/06/chart">
            <c:ext xmlns:c16="http://schemas.microsoft.com/office/drawing/2014/chart" uri="{C3380CC4-5D6E-409C-BE32-E72D297353CC}">
              <c16:uniqueId val="{00000000-937D-A743-910A-229FA2D339E8}"/>
            </c:ext>
          </c:extLst>
        </c:ser>
        <c:ser>
          <c:idx val="0"/>
          <c:order val="1"/>
          <c:tx>
            <c:strRef>
              <c:f>'HIDDEN_Dashboard charts data'!$B$7</c:f>
              <c:strCache>
                <c:ptCount val="1"/>
                <c:pt idx="0">
                  <c:v>Energy Supply</c:v>
                </c:pt>
              </c:strCache>
            </c:strRef>
          </c:tx>
          <c:spPr>
            <a:solidFill>
              <a:srgbClr val="0070C0"/>
            </a:solidFill>
            <a:ln>
              <a:noFill/>
            </a:ln>
            <a:effectLst/>
          </c:spPr>
          <c:cat>
            <c:numRef>
              <c:f>'HIDDEN_Dashboard charts data'!$F$5:$AO$5</c:f>
              <c:numCache>
                <c:formatCode>General</c:formatCode>
                <c:ptCount val="3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pt idx="16">
                  <c:v>2031</c:v>
                </c:pt>
                <c:pt idx="17">
                  <c:v>2032</c:v>
                </c:pt>
                <c:pt idx="18">
                  <c:v>2033</c:v>
                </c:pt>
                <c:pt idx="19">
                  <c:v>2034</c:v>
                </c:pt>
                <c:pt idx="20">
                  <c:v>2035</c:v>
                </c:pt>
                <c:pt idx="21">
                  <c:v>2036</c:v>
                </c:pt>
                <c:pt idx="22">
                  <c:v>2037</c:v>
                </c:pt>
                <c:pt idx="23">
                  <c:v>2038</c:v>
                </c:pt>
                <c:pt idx="24">
                  <c:v>2039</c:v>
                </c:pt>
                <c:pt idx="25">
                  <c:v>2040</c:v>
                </c:pt>
                <c:pt idx="26">
                  <c:v>2041</c:v>
                </c:pt>
                <c:pt idx="27">
                  <c:v>2042</c:v>
                </c:pt>
                <c:pt idx="28">
                  <c:v>2043</c:v>
                </c:pt>
                <c:pt idx="29">
                  <c:v>2044</c:v>
                </c:pt>
                <c:pt idx="30">
                  <c:v>2045</c:v>
                </c:pt>
                <c:pt idx="31">
                  <c:v>2046</c:v>
                </c:pt>
                <c:pt idx="32">
                  <c:v>2047</c:v>
                </c:pt>
                <c:pt idx="33">
                  <c:v>2048</c:v>
                </c:pt>
                <c:pt idx="34">
                  <c:v>2049</c:v>
                </c:pt>
                <c:pt idx="35">
                  <c:v>2050</c:v>
                </c:pt>
              </c:numCache>
            </c:numRef>
          </c:cat>
          <c:val>
            <c:numRef>
              <c:f>'HIDDEN_Dashboard charts data'!$F$7:$AO$7</c:f>
              <c:numCache>
                <c:formatCode>_-* #,##0_-;\-* #,##0_-;_-* "-"??_-;_-@_-</c:formatCode>
                <c:ptCount val="36"/>
                <c:pt idx="0">
                  <c:v>0</c:v>
                </c:pt>
                <c:pt idx="1">
                  <c:v>0</c:v>
                </c:pt>
                <c:pt idx="2">
                  <c:v>0</c:v>
                </c:pt>
                <c:pt idx="3">
                  <c:v>0</c:v>
                </c:pt>
                <c:pt idx="4">
                  <c:v>0</c:v>
                </c:pt>
                <c:pt idx="5">
                  <c:v>0</c:v>
                </c:pt>
                <c:pt idx="6">
                  <c:v>22399.835294117649</c:v>
                </c:pt>
                <c:pt idx="7">
                  <c:v>43199.682352941178</c:v>
                </c:pt>
                <c:pt idx="8">
                  <c:v>62399.541176470579</c:v>
                </c:pt>
                <c:pt idx="9">
                  <c:v>79999.411764705874</c:v>
                </c:pt>
                <c:pt idx="10">
                  <c:v>95999.294117647034</c:v>
                </c:pt>
                <c:pt idx="11">
                  <c:v>142771.96482546255</c:v>
                </c:pt>
                <c:pt idx="12">
                  <c:v>167024.78896888721</c:v>
                </c:pt>
                <c:pt idx="13">
                  <c:v>384622.60463739512</c:v>
                </c:pt>
                <c:pt idx="14">
                  <c:v>480952.40247720643</c:v>
                </c:pt>
                <c:pt idx="15">
                  <c:v>554395.31585750275</c:v>
                </c:pt>
                <c:pt idx="16">
                  <c:v>634699.7140005168</c:v>
                </c:pt>
                <c:pt idx="17">
                  <c:v>693450.73913363321</c:v>
                </c:pt>
                <c:pt idx="18">
                  <c:v>713966.00309516164</c:v>
                </c:pt>
                <c:pt idx="19">
                  <c:v>714357.01915990689</c:v>
                </c:pt>
                <c:pt idx="20">
                  <c:v>797849.98641276138</c:v>
                </c:pt>
                <c:pt idx="21">
                  <c:v>892170.22962003108</c:v>
                </c:pt>
                <c:pt idx="22">
                  <c:v>988191.22496037779</c:v>
                </c:pt>
                <c:pt idx="23">
                  <c:v>1086241.6420220097</c:v>
                </c:pt>
                <c:pt idx="24">
                  <c:v>1186397.4509601947</c:v>
                </c:pt>
                <c:pt idx="25">
                  <c:v>1311031.5185874624</c:v>
                </c:pt>
                <c:pt idx="26">
                  <c:v>1419469.2397614764</c:v>
                </c:pt>
                <c:pt idx="27">
                  <c:v>1530072.5003954889</c:v>
                </c:pt>
                <c:pt idx="28">
                  <c:v>1642915.1905094488</c:v>
                </c:pt>
                <c:pt idx="29">
                  <c:v>1758071.2829088108</c:v>
                </c:pt>
                <c:pt idx="30">
                  <c:v>1866462.7706082647</c:v>
                </c:pt>
                <c:pt idx="31">
                  <c:v>1885026.4142833317</c:v>
                </c:pt>
                <c:pt idx="32">
                  <c:v>1904038.9458241556</c:v>
                </c:pt>
                <c:pt idx="33">
                  <c:v>1923500.2841181336</c:v>
                </c:pt>
                <c:pt idx="34">
                  <c:v>1943410.1294394333</c:v>
                </c:pt>
                <c:pt idx="35">
                  <c:v>1963767.9522209221</c:v>
                </c:pt>
              </c:numCache>
            </c:numRef>
          </c:val>
          <c:extLst xmlns:c16r2="http://schemas.microsoft.com/office/drawing/2015/06/chart">
            <c:ext xmlns:c16="http://schemas.microsoft.com/office/drawing/2014/chart" uri="{C3380CC4-5D6E-409C-BE32-E72D297353CC}">
              <c16:uniqueId val="{00000001-937D-A743-910A-229FA2D339E8}"/>
            </c:ext>
          </c:extLst>
        </c:ser>
        <c:ser>
          <c:idx val="1"/>
          <c:order val="2"/>
          <c:tx>
            <c:strRef>
              <c:f>'HIDDEN_Dashboard charts data'!$B$8</c:f>
              <c:strCache>
                <c:ptCount val="1"/>
                <c:pt idx="0">
                  <c:v>Buildings</c:v>
                </c:pt>
              </c:strCache>
            </c:strRef>
          </c:tx>
          <c:spPr>
            <a:solidFill>
              <a:schemeClr val="accent2"/>
            </a:solidFill>
            <a:ln>
              <a:noFill/>
            </a:ln>
            <a:effectLst/>
          </c:spPr>
          <c:cat>
            <c:numRef>
              <c:f>'HIDDEN_Dashboard charts data'!$F$5:$AO$5</c:f>
              <c:numCache>
                <c:formatCode>General</c:formatCode>
                <c:ptCount val="3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pt idx="16">
                  <c:v>2031</c:v>
                </c:pt>
                <c:pt idx="17">
                  <c:v>2032</c:v>
                </c:pt>
                <c:pt idx="18">
                  <c:v>2033</c:v>
                </c:pt>
                <c:pt idx="19">
                  <c:v>2034</c:v>
                </c:pt>
                <c:pt idx="20">
                  <c:v>2035</c:v>
                </c:pt>
                <c:pt idx="21">
                  <c:v>2036</c:v>
                </c:pt>
                <c:pt idx="22">
                  <c:v>2037</c:v>
                </c:pt>
                <c:pt idx="23">
                  <c:v>2038</c:v>
                </c:pt>
                <c:pt idx="24">
                  <c:v>2039</c:v>
                </c:pt>
                <c:pt idx="25">
                  <c:v>2040</c:v>
                </c:pt>
                <c:pt idx="26">
                  <c:v>2041</c:v>
                </c:pt>
                <c:pt idx="27">
                  <c:v>2042</c:v>
                </c:pt>
                <c:pt idx="28">
                  <c:v>2043</c:v>
                </c:pt>
                <c:pt idx="29">
                  <c:v>2044</c:v>
                </c:pt>
                <c:pt idx="30">
                  <c:v>2045</c:v>
                </c:pt>
                <c:pt idx="31">
                  <c:v>2046</c:v>
                </c:pt>
                <c:pt idx="32">
                  <c:v>2047</c:v>
                </c:pt>
                <c:pt idx="33">
                  <c:v>2048</c:v>
                </c:pt>
                <c:pt idx="34">
                  <c:v>2049</c:v>
                </c:pt>
                <c:pt idx="35">
                  <c:v>2050</c:v>
                </c:pt>
              </c:numCache>
            </c:numRef>
          </c:cat>
          <c:val>
            <c:numRef>
              <c:f>'HIDDEN_Dashboard charts data'!$F$8:$AO$8</c:f>
              <c:numCache>
                <c:formatCode>_-* #,##0_-;\-* #,##0_-;_-* "-"??_-;_-@_-</c:formatCode>
                <c:ptCount val="36"/>
                <c:pt idx="0">
                  <c:v>0</c:v>
                </c:pt>
                <c:pt idx="1">
                  <c:v>0</c:v>
                </c:pt>
                <c:pt idx="2">
                  <c:v>0</c:v>
                </c:pt>
                <c:pt idx="3">
                  <c:v>0</c:v>
                </c:pt>
                <c:pt idx="4">
                  <c:v>0</c:v>
                </c:pt>
                <c:pt idx="5">
                  <c:v>0</c:v>
                </c:pt>
                <c:pt idx="6">
                  <c:v>27751.635869369064</c:v>
                </c:pt>
                <c:pt idx="7">
                  <c:v>56034.335350045993</c:v>
                </c:pt>
                <c:pt idx="8">
                  <c:v>84667.73654409415</c:v>
                </c:pt>
                <c:pt idx="9">
                  <c:v>113717.32890848999</c:v>
                </c:pt>
                <c:pt idx="10">
                  <c:v>142711.47552234103</c:v>
                </c:pt>
                <c:pt idx="11">
                  <c:v>176350.99399999311</c:v>
                </c:pt>
                <c:pt idx="12">
                  <c:v>205608.50529894492</c:v>
                </c:pt>
                <c:pt idx="13">
                  <c:v>231664.13128815033</c:v>
                </c:pt>
                <c:pt idx="14">
                  <c:v>256225.54782283894</c:v>
                </c:pt>
                <c:pt idx="15">
                  <c:v>278910.69860600075</c:v>
                </c:pt>
                <c:pt idx="16">
                  <c:v>323427.86887947191</c:v>
                </c:pt>
                <c:pt idx="17">
                  <c:v>361429.22407325613</c:v>
                </c:pt>
                <c:pt idx="18">
                  <c:v>387605.92872541689</c:v>
                </c:pt>
                <c:pt idx="19">
                  <c:v>407686.87461324048</c:v>
                </c:pt>
                <c:pt idx="20">
                  <c:v>455692.00212865078</c:v>
                </c:pt>
                <c:pt idx="21">
                  <c:v>505617.16124345677</c:v>
                </c:pt>
                <c:pt idx="22">
                  <c:v>557450.4630927071</c:v>
                </c:pt>
                <c:pt idx="23">
                  <c:v>610706.42613475292</c:v>
                </c:pt>
                <c:pt idx="24">
                  <c:v>665430.32812650059</c:v>
                </c:pt>
                <c:pt idx="25">
                  <c:v>725503.74476692337</c:v>
                </c:pt>
                <c:pt idx="26">
                  <c:v>784574.26528059249</c:v>
                </c:pt>
                <c:pt idx="27">
                  <c:v>845403.86486323178</c:v>
                </c:pt>
                <c:pt idx="28">
                  <c:v>908047.97276042635</c:v>
                </c:pt>
                <c:pt idx="29">
                  <c:v>972563.55077893869</c:v>
                </c:pt>
                <c:pt idx="30">
                  <c:v>1036310.1213127025</c:v>
                </c:pt>
                <c:pt idx="31">
                  <c:v>1105166.9871253537</c:v>
                </c:pt>
                <c:pt idx="32">
                  <c:v>1176134.9364392972</c:v>
                </c:pt>
                <c:pt idx="33">
                  <c:v>1249278.9954696926</c:v>
                </c:pt>
                <c:pt idx="34">
                  <c:v>1324666.0192146967</c:v>
                </c:pt>
                <c:pt idx="35">
                  <c:v>1402364.7420577267</c:v>
                </c:pt>
              </c:numCache>
            </c:numRef>
          </c:val>
          <c:extLst xmlns:c16r2="http://schemas.microsoft.com/office/drawing/2015/06/chart">
            <c:ext xmlns:c16="http://schemas.microsoft.com/office/drawing/2014/chart" uri="{C3380CC4-5D6E-409C-BE32-E72D297353CC}">
              <c16:uniqueId val="{00000002-937D-A743-910A-229FA2D339E8}"/>
            </c:ext>
          </c:extLst>
        </c:ser>
        <c:ser>
          <c:idx val="2"/>
          <c:order val="3"/>
          <c:tx>
            <c:strRef>
              <c:f>'HIDDEN_Dashboard charts data'!$B$9</c:f>
              <c:strCache>
                <c:ptCount val="1"/>
                <c:pt idx="0">
                  <c:v>Transport</c:v>
                </c:pt>
              </c:strCache>
            </c:strRef>
          </c:tx>
          <c:spPr>
            <a:solidFill>
              <a:srgbClr val="00A3AE"/>
            </a:solidFill>
            <a:ln>
              <a:solidFill>
                <a:srgbClr val="00A3AE"/>
              </a:solidFill>
            </a:ln>
            <a:effectLst/>
          </c:spPr>
          <c:cat>
            <c:numRef>
              <c:f>'HIDDEN_Dashboard charts data'!$F$5:$AO$5</c:f>
              <c:numCache>
                <c:formatCode>General</c:formatCode>
                <c:ptCount val="3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pt idx="16">
                  <c:v>2031</c:v>
                </c:pt>
                <c:pt idx="17">
                  <c:v>2032</c:v>
                </c:pt>
                <c:pt idx="18">
                  <c:v>2033</c:v>
                </c:pt>
                <c:pt idx="19">
                  <c:v>2034</c:v>
                </c:pt>
                <c:pt idx="20">
                  <c:v>2035</c:v>
                </c:pt>
                <c:pt idx="21">
                  <c:v>2036</c:v>
                </c:pt>
                <c:pt idx="22">
                  <c:v>2037</c:v>
                </c:pt>
                <c:pt idx="23">
                  <c:v>2038</c:v>
                </c:pt>
                <c:pt idx="24">
                  <c:v>2039</c:v>
                </c:pt>
                <c:pt idx="25">
                  <c:v>2040</c:v>
                </c:pt>
                <c:pt idx="26">
                  <c:v>2041</c:v>
                </c:pt>
                <c:pt idx="27">
                  <c:v>2042</c:v>
                </c:pt>
                <c:pt idx="28">
                  <c:v>2043</c:v>
                </c:pt>
                <c:pt idx="29">
                  <c:v>2044</c:v>
                </c:pt>
                <c:pt idx="30">
                  <c:v>2045</c:v>
                </c:pt>
                <c:pt idx="31">
                  <c:v>2046</c:v>
                </c:pt>
                <c:pt idx="32">
                  <c:v>2047</c:v>
                </c:pt>
                <c:pt idx="33">
                  <c:v>2048</c:v>
                </c:pt>
                <c:pt idx="34">
                  <c:v>2049</c:v>
                </c:pt>
                <c:pt idx="35">
                  <c:v>2050</c:v>
                </c:pt>
              </c:numCache>
            </c:numRef>
          </c:cat>
          <c:val>
            <c:numRef>
              <c:f>'HIDDEN_Dashboard charts data'!$F$9:$AO$9</c:f>
              <c:numCache>
                <c:formatCode>_-* #,##0_-;\-* #,##0_-;_-* "-"??_-;_-@_-</c:formatCode>
                <c:ptCount val="36"/>
                <c:pt idx="0">
                  <c:v>0</c:v>
                </c:pt>
                <c:pt idx="1">
                  <c:v>0</c:v>
                </c:pt>
                <c:pt idx="2">
                  <c:v>0</c:v>
                </c:pt>
                <c:pt idx="3">
                  <c:v>0</c:v>
                </c:pt>
                <c:pt idx="4">
                  <c:v>0</c:v>
                </c:pt>
                <c:pt idx="5">
                  <c:v>0</c:v>
                </c:pt>
                <c:pt idx="6">
                  <c:v>19836.264939434979</c:v>
                </c:pt>
                <c:pt idx="7">
                  <c:v>39741.430011750403</c:v>
                </c:pt>
                <c:pt idx="8">
                  <c:v>59718.413492401436</c:v>
                </c:pt>
                <c:pt idx="9">
                  <c:v>79770.249696839077</c:v>
                </c:pt>
                <c:pt idx="10">
                  <c:v>99900.092577576157</c:v>
                </c:pt>
                <c:pt idx="11">
                  <c:v>120111.21942341313</c:v>
                </c:pt>
                <c:pt idx="12">
                  <c:v>140407.03466361668</c:v>
                </c:pt>
                <c:pt idx="13">
                  <c:v>160791.0737799182</c:v>
                </c:pt>
                <c:pt idx="14">
                  <c:v>181267.00732927618</c:v>
                </c:pt>
                <c:pt idx="15">
                  <c:v>201838.64508042519</c:v>
                </c:pt>
                <c:pt idx="16">
                  <c:v>222427.11208732717</c:v>
                </c:pt>
                <c:pt idx="17">
                  <c:v>243173.73853681906</c:v>
                </c:pt>
                <c:pt idx="18">
                  <c:v>264082.42637815815</c:v>
                </c:pt>
                <c:pt idx="19">
                  <c:v>285157.20138178789</c:v>
                </c:pt>
                <c:pt idx="20">
                  <c:v>306402.21677821735</c:v>
                </c:pt>
                <c:pt idx="21">
                  <c:v>327821.756998503</c:v>
                </c:pt>
                <c:pt idx="22">
                  <c:v>349420.24151908921</c:v>
                </c:pt>
                <c:pt idx="23">
                  <c:v>371202.22881383338</c:v>
                </c:pt>
                <c:pt idx="24">
                  <c:v>393172.42041612032</c:v>
                </c:pt>
                <c:pt idx="25">
                  <c:v>415335.66509404365</c:v>
                </c:pt>
                <c:pt idx="26">
                  <c:v>437696.96314171655</c:v>
                </c:pt>
                <c:pt idx="27">
                  <c:v>460261.47078984918</c:v>
                </c:pt>
                <c:pt idx="28">
                  <c:v>483034.50473881781</c:v>
                </c:pt>
                <c:pt idx="29">
                  <c:v>506021.5468175353</c:v>
                </c:pt>
                <c:pt idx="30">
                  <c:v>529228.248771518</c:v>
                </c:pt>
                <c:pt idx="31">
                  <c:v>552660.43718363857</c:v>
                </c:pt>
                <c:pt idx="32">
                  <c:v>576324.11853114131</c:v>
                </c:pt>
                <c:pt idx="33">
                  <c:v>600225.48438259528</c:v>
                </c:pt>
                <c:pt idx="34">
                  <c:v>624370.91673855809</c:v>
                </c:pt>
                <c:pt idx="35">
                  <c:v>648766.99351981701</c:v>
                </c:pt>
              </c:numCache>
            </c:numRef>
          </c:val>
          <c:extLst xmlns:c16r2="http://schemas.microsoft.com/office/drawing/2015/06/chart">
            <c:ext xmlns:c16="http://schemas.microsoft.com/office/drawing/2014/chart" uri="{C3380CC4-5D6E-409C-BE32-E72D297353CC}">
              <c16:uniqueId val="{00000003-937D-A743-910A-229FA2D339E8}"/>
            </c:ext>
          </c:extLst>
        </c:ser>
        <c:ser>
          <c:idx val="3"/>
          <c:order val="4"/>
          <c:tx>
            <c:strRef>
              <c:f>'HIDDEN_Dashboard charts data'!$B$10</c:f>
              <c:strCache>
                <c:ptCount val="1"/>
                <c:pt idx="0">
                  <c:v>Waste</c:v>
                </c:pt>
              </c:strCache>
            </c:strRef>
          </c:tx>
          <c:spPr>
            <a:solidFill>
              <a:schemeClr val="accent4"/>
            </a:solidFill>
            <a:ln>
              <a:noFill/>
            </a:ln>
            <a:effectLst/>
          </c:spPr>
          <c:cat>
            <c:numRef>
              <c:f>'HIDDEN_Dashboard charts data'!$F$5:$AO$5</c:f>
              <c:numCache>
                <c:formatCode>General</c:formatCode>
                <c:ptCount val="3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pt idx="16">
                  <c:v>2031</c:v>
                </c:pt>
                <c:pt idx="17">
                  <c:v>2032</c:v>
                </c:pt>
                <c:pt idx="18">
                  <c:v>2033</c:v>
                </c:pt>
                <c:pt idx="19">
                  <c:v>2034</c:v>
                </c:pt>
                <c:pt idx="20">
                  <c:v>2035</c:v>
                </c:pt>
                <c:pt idx="21">
                  <c:v>2036</c:v>
                </c:pt>
                <c:pt idx="22">
                  <c:v>2037</c:v>
                </c:pt>
                <c:pt idx="23">
                  <c:v>2038</c:v>
                </c:pt>
                <c:pt idx="24">
                  <c:v>2039</c:v>
                </c:pt>
                <c:pt idx="25">
                  <c:v>2040</c:v>
                </c:pt>
                <c:pt idx="26">
                  <c:v>2041</c:v>
                </c:pt>
                <c:pt idx="27">
                  <c:v>2042</c:v>
                </c:pt>
                <c:pt idx="28">
                  <c:v>2043</c:v>
                </c:pt>
                <c:pt idx="29">
                  <c:v>2044</c:v>
                </c:pt>
                <c:pt idx="30">
                  <c:v>2045</c:v>
                </c:pt>
                <c:pt idx="31">
                  <c:v>2046</c:v>
                </c:pt>
                <c:pt idx="32">
                  <c:v>2047</c:v>
                </c:pt>
                <c:pt idx="33">
                  <c:v>2048</c:v>
                </c:pt>
                <c:pt idx="34">
                  <c:v>2049</c:v>
                </c:pt>
                <c:pt idx="35">
                  <c:v>2050</c:v>
                </c:pt>
              </c:numCache>
            </c:numRef>
          </c:cat>
          <c:val>
            <c:numRef>
              <c:f>'HIDDEN_Dashboard charts data'!$F$10:$AO$10</c:f>
              <c:numCache>
                <c:formatCode>_-* #,##0_-;\-* #,##0_-;_-* "-"??_-;_-@_-</c:formatCode>
                <c:ptCount val="36"/>
                <c:pt idx="0">
                  <c:v>0</c:v>
                </c:pt>
                <c:pt idx="1">
                  <c:v>0</c:v>
                </c:pt>
                <c:pt idx="2">
                  <c:v>0</c:v>
                </c:pt>
                <c:pt idx="3">
                  <c:v>0</c:v>
                </c:pt>
                <c:pt idx="4">
                  <c:v>0</c:v>
                </c:pt>
                <c:pt idx="5">
                  <c:v>0</c:v>
                </c:pt>
                <c:pt idx="6">
                  <c:v>3147.0693532118166</c:v>
                </c:pt>
                <c:pt idx="7">
                  <c:v>6430.1438123781481</c:v>
                </c:pt>
                <c:pt idx="8">
                  <c:v>9857.9680822105875</c:v>
                </c:pt>
                <c:pt idx="9">
                  <c:v>13439.921144888867</c:v>
                </c:pt>
                <c:pt idx="10">
                  <c:v>17169.837953612834</c:v>
                </c:pt>
                <c:pt idx="11">
                  <c:v>21029.223149412115</c:v>
                </c:pt>
                <c:pt idx="12">
                  <c:v>25051.984872185058</c:v>
                </c:pt>
                <c:pt idx="13">
                  <c:v>29222.710341003673</c:v>
                </c:pt>
                <c:pt idx="14">
                  <c:v>33569.142648966423</c:v>
                </c:pt>
                <c:pt idx="15">
                  <c:v>38038.87818791953</c:v>
                </c:pt>
                <c:pt idx="16">
                  <c:v>41184.713053691259</c:v>
                </c:pt>
                <c:pt idx="17">
                  <c:v>44461.846479865642</c:v>
                </c:pt>
                <c:pt idx="18">
                  <c:v>47875.860293624042</c:v>
                </c:pt>
                <c:pt idx="19">
                  <c:v>51394.068214764826</c:v>
                </c:pt>
                <c:pt idx="20">
                  <c:v>55056.598959731193</c:v>
                </c:pt>
                <c:pt idx="21">
                  <c:v>58827.045030201021</c:v>
                </c:pt>
                <c:pt idx="22">
                  <c:v>62732.285285480291</c:v>
                </c:pt>
                <c:pt idx="23">
                  <c:v>66776.333485198047</c:v>
                </c:pt>
                <c:pt idx="24">
                  <c:v>70963.312844347471</c:v>
                </c:pt>
                <c:pt idx="25">
                  <c:v>75297.458867165144</c:v>
                </c:pt>
                <c:pt idx="26">
                  <c:v>79783.122251907684</c:v>
                </c:pt>
                <c:pt idx="27">
                  <c:v>84424.771868257158</c:v>
                </c:pt>
                <c:pt idx="28">
                  <c:v>89226.997809127366</c:v>
                </c:pt>
                <c:pt idx="29">
                  <c:v>94194.514518687269</c:v>
                </c:pt>
                <c:pt idx="30">
                  <c:v>99332.163998459262</c:v>
                </c:pt>
                <c:pt idx="31">
                  <c:v>104644.91909339372</c:v>
                </c:pt>
                <c:pt idx="32">
                  <c:v>110137.88685987232</c:v>
                </c:pt>
                <c:pt idx="33">
                  <c:v>115816.31201763121</c:v>
                </c:pt>
                <c:pt idx="34">
                  <c:v>121685.58048764968</c:v>
                </c:pt>
                <c:pt idx="35">
                  <c:v>127751.22301809693</c:v>
                </c:pt>
              </c:numCache>
            </c:numRef>
          </c:val>
          <c:extLst xmlns:c16r2="http://schemas.microsoft.com/office/drawing/2015/06/chart">
            <c:ext xmlns:c16="http://schemas.microsoft.com/office/drawing/2014/chart" uri="{C3380CC4-5D6E-409C-BE32-E72D297353CC}">
              <c16:uniqueId val="{00000004-937D-A743-910A-229FA2D339E8}"/>
            </c:ext>
          </c:extLst>
        </c:ser>
        <c:dLbls>
          <c:showLegendKey val="0"/>
          <c:showVal val="0"/>
          <c:showCatName val="0"/>
          <c:showSerName val="0"/>
          <c:showPercent val="0"/>
          <c:showBubbleSize val="0"/>
        </c:dLbls>
        <c:axId val="380584704"/>
        <c:axId val="380586240"/>
      </c:areaChart>
      <c:lineChart>
        <c:grouping val="standard"/>
        <c:varyColors val="0"/>
        <c:ser>
          <c:idx val="4"/>
          <c:order val="5"/>
          <c:tx>
            <c:strRef>
              <c:f>'HIDDEN_Dashboard charts data'!$B$7</c:f>
              <c:strCache>
                <c:ptCount val="1"/>
                <c:pt idx="0">
                  <c:v>Energy Supply</c:v>
                </c:pt>
              </c:strCache>
            </c:strRef>
          </c:tx>
          <c:spPr>
            <a:ln w="28575" cap="rnd">
              <a:solidFill>
                <a:schemeClr val="accent5"/>
              </a:solidFill>
              <a:prstDash val="dash"/>
              <a:round/>
            </a:ln>
            <a:effectLst/>
          </c:spPr>
          <c:marker>
            <c:symbol val="none"/>
          </c:marker>
          <c:val>
            <c:numRef>
              <c:f>'HIDDEN_Dashboard charts data'!$F$6:$AO$6</c:f>
              <c:numCache>
                <c:formatCode>_-* #,##0_-;\-* #,##0_-;_-* "-"??_-;_-@_-</c:formatCode>
                <c:ptCount val="36"/>
                <c:pt idx="0">
                  <c:v>4700672.0338636925</c:v>
                </c:pt>
                <c:pt idx="1">
                  <c:v>4696369.2346580112</c:v>
                </c:pt>
                <c:pt idx="2">
                  <c:v>4741394.2660014536</c:v>
                </c:pt>
                <c:pt idx="3">
                  <c:v>4673472.859191576</c:v>
                </c:pt>
                <c:pt idx="4">
                  <c:v>4660297.4720965521</c:v>
                </c:pt>
                <c:pt idx="5">
                  <c:v>4649580.4904540591</c:v>
                </c:pt>
                <c:pt idx="6">
                  <c:v>4642890.7137661427</c:v>
                </c:pt>
                <c:pt idx="7">
                  <c:v>4632332.9970868519</c:v>
                </c:pt>
                <c:pt idx="8">
                  <c:v>4616270.8836241802</c:v>
                </c:pt>
                <c:pt idx="9">
                  <c:v>4594685.0072553838</c:v>
                </c:pt>
                <c:pt idx="10">
                  <c:v>4571846.7739768438</c:v>
                </c:pt>
                <c:pt idx="11">
                  <c:v>4543213.4843731821</c:v>
                </c:pt>
                <c:pt idx="12">
                  <c:v>4634368.8789914437</c:v>
                </c:pt>
                <c:pt idx="13">
                  <c:v>4594867.5550485309</c:v>
                </c:pt>
                <c:pt idx="14">
                  <c:v>4505432.4575895956</c:v>
                </c:pt>
                <c:pt idx="15">
                  <c:v>4412266.7716306318</c:v>
                </c:pt>
                <c:pt idx="16">
                  <c:v>4309352.5715974774</c:v>
                </c:pt>
                <c:pt idx="17">
                  <c:v>4275880.8768228898</c:v>
                </c:pt>
                <c:pt idx="18">
                  <c:v>4183799.5100896894</c:v>
                </c:pt>
                <c:pt idx="19">
                  <c:v>3999927.726037276</c:v>
                </c:pt>
                <c:pt idx="20">
                  <c:v>3801904.7604337926</c:v>
                </c:pt>
                <c:pt idx="21">
                  <c:v>3862147.8481064807</c:v>
                </c:pt>
                <c:pt idx="22">
                  <c:v>3928653.8962255539</c:v>
                </c:pt>
                <c:pt idx="23">
                  <c:v>3991201.2891816767</c:v>
                </c:pt>
                <c:pt idx="24">
                  <c:v>4054264.154867196</c:v>
                </c:pt>
                <c:pt idx="25">
                  <c:v>4117805.5253755567</c:v>
                </c:pt>
                <c:pt idx="26">
                  <c:v>4203587.6251553576</c:v>
                </c:pt>
                <c:pt idx="27">
                  <c:v>4273644.4212558176</c:v>
                </c:pt>
                <c:pt idx="28">
                  <c:v>4344249.5902041234</c:v>
                </c:pt>
                <c:pt idx="29">
                  <c:v>4415353.0654669004</c:v>
                </c:pt>
                <c:pt idx="30">
                  <c:v>4486899.2442879044</c:v>
                </c:pt>
                <c:pt idx="31">
                  <c:v>4546767.5256832177</c:v>
                </c:pt>
                <c:pt idx="32">
                  <c:v>4621293.569344312</c:v>
                </c:pt>
                <c:pt idx="33">
                  <c:v>4696123.8765626764</c:v>
                </c:pt>
                <c:pt idx="34">
                  <c:v>4771177.3962028772</c:v>
                </c:pt>
                <c:pt idx="35">
                  <c:v>4846364.9515051609</c:v>
                </c:pt>
              </c:numCache>
            </c:numRef>
          </c:val>
          <c:smooth val="0"/>
          <c:extLst xmlns:c16r2="http://schemas.microsoft.com/office/drawing/2015/06/chart">
            <c:ext xmlns:c16="http://schemas.microsoft.com/office/drawing/2014/chart" uri="{C3380CC4-5D6E-409C-BE32-E72D297353CC}">
              <c16:uniqueId val="{00000005-937D-A743-910A-229FA2D339E8}"/>
            </c:ext>
          </c:extLst>
        </c:ser>
        <c:ser>
          <c:idx val="6"/>
          <c:order val="6"/>
          <c:tx>
            <c:strRef>
              <c:f>'HIDDEN_Dashboard charts data'!$B$11</c:f>
              <c:strCache>
                <c:ptCount val="1"/>
                <c:pt idx="0">
                  <c:v>Trajectory</c:v>
                </c:pt>
              </c:strCache>
            </c:strRef>
          </c:tx>
          <c:spPr>
            <a:ln w="28575" cap="rnd">
              <a:solidFill>
                <a:schemeClr val="accent1">
                  <a:lumMod val="60000"/>
                </a:schemeClr>
              </a:solidFill>
              <a:round/>
            </a:ln>
            <a:effectLst/>
          </c:spPr>
          <c:marker>
            <c:symbol val="none"/>
          </c:marker>
          <c:val>
            <c:numRef>
              <c:f>'HIDDEN_Dashboard charts data'!$F$11:$AO$11</c:f>
              <c:numCache>
                <c:formatCode>_-* #,##0_-;\-* #,##0_-;_-* "-"??_-;_-@_-</c:formatCode>
                <c:ptCount val="36"/>
                <c:pt idx="0">
                  <c:v>4700672.0338636925</c:v>
                </c:pt>
                <c:pt idx="1">
                  <c:v>4696369.2346580112</c:v>
                </c:pt>
                <c:pt idx="2">
                  <c:v>4741394.2660014536</c:v>
                </c:pt>
                <c:pt idx="3">
                  <c:v>4673472.859191576</c:v>
                </c:pt>
                <c:pt idx="4">
                  <c:v>4660297.4720965521</c:v>
                </c:pt>
                <c:pt idx="5">
                  <c:v>4649580.4904540591</c:v>
                </c:pt>
                <c:pt idx="6">
                  <c:v>4569755.9083100092</c:v>
                </c:pt>
                <c:pt idx="7">
                  <c:v>4486927.4055597363</c:v>
                </c:pt>
                <c:pt idx="8">
                  <c:v>4399627.2243290031</c:v>
                </c:pt>
                <c:pt idx="9">
                  <c:v>4307758.0957404599</c:v>
                </c:pt>
                <c:pt idx="10">
                  <c:v>4216066.0738056665</c:v>
                </c:pt>
                <c:pt idx="11">
                  <c:v>4082950.082974901</c:v>
                </c:pt>
                <c:pt idx="12">
                  <c:v>4096276.56518781</c:v>
                </c:pt>
                <c:pt idx="13">
                  <c:v>3788567.0350020635</c:v>
                </c:pt>
                <c:pt idx="14">
                  <c:v>3553418.3573113075</c:v>
                </c:pt>
                <c:pt idx="15">
                  <c:v>3339083.2338987836</c:v>
                </c:pt>
                <c:pt idx="16">
                  <c:v>3087613.1635764702</c:v>
                </c:pt>
                <c:pt idx="17">
                  <c:v>2933365.3285993156</c:v>
                </c:pt>
                <c:pt idx="18">
                  <c:v>2770269.2915973291</c:v>
                </c:pt>
                <c:pt idx="19">
                  <c:v>2541332.5626675757</c:v>
                </c:pt>
                <c:pt idx="20">
                  <c:v>2186903.9561544321</c:v>
                </c:pt>
                <c:pt idx="21">
                  <c:v>2077711.6552142885</c:v>
                </c:pt>
                <c:pt idx="22">
                  <c:v>1970859.6813678993</c:v>
                </c:pt>
                <c:pt idx="23">
                  <c:v>1856274.6587258829</c:v>
                </c:pt>
                <c:pt idx="24">
                  <c:v>1738300.6425200328</c:v>
                </c:pt>
                <c:pt idx="25">
                  <c:v>1590637.1380599621</c:v>
                </c:pt>
                <c:pt idx="26">
                  <c:v>1482064.0347196646</c:v>
                </c:pt>
                <c:pt idx="27">
                  <c:v>1353481.8133389903</c:v>
                </c:pt>
                <c:pt idx="28">
                  <c:v>1221024.9243863029</c:v>
                </c:pt>
                <c:pt idx="29">
                  <c:v>1084502.1704429276</c:v>
                </c:pt>
                <c:pt idx="30">
                  <c:v>955565.93959695986</c:v>
                </c:pt>
                <c:pt idx="31">
                  <c:v>899268.76799750002</c:v>
                </c:pt>
                <c:pt idx="32">
                  <c:v>854657.6816898454</c:v>
                </c:pt>
                <c:pt idx="33">
                  <c:v>807302.80057462351</c:v>
                </c:pt>
                <c:pt idx="34">
                  <c:v>757044.75032253889</c:v>
                </c:pt>
                <c:pt idx="35">
                  <c:v>703714.04068859806</c:v>
                </c:pt>
              </c:numCache>
            </c:numRef>
          </c:val>
          <c:smooth val="0"/>
          <c:extLst xmlns:c16r2="http://schemas.microsoft.com/office/drawing/2015/06/chart">
            <c:ext xmlns:c16="http://schemas.microsoft.com/office/drawing/2014/chart" uri="{C3380CC4-5D6E-409C-BE32-E72D297353CC}">
              <c16:uniqueId val="{00000006-937D-A743-910A-229FA2D339E8}"/>
            </c:ext>
          </c:extLst>
        </c:ser>
        <c:dLbls>
          <c:showLegendKey val="0"/>
          <c:showVal val="0"/>
          <c:showCatName val="0"/>
          <c:showSerName val="0"/>
          <c:showPercent val="0"/>
          <c:showBubbleSize val="0"/>
        </c:dLbls>
        <c:marker val="1"/>
        <c:smooth val="0"/>
        <c:axId val="380584704"/>
        <c:axId val="380586240"/>
      </c:lineChart>
      <c:catAx>
        <c:axId val="380584704"/>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0"/>
          <a:lstStyle/>
          <a:p>
            <a:pPr>
              <a:defRPr/>
            </a:pPr>
            <a:endParaRPr lang="en-US"/>
          </a:p>
        </c:txPr>
        <c:crossAx val="380586240"/>
        <c:crosses val="autoZero"/>
        <c:auto val="1"/>
        <c:lblAlgn val="ctr"/>
        <c:lblOffset val="100"/>
        <c:tickLblSkip val="5"/>
        <c:noMultiLvlLbl val="0"/>
      </c:catAx>
      <c:valAx>
        <c:axId val="380586240"/>
        <c:scaling>
          <c:orientation val="minMax"/>
          <c:min val="0"/>
        </c:scaling>
        <c:delete val="0"/>
        <c:axPos val="l"/>
        <c:majorGridlines>
          <c:spPr>
            <a:ln w="9525" cap="flat" cmpd="sng" algn="ctr">
              <a:solidFill>
                <a:schemeClr val="tx1">
                  <a:lumMod val="15000"/>
                  <a:lumOff val="85000"/>
                </a:schemeClr>
              </a:solidFill>
              <a:prstDash val="sysDot"/>
              <a:round/>
            </a:ln>
            <a:effectLst/>
          </c:spPr>
        </c:majorGridlines>
        <c:title>
          <c:tx>
            <c:rich>
              <a:bodyPr rot="-5400000" vert="horz"/>
              <a:lstStyle/>
              <a:p>
                <a:pPr>
                  <a:defRPr/>
                </a:pPr>
                <a:r>
                  <a:rPr lang="en-AU"/>
                  <a:t>Emissions (tCO</a:t>
                </a:r>
                <a:r>
                  <a:rPr lang="en-US" sz="900" b="0" i="0" u="none" strike="noStrike" baseline="-25000">
                    <a:effectLst/>
                  </a:rPr>
                  <a:t>2</a:t>
                </a:r>
                <a:r>
                  <a:rPr lang="en-AU"/>
                  <a:t>-e)</a:t>
                </a:r>
              </a:p>
            </c:rich>
          </c:tx>
          <c:overlay val="0"/>
        </c:title>
        <c:numFmt formatCode="_-* #,##0_-;\-* #,##0_-;_-* &quot;-&quot;??_-;_-@_-" sourceLinked="1"/>
        <c:majorTickMark val="out"/>
        <c:minorTickMark val="none"/>
        <c:tickLblPos val="nextTo"/>
        <c:spPr>
          <a:noFill/>
          <a:effectLst/>
        </c:spPr>
        <c:txPr>
          <a:bodyPr rot="-60000000" vert="horz"/>
          <a:lstStyle/>
          <a:p>
            <a:pPr>
              <a:defRPr/>
            </a:pPr>
            <a:endParaRPr lang="en-US"/>
          </a:p>
        </c:txPr>
        <c:crossAx val="380584704"/>
        <c:crosses val="autoZero"/>
        <c:crossBetween val="midCat"/>
      </c:valAx>
      <c:spPr>
        <a:noFill/>
        <a:ln>
          <a:noFill/>
        </a:ln>
        <a:effectLst/>
      </c:spPr>
    </c:plotArea>
    <c:legend>
      <c:legendPos val="r"/>
      <c:legendEntry>
        <c:idx val="4"/>
        <c:delete val="1"/>
      </c:legendEntry>
      <c:legendEntry>
        <c:idx val="5"/>
        <c:delete val="1"/>
      </c:legendEntry>
      <c:legendEntry>
        <c:idx val="6"/>
        <c:delete val="1"/>
      </c:legendEntry>
      <c:overlay val="0"/>
    </c:legend>
    <c:plotVisOnly val="1"/>
    <c:dispBlanksAs val="zero"/>
    <c:showDLblsOverMax val="0"/>
  </c:chart>
  <c:spPr>
    <a:noFill/>
    <a:ln w="9525" cap="flat" cmpd="sng" algn="ctr">
      <a:noFill/>
      <a:round/>
    </a:ln>
    <a:effectLst/>
  </c:spPr>
  <c:txPr>
    <a:bodyPr/>
    <a:lstStyle/>
    <a:p>
      <a:pPr>
        <a:defRPr sz="900" b="0">
          <a:latin typeface="+mn-lt"/>
        </a:defRPr>
      </a:pPr>
      <a:endParaRPr lang="en-US"/>
    </a:p>
  </c:txPr>
  <c:externalData r:id="rId2">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113353510551459"/>
          <c:y val="5.0925925925925923E-2"/>
          <c:w val="0.48952936602246927"/>
          <c:h val="0.79685914260717405"/>
        </c:manualLayout>
      </c:layout>
      <c:areaChart>
        <c:grouping val="stacked"/>
        <c:varyColors val="0"/>
        <c:ser>
          <c:idx val="0"/>
          <c:order val="0"/>
          <c:tx>
            <c:strRef>
              <c:f>'HIDDEN_Dashboard charts data'!$B$34</c:f>
              <c:strCache>
                <c:ptCount val="1"/>
                <c:pt idx="0">
                  <c:v>Diversion of commercial and industrial waste from landfill</c:v>
                </c:pt>
              </c:strCache>
            </c:strRef>
          </c:tx>
          <c:spPr>
            <a:solidFill>
              <a:schemeClr val="accent4">
                <a:lumMod val="20000"/>
                <a:lumOff val="80000"/>
              </a:schemeClr>
            </a:solidFill>
            <a:ln w="25400">
              <a:noFill/>
            </a:ln>
            <a:effectLst/>
          </c:spPr>
          <c:cat>
            <c:numRef>
              <c:f>'HIDDEN_Dashboard charts data'!$F$13:$AO$13</c:f>
              <c:numCache>
                <c:formatCode>General</c:formatCode>
                <c:ptCount val="3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pt idx="16">
                  <c:v>2031</c:v>
                </c:pt>
                <c:pt idx="17">
                  <c:v>2032</c:v>
                </c:pt>
                <c:pt idx="18">
                  <c:v>2033</c:v>
                </c:pt>
                <c:pt idx="19">
                  <c:v>2034</c:v>
                </c:pt>
                <c:pt idx="20">
                  <c:v>2035</c:v>
                </c:pt>
                <c:pt idx="21">
                  <c:v>2036</c:v>
                </c:pt>
                <c:pt idx="22">
                  <c:v>2037</c:v>
                </c:pt>
                <c:pt idx="23">
                  <c:v>2038</c:v>
                </c:pt>
                <c:pt idx="24">
                  <c:v>2039</c:v>
                </c:pt>
                <c:pt idx="25">
                  <c:v>2040</c:v>
                </c:pt>
                <c:pt idx="26">
                  <c:v>2041</c:v>
                </c:pt>
                <c:pt idx="27">
                  <c:v>2042</c:v>
                </c:pt>
                <c:pt idx="28">
                  <c:v>2043</c:v>
                </c:pt>
                <c:pt idx="29">
                  <c:v>2044</c:v>
                </c:pt>
                <c:pt idx="30">
                  <c:v>2045</c:v>
                </c:pt>
                <c:pt idx="31">
                  <c:v>2046</c:v>
                </c:pt>
                <c:pt idx="32">
                  <c:v>2047</c:v>
                </c:pt>
                <c:pt idx="33">
                  <c:v>2048</c:v>
                </c:pt>
                <c:pt idx="34">
                  <c:v>2049</c:v>
                </c:pt>
                <c:pt idx="35">
                  <c:v>2050</c:v>
                </c:pt>
              </c:numCache>
            </c:numRef>
          </c:cat>
          <c:val>
            <c:numRef>
              <c:f>'HIDDEN_Dashboard charts data'!$F$34:$AO$34</c:f>
              <c:numCache>
                <c:formatCode>_-* #,##0_-;\-* #,##0_-;_-* "-"??_-;_-@_-</c:formatCode>
                <c:ptCount val="36"/>
                <c:pt idx="0">
                  <c:v>0</c:v>
                </c:pt>
                <c:pt idx="1">
                  <c:v>0</c:v>
                </c:pt>
                <c:pt idx="2">
                  <c:v>0</c:v>
                </c:pt>
                <c:pt idx="3">
                  <c:v>0</c:v>
                </c:pt>
                <c:pt idx="4">
                  <c:v>0</c:v>
                </c:pt>
                <c:pt idx="5">
                  <c:v>0</c:v>
                </c:pt>
                <c:pt idx="6">
                  <c:v>2984.6822580929147</c:v>
                </c:pt>
                <c:pt idx="7">
                  <c:v>6088.6468246156583</c:v>
                </c:pt>
                <c:pt idx="8">
                  <c:v>9334.3295763760107</c:v>
                </c:pt>
                <c:pt idx="9">
                  <c:v>12725.95129829651</c:v>
                </c:pt>
                <c:pt idx="10">
                  <c:v>16257.67436159018</c:v>
                </c:pt>
                <c:pt idx="11">
                  <c:v>19911.986025689228</c:v>
                </c:pt>
                <c:pt idx="12">
                  <c:v>23720.992993784195</c:v>
                </c:pt>
                <c:pt idx="13">
                  <c:v>27670.101303252333</c:v>
                </c:pt>
                <c:pt idx="14">
                  <c:v>31785.580028497498</c:v>
                </c:pt>
                <c:pt idx="15">
                  <c:v>36017.809798657778</c:v>
                </c:pt>
                <c:pt idx="16">
                  <c:v>41262.15020134236</c:v>
                </c:pt>
                <c:pt idx="17">
                  <c:v>46727.912295302027</c:v>
                </c:pt>
                <c:pt idx="18">
                  <c:v>52425.775738255063</c:v>
                </c:pt>
                <c:pt idx="19">
                  <c:v>58322.992791946279</c:v>
                </c:pt>
                <c:pt idx="20">
                  <c:v>64466.550738254969</c:v>
                </c:pt>
                <c:pt idx="21">
                  <c:v>70816.582067114126</c:v>
                </c:pt>
                <c:pt idx="22">
                  <c:v>77406.252982717706</c:v>
                </c:pt>
                <c:pt idx="23">
                  <c:v>84242.856993407884</c:v>
                </c:pt>
                <c:pt idx="24">
                  <c:v>91333.88886897394</c:v>
                </c:pt>
                <c:pt idx="25">
                  <c:v>98687.049890239374</c:v>
                </c:pt>
                <c:pt idx="26">
                  <c:v>106310.25323065417</c:v>
                </c:pt>
                <c:pt idx="27">
                  <c:v>114211.62947312254</c:v>
                </c:pt>
                <c:pt idx="28">
                  <c:v>122399.53226538276</c:v>
                </c:pt>
                <c:pt idx="29">
                  <c:v>130882.54411733011</c:v>
                </c:pt>
                <c:pt idx="30">
                  <c:v>139669.4823437556</c:v>
                </c:pt>
                <c:pt idx="31">
                  <c:v>148769.4051560589</c:v>
                </c:pt>
                <c:pt idx="32">
                  <c:v>158191.6179065794</c:v>
                </c:pt>
                <c:pt idx="33">
                  <c:v>167945.67948927177</c:v>
                </c:pt>
                <c:pt idx="34">
                  <c:v>178041.4089005501</c:v>
                </c:pt>
                <c:pt idx="35">
                  <c:v>188488.89196420816</c:v>
                </c:pt>
              </c:numCache>
            </c:numRef>
          </c:val>
        </c:ser>
        <c:ser>
          <c:idx val="1"/>
          <c:order val="1"/>
          <c:tx>
            <c:strRef>
              <c:f>'HIDDEN_Dashboard charts data'!$B$35</c:f>
              <c:strCache>
                <c:ptCount val="1"/>
                <c:pt idx="0">
                  <c:v>Diversion of residential waste from landfill</c:v>
                </c:pt>
              </c:strCache>
            </c:strRef>
          </c:tx>
          <c:spPr>
            <a:solidFill>
              <a:schemeClr val="accent4">
                <a:lumMod val="60000"/>
                <a:lumOff val="40000"/>
              </a:schemeClr>
            </a:solidFill>
            <a:ln w="25400">
              <a:noFill/>
            </a:ln>
            <a:effectLst/>
          </c:spPr>
          <c:cat>
            <c:numRef>
              <c:f>'HIDDEN_Dashboard charts data'!$F$13:$AO$13</c:f>
              <c:numCache>
                <c:formatCode>General</c:formatCode>
                <c:ptCount val="3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pt idx="16">
                  <c:v>2031</c:v>
                </c:pt>
                <c:pt idx="17">
                  <c:v>2032</c:v>
                </c:pt>
                <c:pt idx="18">
                  <c:v>2033</c:v>
                </c:pt>
                <c:pt idx="19">
                  <c:v>2034</c:v>
                </c:pt>
                <c:pt idx="20">
                  <c:v>2035</c:v>
                </c:pt>
                <c:pt idx="21">
                  <c:v>2036</c:v>
                </c:pt>
                <c:pt idx="22">
                  <c:v>2037</c:v>
                </c:pt>
                <c:pt idx="23">
                  <c:v>2038</c:v>
                </c:pt>
                <c:pt idx="24">
                  <c:v>2039</c:v>
                </c:pt>
                <c:pt idx="25">
                  <c:v>2040</c:v>
                </c:pt>
                <c:pt idx="26">
                  <c:v>2041</c:v>
                </c:pt>
                <c:pt idx="27">
                  <c:v>2042</c:v>
                </c:pt>
                <c:pt idx="28">
                  <c:v>2043</c:v>
                </c:pt>
                <c:pt idx="29">
                  <c:v>2044</c:v>
                </c:pt>
                <c:pt idx="30">
                  <c:v>2045</c:v>
                </c:pt>
                <c:pt idx="31">
                  <c:v>2046</c:v>
                </c:pt>
                <c:pt idx="32">
                  <c:v>2047</c:v>
                </c:pt>
                <c:pt idx="33">
                  <c:v>2048</c:v>
                </c:pt>
                <c:pt idx="34">
                  <c:v>2049</c:v>
                </c:pt>
                <c:pt idx="35">
                  <c:v>2050</c:v>
                </c:pt>
              </c:numCache>
            </c:numRef>
          </c:cat>
          <c:val>
            <c:numRef>
              <c:f>'HIDDEN_Dashboard charts data'!$F$35:$AO$35</c:f>
              <c:numCache>
                <c:formatCode>_-* #,##0_-;\-* #,##0_-;_-* "-"??_-;_-@_-</c:formatCode>
                <c:ptCount val="36"/>
                <c:pt idx="0">
                  <c:v>0</c:v>
                </c:pt>
                <c:pt idx="1">
                  <c:v>0</c:v>
                </c:pt>
                <c:pt idx="2">
                  <c:v>0</c:v>
                </c:pt>
                <c:pt idx="3">
                  <c:v>0</c:v>
                </c:pt>
                <c:pt idx="4">
                  <c:v>0</c:v>
                </c:pt>
                <c:pt idx="5">
                  <c:v>0</c:v>
                </c:pt>
                <c:pt idx="6">
                  <c:v>1601.4960951188987</c:v>
                </c:pt>
                <c:pt idx="7">
                  <c:v>3370.347987762485</c:v>
                </c:pt>
                <c:pt idx="8">
                  <c:v>5167.1023112036855</c:v>
                </c:pt>
                <c:pt idx="9">
                  <c:v>7044.6459539748976</c:v>
                </c:pt>
                <c:pt idx="10">
                  <c:v>8999.7475181971386</c:v>
                </c:pt>
                <c:pt idx="11">
                  <c:v>11022.712445870529</c:v>
                </c:pt>
                <c:pt idx="12">
                  <c:v>13131.3140629646</c:v>
                </c:pt>
                <c:pt idx="13">
                  <c:v>15317.473601509701</c:v>
                </c:pt>
                <c:pt idx="14">
                  <c:v>17595.732989596414</c:v>
                </c:pt>
                <c:pt idx="15">
                  <c:v>19938.624161073829</c:v>
                </c:pt>
                <c:pt idx="16">
                  <c:v>21781.674966442944</c:v>
                </c:pt>
                <c:pt idx="17">
                  <c:v>23701.867067114086</c:v>
                </c:pt>
                <c:pt idx="18">
                  <c:v>25702.588439597312</c:v>
                </c:pt>
                <c:pt idx="19">
                  <c:v>27766.552040268449</c:v>
                </c:pt>
                <c:pt idx="20">
                  <c:v>29915.562214765079</c:v>
                </c:pt>
                <c:pt idx="21">
                  <c:v>32130.073268456355</c:v>
                </c:pt>
                <c:pt idx="22">
                  <c:v>34424.835186894627</c:v>
                </c:pt>
                <c:pt idx="23">
                  <c:v>36802.251113655788</c:v>
                </c:pt>
                <c:pt idx="24">
                  <c:v>39264.789928943283</c:v>
                </c:pt>
                <c:pt idx="25">
                  <c:v>41814.987954880009</c:v>
                </c:pt>
                <c:pt idx="26">
                  <c:v>44455.450703520357</c:v>
                </c:pt>
                <c:pt idx="27">
                  <c:v>47188.854668626482</c:v>
                </c:pt>
                <c:pt idx="28">
                  <c:v>50017.949162278121</c:v>
                </c:pt>
                <c:pt idx="29">
                  <c:v>52945.558197410413</c:v>
                </c:pt>
                <c:pt idx="30">
                  <c:v>55974.582417400961</c:v>
                </c:pt>
                <c:pt idx="31">
                  <c:v>59108.001073853957</c:v>
                </c:pt>
                <c:pt idx="32">
                  <c:v>62348.874053756837</c:v>
                </c:pt>
                <c:pt idx="33">
                  <c:v>65700.343957212841</c:v>
                </c:pt>
                <c:pt idx="34">
                  <c:v>69165.638226982119</c:v>
                </c:pt>
                <c:pt idx="35">
                  <c:v>72748.071331093</c:v>
                </c:pt>
              </c:numCache>
            </c:numRef>
          </c:val>
        </c:ser>
        <c:dLbls>
          <c:showLegendKey val="0"/>
          <c:showVal val="0"/>
          <c:showCatName val="0"/>
          <c:showSerName val="0"/>
          <c:showPercent val="0"/>
          <c:showBubbleSize val="0"/>
        </c:dLbls>
        <c:axId val="424952576"/>
        <c:axId val="424954112"/>
      </c:areaChart>
      <c:catAx>
        <c:axId val="424952576"/>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en-US"/>
          </a:p>
        </c:txPr>
        <c:crossAx val="424954112"/>
        <c:crosses val="autoZero"/>
        <c:auto val="1"/>
        <c:lblAlgn val="ctr"/>
        <c:lblOffset val="100"/>
        <c:tickLblSkip val="5"/>
        <c:noMultiLvlLbl val="0"/>
      </c:catAx>
      <c:valAx>
        <c:axId val="424954112"/>
        <c:scaling>
          <c:orientation val="minMax"/>
        </c:scaling>
        <c:delete val="0"/>
        <c:axPos val="l"/>
        <c:majorGridlines>
          <c:spPr>
            <a:ln w="9525" cap="flat" cmpd="sng" algn="ctr">
              <a:solidFill>
                <a:schemeClr val="tx1">
                  <a:lumMod val="15000"/>
                  <a:lumOff val="85000"/>
                </a:schemeClr>
              </a:solidFill>
              <a:prstDash val="sysDot"/>
              <a:round/>
            </a:ln>
            <a:effectLst/>
          </c:spPr>
        </c:majorGridlines>
        <c:title>
          <c:tx>
            <c:rich>
              <a:bodyPr rot="-5400000" vert="horz"/>
              <a:lstStyle/>
              <a:p>
                <a:pPr>
                  <a:defRPr b="0"/>
                </a:pPr>
                <a:r>
                  <a:rPr lang="en-AU" b="0"/>
                  <a:t>Emissions (tCO2-e)</a:t>
                </a:r>
              </a:p>
            </c:rich>
          </c:tx>
          <c:layout>
            <c:manualLayout>
              <c:xMode val="edge"/>
              <c:yMode val="edge"/>
              <c:x val="6.8370569273291876E-3"/>
              <c:y val="0.20061679790026246"/>
            </c:manualLayout>
          </c:layout>
          <c:overlay val="0"/>
          <c:spPr>
            <a:noFill/>
            <a:ln>
              <a:noFill/>
            </a:ln>
            <a:effectLst/>
          </c:spPr>
        </c:title>
        <c:numFmt formatCode="#,##0" sourceLinked="0"/>
        <c:majorTickMark val="none"/>
        <c:minorTickMark val="none"/>
        <c:tickLblPos val="nextTo"/>
        <c:spPr>
          <a:noFill/>
          <a:ln>
            <a:noFill/>
          </a:ln>
          <a:effectLst/>
        </c:spPr>
        <c:txPr>
          <a:bodyPr rot="-60000000" vert="horz"/>
          <a:lstStyle/>
          <a:p>
            <a:pPr>
              <a:defRPr/>
            </a:pPr>
            <a:endParaRPr lang="en-US"/>
          </a:p>
        </c:txPr>
        <c:crossAx val="424952576"/>
        <c:crosses val="autoZero"/>
        <c:crossBetween val="midCat"/>
      </c:valAx>
      <c:spPr>
        <a:noFill/>
        <a:ln>
          <a:noFill/>
        </a:ln>
        <a:effectLst/>
      </c:spPr>
    </c:plotArea>
    <c:legend>
      <c:legendPos val="r"/>
      <c:overlay val="0"/>
      <c:spPr>
        <a:noFill/>
        <a:ln>
          <a:noFill/>
        </a:ln>
        <a:effectLst/>
      </c:spPr>
      <c:txPr>
        <a:bodyPr rot="0" vert="horz"/>
        <a:lstStyle/>
        <a:p>
          <a:pPr>
            <a:defRPr/>
          </a:pPr>
          <a:endParaRPr lang="en-US"/>
        </a:p>
      </c:txPr>
    </c:legend>
    <c:plotVisOnly val="1"/>
    <c:dispBlanksAs val="zero"/>
    <c:showDLblsOverMax val="0"/>
  </c:chart>
  <c:spPr>
    <a:noFill/>
    <a:ln w="9525" cap="flat" cmpd="sng" algn="ctr">
      <a:noFill/>
      <a:round/>
    </a:ln>
    <a:effectLst/>
  </c:spPr>
  <c:txPr>
    <a:bodyPr/>
    <a:lstStyle/>
    <a:p>
      <a:pPr>
        <a:defRPr sz="900">
          <a:solidFill>
            <a:sysClr val="windowText" lastClr="000000"/>
          </a:solidFill>
        </a:defRPr>
      </a:pPr>
      <a:endParaRPr lang="en-US"/>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7326791175896403"/>
          <c:y val="4.5128205128205132E-2"/>
          <c:w val="0.61202569059310763"/>
          <c:h val="0.86469743589743586"/>
        </c:manualLayout>
      </c:layout>
      <c:areaChart>
        <c:grouping val="stacked"/>
        <c:varyColors val="0"/>
        <c:ser>
          <c:idx val="5"/>
          <c:order val="0"/>
          <c:tx>
            <c:strRef>
              <c:f>'HIDDEN_Dashboard charts data'!$B$11</c:f>
              <c:strCache>
                <c:ptCount val="1"/>
                <c:pt idx="0">
                  <c:v>Trajectory</c:v>
                </c:pt>
              </c:strCache>
            </c:strRef>
          </c:tx>
          <c:spPr>
            <a:noFill/>
            <a:ln w="25400">
              <a:noFill/>
            </a:ln>
            <a:effectLst/>
          </c:spPr>
          <c:cat>
            <c:numRef>
              <c:f>'HIDDEN_Dashboard charts data'!$F$5:$AO$5</c:f>
              <c:numCache>
                <c:formatCode>General</c:formatCode>
                <c:ptCount val="3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pt idx="16">
                  <c:v>2031</c:v>
                </c:pt>
                <c:pt idx="17">
                  <c:v>2032</c:v>
                </c:pt>
                <c:pt idx="18">
                  <c:v>2033</c:v>
                </c:pt>
                <c:pt idx="19">
                  <c:v>2034</c:v>
                </c:pt>
                <c:pt idx="20">
                  <c:v>2035</c:v>
                </c:pt>
                <c:pt idx="21">
                  <c:v>2036</c:v>
                </c:pt>
                <c:pt idx="22">
                  <c:v>2037</c:v>
                </c:pt>
                <c:pt idx="23">
                  <c:v>2038</c:v>
                </c:pt>
                <c:pt idx="24">
                  <c:v>2039</c:v>
                </c:pt>
                <c:pt idx="25">
                  <c:v>2040</c:v>
                </c:pt>
                <c:pt idx="26">
                  <c:v>2041</c:v>
                </c:pt>
                <c:pt idx="27">
                  <c:v>2042</c:v>
                </c:pt>
                <c:pt idx="28">
                  <c:v>2043</c:v>
                </c:pt>
                <c:pt idx="29">
                  <c:v>2044</c:v>
                </c:pt>
                <c:pt idx="30">
                  <c:v>2045</c:v>
                </c:pt>
                <c:pt idx="31">
                  <c:v>2046</c:v>
                </c:pt>
                <c:pt idx="32">
                  <c:v>2047</c:v>
                </c:pt>
                <c:pt idx="33">
                  <c:v>2048</c:v>
                </c:pt>
                <c:pt idx="34">
                  <c:v>2049</c:v>
                </c:pt>
                <c:pt idx="35">
                  <c:v>2050</c:v>
                </c:pt>
              </c:numCache>
            </c:numRef>
          </c:cat>
          <c:val>
            <c:numRef>
              <c:f>'HIDDEN_Dashboard charts data'!$F$11:$AO$11</c:f>
              <c:numCache>
                <c:formatCode>_-* #,##0_-;\-* #,##0_-;_-* "-"??_-;_-@_-</c:formatCode>
                <c:ptCount val="36"/>
                <c:pt idx="0">
                  <c:v>4700672.0338636925</c:v>
                </c:pt>
                <c:pt idx="1">
                  <c:v>4696369.2346580112</c:v>
                </c:pt>
                <c:pt idx="2">
                  <c:v>4741394.2660014536</c:v>
                </c:pt>
                <c:pt idx="3">
                  <c:v>4673472.859191576</c:v>
                </c:pt>
                <c:pt idx="4">
                  <c:v>4660297.4720965521</c:v>
                </c:pt>
                <c:pt idx="5">
                  <c:v>4649580.4904540591</c:v>
                </c:pt>
                <c:pt idx="6">
                  <c:v>4479712.7939332295</c:v>
                </c:pt>
                <c:pt idx="7">
                  <c:v>4309103.6779250028</c:v>
                </c:pt>
                <c:pt idx="8">
                  <c:v>4135861.4585596193</c:v>
                </c:pt>
                <c:pt idx="9">
                  <c:v>3959758.9982904736</c:v>
                </c:pt>
                <c:pt idx="10">
                  <c:v>3786021.6744142422</c:v>
                </c:pt>
                <c:pt idx="11">
                  <c:v>3588753.9736723099</c:v>
                </c:pt>
                <c:pt idx="12">
                  <c:v>3533709.5272443634</c:v>
                </c:pt>
                <c:pt idx="13">
                  <c:v>3134059.0172052123</c:v>
                </c:pt>
                <c:pt idx="14">
                  <c:v>2804207.6602098839</c:v>
                </c:pt>
                <c:pt idx="15">
                  <c:v>2500815.5439957501</c:v>
                </c:pt>
                <c:pt idx="16">
                  <c:v>2236895.548612983</c:v>
                </c:pt>
                <c:pt idx="17">
                  <c:v>2082987.2505858522</c:v>
                </c:pt>
                <c:pt idx="18">
                  <c:v>1941603.2594246455</c:v>
                </c:pt>
                <c:pt idx="19">
                  <c:v>1742143.2339213425</c:v>
                </c:pt>
                <c:pt idx="20">
                  <c:v>1364636.3768618116</c:v>
                </c:pt>
                <c:pt idx="21">
                  <c:v>1232658.464195074</c:v>
                </c:pt>
                <c:pt idx="22">
                  <c:v>1102621.989182713</c:v>
                </c:pt>
                <c:pt idx="23">
                  <c:v>964662.42515710788</c:v>
                </c:pt>
                <c:pt idx="24">
                  <c:v>823114.30982106179</c:v>
                </c:pt>
                <c:pt idx="25">
                  <c:v>655534.93941322155</c:v>
                </c:pt>
                <c:pt idx="26">
                  <c:v>654974.3489279761</c:v>
                </c:pt>
                <c:pt idx="27">
                  <c:v>636797.35688114585</c:v>
                </c:pt>
                <c:pt idx="28">
                  <c:v>617236.11059749639</c:v>
                </c:pt>
                <c:pt idx="29">
                  <c:v>596198.05670250254</c:v>
                </c:pt>
                <c:pt idx="30">
                  <c:v>585738.52491778648</c:v>
                </c:pt>
                <c:pt idx="31">
                  <c:v>547054.66786235571</c:v>
                </c:pt>
                <c:pt idx="32">
                  <c:v>520865.51971764676</c:v>
                </c:pt>
                <c:pt idx="33">
                  <c:v>492769.88928975537</c:v>
                </c:pt>
                <c:pt idx="34">
                  <c:v>462637.9736541491</c:v>
                </c:pt>
                <c:pt idx="35">
                  <c:v>430330.76334360335</c:v>
                </c:pt>
              </c:numCache>
            </c:numRef>
          </c:val>
          <c:extLst xmlns:c16r2="http://schemas.microsoft.com/office/drawing/2015/06/chart">
            <c:ext xmlns:c16="http://schemas.microsoft.com/office/drawing/2014/chart" uri="{C3380CC4-5D6E-409C-BE32-E72D297353CC}">
              <c16:uniqueId val="{00000000-414C-0043-ADB9-7E3B396EF1F2}"/>
            </c:ext>
          </c:extLst>
        </c:ser>
        <c:ser>
          <c:idx val="0"/>
          <c:order val="1"/>
          <c:tx>
            <c:strRef>
              <c:f>'HIDDEN_Dashboard charts data'!$B$7</c:f>
              <c:strCache>
                <c:ptCount val="1"/>
                <c:pt idx="0">
                  <c:v>Energy Supply</c:v>
                </c:pt>
              </c:strCache>
            </c:strRef>
          </c:tx>
          <c:spPr>
            <a:solidFill>
              <a:srgbClr val="0070C0"/>
            </a:solidFill>
            <a:ln>
              <a:noFill/>
            </a:ln>
            <a:effectLst/>
          </c:spPr>
          <c:cat>
            <c:numRef>
              <c:f>'HIDDEN_Dashboard charts data'!$F$5:$AO$5</c:f>
              <c:numCache>
                <c:formatCode>General</c:formatCode>
                <c:ptCount val="3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pt idx="16">
                  <c:v>2031</c:v>
                </c:pt>
                <c:pt idx="17">
                  <c:v>2032</c:v>
                </c:pt>
                <c:pt idx="18">
                  <c:v>2033</c:v>
                </c:pt>
                <c:pt idx="19">
                  <c:v>2034</c:v>
                </c:pt>
                <c:pt idx="20">
                  <c:v>2035</c:v>
                </c:pt>
                <c:pt idx="21">
                  <c:v>2036</c:v>
                </c:pt>
                <c:pt idx="22">
                  <c:v>2037</c:v>
                </c:pt>
                <c:pt idx="23">
                  <c:v>2038</c:v>
                </c:pt>
                <c:pt idx="24">
                  <c:v>2039</c:v>
                </c:pt>
                <c:pt idx="25">
                  <c:v>2040</c:v>
                </c:pt>
                <c:pt idx="26">
                  <c:v>2041</c:v>
                </c:pt>
                <c:pt idx="27">
                  <c:v>2042</c:v>
                </c:pt>
                <c:pt idx="28">
                  <c:v>2043</c:v>
                </c:pt>
                <c:pt idx="29">
                  <c:v>2044</c:v>
                </c:pt>
                <c:pt idx="30">
                  <c:v>2045</c:v>
                </c:pt>
                <c:pt idx="31">
                  <c:v>2046</c:v>
                </c:pt>
                <c:pt idx="32">
                  <c:v>2047</c:v>
                </c:pt>
                <c:pt idx="33">
                  <c:v>2048</c:v>
                </c:pt>
                <c:pt idx="34">
                  <c:v>2049</c:v>
                </c:pt>
                <c:pt idx="35">
                  <c:v>2050</c:v>
                </c:pt>
              </c:numCache>
            </c:numRef>
          </c:cat>
          <c:val>
            <c:numRef>
              <c:f>'HIDDEN_Dashboard charts data'!$F$7:$AO$7</c:f>
              <c:numCache>
                <c:formatCode>_-* #,##0_-;\-* #,##0_-;_-* "-"??_-;_-@_-</c:formatCode>
                <c:ptCount val="36"/>
                <c:pt idx="0">
                  <c:v>0</c:v>
                </c:pt>
                <c:pt idx="1">
                  <c:v>0</c:v>
                </c:pt>
                <c:pt idx="2">
                  <c:v>0</c:v>
                </c:pt>
                <c:pt idx="3">
                  <c:v>0</c:v>
                </c:pt>
                <c:pt idx="4">
                  <c:v>0</c:v>
                </c:pt>
                <c:pt idx="5">
                  <c:v>0</c:v>
                </c:pt>
                <c:pt idx="6">
                  <c:v>47281.269938823527</c:v>
                </c:pt>
                <c:pt idx="7">
                  <c:v>90507.629625882342</c:v>
                </c:pt>
                <c:pt idx="8">
                  <c:v>130406.95401882351</c:v>
                </c:pt>
                <c:pt idx="9">
                  <c:v>166979.24311764701</c:v>
                </c:pt>
                <c:pt idx="10">
                  <c:v>200224.49692235288</c:v>
                </c:pt>
                <c:pt idx="11">
                  <c:v>240148.92045176463</c:v>
                </c:pt>
                <c:pt idx="12">
                  <c:v>268222.49497513671</c:v>
                </c:pt>
                <c:pt idx="13">
                  <c:v>517683.38402361469</c:v>
                </c:pt>
                <c:pt idx="14">
                  <c:v>650701.31186766177</c:v>
                </c:pt>
                <c:pt idx="15">
                  <c:v>757673.59833858605</c:v>
                </c:pt>
                <c:pt idx="16">
                  <c:v>872278.56869469839</c:v>
                </c:pt>
                <c:pt idx="17">
                  <c:v>957011.67041532963</c:v>
                </c:pt>
                <c:pt idx="18">
                  <c:v>988548.89859446674</c:v>
                </c:pt>
                <c:pt idx="19">
                  <c:v>991707.66699992772</c:v>
                </c:pt>
                <c:pt idx="20">
                  <c:v>1110052.1550090588</c:v>
                </c:pt>
                <c:pt idx="21">
                  <c:v>1238993.2661573058</c:v>
                </c:pt>
                <c:pt idx="22">
                  <c:v>1370239.9624960485</c:v>
                </c:pt>
                <c:pt idx="23">
                  <c:v>1504247.2389429552</c:v>
                </c:pt>
                <c:pt idx="24">
                  <c:v>1641118.4679791173</c:v>
                </c:pt>
                <c:pt idx="25">
                  <c:v>1798317.569743864</c:v>
                </c:pt>
                <c:pt idx="26">
                  <c:v>1812907.3934415288</c:v>
                </c:pt>
                <c:pt idx="27">
                  <c:v>1827932.3513557329</c:v>
                </c:pt>
                <c:pt idx="28">
                  <c:v>1843392.1938767626</c:v>
                </c:pt>
                <c:pt idx="29">
                  <c:v>1859286.522152262</c:v>
                </c:pt>
                <c:pt idx="30">
                  <c:v>1866462.7706082631</c:v>
                </c:pt>
                <c:pt idx="31">
                  <c:v>1885026.4142833315</c:v>
                </c:pt>
                <c:pt idx="32">
                  <c:v>1904038.9458241556</c:v>
                </c:pt>
                <c:pt idx="33">
                  <c:v>1923500.2841181331</c:v>
                </c:pt>
                <c:pt idx="34">
                  <c:v>1943410.1294394333</c:v>
                </c:pt>
                <c:pt idx="35">
                  <c:v>1963767.9522209219</c:v>
                </c:pt>
              </c:numCache>
            </c:numRef>
          </c:val>
          <c:extLst xmlns:c16r2="http://schemas.microsoft.com/office/drawing/2015/06/chart">
            <c:ext xmlns:c16="http://schemas.microsoft.com/office/drawing/2014/chart" uri="{C3380CC4-5D6E-409C-BE32-E72D297353CC}">
              <c16:uniqueId val="{00000001-414C-0043-ADB9-7E3B396EF1F2}"/>
            </c:ext>
          </c:extLst>
        </c:ser>
        <c:ser>
          <c:idx val="1"/>
          <c:order val="2"/>
          <c:tx>
            <c:strRef>
              <c:f>'HIDDEN_Dashboard charts data'!$B$8</c:f>
              <c:strCache>
                <c:ptCount val="1"/>
                <c:pt idx="0">
                  <c:v>Buildings</c:v>
                </c:pt>
              </c:strCache>
            </c:strRef>
          </c:tx>
          <c:spPr>
            <a:solidFill>
              <a:srgbClr val="00B050"/>
            </a:solidFill>
            <a:ln>
              <a:noFill/>
            </a:ln>
            <a:effectLst/>
          </c:spPr>
          <c:cat>
            <c:numRef>
              <c:f>'HIDDEN_Dashboard charts data'!$F$5:$AO$5</c:f>
              <c:numCache>
                <c:formatCode>General</c:formatCode>
                <c:ptCount val="3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pt idx="16">
                  <c:v>2031</c:v>
                </c:pt>
                <c:pt idx="17">
                  <c:v>2032</c:v>
                </c:pt>
                <c:pt idx="18">
                  <c:v>2033</c:v>
                </c:pt>
                <c:pt idx="19">
                  <c:v>2034</c:v>
                </c:pt>
                <c:pt idx="20">
                  <c:v>2035</c:v>
                </c:pt>
                <c:pt idx="21">
                  <c:v>2036</c:v>
                </c:pt>
                <c:pt idx="22">
                  <c:v>2037</c:v>
                </c:pt>
                <c:pt idx="23">
                  <c:v>2038</c:v>
                </c:pt>
                <c:pt idx="24">
                  <c:v>2039</c:v>
                </c:pt>
                <c:pt idx="25">
                  <c:v>2040</c:v>
                </c:pt>
                <c:pt idx="26">
                  <c:v>2041</c:v>
                </c:pt>
                <c:pt idx="27">
                  <c:v>2042</c:v>
                </c:pt>
                <c:pt idx="28">
                  <c:v>2043</c:v>
                </c:pt>
                <c:pt idx="29">
                  <c:v>2044</c:v>
                </c:pt>
                <c:pt idx="30">
                  <c:v>2045</c:v>
                </c:pt>
                <c:pt idx="31">
                  <c:v>2046</c:v>
                </c:pt>
                <c:pt idx="32">
                  <c:v>2047</c:v>
                </c:pt>
                <c:pt idx="33">
                  <c:v>2048</c:v>
                </c:pt>
                <c:pt idx="34">
                  <c:v>2049</c:v>
                </c:pt>
                <c:pt idx="35">
                  <c:v>2050</c:v>
                </c:pt>
              </c:numCache>
            </c:numRef>
          </c:cat>
          <c:val>
            <c:numRef>
              <c:f>'HIDDEN_Dashboard charts data'!$F$8:$AO$8</c:f>
              <c:numCache>
                <c:formatCode>_-* #,##0_-;\-* #,##0_-;_-* "-"??_-;_-@_-</c:formatCode>
                <c:ptCount val="36"/>
                <c:pt idx="0">
                  <c:v>0</c:v>
                </c:pt>
                <c:pt idx="1">
                  <c:v>0</c:v>
                </c:pt>
                <c:pt idx="2">
                  <c:v>0</c:v>
                </c:pt>
                <c:pt idx="3">
                  <c:v>0</c:v>
                </c:pt>
                <c:pt idx="4">
                  <c:v>0</c:v>
                </c:pt>
                <c:pt idx="5">
                  <c:v>0</c:v>
                </c:pt>
                <c:pt idx="6">
                  <c:v>68443.301573679666</c:v>
                </c:pt>
                <c:pt idx="7">
                  <c:v>137451.28064623073</c:v>
                </c:pt>
                <c:pt idx="8">
                  <c:v>206663.21342177995</c:v>
                </c:pt>
                <c:pt idx="9">
                  <c:v>276224.44355875748</c:v>
                </c:pt>
                <c:pt idx="10">
                  <c:v>345184.51484313962</c:v>
                </c:pt>
                <c:pt idx="11">
                  <c:v>424911.44824259914</c:v>
                </c:pt>
                <c:pt idx="12">
                  <c:v>493709.44787963078</c:v>
                </c:pt>
                <c:pt idx="13">
                  <c:v>554740.63756647974</c:v>
                </c:pt>
                <c:pt idx="14">
                  <c:v>612105.64529511158</c:v>
                </c:pt>
                <c:pt idx="15">
                  <c:v>665020.49798828503</c:v>
                </c:pt>
                <c:pt idx="16">
                  <c:v>687549.54718043504</c:v>
                </c:pt>
                <c:pt idx="17">
                  <c:v>698988.75569108536</c:v>
                </c:pt>
                <c:pt idx="18">
                  <c:v>692081.48898935341</c:v>
                </c:pt>
                <c:pt idx="19">
                  <c:v>679478.1243554008</c:v>
                </c:pt>
                <c:pt idx="20">
                  <c:v>715153.82812786463</c:v>
                </c:pt>
                <c:pt idx="21">
                  <c:v>752596.61556466832</c:v>
                </c:pt>
                <c:pt idx="22">
                  <c:v>791632.00975656719</c:v>
                </c:pt>
                <c:pt idx="23">
                  <c:v>831436.15664765425</c:v>
                </c:pt>
                <c:pt idx="24">
                  <c:v>872033.17405785876</c:v>
                </c:pt>
                <c:pt idx="25">
                  <c:v>918352.43939458497</c:v>
                </c:pt>
                <c:pt idx="26">
                  <c:v>962030.50722998939</c:v>
                </c:pt>
                <c:pt idx="27">
                  <c:v>1006678.9715882801</c:v>
                </c:pt>
                <c:pt idx="28">
                  <c:v>1052326.103096195</c:v>
                </c:pt>
                <c:pt idx="29">
                  <c:v>1099000.9036504575</c:v>
                </c:pt>
                <c:pt idx="30">
                  <c:v>1143730.7370418953</c:v>
                </c:pt>
                <c:pt idx="31">
                  <c:v>1193077.7096664966</c:v>
                </c:pt>
                <c:pt idx="32">
                  <c:v>1243581.883361191</c:v>
                </c:pt>
                <c:pt idx="33">
                  <c:v>1295275.5439627063</c:v>
                </c:pt>
                <c:pt idx="34">
                  <c:v>1348191.8275480249</c:v>
                </c:pt>
                <c:pt idx="35">
                  <c:v>1402364.7420577267</c:v>
                </c:pt>
              </c:numCache>
            </c:numRef>
          </c:val>
          <c:extLst xmlns:c16r2="http://schemas.microsoft.com/office/drawing/2015/06/chart">
            <c:ext xmlns:c16="http://schemas.microsoft.com/office/drawing/2014/chart" uri="{C3380CC4-5D6E-409C-BE32-E72D297353CC}">
              <c16:uniqueId val="{00000002-414C-0043-ADB9-7E3B396EF1F2}"/>
            </c:ext>
          </c:extLst>
        </c:ser>
        <c:ser>
          <c:idx val="2"/>
          <c:order val="3"/>
          <c:tx>
            <c:strRef>
              <c:f>'HIDDEN_Dashboard charts data'!$B$9</c:f>
              <c:strCache>
                <c:ptCount val="1"/>
                <c:pt idx="0">
                  <c:v>Transport</c:v>
                </c:pt>
              </c:strCache>
            </c:strRef>
          </c:tx>
          <c:spPr>
            <a:solidFill>
              <a:srgbClr val="00A3AE"/>
            </a:solidFill>
            <a:ln>
              <a:solidFill>
                <a:srgbClr val="00A3AE"/>
              </a:solidFill>
            </a:ln>
            <a:effectLst/>
          </c:spPr>
          <c:cat>
            <c:numRef>
              <c:f>'HIDDEN_Dashboard charts data'!$F$5:$AO$5</c:f>
              <c:numCache>
                <c:formatCode>General</c:formatCode>
                <c:ptCount val="3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pt idx="16">
                  <c:v>2031</c:v>
                </c:pt>
                <c:pt idx="17">
                  <c:v>2032</c:v>
                </c:pt>
                <c:pt idx="18">
                  <c:v>2033</c:v>
                </c:pt>
                <c:pt idx="19">
                  <c:v>2034</c:v>
                </c:pt>
                <c:pt idx="20">
                  <c:v>2035</c:v>
                </c:pt>
                <c:pt idx="21">
                  <c:v>2036</c:v>
                </c:pt>
                <c:pt idx="22">
                  <c:v>2037</c:v>
                </c:pt>
                <c:pt idx="23">
                  <c:v>2038</c:v>
                </c:pt>
                <c:pt idx="24">
                  <c:v>2039</c:v>
                </c:pt>
                <c:pt idx="25">
                  <c:v>2040</c:v>
                </c:pt>
                <c:pt idx="26">
                  <c:v>2041</c:v>
                </c:pt>
                <c:pt idx="27">
                  <c:v>2042</c:v>
                </c:pt>
                <c:pt idx="28">
                  <c:v>2043</c:v>
                </c:pt>
                <c:pt idx="29">
                  <c:v>2044</c:v>
                </c:pt>
                <c:pt idx="30">
                  <c:v>2045</c:v>
                </c:pt>
                <c:pt idx="31">
                  <c:v>2046</c:v>
                </c:pt>
                <c:pt idx="32">
                  <c:v>2047</c:v>
                </c:pt>
                <c:pt idx="33">
                  <c:v>2048</c:v>
                </c:pt>
                <c:pt idx="34">
                  <c:v>2049</c:v>
                </c:pt>
                <c:pt idx="35">
                  <c:v>2050</c:v>
                </c:pt>
              </c:numCache>
            </c:numRef>
          </c:cat>
          <c:val>
            <c:numRef>
              <c:f>'HIDDEN_Dashboard charts data'!$F$9:$AO$9</c:f>
              <c:numCache>
                <c:formatCode>_-* #,##0_-;\-* #,##0_-;_-* "-"??_-;_-@_-</c:formatCode>
                <c:ptCount val="36"/>
                <c:pt idx="0">
                  <c:v>0</c:v>
                </c:pt>
                <c:pt idx="1">
                  <c:v>0</c:v>
                </c:pt>
                <c:pt idx="2">
                  <c:v>0</c:v>
                </c:pt>
                <c:pt idx="3">
                  <c:v>0</c:v>
                </c:pt>
                <c:pt idx="4">
                  <c:v>0</c:v>
                </c:pt>
                <c:pt idx="5">
                  <c:v>0</c:v>
                </c:pt>
                <c:pt idx="6">
                  <c:v>42867.169967198322</c:v>
                </c:pt>
                <c:pt idx="7">
                  <c:v>85811.414077358117</c:v>
                </c:pt>
                <c:pt idx="8">
                  <c:v>128837.82573637781</c:v>
                </c:pt>
                <c:pt idx="9">
                  <c:v>171951.72503623407</c:v>
                </c:pt>
                <c:pt idx="10">
                  <c:v>215158.66591732198</c:v>
                </c:pt>
                <c:pt idx="11">
                  <c:v>258464.44353494866</c:v>
                </c:pt>
                <c:pt idx="12">
                  <c:v>301875.1018355639</c:v>
                </c:pt>
                <c:pt idx="13">
                  <c:v>345396.94134846237</c:v>
                </c:pt>
                <c:pt idx="14">
                  <c:v>389036.52719884447</c:v>
                </c:pt>
                <c:pt idx="15">
                  <c:v>432800.6973482793</c:v>
                </c:pt>
                <c:pt idx="16">
                  <c:v>449585.08194157551</c:v>
                </c:pt>
                <c:pt idx="17">
                  <c:v>466463.42076820653</c:v>
                </c:pt>
                <c:pt idx="18">
                  <c:v>483437.49890337139</c:v>
                </c:pt>
                <c:pt idx="19">
                  <c:v>500509.15592839022</c:v>
                </c:pt>
                <c:pt idx="20">
                  <c:v>517680.28748203715</c:v>
                </c:pt>
                <c:pt idx="21">
                  <c:v>534952.84685386182</c:v>
                </c:pt>
                <c:pt idx="22">
                  <c:v>552328.84662061289</c:v>
                </c:pt>
                <c:pt idx="23">
                  <c:v>569810.36032689596</c:v>
                </c:pt>
                <c:pt idx="24">
                  <c:v>587399.52421124047</c:v>
                </c:pt>
                <c:pt idx="25">
                  <c:v>605098.53897876642</c:v>
                </c:pt>
                <c:pt idx="26">
                  <c:v>622909.67162168841</c:v>
                </c:pt>
                <c:pt idx="27">
                  <c:v>640835.2572889101</c:v>
                </c:pt>
                <c:pt idx="28">
                  <c:v>658877.7012060089</c:v>
                </c:pt>
                <c:pt idx="29">
                  <c:v>677039.48064693774</c:v>
                </c:pt>
                <c:pt idx="30">
                  <c:v>695323.14695880306</c:v>
                </c:pt>
                <c:pt idx="31">
                  <c:v>713731.327641121</c:v>
                </c:pt>
                <c:pt idx="32">
                  <c:v>732266.7284809819</c:v>
                </c:pt>
                <c:pt idx="33">
                  <c:v>750932.1357455973</c:v>
                </c:pt>
                <c:pt idx="34">
                  <c:v>769730.41843373794</c:v>
                </c:pt>
                <c:pt idx="35">
                  <c:v>788664.53058760799</c:v>
                </c:pt>
              </c:numCache>
            </c:numRef>
          </c:val>
          <c:extLst xmlns:c16r2="http://schemas.microsoft.com/office/drawing/2015/06/chart">
            <c:ext xmlns:c16="http://schemas.microsoft.com/office/drawing/2014/chart" uri="{C3380CC4-5D6E-409C-BE32-E72D297353CC}">
              <c16:uniqueId val="{00000003-414C-0043-ADB9-7E3B396EF1F2}"/>
            </c:ext>
          </c:extLst>
        </c:ser>
        <c:ser>
          <c:idx val="3"/>
          <c:order val="4"/>
          <c:tx>
            <c:strRef>
              <c:f>'HIDDEN_Dashboard charts data'!$B$10</c:f>
              <c:strCache>
                <c:ptCount val="1"/>
                <c:pt idx="0">
                  <c:v>Waste</c:v>
                </c:pt>
              </c:strCache>
            </c:strRef>
          </c:tx>
          <c:spPr>
            <a:solidFill>
              <a:schemeClr val="accent4"/>
            </a:solidFill>
            <a:ln>
              <a:noFill/>
            </a:ln>
            <a:effectLst/>
          </c:spPr>
          <c:cat>
            <c:numRef>
              <c:f>'HIDDEN_Dashboard charts data'!$F$5:$AO$5</c:f>
              <c:numCache>
                <c:formatCode>General</c:formatCode>
                <c:ptCount val="3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pt idx="16">
                  <c:v>2031</c:v>
                </c:pt>
                <c:pt idx="17">
                  <c:v>2032</c:v>
                </c:pt>
                <c:pt idx="18">
                  <c:v>2033</c:v>
                </c:pt>
                <c:pt idx="19">
                  <c:v>2034</c:v>
                </c:pt>
                <c:pt idx="20">
                  <c:v>2035</c:v>
                </c:pt>
                <c:pt idx="21">
                  <c:v>2036</c:v>
                </c:pt>
                <c:pt idx="22">
                  <c:v>2037</c:v>
                </c:pt>
                <c:pt idx="23">
                  <c:v>2038</c:v>
                </c:pt>
                <c:pt idx="24">
                  <c:v>2039</c:v>
                </c:pt>
                <c:pt idx="25">
                  <c:v>2040</c:v>
                </c:pt>
                <c:pt idx="26">
                  <c:v>2041</c:v>
                </c:pt>
                <c:pt idx="27">
                  <c:v>2042</c:v>
                </c:pt>
                <c:pt idx="28">
                  <c:v>2043</c:v>
                </c:pt>
                <c:pt idx="29">
                  <c:v>2044</c:v>
                </c:pt>
                <c:pt idx="30">
                  <c:v>2045</c:v>
                </c:pt>
                <c:pt idx="31">
                  <c:v>2046</c:v>
                </c:pt>
                <c:pt idx="32">
                  <c:v>2047</c:v>
                </c:pt>
                <c:pt idx="33">
                  <c:v>2048</c:v>
                </c:pt>
                <c:pt idx="34">
                  <c:v>2049</c:v>
                </c:pt>
                <c:pt idx="35">
                  <c:v>2050</c:v>
                </c:pt>
              </c:numCache>
            </c:numRef>
          </c:cat>
          <c:val>
            <c:numRef>
              <c:f>'HIDDEN_Dashboard charts data'!$F$10:$AO$10</c:f>
              <c:numCache>
                <c:formatCode>_-* #,##0_-;\-* #,##0_-;_-* "-"??_-;_-@_-</c:formatCode>
                <c:ptCount val="36"/>
                <c:pt idx="0">
                  <c:v>0</c:v>
                </c:pt>
                <c:pt idx="1">
                  <c:v>0</c:v>
                </c:pt>
                <c:pt idx="2">
                  <c:v>0</c:v>
                </c:pt>
                <c:pt idx="3">
                  <c:v>0</c:v>
                </c:pt>
                <c:pt idx="4">
                  <c:v>0</c:v>
                </c:pt>
                <c:pt idx="5">
                  <c:v>0</c:v>
                </c:pt>
                <c:pt idx="6">
                  <c:v>4586.1783532118134</c:v>
                </c:pt>
                <c:pt idx="7">
                  <c:v>9458.9948123781433</c:v>
                </c:pt>
                <c:pt idx="8">
                  <c:v>14501.431887579696</c:v>
                </c:pt>
                <c:pt idx="9">
                  <c:v>19770.597252271407</c:v>
                </c:pt>
                <c:pt idx="10">
                  <c:v>25257.421879787318</c:v>
                </c:pt>
                <c:pt idx="11">
                  <c:v>30934.698471559757</c:v>
                </c:pt>
                <c:pt idx="12">
                  <c:v>36852.307056748796</c:v>
                </c:pt>
                <c:pt idx="13">
                  <c:v>42987.574904762034</c:v>
                </c:pt>
                <c:pt idx="14">
                  <c:v>49381.313018093912</c:v>
                </c:pt>
                <c:pt idx="15">
                  <c:v>55956.433959731607</c:v>
                </c:pt>
                <c:pt idx="16">
                  <c:v>63043.825167785304</c:v>
                </c:pt>
                <c:pt idx="17">
                  <c:v>70429.779362416113</c:v>
                </c:pt>
                <c:pt idx="18">
                  <c:v>78128.364177852374</c:v>
                </c:pt>
                <c:pt idx="19">
                  <c:v>86089.544832214728</c:v>
                </c:pt>
                <c:pt idx="20">
                  <c:v>94382.112953020056</c:v>
                </c:pt>
                <c:pt idx="21">
                  <c:v>102946.65533557048</c:v>
                </c:pt>
                <c:pt idx="22">
                  <c:v>111831.08816961234</c:v>
                </c:pt>
                <c:pt idx="23">
                  <c:v>121045.10810706367</c:v>
                </c:pt>
                <c:pt idx="24">
                  <c:v>130598.67879791722</c:v>
                </c:pt>
                <c:pt idx="25">
                  <c:v>140502.03784511937</c:v>
                </c:pt>
                <c:pt idx="26">
                  <c:v>150765.70393417453</c:v>
                </c:pt>
                <c:pt idx="27">
                  <c:v>161400.48414174901</c:v>
                </c:pt>
                <c:pt idx="28">
                  <c:v>172417.48142766088</c:v>
                </c:pt>
                <c:pt idx="29">
                  <c:v>183828.10231474054</c:v>
                </c:pt>
                <c:pt idx="30">
                  <c:v>195644.06476115657</c:v>
                </c:pt>
                <c:pt idx="31">
                  <c:v>207877.40622991286</c:v>
                </c:pt>
                <c:pt idx="32">
                  <c:v>220540.49196033622</c:v>
                </c:pt>
                <c:pt idx="33">
                  <c:v>233646.02344648461</c:v>
                </c:pt>
                <c:pt idx="34">
                  <c:v>247207.04712753222</c:v>
                </c:pt>
                <c:pt idx="35">
                  <c:v>261236.96329530116</c:v>
                </c:pt>
              </c:numCache>
            </c:numRef>
          </c:val>
          <c:extLst xmlns:c16r2="http://schemas.microsoft.com/office/drawing/2015/06/chart">
            <c:ext xmlns:c16="http://schemas.microsoft.com/office/drawing/2014/chart" uri="{C3380CC4-5D6E-409C-BE32-E72D297353CC}">
              <c16:uniqueId val="{00000004-414C-0043-ADB9-7E3B396EF1F2}"/>
            </c:ext>
          </c:extLst>
        </c:ser>
        <c:dLbls>
          <c:showLegendKey val="0"/>
          <c:showVal val="0"/>
          <c:showCatName val="0"/>
          <c:showSerName val="0"/>
          <c:showPercent val="0"/>
          <c:showBubbleSize val="0"/>
        </c:dLbls>
        <c:axId val="380697984"/>
        <c:axId val="380802176"/>
      </c:areaChart>
      <c:lineChart>
        <c:grouping val="standard"/>
        <c:varyColors val="0"/>
        <c:ser>
          <c:idx val="4"/>
          <c:order val="5"/>
          <c:tx>
            <c:strRef>
              <c:f>'HIDDEN_Dashboard charts data'!$B$7</c:f>
              <c:strCache>
                <c:ptCount val="1"/>
                <c:pt idx="0">
                  <c:v>Energy Supply</c:v>
                </c:pt>
              </c:strCache>
            </c:strRef>
          </c:tx>
          <c:spPr>
            <a:ln w="28575" cap="rnd">
              <a:solidFill>
                <a:schemeClr val="accent5"/>
              </a:solidFill>
              <a:prstDash val="dash"/>
              <a:round/>
            </a:ln>
            <a:effectLst/>
          </c:spPr>
          <c:marker>
            <c:symbol val="none"/>
          </c:marker>
          <c:val>
            <c:numRef>
              <c:f>'HIDDEN_Dashboard charts data'!$F$6:$AO$6</c:f>
              <c:numCache>
                <c:formatCode>_-* #,##0_-;\-* #,##0_-;_-* "-"??_-;_-@_-</c:formatCode>
                <c:ptCount val="36"/>
                <c:pt idx="0">
                  <c:v>4700672.0338636925</c:v>
                </c:pt>
                <c:pt idx="1">
                  <c:v>4696369.2346580112</c:v>
                </c:pt>
                <c:pt idx="2">
                  <c:v>4741394.2660014536</c:v>
                </c:pt>
                <c:pt idx="3">
                  <c:v>4673472.859191576</c:v>
                </c:pt>
                <c:pt idx="4">
                  <c:v>4660297.4720965521</c:v>
                </c:pt>
                <c:pt idx="5">
                  <c:v>4649580.4904540591</c:v>
                </c:pt>
                <c:pt idx="6">
                  <c:v>4642890.7137661427</c:v>
                </c:pt>
                <c:pt idx="7">
                  <c:v>4632332.9970868519</c:v>
                </c:pt>
                <c:pt idx="8">
                  <c:v>4616270.8836241802</c:v>
                </c:pt>
                <c:pt idx="9">
                  <c:v>4594685.0072553838</c:v>
                </c:pt>
                <c:pt idx="10">
                  <c:v>4571846.7739768438</c:v>
                </c:pt>
                <c:pt idx="11">
                  <c:v>4543213.4843731821</c:v>
                </c:pt>
                <c:pt idx="12">
                  <c:v>4634368.8789914437</c:v>
                </c:pt>
                <c:pt idx="13">
                  <c:v>4594867.5550485309</c:v>
                </c:pt>
                <c:pt idx="14">
                  <c:v>4505432.4575895956</c:v>
                </c:pt>
                <c:pt idx="15">
                  <c:v>4412266.7716306318</c:v>
                </c:pt>
                <c:pt idx="16">
                  <c:v>4309352.5715974774</c:v>
                </c:pt>
                <c:pt idx="17">
                  <c:v>4275880.8768228898</c:v>
                </c:pt>
                <c:pt idx="18">
                  <c:v>4183799.5100896894</c:v>
                </c:pt>
                <c:pt idx="19">
                  <c:v>3999927.726037276</c:v>
                </c:pt>
                <c:pt idx="20">
                  <c:v>3801904.7604337926</c:v>
                </c:pt>
                <c:pt idx="21">
                  <c:v>3862147.8481064807</c:v>
                </c:pt>
                <c:pt idx="22">
                  <c:v>3928653.8962255539</c:v>
                </c:pt>
                <c:pt idx="23">
                  <c:v>3991201.2891816767</c:v>
                </c:pt>
                <c:pt idx="24">
                  <c:v>4054264.154867196</c:v>
                </c:pt>
                <c:pt idx="25">
                  <c:v>4117805.5253755567</c:v>
                </c:pt>
                <c:pt idx="26">
                  <c:v>4203587.6251553576</c:v>
                </c:pt>
                <c:pt idx="27">
                  <c:v>4273644.4212558176</c:v>
                </c:pt>
                <c:pt idx="28">
                  <c:v>4344249.5902041234</c:v>
                </c:pt>
                <c:pt idx="29">
                  <c:v>4415353.0654669004</c:v>
                </c:pt>
                <c:pt idx="30">
                  <c:v>4486899.2442879044</c:v>
                </c:pt>
                <c:pt idx="31">
                  <c:v>4546767.5256832177</c:v>
                </c:pt>
                <c:pt idx="32">
                  <c:v>4621293.569344312</c:v>
                </c:pt>
                <c:pt idx="33">
                  <c:v>4696123.8765626764</c:v>
                </c:pt>
                <c:pt idx="34">
                  <c:v>4771177.3962028772</c:v>
                </c:pt>
                <c:pt idx="35">
                  <c:v>4846364.9515051609</c:v>
                </c:pt>
              </c:numCache>
            </c:numRef>
          </c:val>
          <c:smooth val="0"/>
          <c:extLst xmlns:c16r2="http://schemas.microsoft.com/office/drawing/2015/06/chart">
            <c:ext xmlns:c16="http://schemas.microsoft.com/office/drawing/2014/chart" uri="{C3380CC4-5D6E-409C-BE32-E72D297353CC}">
              <c16:uniqueId val="{00000005-414C-0043-ADB9-7E3B396EF1F2}"/>
            </c:ext>
          </c:extLst>
        </c:ser>
        <c:ser>
          <c:idx val="6"/>
          <c:order val="6"/>
          <c:tx>
            <c:strRef>
              <c:f>'HIDDEN_Dashboard charts data'!$B$11</c:f>
              <c:strCache>
                <c:ptCount val="1"/>
                <c:pt idx="0">
                  <c:v>Trajectory</c:v>
                </c:pt>
              </c:strCache>
            </c:strRef>
          </c:tx>
          <c:spPr>
            <a:ln w="28575" cap="rnd">
              <a:solidFill>
                <a:schemeClr val="accent1">
                  <a:lumMod val="60000"/>
                </a:schemeClr>
              </a:solidFill>
              <a:round/>
            </a:ln>
            <a:effectLst/>
          </c:spPr>
          <c:marker>
            <c:symbol val="none"/>
          </c:marker>
          <c:val>
            <c:numRef>
              <c:f>'HIDDEN_Dashboard charts data'!$F$11:$AO$11</c:f>
              <c:numCache>
                <c:formatCode>_-* #,##0_-;\-* #,##0_-;_-* "-"??_-;_-@_-</c:formatCode>
                <c:ptCount val="36"/>
                <c:pt idx="0">
                  <c:v>4700672.0338636925</c:v>
                </c:pt>
                <c:pt idx="1">
                  <c:v>4696369.2346580112</c:v>
                </c:pt>
                <c:pt idx="2">
                  <c:v>4741394.2660014536</c:v>
                </c:pt>
                <c:pt idx="3">
                  <c:v>4673472.859191576</c:v>
                </c:pt>
                <c:pt idx="4">
                  <c:v>4660297.4720965521</c:v>
                </c:pt>
                <c:pt idx="5">
                  <c:v>4649580.4904540591</c:v>
                </c:pt>
                <c:pt idx="6">
                  <c:v>4479712.7939332295</c:v>
                </c:pt>
                <c:pt idx="7">
                  <c:v>4309103.6779250028</c:v>
                </c:pt>
                <c:pt idx="8">
                  <c:v>4135861.4585596193</c:v>
                </c:pt>
                <c:pt idx="9">
                  <c:v>3959758.9982904736</c:v>
                </c:pt>
                <c:pt idx="10">
                  <c:v>3786021.6744142422</c:v>
                </c:pt>
                <c:pt idx="11">
                  <c:v>3588753.9736723099</c:v>
                </c:pt>
                <c:pt idx="12">
                  <c:v>3533709.5272443634</c:v>
                </c:pt>
                <c:pt idx="13">
                  <c:v>3134059.0172052123</c:v>
                </c:pt>
                <c:pt idx="14">
                  <c:v>2804207.6602098839</c:v>
                </c:pt>
                <c:pt idx="15">
                  <c:v>2500815.5439957501</c:v>
                </c:pt>
                <c:pt idx="16">
                  <c:v>2236895.548612983</c:v>
                </c:pt>
                <c:pt idx="17">
                  <c:v>2082987.2505858522</c:v>
                </c:pt>
                <c:pt idx="18">
                  <c:v>1941603.2594246455</c:v>
                </c:pt>
                <c:pt idx="19">
                  <c:v>1742143.2339213425</c:v>
                </c:pt>
                <c:pt idx="20">
                  <c:v>1364636.3768618116</c:v>
                </c:pt>
                <c:pt idx="21">
                  <c:v>1232658.464195074</c:v>
                </c:pt>
                <c:pt idx="22">
                  <c:v>1102621.989182713</c:v>
                </c:pt>
                <c:pt idx="23">
                  <c:v>964662.42515710788</c:v>
                </c:pt>
                <c:pt idx="24">
                  <c:v>823114.30982106179</c:v>
                </c:pt>
                <c:pt idx="25">
                  <c:v>655534.93941322155</c:v>
                </c:pt>
                <c:pt idx="26">
                  <c:v>654974.3489279761</c:v>
                </c:pt>
                <c:pt idx="27">
                  <c:v>636797.35688114585</c:v>
                </c:pt>
                <c:pt idx="28">
                  <c:v>617236.11059749639</c:v>
                </c:pt>
                <c:pt idx="29">
                  <c:v>596198.05670250254</c:v>
                </c:pt>
                <c:pt idx="30">
                  <c:v>585738.52491778648</c:v>
                </c:pt>
                <c:pt idx="31">
                  <c:v>547054.66786235571</c:v>
                </c:pt>
                <c:pt idx="32">
                  <c:v>520865.51971764676</c:v>
                </c:pt>
                <c:pt idx="33">
                  <c:v>492769.88928975537</c:v>
                </c:pt>
                <c:pt idx="34">
                  <c:v>462637.9736541491</c:v>
                </c:pt>
                <c:pt idx="35">
                  <c:v>430330.76334360335</c:v>
                </c:pt>
              </c:numCache>
            </c:numRef>
          </c:val>
          <c:smooth val="0"/>
          <c:extLst xmlns:c16r2="http://schemas.microsoft.com/office/drawing/2015/06/chart">
            <c:ext xmlns:c16="http://schemas.microsoft.com/office/drawing/2014/chart" uri="{C3380CC4-5D6E-409C-BE32-E72D297353CC}">
              <c16:uniqueId val="{00000006-414C-0043-ADB9-7E3B396EF1F2}"/>
            </c:ext>
          </c:extLst>
        </c:ser>
        <c:dLbls>
          <c:showLegendKey val="0"/>
          <c:showVal val="0"/>
          <c:showCatName val="0"/>
          <c:showSerName val="0"/>
          <c:showPercent val="0"/>
          <c:showBubbleSize val="0"/>
        </c:dLbls>
        <c:marker val="1"/>
        <c:smooth val="0"/>
        <c:axId val="380697984"/>
        <c:axId val="380802176"/>
      </c:lineChart>
      <c:catAx>
        <c:axId val="380697984"/>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0"/>
          <a:lstStyle/>
          <a:p>
            <a:pPr>
              <a:defRPr/>
            </a:pPr>
            <a:endParaRPr lang="en-US"/>
          </a:p>
        </c:txPr>
        <c:crossAx val="380802176"/>
        <c:crosses val="autoZero"/>
        <c:auto val="1"/>
        <c:lblAlgn val="ctr"/>
        <c:lblOffset val="100"/>
        <c:tickLblSkip val="5"/>
        <c:noMultiLvlLbl val="0"/>
      </c:catAx>
      <c:valAx>
        <c:axId val="380802176"/>
        <c:scaling>
          <c:orientation val="minMax"/>
          <c:min val="0"/>
        </c:scaling>
        <c:delete val="0"/>
        <c:axPos val="l"/>
        <c:majorGridlines>
          <c:spPr>
            <a:ln w="9525" cap="flat" cmpd="sng" algn="ctr">
              <a:solidFill>
                <a:schemeClr val="tx1">
                  <a:lumMod val="15000"/>
                  <a:lumOff val="85000"/>
                </a:schemeClr>
              </a:solidFill>
              <a:prstDash val="sysDot"/>
              <a:round/>
            </a:ln>
            <a:effectLst/>
          </c:spPr>
        </c:majorGridlines>
        <c:title>
          <c:tx>
            <c:rich>
              <a:bodyPr rot="-5400000" vert="horz"/>
              <a:lstStyle/>
              <a:p>
                <a:pPr>
                  <a:defRPr/>
                </a:pPr>
                <a:r>
                  <a:rPr lang="en-AU"/>
                  <a:t>Emissions (tCO</a:t>
                </a:r>
                <a:r>
                  <a:rPr lang="en-US" sz="900" b="0" i="0" u="none" strike="noStrike" baseline="-25000">
                    <a:effectLst/>
                  </a:rPr>
                  <a:t>2</a:t>
                </a:r>
                <a:r>
                  <a:rPr lang="en-AU"/>
                  <a:t>-e)</a:t>
                </a:r>
              </a:p>
            </c:rich>
          </c:tx>
          <c:overlay val="0"/>
        </c:title>
        <c:numFmt formatCode="_-* #,##0_-;\-* #,##0_-;_-* &quot;-&quot;??_-;_-@_-" sourceLinked="1"/>
        <c:majorTickMark val="out"/>
        <c:minorTickMark val="none"/>
        <c:tickLblPos val="nextTo"/>
        <c:spPr>
          <a:noFill/>
          <a:effectLst/>
        </c:spPr>
        <c:txPr>
          <a:bodyPr rot="-60000000" vert="horz"/>
          <a:lstStyle/>
          <a:p>
            <a:pPr>
              <a:defRPr/>
            </a:pPr>
            <a:endParaRPr lang="en-US"/>
          </a:p>
        </c:txPr>
        <c:crossAx val="380697984"/>
        <c:crosses val="autoZero"/>
        <c:crossBetween val="midCat"/>
      </c:valAx>
      <c:spPr>
        <a:noFill/>
        <a:ln>
          <a:noFill/>
        </a:ln>
        <a:effectLst/>
      </c:spPr>
    </c:plotArea>
    <c:legend>
      <c:legendPos val="r"/>
      <c:legendEntry>
        <c:idx val="4"/>
        <c:delete val="1"/>
      </c:legendEntry>
      <c:legendEntry>
        <c:idx val="5"/>
        <c:delete val="1"/>
      </c:legendEntry>
      <c:legendEntry>
        <c:idx val="6"/>
        <c:delete val="1"/>
      </c:legendEntry>
      <c:overlay val="0"/>
    </c:legend>
    <c:plotVisOnly val="1"/>
    <c:dispBlanksAs val="zero"/>
    <c:showDLblsOverMax val="0"/>
  </c:chart>
  <c:spPr>
    <a:noFill/>
    <a:ln w="9525" cap="flat" cmpd="sng" algn="ctr">
      <a:noFill/>
      <a:round/>
    </a:ln>
    <a:effectLst/>
  </c:spPr>
  <c:txPr>
    <a:bodyPr/>
    <a:lstStyle/>
    <a:p>
      <a:pPr>
        <a:defRPr sz="900" b="0">
          <a:latin typeface="+mn-lt"/>
        </a:defRPr>
      </a:pPr>
      <a:endParaRPr lang="en-US"/>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plotArea>
      <c:layout>
        <c:manualLayout>
          <c:layoutTarget val="inner"/>
          <c:xMode val="edge"/>
          <c:yMode val="edge"/>
          <c:x val="0.15893051954677334"/>
          <c:y val="4.8812804119143773E-2"/>
          <c:w val="0.55091261240564227"/>
          <c:h val="0.84824424152170164"/>
        </c:manualLayout>
      </c:layout>
      <c:areaChart>
        <c:grouping val="stacked"/>
        <c:varyColors val="0"/>
        <c:ser>
          <c:idx val="0"/>
          <c:order val="0"/>
          <c:tx>
            <c:strRef>
              <c:f>'HIDDEN_Dashboard charts data'!$E$37</c:f>
              <c:strCache>
                <c:ptCount val="1"/>
                <c:pt idx="0">
                  <c:v>City of Melbourne</c:v>
                </c:pt>
              </c:strCache>
            </c:strRef>
          </c:tx>
          <c:spPr>
            <a:solidFill>
              <a:schemeClr val="accent5">
                <a:lumMod val="75000"/>
              </a:schemeClr>
            </a:solidFill>
          </c:spPr>
          <c:cat>
            <c:numRef>
              <c:f>'HIDDEN_Dashboard charts data'!$F$13:$AO$13</c:f>
              <c:numCache>
                <c:formatCode>General</c:formatCode>
                <c:ptCount val="3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pt idx="16">
                  <c:v>2031</c:v>
                </c:pt>
                <c:pt idx="17">
                  <c:v>2032</c:v>
                </c:pt>
                <c:pt idx="18">
                  <c:v>2033</c:v>
                </c:pt>
                <c:pt idx="19">
                  <c:v>2034</c:v>
                </c:pt>
                <c:pt idx="20">
                  <c:v>2035</c:v>
                </c:pt>
                <c:pt idx="21">
                  <c:v>2036</c:v>
                </c:pt>
                <c:pt idx="22">
                  <c:v>2037</c:v>
                </c:pt>
                <c:pt idx="23">
                  <c:v>2038</c:v>
                </c:pt>
                <c:pt idx="24">
                  <c:v>2039</c:v>
                </c:pt>
                <c:pt idx="25">
                  <c:v>2040</c:v>
                </c:pt>
                <c:pt idx="26">
                  <c:v>2041</c:v>
                </c:pt>
                <c:pt idx="27">
                  <c:v>2042</c:v>
                </c:pt>
                <c:pt idx="28">
                  <c:v>2043</c:v>
                </c:pt>
                <c:pt idx="29">
                  <c:v>2044</c:v>
                </c:pt>
                <c:pt idx="30">
                  <c:v>2045</c:v>
                </c:pt>
                <c:pt idx="31">
                  <c:v>2046</c:v>
                </c:pt>
                <c:pt idx="32">
                  <c:v>2047</c:v>
                </c:pt>
                <c:pt idx="33">
                  <c:v>2048</c:v>
                </c:pt>
                <c:pt idx="34">
                  <c:v>2049</c:v>
                </c:pt>
                <c:pt idx="35">
                  <c:v>2050</c:v>
                </c:pt>
              </c:numCache>
            </c:numRef>
          </c:cat>
          <c:val>
            <c:numRef>
              <c:f>'HIDDEN_Dashboard charts data'!$F$37:$AO$37</c:f>
              <c:numCache>
                <c:formatCode>_-* #,##0_-;\-* #,##0_-;_-* "-"??_-;_-@_-</c:formatCode>
                <c:ptCount val="36"/>
                <c:pt idx="0">
                  <c:v>0</c:v>
                </c:pt>
                <c:pt idx="1">
                  <c:v>0</c:v>
                </c:pt>
                <c:pt idx="2">
                  <c:v>0</c:v>
                </c:pt>
                <c:pt idx="3">
                  <c:v>0</c:v>
                </c:pt>
                <c:pt idx="4">
                  <c:v>0</c:v>
                </c:pt>
                <c:pt idx="5">
                  <c:v>0</c:v>
                </c:pt>
                <c:pt idx="6">
                  <c:v>27893.014409793974</c:v>
                </c:pt>
                <c:pt idx="7">
                  <c:v>54477.585058877499</c:v>
                </c:pt>
                <c:pt idx="8">
                  <c:v>79762.604134610723</c:v>
                </c:pt>
                <c:pt idx="9">
                  <c:v>103757.59878068314</c:v>
                </c:pt>
                <c:pt idx="10">
                  <c:v>126456.5527935952</c:v>
                </c:pt>
                <c:pt idx="11">
                  <c:v>152259.90857770361</c:v>
                </c:pt>
                <c:pt idx="12">
                  <c:v>173020.59778915637</c:v>
                </c:pt>
                <c:pt idx="13">
                  <c:v>190545.69459613157</c:v>
                </c:pt>
                <c:pt idx="14">
                  <c:v>206314.48705423958</c:v>
                </c:pt>
                <c:pt idx="15">
                  <c:v>220366.28050409895</c:v>
                </c:pt>
                <c:pt idx="16">
                  <c:v>225607.02830876922</c:v>
                </c:pt>
                <c:pt idx="17">
                  <c:v>227253.46736811762</c:v>
                </c:pt>
                <c:pt idx="18">
                  <c:v>223238.71471543465</c:v>
                </c:pt>
                <c:pt idx="19">
                  <c:v>217894.97089316486</c:v>
                </c:pt>
                <c:pt idx="20">
                  <c:v>227123.30040583797</c:v>
                </c:pt>
                <c:pt idx="21">
                  <c:v>236852.99145917367</c:v>
                </c:pt>
                <c:pt idx="22">
                  <c:v>246690.35114182599</c:v>
                </c:pt>
                <c:pt idx="23">
                  <c:v>256639.72674180433</c:v>
                </c:pt>
                <c:pt idx="24">
                  <c:v>266705.57249010797</c:v>
                </c:pt>
                <c:pt idx="25">
                  <c:v>278285.10304371337</c:v>
                </c:pt>
                <c:pt idx="26">
                  <c:v>288983.84889583359</c:v>
                </c:pt>
                <c:pt idx="27">
                  <c:v>299834.25614565436</c:v>
                </c:pt>
                <c:pt idx="28">
                  <c:v>310841.15845334111</c:v>
                </c:pt>
                <c:pt idx="29">
                  <c:v>322009.5109767426</c:v>
                </c:pt>
                <c:pt idx="30">
                  <c:v>332530.4833891117</c:v>
                </c:pt>
                <c:pt idx="31">
                  <c:v>344185.83172039216</c:v>
                </c:pt>
                <c:pt idx="32">
                  <c:v>356025.75576332066</c:v>
                </c:pt>
                <c:pt idx="33">
                  <c:v>368055.59242701594</c:v>
                </c:pt>
                <c:pt idx="34">
                  <c:v>380280.81982608442</c:v>
                </c:pt>
                <c:pt idx="35">
                  <c:v>392707.06090987392</c:v>
                </c:pt>
              </c:numCache>
            </c:numRef>
          </c:val>
        </c:ser>
        <c:ser>
          <c:idx val="1"/>
          <c:order val="1"/>
          <c:tx>
            <c:strRef>
              <c:f>'HIDDEN_Dashboard charts data'!$E$38</c:f>
              <c:strCache>
                <c:ptCount val="1"/>
                <c:pt idx="0">
                  <c:v>Victorian and Australian Governments</c:v>
                </c:pt>
              </c:strCache>
            </c:strRef>
          </c:tx>
          <c:cat>
            <c:numRef>
              <c:f>'HIDDEN_Dashboard charts data'!$F$13:$AO$13</c:f>
              <c:numCache>
                <c:formatCode>General</c:formatCode>
                <c:ptCount val="3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pt idx="16">
                  <c:v>2031</c:v>
                </c:pt>
                <c:pt idx="17">
                  <c:v>2032</c:v>
                </c:pt>
                <c:pt idx="18">
                  <c:v>2033</c:v>
                </c:pt>
                <c:pt idx="19">
                  <c:v>2034</c:v>
                </c:pt>
                <c:pt idx="20">
                  <c:v>2035</c:v>
                </c:pt>
                <c:pt idx="21">
                  <c:v>2036</c:v>
                </c:pt>
                <c:pt idx="22">
                  <c:v>2037</c:v>
                </c:pt>
                <c:pt idx="23">
                  <c:v>2038</c:v>
                </c:pt>
                <c:pt idx="24">
                  <c:v>2039</c:v>
                </c:pt>
                <c:pt idx="25">
                  <c:v>2040</c:v>
                </c:pt>
                <c:pt idx="26">
                  <c:v>2041</c:v>
                </c:pt>
                <c:pt idx="27">
                  <c:v>2042</c:v>
                </c:pt>
                <c:pt idx="28">
                  <c:v>2043</c:v>
                </c:pt>
                <c:pt idx="29">
                  <c:v>2044</c:v>
                </c:pt>
                <c:pt idx="30">
                  <c:v>2045</c:v>
                </c:pt>
                <c:pt idx="31">
                  <c:v>2046</c:v>
                </c:pt>
                <c:pt idx="32">
                  <c:v>2047</c:v>
                </c:pt>
                <c:pt idx="33">
                  <c:v>2048</c:v>
                </c:pt>
                <c:pt idx="34">
                  <c:v>2049</c:v>
                </c:pt>
                <c:pt idx="35">
                  <c:v>2050</c:v>
                </c:pt>
              </c:numCache>
            </c:numRef>
          </c:cat>
          <c:val>
            <c:numRef>
              <c:f>'HIDDEN_Dashboard charts data'!$F$38:$AO$38</c:f>
              <c:numCache>
                <c:formatCode>_-* #,##0_-;\-* #,##0_-;_-* "-"??_-;_-@_-</c:formatCode>
                <c:ptCount val="36"/>
                <c:pt idx="0">
                  <c:v>0</c:v>
                </c:pt>
                <c:pt idx="1">
                  <c:v>0</c:v>
                </c:pt>
                <c:pt idx="2">
                  <c:v>0</c:v>
                </c:pt>
                <c:pt idx="3">
                  <c:v>0</c:v>
                </c:pt>
                <c:pt idx="4">
                  <c:v>0</c:v>
                </c:pt>
                <c:pt idx="5">
                  <c:v>0</c:v>
                </c:pt>
                <c:pt idx="6">
                  <c:v>43462.967516927762</c:v>
                </c:pt>
                <c:pt idx="7">
                  <c:v>87497.418232944096</c:v>
                </c:pt>
                <c:pt idx="8">
                  <c:v>131925.76104291898</c:v>
                </c:pt>
                <c:pt idx="9">
                  <c:v>176816.37155777009</c:v>
                </c:pt>
                <c:pt idx="10">
                  <c:v>221700.61796581713</c:v>
                </c:pt>
                <c:pt idx="11">
                  <c:v>298855.25752645964</c:v>
                </c:pt>
                <c:pt idx="12">
                  <c:v>354850.38302225876</c:v>
                </c:pt>
                <c:pt idx="13">
                  <c:v>604754.80337189487</c:v>
                </c:pt>
                <c:pt idx="14">
                  <c:v>734090.1096048411</c:v>
                </c:pt>
                <c:pt idx="15">
                  <c:v>840759.58169197605</c:v>
                </c:pt>
                <c:pt idx="16">
                  <c:v>982300.43780812481</c:v>
                </c:pt>
                <c:pt idx="17">
                  <c:v>1100210.8710401468</c:v>
                </c:pt>
                <c:pt idx="18">
                  <c:v>1174920.5140610521</c:v>
                </c:pt>
                <c:pt idx="19">
                  <c:v>1225482.2180819185</c:v>
                </c:pt>
                <c:pt idx="20">
                  <c:v>1371099.2560837152</c:v>
                </c:pt>
                <c:pt idx="21">
                  <c:v>1529203.8539473375</c:v>
                </c:pt>
                <c:pt idx="22">
                  <c:v>1691136.9518361886</c:v>
                </c:pt>
                <c:pt idx="23">
                  <c:v>1856745.862394806</c:v>
                </c:pt>
                <c:pt idx="24">
                  <c:v>2026156.1046947343</c:v>
                </c:pt>
                <c:pt idx="25">
                  <c:v>2223993.6249619164</c:v>
                </c:pt>
                <c:pt idx="26">
                  <c:v>2406039.1442466788</c:v>
                </c:pt>
                <c:pt idx="27">
                  <c:v>2592222.4363088575</c:v>
                </c:pt>
                <c:pt idx="28">
                  <c:v>2782677.8238404053</c:v>
                </c:pt>
                <c:pt idx="29">
                  <c:v>2977541.4140101508</c:v>
                </c:pt>
                <c:pt idx="30">
                  <c:v>3166074.4590297071</c:v>
                </c:pt>
                <c:pt idx="31">
                  <c:v>3268974.4466116978</c:v>
                </c:pt>
                <c:pt idx="32">
                  <c:v>3374663.9431258738</c:v>
                </c:pt>
                <c:pt idx="33">
                  <c:v>3483213.9803374112</c:v>
                </c:pt>
                <c:pt idx="34">
                  <c:v>3594697.3906983952</c:v>
                </c:pt>
                <c:pt idx="35">
                  <c:v>3709188.8522061608</c:v>
                </c:pt>
              </c:numCache>
            </c:numRef>
          </c:val>
        </c:ser>
        <c:dLbls>
          <c:showLegendKey val="0"/>
          <c:showVal val="0"/>
          <c:showCatName val="0"/>
          <c:showSerName val="0"/>
          <c:showPercent val="0"/>
          <c:showBubbleSize val="0"/>
        </c:dLbls>
        <c:axId val="380972032"/>
        <c:axId val="380990208"/>
      </c:areaChart>
      <c:catAx>
        <c:axId val="380972032"/>
        <c:scaling>
          <c:orientation val="minMax"/>
        </c:scaling>
        <c:delete val="0"/>
        <c:axPos val="b"/>
        <c:numFmt formatCode="General" sourceLinked="1"/>
        <c:majorTickMark val="out"/>
        <c:minorTickMark val="none"/>
        <c:tickLblPos val="nextTo"/>
        <c:txPr>
          <a:bodyPr rot="-60000000" vert="horz"/>
          <a:lstStyle/>
          <a:p>
            <a:pPr>
              <a:defRPr sz="900"/>
            </a:pPr>
            <a:endParaRPr lang="en-US"/>
          </a:p>
        </c:txPr>
        <c:crossAx val="380990208"/>
        <c:crosses val="autoZero"/>
        <c:auto val="1"/>
        <c:lblAlgn val="ctr"/>
        <c:lblOffset val="100"/>
        <c:tickLblSkip val="5"/>
        <c:noMultiLvlLbl val="0"/>
      </c:catAx>
      <c:valAx>
        <c:axId val="380990208"/>
        <c:scaling>
          <c:orientation val="minMax"/>
        </c:scaling>
        <c:delete val="0"/>
        <c:axPos val="l"/>
        <c:majorGridlines>
          <c:spPr>
            <a:ln>
              <a:solidFill>
                <a:schemeClr val="tx1">
                  <a:lumMod val="15000"/>
                  <a:lumOff val="85000"/>
                </a:schemeClr>
              </a:solidFill>
            </a:ln>
          </c:spPr>
        </c:majorGridlines>
        <c:title>
          <c:tx>
            <c:rich>
              <a:bodyPr rot="-5400000" vert="horz"/>
              <a:lstStyle/>
              <a:p>
                <a:pPr>
                  <a:defRPr b="0"/>
                </a:pPr>
                <a:r>
                  <a:rPr lang="en-AU" sz="900" b="0"/>
                  <a:t>Emissions</a:t>
                </a:r>
                <a:r>
                  <a:rPr lang="en-AU" b="0"/>
                  <a:t> (</a:t>
                </a:r>
                <a:r>
                  <a:rPr lang="en-AU" sz="900" b="0"/>
                  <a:t>tCO</a:t>
                </a:r>
                <a:r>
                  <a:rPr lang="en-AU" sz="900" b="0" baseline="-25000"/>
                  <a:t>2</a:t>
                </a:r>
                <a:r>
                  <a:rPr lang="en-AU" sz="900" b="0"/>
                  <a:t>-e</a:t>
                </a:r>
                <a:r>
                  <a:rPr lang="en-AU" b="0"/>
                  <a:t>)</a:t>
                </a:r>
              </a:p>
            </c:rich>
          </c:tx>
          <c:overlay val="0"/>
        </c:title>
        <c:numFmt formatCode="_-* #,##0_-;\-* #,##0_-;_-* &quot;-&quot;??_-;_-@_-" sourceLinked="1"/>
        <c:majorTickMark val="out"/>
        <c:minorTickMark val="none"/>
        <c:tickLblPos val="nextTo"/>
        <c:spPr>
          <a:ln>
            <a:noFill/>
          </a:ln>
        </c:spPr>
        <c:txPr>
          <a:bodyPr rot="-60000000" vert="horz"/>
          <a:lstStyle/>
          <a:p>
            <a:pPr>
              <a:defRPr sz="900"/>
            </a:pPr>
            <a:endParaRPr lang="en-US"/>
          </a:p>
        </c:txPr>
        <c:crossAx val="380972032"/>
        <c:crosses val="autoZero"/>
        <c:crossBetween val="midCat"/>
      </c:valAx>
    </c:plotArea>
    <c:legend>
      <c:legendPos val="r"/>
      <c:layout>
        <c:manualLayout>
          <c:xMode val="edge"/>
          <c:yMode val="edge"/>
          <c:x val="0.70385438222882657"/>
          <c:y val="0.29642789506749584"/>
          <c:w val="0.28369724732388929"/>
          <c:h val="0.27845678376069422"/>
        </c:manualLayout>
      </c:layout>
      <c:overlay val="0"/>
      <c:txPr>
        <a:bodyPr/>
        <a:lstStyle/>
        <a:p>
          <a:pPr>
            <a:defRPr sz="900"/>
          </a:pPr>
          <a:endParaRPr lang="en-US"/>
        </a:p>
      </c:txPr>
    </c:legend>
    <c:plotVisOnly val="1"/>
    <c:dispBlanksAs val="zero"/>
    <c:showDLblsOverMax val="0"/>
  </c:chart>
  <c:spPr>
    <a:ln>
      <a:noFill/>
    </a:ln>
  </c:sp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plotArea>
      <c:layout>
        <c:manualLayout>
          <c:layoutTarget val="inner"/>
          <c:xMode val="edge"/>
          <c:yMode val="edge"/>
          <c:x val="0.16044719599195695"/>
          <c:y val="4.8812804119143773E-2"/>
          <c:w val="0.56317882772109817"/>
          <c:h val="0.84824424152170164"/>
        </c:manualLayout>
      </c:layout>
      <c:areaChart>
        <c:grouping val="stacked"/>
        <c:varyColors val="0"/>
        <c:ser>
          <c:idx val="0"/>
          <c:order val="0"/>
          <c:tx>
            <c:strRef>
              <c:f>'HIDDEN_Dashboard charts data'!$E$37</c:f>
              <c:strCache>
                <c:ptCount val="1"/>
                <c:pt idx="0">
                  <c:v>City of Melbourne</c:v>
                </c:pt>
              </c:strCache>
            </c:strRef>
          </c:tx>
          <c:spPr>
            <a:solidFill>
              <a:schemeClr val="accent5">
                <a:lumMod val="75000"/>
              </a:schemeClr>
            </a:solidFill>
          </c:spPr>
          <c:cat>
            <c:numRef>
              <c:f>'HIDDEN_Dashboard charts data'!$F$13:$AO$13</c:f>
              <c:numCache>
                <c:formatCode>General</c:formatCode>
                <c:ptCount val="3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pt idx="16">
                  <c:v>2031</c:v>
                </c:pt>
                <c:pt idx="17">
                  <c:v>2032</c:v>
                </c:pt>
                <c:pt idx="18">
                  <c:v>2033</c:v>
                </c:pt>
                <c:pt idx="19">
                  <c:v>2034</c:v>
                </c:pt>
                <c:pt idx="20">
                  <c:v>2035</c:v>
                </c:pt>
                <c:pt idx="21">
                  <c:v>2036</c:v>
                </c:pt>
                <c:pt idx="22">
                  <c:v>2037</c:v>
                </c:pt>
                <c:pt idx="23">
                  <c:v>2038</c:v>
                </c:pt>
                <c:pt idx="24">
                  <c:v>2039</c:v>
                </c:pt>
                <c:pt idx="25">
                  <c:v>2040</c:v>
                </c:pt>
                <c:pt idx="26">
                  <c:v>2041</c:v>
                </c:pt>
                <c:pt idx="27">
                  <c:v>2042</c:v>
                </c:pt>
                <c:pt idx="28">
                  <c:v>2043</c:v>
                </c:pt>
                <c:pt idx="29">
                  <c:v>2044</c:v>
                </c:pt>
                <c:pt idx="30">
                  <c:v>2045</c:v>
                </c:pt>
                <c:pt idx="31">
                  <c:v>2046</c:v>
                </c:pt>
                <c:pt idx="32">
                  <c:v>2047</c:v>
                </c:pt>
                <c:pt idx="33">
                  <c:v>2048</c:v>
                </c:pt>
                <c:pt idx="34">
                  <c:v>2049</c:v>
                </c:pt>
                <c:pt idx="35">
                  <c:v>2050</c:v>
                </c:pt>
              </c:numCache>
            </c:numRef>
          </c:cat>
          <c:val>
            <c:numRef>
              <c:f>'HIDDEN_Dashboard charts data'!$F$37:$AO$37</c:f>
              <c:numCache>
                <c:formatCode>_-* #,##0_-;\-* #,##0_-;_-* "-"??_-;_-@_-</c:formatCode>
                <c:ptCount val="36"/>
                <c:pt idx="0">
                  <c:v>0</c:v>
                </c:pt>
                <c:pt idx="1">
                  <c:v>0</c:v>
                </c:pt>
                <c:pt idx="2">
                  <c:v>0</c:v>
                </c:pt>
                <c:pt idx="3">
                  <c:v>0</c:v>
                </c:pt>
                <c:pt idx="4">
                  <c:v>0</c:v>
                </c:pt>
                <c:pt idx="5">
                  <c:v>0</c:v>
                </c:pt>
                <c:pt idx="6">
                  <c:v>27893.014409793974</c:v>
                </c:pt>
                <c:pt idx="7">
                  <c:v>54477.585058877499</c:v>
                </c:pt>
                <c:pt idx="8">
                  <c:v>79762.604134610723</c:v>
                </c:pt>
                <c:pt idx="9">
                  <c:v>103757.59878068314</c:v>
                </c:pt>
                <c:pt idx="10">
                  <c:v>126456.5527935952</c:v>
                </c:pt>
                <c:pt idx="11">
                  <c:v>152259.90857770361</c:v>
                </c:pt>
                <c:pt idx="12">
                  <c:v>173020.59778915637</c:v>
                </c:pt>
                <c:pt idx="13">
                  <c:v>190545.69459613157</c:v>
                </c:pt>
                <c:pt idx="14">
                  <c:v>206314.48705423958</c:v>
                </c:pt>
                <c:pt idx="15">
                  <c:v>220366.28050409895</c:v>
                </c:pt>
                <c:pt idx="16">
                  <c:v>225607.02830876922</c:v>
                </c:pt>
                <c:pt idx="17">
                  <c:v>227253.46736811762</c:v>
                </c:pt>
                <c:pt idx="18">
                  <c:v>223238.71471543465</c:v>
                </c:pt>
                <c:pt idx="19">
                  <c:v>217894.97089316486</c:v>
                </c:pt>
                <c:pt idx="20">
                  <c:v>227123.30040583797</c:v>
                </c:pt>
                <c:pt idx="21">
                  <c:v>236852.99145917367</c:v>
                </c:pt>
                <c:pt idx="22">
                  <c:v>246690.35114182599</c:v>
                </c:pt>
                <c:pt idx="23">
                  <c:v>256639.72674180433</c:v>
                </c:pt>
                <c:pt idx="24">
                  <c:v>266705.57249010797</c:v>
                </c:pt>
                <c:pt idx="25">
                  <c:v>278285.10304371337</c:v>
                </c:pt>
                <c:pt idx="26">
                  <c:v>288983.84889583359</c:v>
                </c:pt>
                <c:pt idx="27">
                  <c:v>299834.25614565436</c:v>
                </c:pt>
                <c:pt idx="28">
                  <c:v>310841.15845334111</c:v>
                </c:pt>
                <c:pt idx="29">
                  <c:v>322009.5109767426</c:v>
                </c:pt>
                <c:pt idx="30">
                  <c:v>332530.4833891117</c:v>
                </c:pt>
                <c:pt idx="31">
                  <c:v>344185.83172039216</c:v>
                </c:pt>
                <c:pt idx="32">
                  <c:v>356025.75576332066</c:v>
                </c:pt>
                <c:pt idx="33">
                  <c:v>368055.59242701594</c:v>
                </c:pt>
                <c:pt idx="34">
                  <c:v>380280.81982608442</c:v>
                </c:pt>
                <c:pt idx="35">
                  <c:v>392707.06090987392</c:v>
                </c:pt>
              </c:numCache>
            </c:numRef>
          </c:val>
        </c:ser>
        <c:ser>
          <c:idx val="1"/>
          <c:order val="1"/>
          <c:tx>
            <c:strRef>
              <c:f>'HIDDEN_Dashboard charts data'!$E$38</c:f>
              <c:strCache>
                <c:ptCount val="1"/>
                <c:pt idx="0">
                  <c:v>Victorian and Australian Governments</c:v>
                </c:pt>
              </c:strCache>
            </c:strRef>
          </c:tx>
          <c:cat>
            <c:numRef>
              <c:f>'HIDDEN_Dashboard charts data'!$F$13:$AO$13</c:f>
              <c:numCache>
                <c:formatCode>General</c:formatCode>
                <c:ptCount val="3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pt idx="16">
                  <c:v>2031</c:v>
                </c:pt>
                <c:pt idx="17">
                  <c:v>2032</c:v>
                </c:pt>
                <c:pt idx="18">
                  <c:v>2033</c:v>
                </c:pt>
                <c:pt idx="19">
                  <c:v>2034</c:v>
                </c:pt>
                <c:pt idx="20">
                  <c:v>2035</c:v>
                </c:pt>
                <c:pt idx="21">
                  <c:v>2036</c:v>
                </c:pt>
                <c:pt idx="22">
                  <c:v>2037</c:v>
                </c:pt>
                <c:pt idx="23">
                  <c:v>2038</c:v>
                </c:pt>
                <c:pt idx="24">
                  <c:v>2039</c:v>
                </c:pt>
                <c:pt idx="25">
                  <c:v>2040</c:v>
                </c:pt>
                <c:pt idx="26">
                  <c:v>2041</c:v>
                </c:pt>
                <c:pt idx="27">
                  <c:v>2042</c:v>
                </c:pt>
                <c:pt idx="28">
                  <c:v>2043</c:v>
                </c:pt>
                <c:pt idx="29">
                  <c:v>2044</c:v>
                </c:pt>
                <c:pt idx="30">
                  <c:v>2045</c:v>
                </c:pt>
                <c:pt idx="31">
                  <c:v>2046</c:v>
                </c:pt>
                <c:pt idx="32">
                  <c:v>2047</c:v>
                </c:pt>
                <c:pt idx="33">
                  <c:v>2048</c:v>
                </c:pt>
                <c:pt idx="34">
                  <c:v>2049</c:v>
                </c:pt>
                <c:pt idx="35">
                  <c:v>2050</c:v>
                </c:pt>
              </c:numCache>
            </c:numRef>
          </c:cat>
          <c:val>
            <c:numRef>
              <c:f>'HIDDEN_Dashboard charts data'!$F$38:$AO$38</c:f>
              <c:numCache>
                <c:formatCode>_-* #,##0_-;\-* #,##0_-;_-* "-"??_-;_-@_-</c:formatCode>
                <c:ptCount val="36"/>
                <c:pt idx="0">
                  <c:v>0</c:v>
                </c:pt>
                <c:pt idx="1">
                  <c:v>0</c:v>
                </c:pt>
                <c:pt idx="2">
                  <c:v>0</c:v>
                </c:pt>
                <c:pt idx="3">
                  <c:v>0</c:v>
                </c:pt>
                <c:pt idx="4">
                  <c:v>0</c:v>
                </c:pt>
                <c:pt idx="5">
                  <c:v>0</c:v>
                </c:pt>
                <c:pt idx="6">
                  <c:v>103060.60495712544</c:v>
                </c:pt>
                <c:pt idx="7">
                  <c:v>206706.00046588425</c:v>
                </c:pt>
                <c:pt idx="8">
                  <c:v>310580.26117100456</c:v>
                </c:pt>
                <c:pt idx="9">
                  <c:v>414833.75449987361</c:v>
                </c:pt>
                <c:pt idx="10">
                  <c:v>518521.28049226152</c:v>
                </c:pt>
                <c:pt idx="11">
                  <c:v>633016.35621508234</c:v>
                </c:pt>
                <c:pt idx="12">
                  <c:v>736628.92930584238</c:v>
                </c:pt>
                <c:pt idx="13">
                  <c:v>1061631.6934776374</c:v>
                </c:pt>
                <c:pt idx="14">
                  <c:v>1271014.6545734082</c:v>
                </c:pt>
                <c:pt idx="15">
                  <c:v>1454666.9624354723</c:v>
                </c:pt>
                <c:pt idx="16">
                  <c:v>1606259.2403030912</c:v>
                </c:pt>
                <c:pt idx="17">
                  <c:v>1725334.0453631766</c:v>
                </c:pt>
                <c:pt idx="18">
                  <c:v>1785938.6101643213</c:v>
                </c:pt>
                <c:pt idx="19">
                  <c:v>1815699.9996401984</c:v>
                </c:pt>
                <c:pt idx="20">
                  <c:v>1976605.6559526573</c:v>
                </c:pt>
                <c:pt idx="21">
                  <c:v>2149103.0944305388</c:v>
                </c:pt>
                <c:pt idx="22">
                  <c:v>2325672.8351864079</c:v>
                </c:pt>
                <c:pt idx="23">
                  <c:v>2505947.4306647154</c:v>
                </c:pt>
                <c:pt idx="24">
                  <c:v>2690055.8511703275</c:v>
                </c:pt>
                <c:pt idx="25">
                  <c:v>2897287.2864511237</c:v>
                </c:pt>
                <c:pt idx="26">
                  <c:v>2961696.2394635575</c:v>
                </c:pt>
                <c:pt idx="27">
                  <c:v>3027646.6679178006</c:v>
                </c:pt>
                <c:pt idx="28">
                  <c:v>3095168.5332337222</c:v>
                </c:pt>
                <c:pt idx="29">
                  <c:v>3164292.4573685061</c:v>
                </c:pt>
                <c:pt idx="30">
                  <c:v>3224703.6985376226</c:v>
                </c:pt>
                <c:pt idx="31">
                  <c:v>3299123.9422085211</c:v>
                </c:pt>
                <c:pt idx="32">
                  <c:v>3375280.5322272154</c:v>
                </c:pt>
                <c:pt idx="33">
                  <c:v>3453208.323645683</c:v>
                </c:pt>
                <c:pt idx="34">
                  <c:v>3532942.8861584752</c:v>
                </c:pt>
                <c:pt idx="35">
                  <c:v>3614520.5168039477</c:v>
                </c:pt>
              </c:numCache>
            </c:numRef>
          </c:val>
        </c:ser>
        <c:dLbls>
          <c:showLegendKey val="0"/>
          <c:showVal val="0"/>
          <c:showCatName val="0"/>
          <c:showSerName val="0"/>
          <c:showPercent val="0"/>
          <c:showBubbleSize val="0"/>
        </c:dLbls>
        <c:axId val="382064128"/>
        <c:axId val="382065664"/>
      </c:areaChart>
      <c:catAx>
        <c:axId val="382064128"/>
        <c:scaling>
          <c:orientation val="minMax"/>
        </c:scaling>
        <c:delete val="0"/>
        <c:axPos val="b"/>
        <c:numFmt formatCode="General" sourceLinked="1"/>
        <c:majorTickMark val="out"/>
        <c:minorTickMark val="none"/>
        <c:tickLblPos val="nextTo"/>
        <c:txPr>
          <a:bodyPr rot="-60000000" vert="horz"/>
          <a:lstStyle/>
          <a:p>
            <a:pPr>
              <a:defRPr/>
            </a:pPr>
            <a:endParaRPr lang="en-US"/>
          </a:p>
        </c:txPr>
        <c:crossAx val="382065664"/>
        <c:crosses val="autoZero"/>
        <c:auto val="1"/>
        <c:lblAlgn val="ctr"/>
        <c:lblOffset val="100"/>
        <c:tickLblSkip val="5"/>
        <c:noMultiLvlLbl val="0"/>
      </c:catAx>
      <c:valAx>
        <c:axId val="382065664"/>
        <c:scaling>
          <c:orientation val="minMax"/>
        </c:scaling>
        <c:delete val="0"/>
        <c:axPos val="l"/>
        <c:majorGridlines>
          <c:spPr>
            <a:ln>
              <a:solidFill>
                <a:schemeClr val="tx1">
                  <a:lumMod val="15000"/>
                  <a:lumOff val="85000"/>
                </a:schemeClr>
              </a:solidFill>
            </a:ln>
          </c:spPr>
        </c:majorGridlines>
        <c:title>
          <c:tx>
            <c:rich>
              <a:bodyPr rot="-5400000" vert="horz"/>
              <a:lstStyle/>
              <a:p>
                <a:pPr>
                  <a:defRPr b="0"/>
                </a:pPr>
                <a:r>
                  <a:rPr lang="en-AU" b="0"/>
                  <a:t>Emissions</a:t>
                </a:r>
                <a:r>
                  <a:rPr lang="en-AU" b="0" baseline="0"/>
                  <a:t> (tCO</a:t>
                </a:r>
                <a:r>
                  <a:rPr lang="en-AU" b="0" baseline="-25000"/>
                  <a:t>2</a:t>
                </a:r>
                <a:r>
                  <a:rPr lang="en-AU" b="0" baseline="0"/>
                  <a:t>-e)</a:t>
                </a:r>
                <a:endParaRPr lang="en-AU" b="0"/>
              </a:p>
            </c:rich>
          </c:tx>
          <c:overlay val="0"/>
        </c:title>
        <c:numFmt formatCode="_-* #,##0_-;\-* #,##0_-;_-* &quot;-&quot;??_-;_-@_-" sourceLinked="1"/>
        <c:majorTickMark val="out"/>
        <c:minorTickMark val="none"/>
        <c:tickLblPos val="nextTo"/>
        <c:spPr>
          <a:ln>
            <a:noFill/>
          </a:ln>
        </c:spPr>
        <c:txPr>
          <a:bodyPr rot="-60000000" vert="horz"/>
          <a:lstStyle/>
          <a:p>
            <a:pPr>
              <a:defRPr/>
            </a:pPr>
            <a:endParaRPr lang="en-US"/>
          </a:p>
        </c:txPr>
        <c:crossAx val="382064128"/>
        <c:crosses val="autoZero"/>
        <c:crossBetween val="midCat"/>
      </c:valAx>
    </c:plotArea>
    <c:legend>
      <c:legendPos val="r"/>
      <c:layout>
        <c:manualLayout>
          <c:xMode val="edge"/>
          <c:yMode val="edge"/>
          <c:x val="0.73665958053904335"/>
          <c:y val="0.34080249620450426"/>
          <c:w val="0.25055960197135563"/>
          <c:h val="0.23408136774116903"/>
        </c:manualLayout>
      </c:layout>
      <c:overlay val="0"/>
    </c:legend>
    <c:plotVisOnly val="1"/>
    <c:dispBlanksAs val="zero"/>
    <c:showDLblsOverMax val="0"/>
  </c:chart>
  <c:spPr>
    <a:ln>
      <a:noFill/>
    </a:ln>
  </c:spPr>
  <c:txPr>
    <a:bodyPr/>
    <a:lstStyle/>
    <a:p>
      <a:pPr>
        <a:defRPr sz="900"/>
      </a:pPr>
      <a:endParaRPr lang="en-US"/>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title>
      <c:tx>
        <c:rich>
          <a:bodyPr/>
          <a:lstStyle/>
          <a:p>
            <a:pPr>
              <a:defRPr/>
            </a:pPr>
            <a:r>
              <a:rPr lang="en-AU" sz="1200"/>
              <a:t>Emissions</a:t>
            </a:r>
            <a:r>
              <a:rPr lang="en-AU" sz="1200" baseline="0"/>
              <a:t> by source </a:t>
            </a:r>
            <a:endParaRPr lang="en-AU" sz="1200"/>
          </a:p>
        </c:rich>
      </c:tx>
      <c:overlay val="0"/>
    </c:title>
    <c:autoTitleDeleted val="0"/>
    <c:plotArea>
      <c:layout/>
      <c:pieChart>
        <c:varyColors val="1"/>
        <c:ser>
          <c:idx val="0"/>
          <c:order val="0"/>
          <c:dLbls>
            <c:dLbl>
              <c:idx val="0"/>
              <c:layout>
                <c:manualLayout>
                  <c:x val="1.5937473429909199E-2"/>
                  <c:y val="-3.1213386535988999E-2"/>
                </c:manualLayout>
              </c:layout>
              <c:showLegendKey val="0"/>
              <c:showVal val="0"/>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2165-B440-BB20-9C4AAECC3089}"/>
                </c:ext>
              </c:extLst>
            </c:dLbl>
            <c:dLbl>
              <c:idx val="1"/>
              <c:layout>
                <c:manualLayout>
                  <c:x val="-7.2932150616132896E-3"/>
                  <c:y val="7.4581551923684798E-3"/>
                </c:manualLayout>
              </c:layout>
              <c:showLegendKey val="0"/>
              <c:showVal val="0"/>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2165-B440-BB20-9C4AAECC3089}"/>
                </c:ext>
              </c:extLst>
            </c:dLbl>
            <c:dLbl>
              <c:idx val="2"/>
              <c:layout>
                <c:manualLayout>
                  <c:x val="9.1763931523195508E-3"/>
                  <c:y val="-1.6912301173294401E-2"/>
                </c:manualLayout>
              </c:layout>
              <c:showLegendKey val="0"/>
              <c:showVal val="0"/>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2165-B440-BB20-9C4AAECC3089}"/>
                </c:ext>
              </c:extLst>
            </c:dLbl>
            <c:dLbl>
              <c:idx val="3"/>
              <c:layout>
                <c:manualLayout>
                  <c:x val="2.16331846874185E-2"/>
                  <c:y val="-7.6221359804744E-3"/>
                </c:manualLayout>
              </c:layout>
              <c:showLegendKey val="0"/>
              <c:showVal val="0"/>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2165-B440-BB20-9C4AAECC3089}"/>
                </c:ext>
              </c:extLst>
            </c:dLbl>
            <c:spPr>
              <a:noFill/>
              <a:ln>
                <a:noFill/>
              </a:ln>
              <a:effectLst/>
            </c:spPr>
            <c:txPr>
              <a:bodyPr/>
              <a:lstStyle/>
              <a:p>
                <a:pPr>
                  <a:defRPr sz="800"/>
                </a:pPr>
                <a:endParaRPr lang="en-US"/>
              </a:p>
            </c:txPr>
            <c:showLegendKey val="0"/>
            <c:showVal val="0"/>
            <c:showCatName val="0"/>
            <c:showSerName val="0"/>
            <c:showPercent val="1"/>
            <c:showBubbleSize val="0"/>
            <c:showLeaderLines val="0"/>
            <c:extLst xmlns:c16r2="http://schemas.microsoft.com/office/drawing/2015/06/chart">
              <c:ext xmlns:c15="http://schemas.microsoft.com/office/drawing/2012/chart" uri="{CE6537A1-D6FC-4f65-9D91-7224C49458BB}"/>
            </c:extLst>
          </c:dLbls>
          <c:cat>
            <c:strRef>
              <c:f>'2015 Summary'!$B$19:$B$22</c:f>
              <c:strCache>
                <c:ptCount val="4"/>
                <c:pt idx="0">
                  <c:v>Electricity</c:v>
                </c:pt>
                <c:pt idx="1">
                  <c:v>Gas</c:v>
                </c:pt>
                <c:pt idx="2">
                  <c:v>Transport</c:v>
                </c:pt>
                <c:pt idx="3">
                  <c:v>Waste</c:v>
                </c:pt>
              </c:strCache>
            </c:strRef>
          </c:cat>
          <c:val>
            <c:numRef>
              <c:f>'2015 Summary'!$C$19:$C$22</c:f>
              <c:numCache>
                <c:formatCode>0</c:formatCode>
                <c:ptCount val="4"/>
                <c:pt idx="0">
                  <c:v>3397043.4526792802</c:v>
                </c:pt>
                <c:pt idx="1">
                  <c:v>317286.45379140257</c:v>
                </c:pt>
                <c:pt idx="2">
                  <c:v>696620.96114518843</c:v>
                </c:pt>
                <c:pt idx="3">
                  <c:v>289721.1662478206</c:v>
                </c:pt>
              </c:numCache>
            </c:numRef>
          </c:val>
          <c:extLst xmlns:c16r2="http://schemas.microsoft.com/office/drawing/2015/06/chart">
            <c:ext xmlns:c16="http://schemas.microsoft.com/office/drawing/2014/chart" uri="{C3380CC4-5D6E-409C-BE32-E72D297353CC}">
              <c16:uniqueId val="{00000004-2165-B440-BB20-9C4AAECC3089}"/>
            </c:ext>
          </c:extLst>
        </c:ser>
        <c:dLbls>
          <c:showLegendKey val="0"/>
          <c:showVal val="0"/>
          <c:showCatName val="0"/>
          <c:showSerName val="0"/>
          <c:showPercent val="1"/>
          <c:showBubbleSize val="0"/>
          <c:showLeaderLines val="0"/>
        </c:dLbls>
        <c:firstSliceAng val="0"/>
      </c:pieChart>
    </c:plotArea>
    <c:legend>
      <c:legendPos val="r"/>
      <c:layout>
        <c:manualLayout>
          <c:xMode val="edge"/>
          <c:yMode val="edge"/>
          <c:x val="0.75820722618513603"/>
          <c:y val="0.42198584299196001"/>
          <c:w val="0.22782973299440901"/>
          <c:h val="0.27288898500645198"/>
        </c:manualLayout>
      </c:layout>
      <c:overlay val="0"/>
      <c:txPr>
        <a:bodyPr/>
        <a:lstStyle/>
        <a:p>
          <a:pPr>
            <a:defRPr sz="800"/>
          </a:pPr>
          <a:endParaRPr lang="en-US"/>
        </a:p>
      </c:txPr>
    </c:legend>
    <c:plotVisOnly val="1"/>
    <c:dispBlanksAs val="gap"/>
    <c:showDLblsOverMax val="0"/>
  </c:chart>
  <c:spPr>
    <a:ln>
      <a:noFill/>
    </a:ln>
  </c:sp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title>
      <c:tx>
        <c:rich>
          <a:bodyPr/>
          <a:lstStyle/>
          <a:p>
            <a:pPr>
              <a:defRPr/>
            </a:pPr>
            <a:r>
              <a:rPr lang="en-AU" sz="1200"/>
              <a:t>Emissions by sector</a:t>
            </a:r>
          </a:p>
        </c:rich>
      </c:tx>
      <c:overlay val="0"/>
    </c:title>
    <c:autoTitleDeleted val="0"/>
    <c:plotArea>
      <c:layout/>
      <c:pieChart>
        <c:varyColors val="1"/>
        <c:ser>
          <c:idx val="0"/>
          <c:order val="0"/>
          <c:dLbls>
            <c:dLbl>
              <c:idx val="0"/>
              <c:layout>
                <c:manualLayout>
                  <c:x val="3.6271982221703302E-3"/>
                  <c:y val="-2.9440069991251102E-3"/>
                </c:manualLayout>
              </c:layout>
              <c:showLegendKey val="0"/>
              <c:showVal val="0"/>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A262-3E43-A2F4-0104068076B2}"/>
                </c:ext>
              </c:extLst>
            </c:dLbl>
            <c:dLbl>
              <c:idx val="1"/>
              <c:layout>
                <c:manualLayout>
                  <c:x val="-1.3013719130847E-2"/>
                  <c:y val="-1.43780074365704E-2"/>
                </c:manualLayout>
              </c:layout>
              <c:showLegendKey val="0"/>
              <c:showVal val="0"/>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A262-3E43-A2F4-0104068076B2}"/>
                </c:ext>
              </c:extLst>
            </c:dLbl>
            <c:dLbl>
              <c:idx val="2"/>
              <c:layout>
                <c:manualLayout>
                  <c:x val="-1.10707883798108E-3"/>
                  <c:y val="-1.9178969816273001E-2"/>
                </c:manualLayout>
              </c:layout>
              <c:showLegendKey val="0"/>
              <c:showVal val="0"/>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A262-3E43-A2F4-0104068076B2}"/>
                </c:ext>
              </c:extLst>
            </c:dLbl>
            <c:dLbl>
              <c:idx val="3"/>
              <c:layout>
                <c:manualLayout>
                  <c:x val="-5.4884652805517404E-3"/>
                  <c:y val="9.9261811023621995E-3"/>
                </c:manualLayout>
              </c:layout>
              <c:showLegendKey val="0"/>
              <c:showVal val="0"/>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A262-3E43-A2F4-0104068076B2}"/>
                </c:ext>
              </c:extLst>
            </c:dLbl>
            <c:dLbl>
              <c:idx val="4"/>
              <c:layout>
                <c:manualLayout>
                  <c:x val="-2.9515327831688499E-3"/>
                  <c:y val="1.80785214348206E-2"/>
                </c:manualLayout>
              </c:layout>
              <c:showLegendKey val="0"/>
              <c:showVal val="0"/>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A262-3E43-A2F4-0104068076B2}"/>
                </c:ext>
              </c:extLst>
            </c:dLbl>
            <c:dLbl>
              <c:idx val="5"/>
              <c:layout>
                <c:manualLayout>
                  <c:x val="5.7105461822962696E-3"/>
                  <c:y val="1.31733923884514E-2"/>
                </c:manualLayout>
              </c:layout>
              <c:showLegendKey val="0"/>
              <c:showVal val="0"/>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A262-3E43-A2F4-0104068076B2}"/>
                </c:ext>
              </c:extLst>
            </c:dLbl>
            <c:dLbl>
              <c:idx val="7"/>
              <c:layout>
                <c:manualLayout>
                  <c:x val="5.5531311005272699E-3"/>
                  <c:y val="-1.3615485564304501E-4"/>
                </c:manualLayout>
              </c:layout>
              <c:showLegendKey val="0"/>
              <c:showVal val="0"/>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A262-3E43-A2F4-0104068076B2}"/>
                </c:ext>
              </c:extLst>
            </c:dLbl>
            <c:dLbl>
              <c:idx val="8"/>
              <c:layout>
                <c:manualLayout>
                  <c:x val="-2.6051087475856601E-3"/>
                  <c:y val="3.3809055118110198E-3"/>
                </c:manualLayout>
              </c:layout>
              <c:showLegendKey val="0"/>
              <c:showVal val="0"/>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A262-3E43-A2F4-0104068076B2}"/>
                </c:ext>
              </c:extLst>
            </c:dLbl>
            <c:spPr>
              <a:noFill/>
              <a:ln>
                <a:noFill/>
              </a:ln>
              <a:effectLst/>
            </c:spPr>
            <c:txPr>
              <a:bodyPr/>
              <a:lstStyle/>
              <a:p>
                <a:pPr>
                  <a:defRPr sz="800"/>
                </a:pPr>
                <a:endParaRPr lang="en-US"/>
              </a:p>
            </c:txPr>
            <c:showLegendKey val="0"/>
            <c:showVal val="0"/>
            <c:showCatName val="0"/>
            <c:showSerName val="0"/>
            <c:showPercent val="1"/>
            <c:showBubbleSize val="0"/>
            <c:showLeaderLines val="0"/>
            <c:extLst xmlns:c16r2="http://schemas.microsoft.com/office/drawing/2015/06/chart">
              <c:ext xmlns:c15="http://schemas.microsoft.com/office/drawing/2012/chart" uri="{CE6537A1-D6FC-4f65-9D91-7224C49458BB}"/>
            </c:extLst>
          </c:dLbls>
          <c:cat>
            <c:strRef>
              <c:f>'2015 Summary'!$B$7:$B$15</c:f>
              <c:strCache>
                <c:ptCount val="9"/>
                <c:pt idx="0">
                  <c:v>Commercial buildings</c:v>
                </c:pt>
                <c:pt idx="1">
                  <c:v>Residential buildings</c:v>
                </c:pt>
                <c:pt idx="2">
                  <c:v>Manufacturing and construction</c:v>
                </c:pt>
                <c:pt idx="3">
                  <c:v>Private transport</c:v>
                </c:pt>
                <c:pt idx="4">
                  <c:v>Commercial vehicles and freight</c:v>
                </c:pt>
                <c:pt idx="5">
                  <c:v>Waterbourne transport</c:v>
                </c:pt>
                <c:pt idx="6">
                  <c:v>Public transport</c:v>
                </c:pt>
                <c:pt idx="7">
                  <c:v>Waste</c:v>
                </c:pt>
                <c:pt idx="8">
                  <c:v>Wastewater</c:v>
                </c:pt>
              </c:strCache>
            </c:strRef>
          </c:cat>
          <c:val>
            <c:numRef>
              <c:f>'2015 Summary'!$G$7:$G$15</c:f>
              <c:numCache>
                <c:formatCode>0</c:formatCode>
                <c:ptCount val="9"/>
                <c:pt idx="0">
                  <c:v>2812009.4046216402</c:v>
                </c:pt>
                <c:pt idx="1">
                  <c:v>300588.09266828757</c:v>
                </c:pt>
                <c:pt idx="2">
                  <c:v>601732.40918075526</c:v>
                </c:pt>
                <c:pt idx="3">
                  <c:v>414665.89223572362</c:v>
                </c:pt>
                <c:pt idx="4">
                  <c:v>141856.4246581491</c:v>
                </c:pt>
                <c:pt idx="5">
                  <c:v>65781.577397424306</c:v>
                </c:pt>
                <c:pt idx="6">
                  <c:v>74317.066853891418</c:v>
                </c:pt>
                <c:pt idx="7">
                  <c:v>286679.40000000002</c:v>
                </c:pt>
                <c:pt idx="8">
                  <c:v>3041.7662478205939</c:v>
                </c:pt>
              </c:numCache>
            </c:numRef>
          </c:val>
          <c:extLst xmlns:c16r2="http://schemas.microsoft.com/office/drawing/2015/06/chart">
            <c:ext xmlns:c16="http://schemas.microsoft.com/office/drawing/2014/chart" uri="{C3380CC4-5D6E-409C-BE32-E72D297353CC}">
              <c16:uniqueId val="{00000008-A262-3E43-A2F4-0104068076B2}"/>
            </c:ext>
          </c:extLst>
        </c:ser>
        <c:dLbls>
          <c:showLegendKey val="0"/>
          <c:showVal val="0"/>
          <c:showCatName val="0"/>
          <c:showSerName val="0"/>
          <c:showPercent val="1"/>
          <c:showBubbleSize val="0"/>
          <c:showLeaderLines val="0"/>
        </c:dLbls>
        <c:firstSliceAng val="0"/>
      </c:pieChart>
    </c:plotArea>
    <c:legend>
      <c:legendPos val="r"/>
      <c:layout>
        <c:manualLayout>
          <c:xMode val="edge"/>
          <c:yMode val="edge"/>
          <c:x val="0.70925194209933295"/>
          <c:y val="0.11088669877622501"/>
          <c:w val="0.27666938509456501"/>
          <c:h val="0.83046524226884499"/>
        </c:manualLayout>
      </c:layout>
      <c:overlay val="0"/>
      <c:txPr>
        <a:bodyPr/>
        <a:lstStyle/>
        <a:p>
          <a:pPr>
            <a:defRPr sz="800"/>
          </a:pPr>
          <a:endParaRPr lang="en-US"/>
        </a:p>
      </c:txPr>
    </c:legend>
    <c:plotVisOnly val="1"/>
    <c:dispBlanksAs val="gap"/>
    <c:showDLblsOverMax val="0"/>
  </c:chart>
  <c:spPr>
    <a:ln>
      <a:noFill/>
    </a:ln>
  </c:sp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5893051954677334"/>
          <c:y val="4.8812804119143773E-2"/>
          <c:w val="0.55091261240564227"/>
          <c:h val="0.84824424152170164"/>
        </c:manualLayout>
      </c:layout>
      <c:areaChart>
        <c:grouping val="stacked"/>
        <c:varyColors val="0"/>
        <c:ser>
          <c:idx val="0"/>
          <c:order val="0"/>
          <c:tx>
            <c:strRef>
              <c:f>'HIDDEN_Dashboard charts data'!$E$37</c:f>
              <c:strCache>
                <c:ptCount val="1"/>
                <c:pt idx="0">
                  <c:v>City of Melbourne</c:v>
                </c:pt>
              </c:strCache>
            </c:strRef>
          </c:tx>
          <c:spPr>
            <a:solidFill>
              <a:schemeClr val="accent5">
                <a:lumMod val="75000"/>
              </a:schemeClr>
            </a:solidFill>
          </c:spPr>
          <c:cat>
            <c:numRef>
              <c:f>'HIDDEN_Dashboard charts data'!$F$13:$AO$13</c:f>
              <c:numCache>
                <c:formatCode>General</c:formatCode>
                <c:ptCount val="3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pt idx="16">
                  <c:v>2031</c:v>
                </c:pt>
                <c:pt idx="17">
                  <c:v>2032</c:v>
                </c:pt>
                <c:pt idx="18">
                  <c:v>2033</c:v>
                </c:pt>
                <c:pt idx="19">
                  <c:v>2034</c:v>
                </c:pt>
                <c:pt idx="20">
                  <c:v>2035</c:v>
                </c:pt>
                <c:pt idx="21">
                  <c:v>2036</c:v>
                </c:pt>
                <c:pt idx="22">
                  <c:v>2037</c:v>
                </c:pt>
                <c:pt idx="23">
                  <c:v>2038</c:v>
                </c:pt>
                <c:pt idx="24">
                  <c:v>2039</c:v>
                </c:pt>
                <c:pt idx="25">
                  <c:v>2040</c:v>
                </c:pt>
                <c:pt idx="26">
                  <c:v>2041</c:v>
                </c:pt>
                <c:pt idx="27">
                  <c:v>2042</c:v>
                </c:pt>
                <c:pt idx="28">
                  <c:v>2043</c:v>
                </c:pt>
                <c:pt idx="29">
                  <c:v>2044</c:v>
                </c:pt>
                <c:pt idx="30">
                  <c:v>2045</c:v>
                </c:pt>
                <c:pt idx="31">
                  <c:v>2046</c:v>
                </c:pt>
                <c:pt idx="32">
                  <c:v>2047</c:v>
                </c:pt>
                <c:pt idx="33">
                  <c:v>2048</c:v>
                </c:pt>
                <c:pt idx="34">
                  <c:v>2049</c:v>
                </c:pt>
                <c:pt idx="35">
                  <c:v>2050</c:v>
                </c:pt>
              </c:numCache>
            </c:numRef>
          </c:cat>
          <c:val>
            <c:numRef>
              <c:f>'HIDDEN_Dashboard charts data'!$F$37:$AO$37</c:f>
              <c:numCache>
                <c:formatCode>_-* #,##0_-;\-* #,##0_-;_-* "-"??_-;_-@_-</c:formatCode>
                <c:ptCount val="36"/>
                <c:pt idx="0">
                  <c:v>0</c:v>
                </c:pt>
                <c:pt idx="1">
                  <c:v>0</c:v>
                </c:pt>
                <c:pt idx="2">
                  <c:v>0</c:v>
                </c:pt>
                <c:pt idx="3">
                  <c:v>0</c:v>
                </c:pt>
                <c:pt idx="4">
                  <c:v>0</c:v>
                </c:pt>
                <c:pt idx="5">
                  <c:v>0</c:v>
                </c:pt>
                <c:pt idx="6">
                  <c:v>27893.014409793974</c:v>
                </c:pt>
                <c:pt idx="7">
                  <c:v>54477.585058877499</c:v>
                </c:pt>
                <c:pt idx="8">
                  <c:v>79762.604134610723</c:v>
                </c:pt>
                <c:pt idx="9">
                  <c:v>103757.59878068314</c:v>
                </c:pt>
                <c:pt idx="10">
                  <c:v>126456.5527935952</c:v>
                </c:pt>
                <c:pt idx="11">
                  <c:v>152259.90857770361</c:v>
                </c:pt>
                <c:pt idx="12">
                  <c:v>173020.59778915637</c:v>
                </c:pt>
                <c:pt idx="13">
                  <c:v>190545.69459613157</c:v>
                </c:pt>
                <c:pt idx="14">
                  <c:v>206314.48705423958</c:v>
                </c:pt>
                <c:pt idx="15">
                  <c:v>220366.28050409895</c:v>
                </c:pt>
                <c:pt idx="16">
                  <c:v>225607.02830876922</c:v>
                </c:pt>
                <c:pt idx="17">
                  <c:v>227253.46736811762</c:v>
                </c:pt>
                <c:pt idx="18">
                  <c:v>223238.71471543465</c:v>
                </c:pt>
                <c:pt idx="19">
                  <c:v>217894.97089316486</c:v>
                </c:pt>
                <c:pt idx="20">
                  <c:v>227123.30040583797</c:v>
                </c:pt>
                <c:pt idx="21">
                  <c:v>236852.99145917367</c:v>
                </c:pt>
                <c:pt idx="22">
                  <c:v>246690.35114182599</c:v>
                </c:pt>
                <c:pt idx="23">
                  <c:v>256639.72674180433</c:v>
                </c:pt>
                <c:pt idx="24">
                  <c:v>266705.57249010797</c:v>
                </c:pt>
                <c:pt idx="25">
                  <c:v>278285.10304371337</c:v>
                </c:pt>
                <c:pt idx="26">
                  <c:v>288983.84889583359</c:v>
                </c:pt>
                <c:pt idx="27">
                  <c:v>299834.25614565436</c:v>
                </c:pt>
                <c:pt idx="28">
                  <c:v>310841.15845334111</c:v>
                </c:pt>
                <c:pt idx="29">
                  <c:v>322009.5109767426</c:v>
                </c:pt>
                <c:pt idx="30">
                  <c:v>332530.4833891117</c:v>
                </c:pt>
                <c:pt idx="31">
                  <c:v>344185.83172039216</c:v>
                </c:pt>
                <c:pt idx="32">
                  <c:v>356025.75576332066</c:v>
                </c:pt>
                <c:pt idx="33">
                  <c:v>368055.59242701594</c:v>
                </c:pt>
                <c:pt idx="34">
                  <c:v>380280.81982608442</c:v>
                </c:pt>
                <c:pt idx="35">
                  <c:v>392707.06090987392</c:v>
                </c:pt>
              </c:numCache>
            </c:numRef>
          </c:val>
        </c:ser>
        <c:ser>
          <c:idx val="1"/>
          <c:order val="1"/>
          <c:tx>
            <c:strRef>
              <c:f>'HIDDEN_Dashboard charts data'!$E$38</c:f>
              <c:strCache>
                <c:ptCount val="1"/>
                <c:pt idx="0">
                  <c:v>Victorian and Australian Governments</c:v>
                </c:pt>
              </c:strCache>
            </c:strRef>
          </c:tx>
          <c:cat>
            <c:numRef>
              <c:f>'HIDDEN_Dashboard charts data'!$F$13:$AO$13</c:f>
              <c:numCache>
                <c:formatCode>General</c:formatCode>
                <c:ptCount val="3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pt idx="16">
                  <c:v>2031</c:v>
                </c:pt>
                <c:pt idx="17">
                  <c:v>2032</c:v>
                </c:pt>
                <c:pt idx="18">
                  <c:v>2033</c:v>
                </c:pt>
                <c:pt idx="19">
                  <c:v>2034</c:v>
                </c:pt>
                <c:pt idx="20">
                  <c:v>2035</c:v>
                </c:pt>
                <c:pt idx="21">
                  <c:v>2036</c:v>
                </c:pt>
                <c:pt idx="22">
                  <c:v>2037</c:v>
                </c:pt>
                <c:pt idx="23">
                  <c:v>2038</c:v>
                </c:pt>
                <c:pt idx="24">
                  <c:v>2039</c:v>
                </c:pt>
                <c:pt idx="25">
                  <c:v>2040</c:v>
                </c:pt>
                <c:pt idx="26">
                  <c:v>2041</c:v>
                </c:pt>
                <c:pt idx="27">
                  <c:v>2042</c:v>
                </c:pt>
                <c:pt idx="28">
                  <c:v>2043</c:v>
                </c:pt>
                <c:pt idx="29">
                  <c:v>2044</c:v>
                </c:pt>
                <c:pt idx="30">
                  <c:v>2045</c:v>
                </c:pt>
                <c:pt idx="31">
                  <c:v>2046</c:v>
                </c:pt>
                <c:pt idx="32">
                  <c:v>2047</c:v>
                </c:pt>
                <c:pt idx="33">
                  <c:v>2048</c:v>
                </c:pt>
                <c:pt idx="34">
                  <c:v>2049</c:v>
                </c:pt>
                <c:pt idx="35">
                  <c:v>2050</c:v>
                </c:pt>
              </c:numCache>
            </c:numRef>
          </c:cat>
          <c:val>
            <c:numRef>
              <c:f>'HIDDEN_Dashboard charts data'!$F$38:$AO$38</c:f>
              <c:numCache>
                <c:formatCode>_-* #,##0_-;\-* #,##0_-;_-* "-"??_-;_-@_-</c:formatCode>
                <c:ptCount val="36"/>
                <c:pt idx="0">
                  <c:v>0</c:v>
                </c:pt>
                <c:pt idx="1">
                  <c:v>0</c:v>
                </c:pt>
                <c:pt idx="2">
                  <c:v>0</c:v>
                </c:pt>
                <c:pt idx="3">
                  <c:v>0</c:v>
                </c:pt>
                <c:pt idx="4">
                  <c:v>0</c:v>
                </c:pt>
                <c:pt idx="5">
                  <c:v>0</c:v>
                </c:pt>
                <c:pt idx="6">
                  <c:v>43462.967516927762</c:v>
                </c:pt>
                <c:pt idx="7">
                  <c:v>87497.418232944096</c:v>
                </c:pt>
                <c:pt idx="8">
                  <c:v>131925.76104291898</c:v>
                </c:pt>
                <c:pt idx="9">
                  <c:v>176816.37155777009</c:v>
                </c:pt>
                <c:pt idx="10">
                  <c:v>221700.61796581713</c:v>
                </c:pt>
                <c:pt idx="11">
                  <c:v>298855.25752645964</c:v>
                </c:pt>
                <c:pt idx="12">
                  <c:v>354850.38302225876</c:v>
                </c:pt>
                <c:pt idx="13">
                  <c:v>604754.80337189487</c:v>
                </c:pt>
                <c:pt idx="14">
                  <c:v>734090.1096048411</c:v>
                </c:pt>
                <c:pt idx="15">
                  <c:v>840759.58169197605</c:v>
                </c:pt>
                <c:pt idx="16">
                  <c:v>982300.43780812481</c:v>
                </c:pt>
                <c:pt idx="17">
                  <c:v>1100210.8710401468</c:v>
                </c:pt>
                <c:pt idx="18">
                  <c:v>1174920.5140610521</c:v>
                </c:pt>
                <c:pt idx="19">
                  <c:v>1225482.2180819185</c:v>
                </c:pt>
                <c:pt idx="20">
                  <c:v>1371099.2560837152</c:v>
                </c:pt>
                <c:pt idx="21">
                  <c:v>1529203.8539473375</c:v>
                </c:pt>
                <c:pt idx="22">
                  <c:v>1691136.9518361886</c:v>
                </c:pt>
                <c:pt idx="23">
                  <c:v>1856745.862394806</c:v>
                </c:pt>
                <c:pt idx="24">
                  <c:v>2026156.1046947343</c:v>
                </c:pt>
                <c:pt idx="25">
                  <c:v>2223993.6249619164</c:v>
                </c:pt>
                <c:pt idx="26">
                  <c:v>2406039.1442466788</c:v>
                </c:pt>
                <c:pt idx="27">
                  <c:v>2592222.4363088575</c:v>
                </c:pt>
                <c:pt idx="28">
                  <c:v>2782677.8238404053</c:v>
                </c:pt>
                <c:pt idx="29">
                  <c:v>2977541.4140101508</c:v>
                </c:pt>
                <c:pt idx="30">
                  <c:v>3166074.4590297071</c:v>
                </c:pt>
                <c:pt idx="31">
                  <c:v>3268974.4466116978</c:v>
                </c:pt>
                <c:pt idx="32">
                  <c:v>3374663.9431258738</c:v>
                </c:pt>
                <c:pt idx="33">
                  <c:v>3483213.9803374112</c:v>
                </c:pt>
                <c:pt idx="34">
                  <c:v>3594697.3906983952</c:v>
                </c:pt>
                <c:pt idx="35">
                  <c:v>3709188.8522061608</c:v>
                </c:pt>
              </c:numCache>
            </c:numRef>
          </c:val>
        </c:ser>
        <c:dLbls>
          <c:showLegendKey val="0"/>
          <c:showVal val="0"/>
          <c:showCatName val="0"/>
          <c:showSerName val="0"/>
          <c:showPercent val="0"/>
          <c:showBubbleSize val="0"/>
        </c:dLbls>
        <c:axId val="404310656"/>
        <c:axId val="404320640"/>
      </c:areaChart>
      <c:catAx>
        <c:axId val="404310656"/>
        <c:scaling>
          <c:orientation val="minMax"/>
        </c:scaling>
        <c:delete val="0"/>
        <c:axPos val="b"/>
        <c:numFmt formatCode="General" sourceLinked="1"/>
        <c:majorTickMark val="out"/>
        <c:minorTickMark val="none"/>
        <c:tickLblPos val="nextTo"/>
        <c:txPr>
          <a:bodyPr rot="-60000000" vert="horz"/>
          <a:lstStyle/>
          <a:p>
            <a:pPr>
              <a:defRPr sz="900"/>
            </a:pPr>
            <a:endParaRPr lang="en-US"/>
          </a:p>
        </c:txPr>
        <c:crossAx val="404320640"/>
        <c:crosses val="autoZero"/>
        <c:auto val="1"/>
        <c:lblAlgn val="ctr"/>
        <c:lblOffset val="100"/>
        <c:tickLblSkip val="5"/>
        <c:noMultiLvlLbl val="0"/>
      </c:catAx>
      <c:valAx>
        <c:axId val="404320640"/>
        <c:scaling>
          <c:orientation val="minMax"/>
        </c:scaling>
        <c:delete val="0"/>
        <c:axPos val="l"/>
        <c:majorGridlines>
          <c:spPr>
            <a:ln>
              <a:solidFill>
                <a:schemeClr val="tx1">
                  <a:lumMod val="15000"/>
                  <a:lumOff val="85000"/>
                </a:schemeClr>
              </a:solidFill>
            </a:ln>
          </c:spPr>
        </c:majorGridlines>
        <c:title>
          <c:tx>
            <c:rich>
              <a:bodyPr rot="-5400000" vert="horz"/>
              <a:lstStyle/>
              <a:p>
                <a:pPr>
                  <a:defRPr b="0"/>
                </a:pPr>
                <a:r>
                  <a:rPr lang="en-AU" sz="900" b="0"/>
                  <a:t>Emissions</a:t>
                </a:r>
                <a:r>
                  <a:rPr lang="en-AU" b="0"/>
                  <a:t> (</a:t>
                </a:r>
                <a:r>
                  <a:rPr lang="en-AU" sz="900" b="0"/>
                  <a:t>tCO</a:t>
                </a:r>
                <a:r>
                  <a:rPr lang="en-AU" sz="900" b="0" baseline="-25000"/>
                  <a:t>2</a:t>
                </a:r>
                <a:r>
                  <a:rPr lang="en-AU" sz="900" b="0"/>
                  <a:t>-e</a:t>
                </a:r>
                <a:r>
                  <a:rPr lang="en-AU" b="0"/>
                  <a:t>)</a:t>
                </a:r>
              </a:p>
            </c:rich>
          </c:tx>
          <c:overlay val="0"/>
        </c:title>
        <c:numFmt formatCode="_-* #,##0_-;\-* #,##0_-;_-* &quot;-&quot;??_-;_-@_-" sourceLinked="1"/>
        <c:majorTickMark val="out"/>
        <c:minorTickMark val="none"/>
        <c:tickLblPos val="nextTo"/>
        <c:spPr>
          <a:ln>
            <a:noFill/>
          </a:ln>
        </c:spPr>
        <c:txPr>
          <a:bodyPr rot="-60000000" vert="horz"/>
          <a:lstStyle/>
          <a:p>
            <a:pPr>
              <a:defRPr sz="900"/>
            </a:pPr>
            <a:endParaRPr lang="en-US"/>
          </a:p>
        </c:txPr>
        <c:crossAx val="404310656"/>
        <c:crosses val="autoZero"/>
        <c:crossBetween val="midCat"/>
      </c:valAx>
    </c:plotArea>
    <c:legend>
      <c:legendPos val="r"/>
      <c:layout>
        <c:manualLayout>
          <c:xMode val="edge"/>
          <c:yMode val="edge"/>
          <c:x val="0.70385438222882657"/>
          <c:y val="0.29642789506749584"/>
          <c:w val="0.28369724732388929"/>
          <c:h val="0.27845678376069422"/>
        </c:manualLayout>
      </c:layout>
      <c:overlay val="0"/>
      <c:txPr>
        <a:bodyPr/>
        <a:lstStyle/>
        <a:p>
          <a:pPr>
            <a:defRPr sz="900"/>
          </a:pPr>
          <a:endParaRPr lang="en-US"/>
        </a:p>
      </c:txPr>
    </c:legend>
    <c:plotVisOnly val="1"/>
    <c:dispBlanksAs val="zero"/>
    <c:showDLblsOverMax val="0"/>
  </c:chart>
  <c:spPr>
    <a:ln>
      <a:noFill/>
    </a:ln>
  </c:sp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6044719599195695"/>
          <c:y val="4.8812804119143773E-2"/>
          <c:w val="0.56317882772109817"/>
          <c:h val="0.84824424152170164"/>
        </c:manualLayout>
      </c:layout>
      <c:areaChart>
        <c:grouping val="stacked"/>
        <c:varyColors val="0"/>
        <c:ser>
          <c:idx val="0"/>
          <c:order val="0"/>
          <c:tx>
            <c:strRef>
              <c:f>'HIDDEN_Dashboard charts data'!$E$37</c:f>
              <c:strCache>
                <c:ptCount val="1"/>
                <c:pt idx="0">
                  <c:v>City of Melbourne</c:v>
                </c:pt>
              </c:strCache>
            </c:strRef>
          </c:tx>
          <c:spPr>
            <a:solidFill>
              <a:schemeClr val="accent5">
                <a:lumMod val="75000"/>
              </a:schemeClr>
            </a:solidFill>
          </c:spPr>
          <c:cat>
            <c:numRef>
              <c:f>'HIDDEN_Dashboard charts data'!$F$13:$AO$13</c:f>
              <c:numCache>
                <c:formatCode>General</c:formatCode>
                <c:ptCount val="3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pt idx="16">
                  <c:v>2031</c:v>
                </c:pt>
                <c:pt idx="17">
                  <c:v>2032</c:v>
                </c:pt>
                <c:pt idx="18">
                  <c:v>2033</c:v>
                </c:pt>
                <c:pt idx="19">
                  <c:v>2034</c:v>
                </c:pt>
                <c:pt idx="20">
                  <c:v>2035</c:v>
                </c:pt>
                <c:pt idx="21">
                  <c:v>2036</c:v>
                </c:pt>
                <c:pt idx="22">
                  <c:v>2037</c:v>
                </c:pt>
                <c:pt idx="23">
                  <c:v>2038</c:v>
                </c:pt>
                <c:pt idx="24">
                  <c:v>2039</c:v>
                </c:pt>
                <c:pt idx="25">
                  <c:v>2040</c:v>
                </c:pt>
                <c:pt idx="26">
                  <c:v>2041</c:v>
                </c:pt>
                <c:pt idx="27">
                  <c:v>2042</c:v>
                </c:pt>
                <c:pt idx="28">
                  <c:v>2043</c:v>
                </c:pt>
                <c:pt idx="29">
                  <c:v>2044</c:v>
                </c:pt>
                <c:pt idx="30">
                  <c:v>2045</c:v>
                </c:pt>
                <c:pt idx="31">
                  <c:v>2046</c:v>
                </c:pt>
                <c:pt idx="32">
                  <c:v>2047</c:v>
                </c:pt>
                <c:pt idx="33">
                  <c:v>2048</c:v>
                </c:pt>
                <c:pt idx="34">
                  <c:v>2049</c:v>
                </c:pt>
                <c:pt idx="35">
                  <c:v>2050</c:v>
                </c:pt>
              </c:numCache>
            </c:numRef>
          </c:cat>
          <c:val>
            <c:numRef>
              <c:f>'HIDDEN_Dashboard charts data'!$F$37:$AO$37</c:f>
              <c:numCache>
                <c:formatCode>_-* #,##0_-;\-* #,##0_-;_-* "-"??_-;_-@_-</c:formatCode>
                <c:ptCount val="36"/>
                <c:pt idx="0">
                  <c:v>0</c:v>
                </c:pt>
                <c:pt idx="1">
                  <c:v>0</c:v>
                </c:pt>
                <c:pt idx="2">
                  <c:v>0</c:v>
                </c:pt>
                <c:pt idx="3">
                  <c:v>0</c:v>
                </c:pt>
                <c:pt idx="4">
                  <c:v>0</c:v>
                </c:pt>
                <c:pt idx="5">
                  <c:v>0</c:v>
                </c:pt>
                <c:pt idx="6">
                  <c:v>27893.014409793974</c:v>
                </c:pt>
                <c:pt idx="7">
                  <c:v>54477.585058877499</c:v>
                </c:pt>
                <c:pt idx="8">
                  <c:v>79762.604134610723</c:v>
                </c:pt>
                <c:pt idx="9">
                  <c:v>103757.59878068314</c:v>
                </c:pt>
                <c:pt idx="10">
                  <c:v>126456.5527935952</c:v>
                </c:pt>
                <c:pt idx="11">
                  <c:v>152259.90857770361</c:v>
                </c:pt>
                <c:pt idx="12">
                  <c:v>173020.59778915637</c:v>
                </c:pt>
                <c:pt idx="13">
                  <c:v>190545.69459613157</c:v>
                </c:pt>
                <c:pt idx="14">
                  <c:v>206314.48705423958</c:v>
                </c:pt>
                <c:pt idx="15">
                  <c:v>220366.28050409895</c:v>
                </c:pt>
                <c:pt idx="16">
                  <c:v>225607.02830876922</c:v>
                </c:pt>
                <c:pt idx="17">
                  <c:v>227253.46736811762</c:v>
                </c:pt>
                <c:pt idx="18">
                  <c:v>223238.71471543465</c:v>
                </c:pt>
                <c:pt idx="19">
                  <c:v>217894.97089316486</c:v>
                </c:pt>
                <c:pt idx="20">
                  <c:v>227123.30040583797</c:v>
                </c:pt>
                <c:pt idx="21">
                  <c:v>236852.99145917367</c:v>
                </c:pt>
                <c:pt idx="22">
                  <c:v>246690.35114182599</c:v>
                </c:pt>
                <c:pt idx="23">
                  <c:v>256639.72674180433</c:v>
                </c:pt>
                <c:pt idx="24">
                  <c:v>266705.57249010797</c:v>
                </c:pt>
                <c:pt idx="25">
                  <c:v>278285.10304371337</c:v>
                </c:pt>
                <c:pt idx="26">
                  <c:v>288983.84889583359</c:v>
                </c:pt>
                <c:pt idx="27">
                  <c:v>299834.25614565436</c:v>
                </c:pt>
                <c:pt idx="28">
                  <c:v>310841.15845334111</c:v>
                </c:pt>
                <c:pt idx="29">
                  <c:v>322009.5109767426</c:v>
                </c:pt>
                <c:pt idx="30">
                  <c:v>332530.4833891117</c:v>
                </c:pt>
                <c:pt idx="31">
                  <c:v>344185.83172039216</c:v>
                </c:pt>
                <c:pt idx="32">
                  <c:v>356025.75576332066</c:v>
                </c:pt>
                <c:pt idx="33">
                  <c:v>368055.59242701594</c:v>
                </c:pt>
                <c:pt idx="34">
                  <c:v>380280.81982608442</c:v>
                </c:pt>
                <c:pt idx="35">
                  <c:v>392707.06090987392</c:v>
                </c:pt>
              </c:numCache>
            </c:numRef>
          </c:val>
        </c:ser>
        <c:ser>
          <c:idx val="1"/>
          <c:order val="1"/>
          <c:tx>
            <c:strRef>
              <c:f>'HIDDEN_Dashboard charts data'!$E$38</c:f>
              <c:strCache>
                <c:ptCount val="1"/>
                <c:pt idx="0">
                  <c:v>Victorian and Australian Governments</c:v>
                </c:pt>
              </c:strCache>
            </c:strRef>
          </c:tx>
          <c:cat>
            <c:numRef>
              <c:f>'HIDDEN_Dashboard charts data'!$F$13:$AO$13</c:f>
              <c:numCache>
                <c:formatCode>General</c:formatCode>
                <c:ptCount val="3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pt idx="16">
                  <c:v>2031</c:v>
                </c:pt>
                <c:pt idx="17">
                  <c:v>2032</c:v>
                </c:pt>
                <c:pt idx="18">
                  <c:v>2033</c:v>
                </c:pt>
                <c:pt idx="19">
                  <c:v>2034</c:v>
                </c:pt>
                <c:pt idx="20">
                  <c:v>2035</c:v>
                </c:pt>
                <c:pt idx="21">
                  <c:v>2036</c:v>
                </c:pt>
                <c:pt idx="22">
                  <c:v>2037</c:v>
                </c:pt>
                <c:pt idx="23">
                  <c:v>2038</c:v>
                </c:pt>
                <c:pt idx="24">
                  <c:v>2039</c:v>
                </c:pt>
                <c:pt idx="25">
                  <c:v>2040</c:v>
                </c:pt>
                <c:pt idx="26">
                  <c:v>2041</c:v>
                </c:pt>
                <c:pt idx="27">
                  <c:v>2042</c:v>
                </c:pt>
                <c:pt idx="28">
                  <c:v>2043</c:v>
                </c:pt>
                <c:pt idx="29">
                  <c:v>2044</c:v>
                </c:pt>
                <c:pt idx="30">
                  <c:v>2045</c:v>
                </c:pt>
                <c:pt idx="31">
                  <c:v>2046</c:v>
                </c:pt>
                <c:pt idx="32">
                  <c:v>2047</c:v>
                </c:pt>
                <c:pt idx="33">
                  <c:v>2048</c:v>
                </c:pt>
                <c:pt idx="34">
                  <c:v>2049</c:v>
                </c:pt>
                <c:pt idx="35">
                  <c:v>2050</c:v>
                </c:pt>
              </c:numCache>
            </c:numRef>
          </c:cat>
          <c:val>
            <c:numRef>
              <c:f>'HIDDEN_Dashboard charts data'!$F$38:$AO$38</c:f>
              <c:numCache>
                <c:formatCode>_-* #,##0_-;\-* #,##0_-;_-* "-"??_-;_-@_-</c:formatCode>
                <c:ptCount val="36"/>
                <c:pt idx="0">
                  <c:v>0</c:v>
                </c:pt>
                <c:pt idx="1">
                  <c:v>0</c:v>
                </c:pt>
                <c:pt idx="2">
                  <c:v>0</c:v>
                </c:pt>
                <c:pt idx="3">
                  <c:v>0</c:v>
                </c:pt>
                <c:pt idx="4">
                  <c:v>0</c:v>
                </c:pt>
                <c:pt idx="5">
                  <c:v>0</c:v>
                </c:pt>
                <c:pt idx="6">
                  <c:v>103060.60495712544</c:v>
                </c:pt>
                <c:pt idx="7">
                  <c:v>206706.00046588425</c:v>
                </c:pt>
                <c:pt idx="8">
                  <c:v>310580.26117100456</c:v>
                </c:pt>
                <c:pt idx="9">
                  <c:v>414833.75449987361</c:v>
                </c:pt>
                <c:pt idx="10">
                  <c:v>518521.28049226152</c:v>
                </c:pt>
                <c:pt idx="11">
                  <c:v>633016.35621508234</c:v>
                </c:pt>
                <c:pt idx="12">
                  <c:v>736628.92930584238</c:v>
                </c:pt>
                <c:pt idx="13">
                  <c:v>1061631.6934776374</c:v>
                </c:pt>
                <c:pt idx="14">
                  <c:v>1271014.6545734082</c:v>
                </c:pt>
                <c:pt idx="15">
                  <c:v>1454666.9624354723</c:v>
                </c:pt>
                <c:pt idx="16">
                  <c:v>1606259.2403030912</c:v>
                </c:pt>
                <c:pt idx="17">
                  <c:v>1725334.0453631766</c:v>
                </c:pt>
                <c:pt idx="18">
                  <c:v>1785938.6101643213</c:v>
                </c:pt>
                <c:pt idx="19">
                  <c:v>1815699.9996401984</c:v>
                </c:pt>
                <c:pt idx="20">
                  <c:v>1976605.6559526573</c:v>
                </c:pt>
                <c:pt idx="21">
                  <c:v>2149103.0944305388</c:v>
                </c:pt>
                <c:pt idx="22">
                  <c:v>2325672.8351864079</c:v>
                </c:pt>
                <c:pt idx="23">
                  <c:v>2505947.4306647154</c:v>
                </c:pt>
                <c:pt idx="24">
                  <c:v>2690055.8511703275</c:v>
                </c:pt>
                <c:pt idx="25">
                  <c:v>2897287.2864511237</c:v>
                </c:pt>
                <c:pt idx="26">
                  <c:v>2961696.2394635575</c:v>
                </c:pt>
                <c:pt idx="27">
                  <c:v>3027646.6679178006</c:v>
                </c:pt>
                <c:pt idx="28">
                  <c:v>3095168.5332337222</c:v>
                </c:pt>
                <c:pt idx="29">
                  <c:v>3164292.4573685061</c:v>
                </c:pt>
                <c:pt idx="30">
                  <c:v>3224703.6985376226</c:v>
                </c:pt>
                <c:pt idx="31">
                  <c:v>3299123.9422085211</c:v>
                </c:pt>
                <c:pt idx="32">
                  <c:v>3375280.5322272154</c:v>
                </c:pt>
                <c:pt idx="33">
                  <c:v>3453208.323645683</c:v>
                </c:pt>
                <c:pt idx="34">
                  <c:v>3532942.8861584752</c:v>
                </c:pt>
                <c:pt idx="35">
                  <c:v>3614520.5168039477</c:v>
                </c:pt>
              </c:numCache>
            </c:numRef>
          </c:val>
        </c:ser>
        <c:dLbls>
          <c:showLegendKey val="0"/>
          <c:showVal val="0"/>
          <c:showCatName val="0"/>
          <c:showSerName val="0"/>
          <c:showPercent val="0"/>
          <c:showBubbleSize val="0"/>
        </c:dLbls>
        <c:axId val="401548416"/>
        <c:axId val="401549952"/>
      </c:areaChart>
      <c:catAx>
        <c:axId val="401548416"/>
        <c:scaling>
          <c:orientation val="minMax"/>
        </c:scaling>
        <c:delete val="0"/>
        <c:axPos val="b"/>
        <c:numFmt formatCode="General" sourceLinked="1"/>
        <c:majorTickMark val="out"/>
        <c:minorTickMark val="none"/>
        <c:tickLblPos val="nextTo"/>
        <c:txPr>
          <a:bodyPr rot="-60000000" vert="horz"/>
          <a:lstStyle/>
          <a:p>
            <a:pPr>
              <a:defRPr/>
            </a:pPr>
            <a:endParaRPr lang="en-US"/>
          </a:p>
        </c:txPr>
        <c:crossAx val="401549952"/>
        <c:crosses val="autoZero"/>
        <c:auto val="1"/>
        <c:lblAlgn val="ctr"/>
        <c:lblOffset val="100"/>
        <c:tickLblSkip val="5"/>
        <c:noMultiLvlLbl val="0"/>
      </c:catAx>
      <c:valAx>
        <c:axId val="401549952"/>
        <c:scaling>
          <c:orientation val="minMax"/>
        </c:scaling>
        <c:delete val="0"/>
        <c:axPos val="l"/>
        <c:majorGridlines>
          <c:spPr>
            <a:ln>
              <a:solidFill>
                <a:schemeClr val="tx1">
                  <a:lumMod val="15000"/>
                  <a:lumOff val="85000"/>
                </a:schemeClr>
              </a:solidFill>
            </a:ln>
          </c:spPr>
        </c:majorGridlines>
        <c:title>
          <c:tx>
            <c:rich>
              <a:bodyPr rot="-5400000" vert="horz"/>
              <a:lstStyle/>
              <a:p>
                <a:pPr>
                  <a:defRPr b="0"/>
                </a:pPr>
                <a:r>
                  <a:rPr lang="en-AU" b="0"/>
                  <a:t>Emissions</a:t>
                </a:r>
                <a:r>
                  <a:rPr lang="en-AU" b="0" baseline="0"/>
                  <a:t> (tCO</a:t>
                </a:r>
                <a:r>
                  <a:rPr lang="en-AU" b="0" baseline="-25000"/>
                  <a:t>2</a:t>
                </a:r>
                <a:r>
                  <a:rPr lang="en-AU" b="0" baseline="0"/>
                  <a:t>-e)</a:t>
                </a:r>
                <a:endParaRPr lang="en-AU" b="0"/>
              </a:p>
            </c:rich>
          </c:tx>
          <c:overlay val="0"/>
        </c:title>
        <c:numFmt formatCode="_-* #,##0_-;\-* #,##0_-;_-* &quot;-&quot;??_-;_-@_-" sourceLinked="1"/>
        <c:majorTickMark val="out"/>
        <c:minorTickMark val="none"/>
        <c:tickLblPos val="nextTo"/>
        <c:spPr>
          <a:ln>
            <a:noFill/>
          </a:ln>
        </c:spPr>
        <c:txPr>
          <a:bodyPr rot="-60000000" vert="horz"/>
          <a:lstStyle/>
          <a:p>
            <a:pPr>
              <a:defRPr/>
            </a:pPr>
            <a:endParaRPr lang="en-US"/>
          </a:p>
        </c:txPr>
        <c:crossAx val="401548416"/>
        <c:crosses val="autoZero"/>
        <c:crossBetween val="midCat"/>
      </c:valAx>
    </c:plotArea>
    <c:legend>
      <c:legendPos val="r"/>
      <c:layout>
        <c:manualLayout>
          <c:xMode val="edge"/>
          <c:yMode val="edge"/>
          <c:x val="0.73665958053904335"/>
          <c:y val="0.34080249620450426"/>
          <c:w val="0.25055960197135563"/>
          <c:h val="0.23408136774116903"/>
        </c:manualLayout>
      </c:layout>
      <c:overlay val="0"/>
    </c:legend>
    <c:plotVisOnly val="1"/>
    <c:dispBlanksAs val="zero"/>
    <c:showDLblsOverMax val="0"/>
  </c:chart>
  <c:spPr>
    <a:ln>
      <a:noFill/>
    </a:ln>
  </c:spPr>
  <c:txPr>
    <a:bodyPr/>
    <a:lstStyle/>
    <a:p>
      <a:pPr>
        <a:defRPr sz="900"/>
      </a:pPr>
      <a:endParaRPr lang="en-US"/>
    </a:p>
  </c:txPr>
  <c:externalData r:id="rId2">
    <c:autoUpdate val="0"/>
  </c:externalData>
</c:chartSpace>
</file>

<file path=word/theme/theme1.xml><?xml version="1.0" encoding="utf-8"?>
<a:theme xmlns:a="http://schemas.openxmlformats.org/drawingml/2006/main" name="Office Theme">
  <a:themeElements>
    <a:clrScheme name="COM Report 2015">
      <a:dk1>
        <a:srgbClr val="000000"/>
      </a:dk1>
      <a:lt1>
        <a:sysClr val="window" lastClr="FFFFFF"/>
      </a:lt1>
      <a:dk2>
        <a:srgbClr val="277BB4"/>
      </a:dk2>
      <a:lt2>
        <a:srgbClr val="F4F8FB"/>
      </a:lt2>
      <a:accent1>
        <a:srgbClr val="277BB4"/>
      </a:accent1>
      <a:accent2>
        <a:srgbClr val="00B74F"/>
      </a:accent2>
      <a:accent3>
        <a:srgbClr val="F07B05"/>
      </a:accent3>
      <a:accent4>
        <a:srgbClr val="E30450"/>
      </a:accent4>
      <a:accent5>
        <a:srgbClr val="00AECB"/>
      </a:accent5>
      <a:accent6>
        <a:srgbClr val="878686"/>
      </a:accent6>
      <a:hlink>
        <a:srgbClr val="000000"/>
      </a:hlink>
      <a:folHlink>
        <a:srgbClr val="E30450"/>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COM Report 2015">
    <a:dk1>
      <a:srgbClr val="000000"/>
    </a:dk1>
    <a:lt1>
      <a:sysClr val="window" lastClr="FFFFFF"/>
    </a:lt1>
    <a:dk2>
      <a:srgbClr val="277BB4"/>
    </a:dk2>
    <a:lt2>
      <a:srgbClr val="F4F8FB"/>
    </a:lt2>
    <a:accent1>
      <a:srgbClr val="277BB4"/>
    </a:accent1>
    <a:accent2>
      <a:srgbClr val="00B74F"/>
    </a:accent2>
    <a:accent3>
      <a:srgbClr val="F07B05"/>
    </a:accent3>
    <a:accent4>
      <a:srgbClr val="E30450"/>
    </a:accent4>
    <a:accent5>
      <a:srgbClr val="00AECB"/>
    </a:accent5>
    <a:accent6>
      <a:srgbClr val="878686"/>
    </a:accent6>
    <a:hlink>
      <a:srgbClr val="000000"/>
    </a:hlink>
    <a:folHlink>
      <a:srgbClr val="E30450"/>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COM Report 2015">
    <a:dk1>
      <a:srgbClr val="000000"/>
    </a:dk1>
    <a:lt1>
      <a:sysClr val="window" lastClr="FFFFFF"/>
    </a:lt1>
    <a:dk2>
      <a:srgbClr val="277BB4"/>
    </a:dk2>
    <a:lt2>
      <a:srgbClr val="F4F8FB"/>
    </a:lt2>
    <a:accent1>
      <a:srgbClr val="277BB4"/>
    </a:accent1>
    <a:accent2>
      <a:srgbClr val="00B74F"/>
    </a:accent2>
    <a:accent3>
      <a:srgbClr val="F07B05"/>
    </a:accent3>
    <a:accent4>
      <a:srgbClr val="E30450"/>
    </a:accent4>
    <a:accent5>
      <a:srgbClr val="00AECB"/>
    </a:accent5>
    <a:accent6>
      <a:srgbClr val="878686"/>
    </a:accent6>
    <a:hlink>
      <a:srgbClr val="000000"/>
    </a:hlink>
    <a:folHlink>
      <a:srgbClr val="E30450"/>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COM Report 2015">
    <a:dk1>
      <a:srgbClr val="000000"/>
    </a:dk1>
    <a:lt1>
      <a:sysClr val="window" lastClr="FFFFFF"/>
    </a:lt1>
    <a:dk2>
      <a:srgbClr val="277BB4"/>
    </a:dk2>
    <a:lt2>
      <a:srgbClr val="F4F8FB"/>
    </a:lt2>
    <a:accent1>
      <a:srgbClr val="277BB4"/>
    </a:accent1>
    <a:accent2>
      <a:srgbClr val="00B74F"/>
    </a:accent2>
    <a:accent3>
      <a:srgbClr val="F07B05"/>
    </a:accent3>
    <a:accent4>
      <a:srgbClr val="E30450"/>
    </a:accent4>
    <a:accent5>
      <a:srgbClr val="00AECB"/>
    </a:accent5>
    <a:accent6>
      <a:srgbClr val="878686"/>
    </a:accent6>
    <a:hlink>
      <a:srgbClr val="000000"/>
    </a:hlink>
    <a:folHlink>
      <a:srgbClr val="E30450"/>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COM Report 2015">
    <a:dk1>
      <a:srgbClr val="000000"/>
    </a:dk1>
    <a:lt1>
      <a:sysClr val="window" lastClr="FFFFFF"/>
    </a:lt1>
    <a:dk2>
      <a:srgbClr val="277BB4"/>
    </a:dk2>
    <a:lt2>
      <a:srgbClr val="F4F8FB"/>
    </a:lt2>
    <a:accent1>
      <a:srgbClr val="277BB4"/>
    </a:accent1>
    <a:accent2>
      <a:srgbClr val="00B74F"/>
    </a:accent2>
    <a:accent3>
      <a:srgbClr val="F07B05"/>
    </a:accent3>
    <a:accent4>
      <a:srgbClr val="E30450"/>
    </a:accent4>
    <a:accent5>
      <a:srgbClr val="00AECB"/>
    </a:accent5>
    <a:accent6>
      <a:srgbClr val="878686"/>
    </a:accent6>
    <a:hlink>
      <a:srgbClr val="000000"/>
    </a:hlink>
    <a:folHlink>
      <a:srgbClr val="E30450"/>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COM Report 2015">
    <a:dk1>
      <a:srgbClr val="000000"/>
    </a:dk1>
    <a:lt1>
      <a:sysClr val="window" lastClr="FFFFFF"/>
    </a:lt1>
    <a:dk2>
      <a:srgbClr val="277BB4"/>
    </a:dk2>
    <a:lt2>
      <a:srgbClr val="F4F8FB"/>
    </a:lt2>
    <a:accent1>
      <a:srgbClr val="277BB4"/>
    </a:accent1>
    <a:accent2>
      <a:srgbClr val="00B74F"/>
    </a:accent2>
    <a:accent3>
      <a:srgbClr val="F07B05"/>
    </a:accent3>
    <a:accent4>
      <a:srgbClr val="E30450"/>
    </a:accent4>
    <a:accent5>
      <a:srgbClr val="00AECB"/>
    </a:accent5>
    <a:accent6>
      <a:srgbClr val="878686"/>
    </a:accent6>
    <a:hlink>
      <a:srgbClr val="000000"/>
    </a:hlink>
    <a:folHlink>
      <a:srgbClr val="E30450"/>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COM Report 2015">
    <a:dk1>
      <a:srgbClr val="000000"/>
    </a:dk1>
    <a:lt1>
      <a:sysClr val="window" lastClr="FFFFFF"/>
    </a:lt1>
    <a:dk2>
      <a:srgbClr val="277BB4"/>
    </a:dk2>
    <a:lt2>
      <a:srgbClr val="F4F8FB"/>
    </a:lt2>
    <a:accent1>
      <a:srgbClr val="277BB4"/>
    </a:accent1>
    <a:accent2>
      <a:srgbClr val="00B74F"/>
    </a:accent2>
    <a:accent3>
      <a:srgbClr val="F07B05"/>
    </a:accent3>
    <a:accent4>
      <a:srgbClr val="E30450"/>
    </a:accent4>
    <a:accent5>
      <a:srgbClr val="00AECB"/>
    </a:accent5>
    <a:accent6>
      <a:srgbClr val="878686"/>
    </a:accent6>
    <a:hlink>
      <a:srgbClr val="000000"/>
    </a:hlink>
    <a:folHlink>
      <a:srgbClr val="E30450"/>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COM Report 2015">
    <a:dk1>
      <a:srgbClr val="000000"/>
    </a:dk1>
    <a:lt1>
      <a:sysClr val="window" lastClr="FFFFFF"/>
    </a:lt1>
    <a:dk2>
      <a:srgbClr val="277BB4"/>
    </a:dk2>
    <a:lt2>
      <a:srgbClr val="F4F8FB"/>
    </a:lt2>
    <a:accent1>
      <a:srgbClr val="277BB4"/>
    </a:accent1>
    <a:accent2>
      <a:srgbClr val="00B74F"/>
    </a:accent2>
    <a:accent3>
      <a:srgbClr val="F07B05"/>
    </a:accent3>
    <a:accent4>
      <a:srgbClr val="E30450"/>
    </a:accent4>
    <a:accent5>
      <a:srgbClr val="00AECB"/>
    </a:accent5>
    <a:accent6>
      <a:srgbClr val="878686"/>
    </a:accent6>
    <a:hlink>
      <a:srgbClr val="000000"/>
    </a:hlink>
    <a:folHlink>
      <a:srgbClr val="E30450"/>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COM Report 2015">
    <a:dk1>
      <a:srgbClr val="000000"/>
    </a:dk1>
    <a:lt1>
      <a:sysClr val="window" lastClr="FFFFFF"/>
    </a:lt1>
    <a:dk2>
      <a:srgbClr val="277BB4"/>
    </a:dk2>
    <a:lt2>
      <a:srgbClr val="F4F8FB"/>
    </a:lt2>
    <a:accent1>
      <a:srgbClr val="277BB4"/>
    </a:accent1>
    <a:accent2>
      <a:srgbClr val="00B74F"/>
    </a:accent2>
    <a:accent3>
      <a:srgbClr val="F07B05"/>
    </a:accent3>
    <a:accent4>
      <a:srgbClr val="E30450"/>
    </a:accent4>
    <a:accent5>
      <a:srgbClr val="00AECB"/>
    </a:accent5>
    <a:accent6>
      <a:srgbClr val="878686"/>
    </a:accent6>
    <a:hlink>
      <a:srgbClr val="000000"/>
    </a:hlink>
    <a:folHlink>
      <a:srgbClr val="E30450"/>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COM Report 2015">
    <a:dk1>
      <a:srgbClr val="000000"/>
    </a:dk1>
    <a:lt1>
      <a:sysClr val="window" lastClr="FFFFFF"/>
    </a:lt1>
    <a:dk2>
      <a:srgbClr val="277BB4"/>
    </a:dk2>
    <a:lt2>
      <a:srgbClr val="F4F8FB"/>
    </a:lt2>
    <a:accent1>
      <a:srgbClr val="277BB4"/>
    </a:accent1>
    <a:accent2>
      <a:srgbClr val="00B74F"/>
    </a:accent2>
    <a:accent3>
      <a:srgbClr val="F07B05"/>
    </a:accent3>
    <a:accent4>
      <a:srgbClr val="E30450"/>
    </a:accent4>
    <a:accent5>
      <a:srgbClr val="00AECB"/>
    </a:accent5>
    <a:accent6>
      <a:srgbClr val="878686"/>
    </a:accent6>
    <a:hlink>
      <a:srgbClr val="000000"/>
    </a:hlink>
    <a:folHlink>
      <a:srgbClr val="E30450"/>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COM Report 2015">
    <a:dk1>
      <a:srgbClr val="000000"/>
    </a:dk1>
    <a:lt1>
      <a:sysClr val="window" lastClr="FFFFFF"/>
    </a:lt1>
    <a:dk2>
      <a:srgbClr val="277BB4"/>
    </a:dk2>
    <a:lt2>
      <a:srgbClr val="F4F8FB"/>
    </a:lt2>
    <a:accent1>
      <a:srgbClr val="277BB4"/>
    </a:accent1>
    <a:accent2>
      <a:srgbClr val="00B74F"/>
    </a:accent2>
    <a:accent3>
      <a:srgbClr val="F07B05"/>
    </a:accent3>
    <a:accent4>
      <a:srgbClr val="E30450"/>
    </a:accent4>
    <a:accent5>
      <a:srgbClr val="00AECB"/>
    </a:accent5>
    <a:accent6>
      <a:srgbClr val="878686"/>
    </a:accent6>
    <a:hlink>
      <a:srgbClr val="000000"/>
    </a:hlink>
    <a:folHlink>
      <a:srgbClr val="E30450"/>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COM Report 2015">
    <a:dk1>
      <a:srgbClr val="000000"/>
    </a:dk1>
    <a:lt1>
      <a:sysClr val="window" lastClr="FFFFFF"/>
    </a:lt1>
    <a:dk2>
      <a:srgbClr val="277BB4"/>
    </a:dk2>
    <a:lt2>
      <a:srgbClr val="F4F8FB"/>
    </a:lt2>
    <a:accent1>
      <a:srgbClr val="277BB4"/>
    </a:accent1>
    <a:accent2>
      <a:srgbClr val="00B74F"/>
    </a:accent2>
    <a:accent3>
      <a:srgbClr val="F07B05"/>
    </a:accent3>
    <a:accent4>
      <a:srgbClr val="E30450"/>
    </a:accent4>
    <a:accent5>
      <a:srgbClr val="00AECB"/>
    </a:accent5>
    <a:accent6>
      <a:srgbClr val="878686"/>
    </a:accent6>
    <a:hlink>
      <a:srgbClr val="000000"/>
    </a:hlink>
    <a:folHlink>
      <a:srgbClr val="E30450"/>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COM Report 2015">
    <a:dk1>
      <a:srgbClr val="000000"/>
    </a:dk1>
    <a:lt1>
      <a:sysClr val="window" lastClr="FFFFFF"/>
    </a:lt1>
    <a:dk2>
      <a:srgbClr val="277BB4"/>
    </a:dk2>
    <a:lt2>
      <a:srgbClr val="F4F8FB"/>
    </a:lt2>
    <a:accent1>
      <a:srgbClr val="277BB4"/>
    </a:accent1>
    <a:accent2>
      <a:srgbClr val="00B74F"/>
    </a:accent2>
    <a:accent3>
      <a:srgbClr val="F07B05"/>
    </a:accent3>
    <a:accent4>
      <a:srgbClr val="E30450"/>
    </a:accent4>
    <a:accent5>
      <a:srgbClr val="00AECB"/>
    </a:accent5>
    <a:accent6>
      <a:srgbClr val="878686"/>
    </a:accent6>
    <a:hlink>
      <a:srgbClr val="000000"/>
    </a:hlink>
    <a:folHlink>
      <a:srgbClr val="E30450"/>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COM Report 2015">
    <a:dk1>
      <a:srgbClr val="000000"/>
    </a:dk1>
    <a:lt1>
      <a:sysClr val="window" lastClr="FFFFFF"/>
    </a:lt1>
    <a:dk2>
      <a:srgbClr val="277BB4"/>
    </a:dk2>
    <a:lt2>
      <a:srgbClr val="F4F8FB"/>
    </a:lt2>
    <a:accent1>
      <a:srgbClr val="277BB4"/>
    </a:accent1>
    <a:accent2>
      <a:srgbClr val="00B74F"/>
    </a:accent2>
    <a:accent3>
      <a:srgbClr val="F07B05"/>
    </a:accent3>
    <a:accent4>
      <a:srgbClr val="E30450"/>
    </a:accent4>
    <a:accent5>
      <a:srgbClr val="00AECB"/>
    </a:accent5>
    <a:accent6>
      <a:srgbClr val="878686"/>
    </a:accent6>
    <a:hlink>
      <a:srgbClr val="000000"/>
    </a:hlink>
    <a:folHlink>
      <a:srgbClr val="E30450"/>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COM Report 2015">
    <a:dk1>
      <a:srgbClr val="000000"/>
    </a:dk1>
    <a:lt1>
      <a:sysClr val="window" lastClr="FFFFFF"/>
    </a:lt1>
    <a:dk2>
      <a:srgbClr val="277BB4"/>
    </a:dk2>
    <a:lt2>
      <a:srgbClr val="F4F8FB"/>
    </a:lt2>
    <a:accent1>
      <a:srgbClr val="277BB4"/>
    </a:accent1>
    <a:accent2>
      <a:srgbClr val="00B74F"/>
    </a:accent2>
    <a:accent3>
      <a:srgbClr val="F07B05"/>
    </a:accent3>
    <a:accent4>
      <a:srgbClr val="E30450"/>
    </a:accent4>
    <a:accent5>
      <a:srgbClr val="00AECB"/>
    </a:accent5>
    <a:accent6>
      <a:srgbClr val="878686"/>
    </a:accent6>
    <a:hlink>
      <a:srgbClr val="000000"/>
    </a:hlink>
    <a:folHlink>
      <a:srgbClr val="E30450"/>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[Date]</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BB79E2C6-F428-46B0-A46C-D9FA00920C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CoM Report Template.dotm</Template>
  <TotalTime>18</TotalTime>
  <Pages>1</Pages>
  <Words>13531</Words>
  <Characters>77127</Characters>
  <Application>Microsoft Office Word</Application>
  <DocSecurity>0</DocSecurity>
  <Lines>642</Lines>
  <Paragraphs>180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90478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Kate Noble</dc:creator>
  <cp:lastModifiedBy>Kate Noble</cp:lastModifiedBy>
  <cp:revision>7</cp:revision>
  <cp:lastPrinted>2018-08-09T06:45:00Z</cp:lastPrinted>
  <dcterms:created xsi:type="dcterms:W3CDTF">2018-08-30T04:11:00Z</dcterms:created>
  <dcterms:modified xsi:type="dcterms:W3CDTF">2018-08-31T06:15:00Z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xAppendixName">
    <vt:lpwstr>Appendix</vt:lpwstr>
  </property>
  <property fmtid="{D5CDD505-2E9C-101B-9397-08002B2CF9AE}" pid="3" name="xTemplateVersion">
    <vt:lpwstr>1.1</vt:lpwstr>
  </property>
</Properties>
</file>