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5B94" w:rsidRDefault="00215B94" w:rsidP="00E526EB">
      <w:pPr>
        <w:pStyle w:val="HeaderCoverPage"/>
        <w:rPr>
          <w:sz w:val="20"/>
        </w:rPr>
      </w:pPr>
      <w:r>
        <w:rPr>
          <w:sz w:val="20"/>
        </w:rPr>
        <w:t>,</w:t>
      </w:r>
    </w:p>
    <w:sdt>
      <w:sdtPr>
        <w:rPr>
          <w:rFonts w:ascii="Arial" w:hAnsi="Arial" w:cs="Arial"/>
          <w:color w:val="auto"/>
          <w:sz w:val="20"/>
          <w:szCs w:val="24"/>
          <w:lang w:eastAsia="en-US"/>
        </w:rPr>
        <w:id w:val="14741860"/>
        <w:docPartObj>
          <w:docPartGallery w:val="Cover Pages"/>
          <w:docPartUnique/>
        </w:docPartObj>
      </w:sdtPr>
      <w:sdtEndPr>
        <w:rPr>
          <w:sz w:val="19"/>
          <w:szCs w:val="19"/>
        </w:rPr>
      </w:sdtEndPr>
      <w:sdtContent>
        <w:p w:rsidR="007D7B46" w:rsidRDefault="007D7B46" w:rsidP="00E526EB">
          <w:pPr>
            <w:pStyle w:val="HeaderCoverPage"/>
          </w:pPr>
          <w:r w:rsidRPr="00E526EB">
            <w:rPr>
              <w:noProof/>
            </w:rPr>
            <w:drawing>
              <wp:inline distT="0" distB="0" distL="0" distR="0" wp14:anchorId="06B0B4D9" wp14:editId="44168A06">
                <wp:extent cx="990000" cy="954000"/>
                <wp:effectExtent l="0" t="0" r="635" b="0"/>
                <wp:docPr id="12" name="Picture 12" descr="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ity of Melbourn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90000" cy="954000"/>
                        </a:xfrm>
                        <a:prstGeom prst="rect">
                          <a:avLst/>
                        </a:prstGeom>
                        <a:noFill/>
                        <a:ln>
                          <a:noFill/>
                        </a:ln>
                      </pic:spPr>
                    </pic:pic>
                  </a:graphicData>
                </a:graphic>
              </wp:inline>
            </w:drawing>
          </w:r>
        </w:p>
        <w:p w:rsidR="009B0248" w:rsidRDefault="009B0248" w:rsidP="009B0248">
          <w:pPr>
            <w:pStyle w:val="Title"/>
          </w:pPr>
          <w:bookmarkStart w:id="0" w:name="_Toc523303075"/>
          <w:bookmarkStart w:id="1" w:name="_Toc523307088"/>
          <w:bookmarkStart w:id="2" w:name="_Toc517694751"/>
          <w:r>
            <w:t>REPORT: Review of Health and Climate Change Literature</w:t>
          </w:r>
          <w:bookmarkEnd w:id="0"/>
          <w:bookmarkEnd w:id="1"/>
        </w:p>
        <w:p w:rsidR="009B0248" w:rsidRPr="00E526EB" w:rsidRDefault="009B0248" w:rsidP="009B0248">
          <w:pPr>
            <w:pStyle w:val="Subtitle"/>
          </w:pPr>
          <w:r>
            <w:t>To inform City of Melbourne Zero Net Emissions Strategy</w:t>
          </w:r>
        </w:p>
        <w:p w:rsidR="009B0248" w:rsidRPr="00F27994" w:rsidRDefault="009B0248" w:rsidP="009B0248">
          <w:pPr>
            <w:pStyle w:val="Subtitle2"/>
          </w:pPr>
          <w:r>
            <w:t>28 June 2018</w:t>
          </w:r>
        </w:p>
        <w:bookmarkEnd w:id="2"/>
        <w:p w:rsidR="005C45E7" w:rsidRPr="000C479B" w:rsidRDefault="005C45E7" w:rsidP="005C45E7">
          <w:pPr>
            <w:pStyle w:val="Title"/>
            <w:rPr>
              <w:sz w:val="36"/>
              <w:szCs w:val="36"/>
            </w:rPr>
          </w:pPr>
        </w:p>
        <w:p w:rsidR="008B51D2" w:rsidRPr="00851AAA" w:rsidRDefault="000C479B" w:rsidP="0045796F">
          <w:pPr>
            <w:rPr>
              <w:sz w:val="19"/>
              <w:szCs w:val="19"/>
            </w:rPr>
            <w:sectPr w:rsidR="008B51D2" w:rsidRPr="00851AAA" w:rsidSect="00F155D7">
              <w:footerReference w:type="default" r:id="rId11"/>
              <w:pgSz w:w="11907" w:h="16839" w:code="9"/>
              <w:pgMar w:top="851" w:right="680" w:bottom="1134" w:left="1418" w:header="454" w:footer="510" w:gutter="0"/>
              <w:cols w:space="708"/>
              <w:titlePg/>
              <w:docGrid w:linePitch="360"/>
            </w:sectPr>
          </w:pPr>
          <w:r>
            <w:rPr>
              <w:noProof/>
              <w:sz w:val="19"/>
              <w:szCs w:val="19"/>
              <w:lang w:eastAsia="en-AU"/>
            </w:rPr>
            <w:drawing>
              <wp:inline distT="0" distB="0" distL="0" distR="0">
                <wp:extent cx="5733799" cy="262800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lbourne_birrarung-marr_dreamstime_s_39411257.jpg"/>
                        <pic:cNvPicPr/>
                      </pic:nvPicPr>
                      <pic:blipFill>
                        <a:blip r:embed="rId12">
                          <a:extLst>
                            <a:ext uri="{28A0092B-C50C-407E-A947-70E740481C1C}">
                              <a14:useLocalDpi xmlns:a14="http://schemas.microsoft.com/office/drawing/2010/main" val="0"/>
                            </a:ext>
                          </a:extLst>
                        </a:blip>
                        <a:stretch>
                          <a:fillRect/>
                        </a:stretch>
                      </pic:blipFill>
                      <pic:spPr>
                        <a:xfrm>
                          <a:off x="0" y="0"/>
                          <a:ext cx="5733799" cy="2628000"/>
                        </a:xfrm>
                        <a:prstGeom prst="rect">
                          <a:avLst/>
                        </a:prstGeom>
                      </pic:spPr>
                    </pic:pic>
                  </a:graphicData>
                </a:graphic>
              </wp:inline>
            </w:drawing>
          </w:r>
        </w:p>
      </w:sdtContent>
    </w:sdt>
    <w:p w:rsidR="000C479B" w:rsidRPr="009B63F7" w:rsidRDefault="000C479B" w:rsidP="00BA52AF">
      <w:pPr>
        <w:pStyle w:val="BoldHeading"/>
        <w:rPr>
          <w:b w:val="0"/>
        </w:rPr>
      </w:pPr>
      <w:r>
        <w:t>Report prepared by</w:t>
      </w:r>
      <w:r w:rsidR="009B63F7">
        <w:t>:</w:t>
      </w:r>
      <w:r>
        <w:t xml:space="preserve"> </w:t>
      </w:r>
      <w:r w:rsidRPr="009B63F7">
        <w:rPr>
          <w:b w:val="0"/>
        </w:rPr>
        <w:t>Fiona Armstrong, Founder and Executive Director, Climate and Health Alliance</w:t>
      </w:r>
    </w:p>
    <w:p w:rsidR="00BA52AF" w:rsidRDefault="00BA52AF" w:rsidP="00BA52AF">
      <w:pPr>
        <w:pStyle w:val="BoldHeading"/>
      </w:pPr>
      <w:r>
        <w:t>Acknowledgements</w:t>
      </w:r>
    </w:p>
    <w:p w:rsidR="00BA52AF" w:rsidRPr="000C479B" w:rsidRDefault="000C479B" w:rsidP="000C479B">
      <w:pPr>
        <w:pStyle w:val="BodyText"/>
        <w:sectPr w:rsidR="00BA52AF" w:rsidRPr="000C479B" w:rsidSect="003B3D5D">
          <w:headerReference w:type="even" r:id="rId13"/>
          <w:footerReference w:type="default" r:id="rId14"/>
          <w:pgSz w:w="11907" w:h="16839" w:code="9"/>
          <w:pgMar w:top="1701" w:right="1417" w:bottom="1134" w:left="1417" w:header="454" w:footer="510" w:gutter="0"/>
          <w:pgNumType w:fmt="lowerRoman"/>
          <w:cols w:space="708"/>
          <w:docGrid w:linePitch="360"/>
        </w:sectPr>
      </w:pPr>
      <w:proofErr w:type="gramStart"/>
      <w:r>
        <w:t>With thanks to Annabelle Workman and Rebecca Patrick for reviewing the draft and final report, and to Sue Cooke for editing.</w:t>
      </w:r>
      <w:proofErr w:type="gramEnd"/>
    </w:p>
    <w:sdt>
      <w:sdtPr>
        <w:rPr>
          <w:rFonts w:ascii="Arial" w:eastAsia="Times New Roman" w:hAnsi="Arial" w:cs="Arial"/>
          <w:b/>
          <w:bCs w:val="0"/>
          <w:color w:val="auto"/>
          <w:sz w:val="24"/>
          <w:szCs w:val="24"/>
          <w:lang w:eastAsia="en-US"/>
        </w:rPr>
        <w:id w:val="-163479621"/>
        <w:docPartObj>
          <w:docPartGallery w:val="Table of Contents"/>
          <w:docPartUnique/>
        </w:docPartObj>
      </w:sdtPr>
      <w:sdtEndPr>
        <w:rPr>
          <w:b w:val="0"/>
          <w:noProof/>
        </w:rPr>
      </w:sdtEndPr>
      <w:sdtContent>
        <w:p w:rsidR="001A1712" w:rsidRPr="001A1712" w:rsidRDefault="001A1712" w:rsidP="001A1712">
          <w:pPr>
            <w:pStyle w:val="TOCHeading"/>
          </w:pPr>
          <w:r>
            <w:t>Contents</w:t>
          </w:r>
          <w:r w:rsidR="000C479B">
            <w:rPr>
              <w:b/>
              <w:bCs w:val="0"/>
            </w:rPr>
            <w:fldChar w:fldCharType="begin"/>
          </w:r>
          <w:r w:rsidR="000C479B">
            <w:instrText xml:space="preserve"> TOC \o "1-3" \h \z \u </w:instrText>
          </w:r>
          <w:r w:rsidR="000C479B">
            <w:rPr>
              <w:b/>
              <w:bCs w:val="0"/>
            </w:rPr>
            <w:fldChar w:fldCharType="separate"/>
          </w:r>
          <w:hyperlink w:anchor="_Toc523307088" w:history="1"/>
        </w:p>
        <w:p w:rsidR="001A1712" w:rsidRDefault="00132566">
          <w:pPr>
            <w:pStyle w:val="TOC1"/>
            <w:rPr>
              <w:rFonts w:eastAsiaTheme="minorEastAsia" w:cstheme="minorBidi"/>
              <w:b w:val="0"/>
              <w:color w:val="auto"/>
              <w:sz w:val="22"/>
              <w:szCs w:val="22"/>
            </w:rPr>
          </w:pPr>
          <w:hyperlink w:anchor="_Toc523307089" w:history="1">
            <w:r w:rsidR="001A1712" w:rsidRPr="00A13EE0">
              <w:rPr>
                <w:rStyle w:val="Hyperlink"/>
              </w:rPr>
              <w:t>Executive Summary</w:t>
            </w:r>
            <w:r w:rsidR="001A1712">
              <w:rPr>
                <w:webHidden/>
              </w:rPr>
              <w:tab/>
            </w:r>
            <w:r w:rsidR="001A1712">
              <w:rPr>
                <w:webHidden/>
              </w:rPr>
              <w:fldChar w:fldCharType="begin"/>
            </w:r>
            <w:r w:rsidR="001A1712">
              <w:rPr>
                <w:webHidden/>
              </w:rPr>
              <w:instrText xml:space="preserve"> PAGEREF _Toc523307089 \h </w:instrText>
            </w:r>
            <w:r w:rsidR="001A1712">
              <w:rPr>
                <w:webHidden/>
              </w:rPr>
            </w:r>
            <w:r w:rsidR="001A1712">
              <w:rPr>
                <w:webHidden/>
              </w:rPr>
              <w:fldChar w:fldCharType="separate"/>
            </w:r>
            <w:r w:rsidR="001A1712">
              <w:rPr>
                <w:webHidden/>
              </w:rPr>
              <w:t>vi</w:t>
            </w:r>
            <w:r w:rsidR="001A1712">
              <w:rPr>
                <w:webHidden/>
              </w:rPr>
              <w:fldChar w:fldCharType="end"/>
            </w:r>
          </w:hyperlink>
        </w:p>
        <w:p w:rsidR="001A1712" w:rsidRDefault="00132566">
          <w:pPr>
            <w:pStyle w:val="TOC1"/>
            <w:rPr>
              <w:rFonts w:eastAsiaTheme="minorEastAsia" w:cstheme="minorBidi"/>
              <w:b w:val="0"/>
              <w:color w:val="auto"/>
              <w:sz w:val="22"/>
              <w:szCs w:val="22"/>
            </w:rPr>
          </w:pPr>
          <w:hyperlink w:anchor="_Toc523307090" w:history="1">
            <w:r w:rsidR="001A1712" w:rsidRPr="00A13EE0">
              <w:rPr>
                <w:rStyle w:val="Hyperlink"/>
              </w:rPr>
              <w:t>1.</w:t>
            </w:r>
            <w:r w:rsidR="001A1712">
              <w:rPr>
                <w:rFonts w:eastAsiaTheme="minorEastAsia" w:cstheme="minorBidi"/>
                <w:b w:val="0"/>
                <w:color w:val="auto"/>
                <w:sz w:val="22"/>
                <w:szCs w:val="22"/>
              </w:rPr>
              <w:tab/>
            </w:r>
            <w:r w:rsidR="001A1712" w:rsidRPr="00A13EE0">
              <w:rPr>
                <w:rStyle w:val="Hyperlink"/>
              </w:rPr>
              <w:t>Definitions</w:t>
            </w:r>
            <w:r w:rsidR="001A1712">
              <w:rPr>
                <w:webHidden/>
              </w:rPr>
              <w:tab/>
            </w:r>
            <w:r w:rsidR="001A1712">
              <w:rPr>
                <w:webHidden/>
              </w:rPr>
              <w:fldChar w:fldCharType="begin"/>
            </w:r>
            <w:r w:rsidR="001A1712">
              <w:rPr>
                <w:webHidden/>
              </w:rPr>
              <w:instrText xml:space="preserve"> PAGEREF _Toc523307090 \h </w:instrText>
            </w:r>
            <w:r w:rsidR="001A1712">
              <w:rPr>
                <w:webHidden/>
              </w:rPr>
            </w:r>
            <w:r w:rsidR="001A1712">
              <w:rPr>
                <w:webHidden/>
              </w:rPr>
              <w:fldChar w:fldCharType="separate"/>
            </w:r>
            <w:r w:rsidR="001A1712">
              <w:rPr>
                <w:webHidden/>
              </w:rPr>
              <w:t>7</w:t>
            </w:r>
            <w:r w:rsidR="001A1712">
              <w:rPr>
                <w:webHidden/>
              </w:rPr>
              <w:fldChar w:fldCharType="end"/>
            </w:r>
          </w:hyperlink>
        </w:p>
        <w:p w:rsidR="001A1712" w:rsidRDefault="00132566">
          <w:pPr>
            <w:pStyle w:val="TOC1"/>
            <w:rPr>
              <w:rFonts w:eastAsiaTheme="minorEastAsia" w:cstheme="minorBidi"/>
              <w:b w:val="0"/>
              <w:color w:val="auto"/>
              <w:sz w:val="22"/>
              <w:szCs w:val="22"/>
            </w:rPr>
          </w:pPr>
          <w:hyperlink w:anchor="_Toc523307091" w:history="1">
            <w:r w:rsidR="001A1712" w:rsidRPr="00A13EE0">
              <w:rPr>
                <w:rStyle w:val="Hyperlink"/>
              </w:rPr>
              <w:t>2.</w:t>
            </w:r>
            <w:r w:rsidR="001A1712">
              <w:rPr>
                <w:rFonts w:eastAsiaTheme="minorEastAsia" w:cstheme="minorBidi"/>
                <w:b w:val="0"/>
                <w:color w:val="auto"/>
                <w:sz w:val="22"/>
                <w:szCs w:val="22"/>
              </w:rPr>
              <w:tab/>
            </w:r>
            <w:r w:rsidR="001A1712" w:rsidRPr="00A13EE0">
              <w:rPr>
                <w:rStyle w:val="Hyperlink"/>
              </w:rPr>
              <w:t>Purpose of the report, review method, and rationale</w:t>
            </w:r>
            <w:r w:rsidR="001A1712">
              <w:rPr>
                <w:webHidden/>
              </w:rPr>
              <w:tab/>
            </w:r>
            <w:r w:rsidR="001A1712">
              <w:rPr>
                <w:webHidden/>
              </w:rPr>
              <w:fldChar w:fldCharType="begin"/>
            </w:r>
            <w:r w:rsidR="001A1712">
              <w:rPr>
                <w:webHidden/>
              </w:rPr>
              <w:instrText xml:space="preserve"> PAGEREF _Toc523307091 \h </w:instrText>
            </w:r>
            <w:r w:rsidR="001A1712">
              <w:rPr>
                <w:webHidden/>
              </w:rPr>
            </w:r>
            <w:r w:rsidR="001A1712">
              <w:rPr>
                <w:webHidden/>
              </w:rPr>
              <w:fldChar w:fldCharType="separate"/>
            </w:r>
            <w:r w:rsidR="001A1712">
              <w:rPr>
                <w:webHidden/>
              </w:rPr>
              <w:t>9</w:t>
            </w:r>
            <w:r w:rsidR="001A1712">
              <w:rPr>
                <w:webHidden/>
              </w:rPr>
              <w:fldChar w:fldCharType="end"/>
            </w:r>
          </w:hyperlink>
        </w:p>
        <w:p w:rsidR="001A1712" w:rsidRDefault="00132566">
          <w:pPr>
            <w:pStyle w:val="TOC2"/>
            <w:rPr>
              <w:rFonts w:eastAsiaTheme="minorEastAsia" w:cstheme="minorBidi"/>
              <w:color w:val="auto"/>
              <w:sz w:val="22"/>
              <w:szCs w:val="22"/>
            </w:rPr>
          </w:pPr>
          <w:hyperlink w:anchor="_Toc523307092" w:history="1">
            <w:r w:rsidR="001A1712" w:rsidRPr="00A13EE0">
              <w:rPr>
                <w:rStyle w:val="Hyperlink"/>
              </w:rPr>
              <w:t>2.1</w:t>
            </w:r>
            <w:r w:rsidR="001A1712">
              <w:rPr>
                <w:rFonts w:eastAsiaTheme="minorEastAsia" w:cstheme="minorBidi"/>
                <w:color w:val="auto"/>
                <w:sz w:val="22"/>
                <w:szCs w:val="22"/>
              </w:rPr>
              <w:tab/>
            </w:r>
            <w:r w:rsidR="001A1712" w:rsidRPr="00A13EE0">
              <w:rPr>
                <w:rStyle w:val="Hyperlink"/>
              </w:rPr>
              <w:t>Purpose</w:t>
            </w:r>
            <w:r w:rsidR="001A1712">
              <w:rPr>
                <w:webHidden/>
              </w:rPr>
              <w:tab/>
            </w:r>
            <w:r w:rsidR="001A1712">
              <w:rPr>
                <w:webHidden/>
              </w:rPr>
              <w:fldChar w:fldCharType="begin"/>
            </w:r>
            <w:r w:rsidR="001A1712">
              <w:rPr>
                <w:webHidden/>
              </w:rPr>
              <w:instrText xml:space="preserve"> PAGEREF _Toc523307092 \h </w:instrText>
            </w:r>
            <w:r w:rsidR="001A1712">
              <w:rPr>
                <w:webHidden/>
              </w:rPr>
            </w:r>
            <w:r w:rsidR="001A1712">
              <w:rPr>
                <w:webHidden/>
              </w:rPr>
              <w:fldChar w:fldCharType="separate"/>
            </w:r>
            <w:r w:rsidR="001A1712">
              <w:rPr>
                <w:webHidden/>
              </w:rPr>
              <w:t>9</w:t>
            </w:r>
            <w:r w:rsidR="001A1712">
              <w:rPr>
                <w:webHidden/>
              </w:rPr>
              <w:fldChar w:fldCharType="end"/>
            </w:r>
          </w:hyperlink>
        </w:p>
        <w:p w:rsidR="001A1712" w:rsidRDefault="00132566">
          <w:pPr>
            <w:pStyle w:val="TOC2"/>
            <w:rPr>
              <w:rFonts w:eastAsiaTheme="minorEastAsia" w:cstheme="minorBidi"/>
              <w:color w:val="auto"/>
              <w:sz w:val="22"/>
              <w:szCs w:val="22"/>
            </w:rPr>
          </w:pPr>
          <w:hyperlink w:anchor="_Toc523307093" w:history="1">
            <w:r w:rsidR="001A1712" w:rsidRPr="00A13EE0">
              <w:rPr>
                <w:rStyle w:val="Hyperlink"/>
              </w:rPr>
              <w:t>2.2</w:t>
            </w:r>
            <w:r w:rsidR="001A1712">
              <w:rPr>
                <w:rFonts w:eastAsiaTheme="minorEastAsia" w:cstheme="minorBidi"/>
                <w:color w:val="auto"/>
                <w:sz w:val="22"/>
                <w:szCs w:val="22"/>
              </w:rPr>
              <w:tab/>
            </w:r>
            <w:r w:rsidR="001A1712" w:rsidRPr="00A13EE0">
              <w:rPr>
                <w:rStyle w:val="Hyperlink"/>
              </w:rPr>
              <w:t>Method</w:t>
            </w:r>
            <w:r w:rsidR="001A1712">
              <w:rPr>
                <w:webHidden/>
              </w:rPr>
              <w:tab/>
            </w:r>
            <w:r w:rsidR="001A1712">
              <w:rPr>
                <w:webHidden/>
              </w:rPr>
              <w:fldChar w:fldCharType="begin"/>
            </w:r>
            <w:r w:rsidR="001A1712">
              <w:rPr>
                <w:webHidden/>
              </w:rPr>
              <w:instrText xml:space="preserve"> PAGEREF _Toc523307093 \h </w:instrText>
            </w:r>
            <w:r w:rsidR="001A1712">
              <w:rPr>
                <w:webHidden/>
              </w:rPr>
            </w:r>
            <w:r w:rsidR="001A1712">
              <w:rPr>
                <w:webHidden/>
              </w:rPr>
              <w:fldChar w:fldCharType="separate"/>
            </w:r>
            <w:r w:rsidR="001A1712">
              <w:rPr>
                <w:webHidden/>
              </w:rPr>
              <w:t>9</w:t>
            </w:r>
            <w:r w:rsidR="001A1712">
              <w:rPr>
                <w:webHidden/>
              </w:rPr>
              <w:fldChar w:fldCharType="end"/>
            </w:r>
          </w:hyperlink>
        </w:p>
        <w:p w:rsidR="001A1712" w:rsidRDefault="00132566">
          <w:pPr>
            <w:pStyle w:val="TOC2"/>
            <w:rPr>
              <w:rFonts w:eastAsiaTheme="minorEastAsia" w:cstheme="minorBidi"/>
              <w:color w:val="auto"/>
              <w:sz w:val="22"/>
              <w:szCs w:val="22"/>
            </w:rPr>
          </w:pPr>
          <w:hyperlink w:anchor="_Toc523307094" w:history="1">
            <w:r w:rsidR="001A1712" w:rsidRPr="00A13EE0">
              <w:rPr>
                <w:rStyle w:val="Hyperlink"/>
              </w:rPr>
              <w:t>2.3</w:t>
            </w:r>
            <w:r w:rsidR="001A1712">
              <w:rPr>
                <w:rFonts w:eastAsiaTheme="minorEastAsia" w:cstheme="minorBidi"/>
                <w:color w:val="auto"/>
                <w:sz w:val="22"/>
                <w:szCs w:val="22"/>
              </w:rPr>
              <w:tab/>
            </w:r>
            <w:r w:rsidR="001A1712" w:rsidRPr="00A13EE0">
              <w:rPr>
                <w:rStyle w:val="Hyperlink"/>
              </w:rPr>
              <w:t>Rationale</w:t>
            </w:r>
            <w:r w:rsidR="001A1712">
              <w:rPr>
                <w:webHidden/>
              </w:rPr>
              <w:tab/>
            </w:r>
            <w:r w:rsidR="001A1712">
              <w:rPr>
                <w:webHidden/>
              </w:rPr>
              <w:fldChar w:fldCharType="begin"/>
            </w:r>
            <w:r w:rsidR="001A1712">
              <w:rPr>
                <w:webHidden/>
              </w:rPr>
              <w:instrText xml:space="preserve"> PAGEREF _Toc523307094 \h </w:instrText>
            </w:r>
            <w:r w:rsidR="001A1712">
              <w:rPr>
                <w:webHidden/>
              </w:rPr>
            </w:r>
            <w:r w:rsidR="001A1712">
              <w:rPr>
                <w:webHidden/>
              </w:rPr>
              <w:fldChar w:fldCharType="separate"/>
            </w:r>
            <w:r w:rsidR="001A1712">
              <w:rPr>
                <w:webHidden/>
              </w:rPr>
              <w:t>9</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095" w:history="1">
            <w:r w:rsidR="001A1712" w:rsidRPr="00A13EE0">
              <w:rPr>
                <w:rStyle w:val="Hyperlink"/>
              </w:rPr>
              <w:t>2.3.1</w:t>
            </w:r>
            <w:r w:rsidR="001A1712">
              <w:rPr>
                <w:rFonts w:eastAsiaTheme="minorEastAsia" w:cstheme="minorBidi"/>
                <w:color w:val="auto"/>
                <w:sz w:val="22"/>
                <w:szCs w:val="22"/>
              </w:rPr>
              <w:tab/>
            </w:r>
            <w:r w:rsidR="001A1712" w:rsidRPr="00A13EE0">
              <w:rPr>
                <w:rStyle w:val="Hyperlink"/>
              </w:rPr>
              <w:t>The evidence</w:t>
            </w:r>
            <w:r w:rsidR="001A1712">
              <w:rPr>
                <w:webHidden/>
              </w:rPr>
              <w:tab/>
            </w:r>
            <w:r w:rsidR="001A1712">
              <w:rPr>
                <w:webHidden/>
              </w:rPr>
              <w:fldChar w:fldCharType="begin"/>
            </w:r>
            <w:r w:rsidR="001A1712">
              <w:rPr>
                <w:webHidden/>
              </w:rPr>
              <w:instrText xml:space="preserve"> PAGEREF _Toc523307095 \h </w:instrText>
            </w:r>
            <w:r w:rsidR="001A1712">
              <w:rPr>
                <w:webHidden/>
              </w:rPr>
            </w:r>
            <w:r w:rsidR="001A1712">
              <w:rPr>
                <w:webHidden/>
              </w:rPr>
              <w:fldChar w:fldCharType="separate"/>
            </w:r>
            <w:r w:rsidR="001A1712">
              <w:rPr>
                <w:webHidden/>
              </w:rPr>
              <w:t>9</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096" w:history="1">
            <w:r w:rsidR="001A1712" w:rsidRPr="00A13EE0">
              <w:rPr>
                <w:rStyle w:val="Hyperlink"/>
              </w:rPr>
              <w:t>2.3.2</w:t>
            </w:r>
            <w:r w:rsidR="001A1712">
              <w:rPr>
                <w:rFonts w:eastAsiaTheme="minorEastAsia" w:cstheme="minorBidi"/>
                <w:color w:val="auto"/>
                <w:sz w:val="22"/>
                <w:szCs w:val="22"/>
              </w:rPr>
              <w:tab/>
            </w:r>
            <w:r w:rsidR="001A1712" w:rsidRPr="00A13EE0">
              <w:rPr>
                <w:rStyle w:val="Hyperlink"/>
              </w:rPr>
              <w:t>International covenants</w:t>
            </w:r>
            <w:r w:rsidR="001A1712">
              <w:rPr>
                <w:webHidden/>
              </w:rPr>
              <w:tab/>
            </w:r>
            <w:r w:rsidR="001A1712">
              <w:rPr>
                <w:webHidden/>
              </w:rPr>
              <w:fldChar w:fldCharType="begin"/>
            </w:r>
            <w:r w:rsidR="001A1712">
              <w:rPr>
                <w:webHidden/>
              </w:rPr>
              <w:instrText xml:space="preserve"> PAGEREF _Toc523307096 \h </w:instrText>
            </w:r>
            <w:r w:rsidR="001A1712">
              <w:rPr>
                <w:webHidden/>
              </w:rPr>
            </w:r>
            <w:r w:rsidR="001A1712">
              <w:rPr>
                <w:webHidden/>
              </w:rPr>
              <w:fldChar w:fldCharType="separate"/>
            </w:r>
            <w:r w:rsidR="001A1712">
              <w:rPr>
                <w:webHidden/>
              </w:rPr>
              <w:t>10</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097" w:history="1">
            <w:r w:rsidR="001A1712" w:rsidRPr="00A13EE0">
              <w:rPr>
                <w:rStyle w:val="Hyperlink"/>
              </w:rPr>
              <w:t>2.3.3</w:t>
            </w:r>
            <w:r w:rsidR="001A1712">
              <w:rPr>
                <w:rFonts w:eastAsiaTheme="minorEastAsia" w:cstheme="minorBidi"/>
                <w:color w:val="auto"/>
                <w:sz w:val="22"/>
                <w:szCs w:val="22"/>
              </w:rPr>
              <w:tab/>
            </w:r>
            <w:r w:rsidR="001A1712" w:rsidRPr="00A13EE0">
              <w:rPr>
                <w:rStyle w:val="Hyperlink"/>
              </w:rPr>
              <w:t>Health as a climate change communications ‘frame’</w:t>
            </w:r>
            <w:r w:rsidR="001A1712">
              <w:rPr>
                <w:webHidden/>
              </w:rPr>
              <w:tab/>
            </w:r>
            <w:r w:rsidR="001A1712">
              <w:rPr>
                <w:webHidden/>
              </w:rPr>
              <w:fldChar w:fldCharType="begin"/>
            </w:r>
            <w:r w:rsidR="001A1712">
              <w:rPr>
                <w:webHidden/>
              </w:rPr>
              <w:instrText xml:space="preserve"> PAGEREF _Toc523307097 \h </w:instrText>
            </w:r>
            <w:r w:rsidR="001A1712">
              <w:rPr>
                <w:webHidden/>
              </w:rPr>
            </w:r>
            <w:r w:rsidR="001A1712">
              <w:rPr>
                <w:webHidden/>
              </w:rPr>
              <w:fldChar w:fldCharType="separate"/>
            </w:r>
            <w:r w:rsidR="001A1712">
              <w:rPr>
                <w:webHidden/>
              </w:rPr>
              <w:t>10</w:t>
            </w:r>
            <w:r w:rsidR="001A1712">
              <w:rPr>
                <w:webHidden/>
              </w:rPr>
              <w:fldChar w:fldCharType="end"/>
            </w:r>
          </w:hyperlink>
        </w:p>
        <w:p w:rsidR="001A1712" w:rsidRDefault="00132566">
          <w:pPr>
            <w:pStyle w:val="TOC1"/>
            <w:rPr>
              <w:rFonts w:eastAsiaTheme="minorEastAsia" w:cstheme="minorBidi"/>
              <w:b w:val="0"/>
              <w:color w:val="auto"/>
              <w:sz w:val="22"/>
              <w:szCs w:val="22"/>
            </w:rPr>
          </w:pPr>
          <w:hyperlink w:anchor="_Toc523307098" w:history="1">
            <w:r w:rsidR="001A1712" w:rsidRPr="00A13EE0">
              <w:rPr>
                <w:rStyle w:val="Hyperlink"/>
              </w:rPr>
              <w:t>3.</w:t>
            </w:r>
            <w:r w:rsidR="001A1712">
              <w:rPr>
                <w:rFonts w:eastAsiaTheme="minorEastAsia" w:cstheme="minorBidi"/>
                <w:b w:val="0"/>
                <w:color w:val="auto"/>
                <w:sz w:val="22"/>
                <w:szCs w:val="22"/>
              </w:rPr>
              <w:tab/>
            </w:r>
            <w:r w:rsidR="001A1712" w:rsidRPr="00A13EE0">
              <w:rPr>
                <w:rStyle w:val="Hyperlink"/>
              </w:rPr>
              <w:t>Introduction and Background</w:t>
            </w:r>
            <w:r w:rsidR="001A1712">
              <w:rPr>
                <w:webHidden/>
              </w:rPr>
              <w:tab/>
            </w:r>
            <w:r w:rsidR="001A1712">
              <w:rPr>
                <w:webHidden/>
              </w:rPr>
              <w:fldChar w:fldCharType="begin"/>
            </w:r>
            <w:r w:rsidR="001A1712">
              <w:rPr>
                <w:webHidden/>
              </w:rPr>
              <w:instrText xml:space="preserve"> PAGEREF _Toc523307098 \h </w:instrText>
            </w:r>
            <w:r w:rsidR="001A1712">
              <w:rPr>
                <w:webHidden/>
              </w:rPr>
            </w:r>
            <w:r w:rsidR="001A1712">
              <w:rPr>
                <w:webHidden/>
              </w:rPr>
              <w:fldChar w:fldCharType="separate"/>
            </w:r>
            <w:r w:rsidR="001A1712">
              <w:rPr>
                <w:webHidden/>
              </w:rPr>
              <w:t>11</w:t>
            </w:r>
            <w:r w:rsidR="001A1712">
              <w:rPr>
                <w:webHidden/>
              </w:rPr>
              <w:fldChar w:fldCharType="end"/>
            </w:r>
          </w:hyperlink>
        </w:p>
        <w:p w:rsidR="001A1712" w:rsidRDefault="00132566">
          <w:pPr>
            <w:pStyle w:val="TOC2"/>
            <w:rPr>
              <w:rFonts w:eastAsiaTheme="minorEastAsia" w:cstheme="minorBidi"/>
              <w:color w:val="auto"/>
              <w:sz w:val="22"/>
              <w:szCs w:val="22"/>
            </w:rPr>
          </w:pPr>
          <w:hyperlink w:anchor="_Toc523307099" w:history="1">
            <w:r w:rsidR="001A1712" w:rsidRPr="00A13EE0">
              <w:rPr>
                <w:rStyle w:val="Hyperlink"/>
              </w:rPr>
              <w:t>3.1</w:t>
            </w:r>
            <w:r w:rsidR="001A1712">
              <w:rPr>
                <w:rFonts w:eastAsiaTheme="minorEastAsia" w:cstheme="minorBidi"/>
                <w:color w:val="auto"/>
                <w:sz w:val="22"/>
                <w:szCs w:val="22"/>
              </w:rPr>
              <w:tab/>
            </w:r>
            <w:r w:rsidR="001A1712" w:rsidRPr="00A13EE0">
              <w:rPr>
                <w:rStyle w:val="Hyperlink"/>
              </w:rPr>
              <w:t>Risks to health from climate change</w:t>
            </w:r>
            <w:r w:rsidR="001A1712">
              <w:rPr>
                <w:webHidden/>
              </w:rPr>
              <w:tab/>
            </w:r>
            <w:r w:rsidR="001A1712">
              <w:rPr>
                <w:webHidden/>
              </w:rPr>
              <w:fldChar w:fldCharType="begin"/>
            </w:r>
            <w:r w:rsidR="001A1712">
              <w:rPr>
                <w:webHidden/>
              </w:rPr>
              <w:instrText xml:space="preserve"> PAGEREF _Toc523307099 \h </w:instrText>
            </w:r>
            <w:r w:rsidR="001A1712">
              <w:rPr>
                <w:webHidden/>
              </w:rPr>
            </w:r>
            <w:r w:rsidR="001A1712">
              <w:rPr>
                <w:webHidden/>
              </w:rPr>
              <w:fldChar w:fldCharType="separate"/>
            </w:r>
            <w:r w:rsidR="001A1712">
              <w:rPr>
                <w:webHidden/>
              </w:rPr>
              <w:t>11</w:t>
            </w:r>
            <w:r w:rsidR="001A1712">
              <w:rPr>
                <w:webHidden/>
              </w:rPr>
              <w:fldChar w:fldCharType="end"/>
            </w:r>
          </w:hyperlink>
        </w:p>
        <w:p w:rsidR="001A1712" w:rsidRDefault="00132566">
          <w:pPr>
            <w:pStyle w:val="TOC2"/>
            <w:rPr>
              <w:rFonts w:eastAsiaTheme="minorEastAsia" w:cstheme="minorBidi"/>
              <w:color w:val="auto"/>
              <w:sz w:val="22"/>
              <w:szCs w:val="22"/>
            </w:rPr>
          </w:pPr>
          <w:hyperlink w:anchor="_Toc523307100" w:history="1">
            <w:r w:rsidR="001A1712" w:rsidRPr="00A13EE0">
              <w:rPr>
                <w:rStyle w:val="Hyperlink"/>
              </w:rPr>
              <w:t>3.2</w:t>
            </w:r>
            <w:r w:rsidR="001A1712">
              <w:rPr>
                <w:rFonts w:eastAsiaTheme="minorEastAsia" w:cstheme="minorBidi"/>
                <w:color w:val="auto"/>
                <w:sz w:val="22"/>
                <w:szCs w:val="22"/>
              </w:rPr>
              <w:tab/>
            </w:r>
            <w:r w:rsidR="001A1712" w:rsidRPr="00A13EE0">
              <w:rPr>
                <w:rStyle w:val="Hyperlink"/>
              </w:rPr>
              <w:t>Direct impacts: Extreme weather events</w:t>
            </w:r>
            <w:r w:rsidR="001A1712">
              <w:rPr>
                <w:webHidden/>
              </w:rPr>
              <w:tab/>
            </w:r>
            <w:r w:rsidR="001A1712">
              <w:rPr>
                <w:webHidden/>
              </w:rPr>
              <w:fldChar w:fldCharType="begin"/>
            </w:r>
            <w:r w:rsidR="001A1712">
              <w:rPr>
                <w:webHidden/>
              </w:rPr>
              <w:instrText xml:space="preserve"> PAGEREF _Toc523307100 \h </w:instrText>
            </w:r>
            <w:r w:rsidR="001A1712">
              <w:rPr>
                <w:webHidden/>
              </w:rPr>
            </w:r>
            <w:r w:rsidR="001A1712">
              <w:rPr>
                <w:webHidden/>
              </w:rPr>
              <w:fldChar w:fldCharType="separate"/>
            </w:r>
            <w:r w:rsidR="001A1712">
              <w:rPr>
                <w:webHidden/>
              </w:rPr>
              <w:t>12</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01" w:history="1">
            <w:r w:rsidR="001A1712" w:rsidRPr="00A13EE0">
              <w:rPr>
                <w:rStyle w:val="Hyperlink"/>
              </w:rPr>
              <w:t>3.2.1</w:t>
            </w:r>
            <w:r w:rsidR="001A1712">
              <w:rPr>
                <w:rFonts w:eastAsiaTheme="minorEastAsia" w:cstheme="minorBidi"/>
                <w:color w:val="auto"/>
                <w:sz w:val="22"/>
                <w:szCs w:val="22"/>
              </w:rPr>
              <w:tab/>
            </w:r>
            <w:r w:rsidR="001A1712" w:rsidRPr="00A13EE0">
              <w:rPr>
                <w:rStyle w:val="Hyperlink"/>
              </w:rPr>
              <w:t>Heatwaves</w:t>
            </w:r>
            <w:r w:rsidR="001A1712">
              <w:rPr>
                <w:webHidden/>
              </w:rPr>
              <w:tab/>
            </w:r>
            <w:r w:rsidR="001A1712">
              <w:rPr>
                <w:webHidden/>
              </w:rPr>
              <w:fldChar w:fldCharType="begin"/>
            </w:r>
            <w:r w:rsidR="001A1712">
              <w:rPr>
                <w:webHidden/>
              </w:rPr>
              <w:instrText xml:space="preserve"> PAGEREF _Toc523307101 \h </w:instrText>
            </w:r>
            <w:r w:rsidR="001A1712">
              <w:rPr>
                <w:webHidden/>
              </w:rPr>
            </w:r>
            <w:r w:rsidR="001A1712">
              <w:rPr>
                <w:webHidden/>
              </w:rPr>
              <w:fldChar w:fldCharType="separate"/>
            </w:r>
            <w:r w:rsidR="001A1712">
              <w:rPr>
                <w:webHidden/>
              </w:rPr>
              <w:t>12</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02" w:history="1">
            <w:r w:rsidR="001A1712" w:rsidRPr="00A13EE0">
              <w:rPr>
                <w:rStyle w:val="Hyperlink"/>
              </w:rPr>
              <w:t>3.2.2</w:t>
            </w:r>
            <w:r w:rsidR="001A1712">
              <w:rPr>
                <w:rFonts w:eastAsiaTheme="minorEastAsia" w:cstheme="minorBidi"/>
                <w:color w:val="auto"/>
                <w:sz w:val="22"/>
                <w:szCs w:val="22"/>
              </w:rPr>
              <w:tab/>
            </w:r>
            <w:r w:rsidR="001A1712" w:rsidRPr="00A13EE0">
              <w:rPr>
                <w:rStyle w:val="Hyperlink"/>
              </w:rPr>
              <w:t>Floods and storms</w:t>
            </w:r>
            <w:r w:rsidR="001A1712">
              <w:rPr>
                <w:webHidden/>
              </w:rPr>
              <w:tab/>
            </w:r>
            <w:r w:rsidR="001A1712">
              <w:rPr>
                <w:webHidden/>
              </w:rPr>
              <w:fldChar w:fldCharType="begin"/>
            </w:r>
            <w:r w:rsidR="001A1712">
              <w:rPr>
                <w:webHidden/>
              </w:rPr>
              <w:instrText xml:space="preserve"> PAGEREF _Toc523307102 \h </w:instrText>
            </w:r>
            <w:r w:rsidR="001A1712">
              <w:rPr>
                <w:webHidden/>
              </w:rPr>
            </w:r>
            <w:r w:rsidR="001A1712">
              <w:rPr>
                <w:webHidden/>
              </w:rPr>
              <w:fldChar w:fldCharType="separate"/>
            </w:r>
            <w:r w:rsidR="001A1712">
              <w:rPr>
                <w:webHidden/>
              </w:rPr>
              <w:t>13</w:t>
            </w:r>
            <w:r w:rsidR="001A1712">
              <w:rPr>
                <w:webHidden/>
              </w:rPr>
              <w:fldChar w:fldCharType="end"/>
            </w:r>
          </w:hyperlink>
        </w:p>
        <w:p w:rsidR="001A1712" w:rsidRDefault="00132566">
          <w:pPr>
            <w:pStyle w:val="TOC2"/>
            <w:rPr>
              <w:rFonts w:eastAsiaTheme="minorEastAsia" w:cstheme="minorBidi"/>
              <w:color w:val="auto"/>
              <w:sz w:val="22"/>
              <w:szCs w:val="22"/>
            </w:rPr>
          </w:pPr>
          <w:hyperlink w:anchor="_Toc523307103" w:history="1">
            <w:r w:rsidR="001A1712" w:rsidRPr="00A13EE0">
              <w:rPr>
                <w:rStyle w:val="Hyperlink"/>
              </w:rPr>
              <w:t>3.3</w:t>
            </w:r>
            <w:r w:rsidR="001A1712">
              <w:rPr>
                <w:rFonts w:eastAsiaTheme="minorEastAsia" w:cstheme="minorBidi"/>
                <w:color w:val="auto"/>
                <w:sz w:val="22"/>
                <w:szCs w:val="22"/>
              </w:rPr>
              <w:tab/>
            </w:r>
            <w:r w:rsidR="001A1712" w:rsidRPr="00A13EE0">
              <w:rPr>
                <w:rStyle w:val="Hyperlink"/>
              </w:rPr>
              <w:t>Indirect health impacts: ecosystem-mediated and human institution-mediated risks</w:t>
            </w:r>
            <w:r w:rsidR="001A1712">
              <w:rPr>
                <w:webHidden/>
              </w:rPr>
              <w:tab/>
            </w:r>
            <w:r w:rsidR="001A1712">
              <w:rPr>
                <w:webHidden/>
              </w:rPr>
              <w:fldChar w:fldCharType="begin"/>
            </w:r>
            <w:r w:rsidR="001A1712">
              <w:rPr>
                <w:webHidden/>
              </w:rPr>
              <w:instrText xml:space="preserve"> PAGEREF _Toc523307103 \h </w:instrText>
            </w:r>
            <w:r w:rsidR="001A1712">
              <w:rPr>
                <w:webHidden/>
              </w:rPr>
            </w:r>
            <w:r w:rsidR="001A1712">
              <w:rPr>
                <w:webHidden/>
              </w:rPr>
              <w:fldChar w:fldCharType="separate"/>
            </w:r>
            <w:r w:rsidR="001A1712">
              <w:rPr>
                <w:webHidden/>
              </w:rPr>
              <w:t>13</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04" w:history="1">
            <w:r w:rsidR="001A1712" w:rsidRPr="00A13EE0">
              <w:rPr>
                <w:rStyle w:val="Hyperlink"/>
              </w:rPr>
              <w:t>3.3.1</w:t>
            </w:r>
            <w:r w:rsidR="001A1712">
              <w:rPr>
                <w:rFonts w:eastAsiaTheme="minorEastAsia" w:cstheme="minorBidi"/>
                <w:color w:val="auto"/>
                <w:sz w:val="22"/>
                <w:szCs w:val="22"/>
              </w:rPr>
              <w:tab/>
            </w:r>
            <w:r w:rsidR="001A1712" w:rsidRPr="00A13EE0">
              <w:rPr>
                <w:rStyle w:val="Hyperlink"/>
              </w:rPr>
              <w:t>Air pollution and aeroallergens</w:t>
            </w:r>
            <w:r w:rsidR="001A1712">
              <w:rPr>
                <w:webHidden/>
              </w:rPr>
              <w:tab/>
            </w:r>
            <w:r w:rsidR="001A1712">
              <w:rPr>
                <w:webHidden/>
              </w:rPr>
              <w:fldChar w:fldCharType="begin"/>
            </w:r>
            <w:r w:rsidR="001A1712">
              <w:rPr>
                <w:webHidden/>
              </w:rPr>
              <w:instrText xml:space="preserve"> PAGEREF _Toc523307104 \h </w:instrText>
            </w:r>
            <w:r w:rsidR="001A1712">
              <w:rPr>
                <w:webHidden/>
              </w:rPr>
            </w:r>
            <w:r w:rsidR="001A1712">
              <w:rPr>
                <w:webHidden/>
              </w:rPr>
              <w:fldChar w:fldCharType="separate"/>
            </w:r>
            <w:r w:rsidR="001A1712">
              <w:rPr>
                <w:webHidden/>
              </w:rPr>
              <w:t>13</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05" w:history="1">
            <w:r w:rsidR="001A1712" w:rsidRPr="00A13EE0">
              <w:rPr>
                <w:rStyle w:val="Hyperlink"/>
                <w:iCs/>
              </w:rPr>
              <w:t>3.3.2</w:t>
            </w:r>
            <w:r w:rsidR="001A1712">
              <w:rPr>
                <w:rFonts w:eastAsiaTheme="minorEastAsia" w:cstheme="minorBidi"/>
                <w:color w:val="auto"/>
                <w:sz w:val="22"/>
                <w:szCs w:val="22"/>
              </w:rPr>
              <w:tab/>
            </w:r>
            <w:r w:rsidR="001A1712" w:rsidRPr="00A13EE0">
              <w:rPr>
                <w:rStyle w:val="Hyperlink"/>
                <w:iCs/>
              </w:rPr>
              <w:t>Infectious and vector-borne diseases</w:t>
            </w:r>
            <w:r w:rsidR="001A1712">
              <w:rPr>
                <w:webHidden/>
              </w:rPr>
              <w:tab/>
            </w:r>
            <w:r w:rsidR="001A1712">
              <w:rPr>
                <w:webHidden/>
              </w:rPr>
              <w:fldChar w:fldCharType="begin"/>
            </w:r>
            <w:r w:rsidR="001A1712">
              <w:rPr>
                <w:webHidden/>
              </w:rPr>
              <w:instrText xml:space="preserve"> PAGEREF _Toc523307105 \h </w:instrText>
            </w:r>
            <w:r w:rsidR="001A1712">
              <w:rPr>
                <w:webHidden/>
              </w:rPr>
            </w:r>
            <w:r w:rsidR="001A1712">
              <w:rPr>
                <w:webHidden/>
              </w:rPr>
              <w:fldChar w:fldCharType="separate"/>
            </w:r>
            <w:r w:rsidR="001A1712">
              <w:rPr>
                <w:webHidden/>
              </w:rPr>
              <w:t>13</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06" w:history="1">
            <w:r w:rsidR="001A1712" w:rsidRPr="00A13EE0">
              <w:rPr>
                <w:rStyle w:val="Hyperlink"/>
              </w:rPr>
              <w:t>3.3.3</w:t>
            </w:r>
            <w:r w:rsidR="001A1712">
              <w:rPr>
                <w:rFonts w:eastAsiaTheme="minorEastAsia" w:cstheme="minorBidi"/>
                <w:color w:val="auto"/>
                <w:sz w:val="22"/>
                <w:szCs w:val="22"/>
              </w:rPr>
              <w:tab/>
            </w:r>
            <w:r w:rsidR="001A1712" w:rsidRPr="00A13EE0">
              <w:rPr>
                <w:rStyle w:val="Hyperlink"/>
              </w:rPr>
              <w:t>Food and water security</w:t>
            </w:r>
            <w:r w:rsidR="001A1712">
              <w:rPr>
                <w:webHidden/>
              </w:rPr>
              <w:tab/>
            </w:r>
            <w:r w:rsidR="001A1712">
              <w:rPr>
                <w:webHidden/>
              </w:rPr>
              <w:fldChar w:fldCharType="begin"/>
            </w:r>
            <w:r w:rsidR="001A1712">
              <w:rPr>
                <w:webHidden/>
              </w:rPr>
              <w:instrText xml:space="preserve"> PAGEREF _Toc523307106 \h </w:instrText>
            </w:r>
            <w:r w:rsidR="001A1712">
              <w:rPr>
                <w:webHidden/>
              </w:rPr>
            </w:r>
            <w:r w:rsidR="001A1712">
              <w:rPr>
                <w:webHidden/>
              </w:rPr>
              <w:fldChar w:fldCharType="separate"/>
            </w:r>
            <w:r w:rsidR="001A1712">
              <w:rPr>
                <w:webHidden/>
              </w:rPr>
              <w:t>14</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07" w:history="1">
            <w:r w:rsidR="001A1712" w:rsidRPr="00A13EE0">
              <w:rPr>
                <w:rStyle w:val="Hyperlink"/>
              </w:rPr>
              <w:t>3.3.4</w:t>
            </w:r>
            <w:r w:rsidR="001A1712">
              <w:rPr>
                <w:rFonts w:eastAsiaTheme="minorEastAsia" w:cstheme="minorBidi"/>
                <w:color w:val="auto"/>
                <w:sz w:val="22"/>
                <w:szCs w:val="22"/>
              </w:rPr>
              <w:tab/>
            </w:r>
            <w:r w:rsidR="001A1712" w:rsidRPr="00A13EE0">
              <w:rPr>
                <w:rStyle w:val="Hyperlink"/>
              </w:rPr>
              <w:t>Mental illness and stress</w:t>
            </w:r>
            <w:r w:rsidR="001A1712">
              <w:rPr>
                <w:webHidden/>
              </w:rPr>
              <w:tab/>
            </w:r>
            <w:r w:rsidR="001A1712">
              <w:rPr>
                <w:webHidden/>
              </w:rPr>
              <w:fldChar w:fldCharType="begin"/>
            </w:r>
            <w:r w:rsidR="001A1712">
              <w:rPr>
                <w:webHidden/>
              </w:rPr>
              <w:instrText xml:space="preserve"> PAGEREF _Toc523307107 \h </w:instrText>
            </w:r>
            <w:r w:rsidR="001A1712">
              <w:rPr>
                <w:webHidden/>
              </w:rPr>
            </w:r>
            <w:r w:rsidR="001A1712">
              <w:rPr>
                <w:webHidden/>
              </w:rPr>
              <w:fldChar w:fldCharType="separate"/>
            </w:r>
            <w:r w:rsidR="001A1712">
              <w:rPr>
                <w:webHidden/>
              </w:rPr>
              <w:t>14</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08" w:history="1">
            <w:r w:rsidR="001A1712" w:rsidRPr="00A13EE0">
              <w:rPr>
                <w:rStyle w:val="Hyperlink"/>
              </w:rPr>
              <w:t>3.3.5</w:t>
            </w:r>
            <w:r w:rsidR="001A1712">
              <w:rPr>
                <w:rFonts w:eastAsiaTheme="minorEastAsia" w:cstheme="minorBidi"/>
                <w:color w:val="auto"/>
                <w:sz w:val="22"/>
                <w:szCs w:val="22"/>
              </w:rPr>
              <w:tab/>
            </w:r>
            <w:r w:rsidR="001A1712" w:rsidRPr="00A13EE0">
              <w:rPr>
                <w:rStyle w:val="Hyperlink"/>
              </w:rPr>
              <w:t>Occupational health risks</w:t>
            </w:r>
            <w:r w:rsidR="001A1712">
              <w:rPr>
                <w:webHidden/>
              </w:rPr>
              <w:tab/>
            </w:r>
            <w:r w:rsidR="001A1712">
              <w:rPr>
                <w:webHidden/>
              </w:rPr>
              <w:fldChar w:fldCharType="begin"/>
            </w:r>
            <w:r w:rsidR="001A1712">
              <w:rPr>
                <w:webHidden/>
              </w:rPr>
              <w:instrText xml:space="preserve"> PAGEREF _Toc523307108 \h </w:instrText>
            </w:r>
            <w:r w:rsidR="001A1712">
              <w:rPr>
                <w:webHidden/>
              </w:rPr>
            </w:r>
            <w:r w:rsidR="001A1712">
              <w:rPr>
                <w:webHidden/>
              </w:rPr>
              <w:fldChar w:fldCharType="separate"/>
            </w:r>
            <w:r w:rsidR="001A1712">
              <w:rPr>
                <w:webHidden/>
              </w:rPr>
              <w:t>14</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09" w:history="1">
            <w:r w:rsidR="001A1712" w:rsidRPr="00A13EE0">
              <w:rPr>
                <w:rStyle w:val="Hyperlink"/>
              </w:rPr>
              <w:t>3.3.6</w:t>
            </w:r>
            <w:r w:rsidR="001A1712">
              <w:rPr>
                <w:rFonts w:eastAsiaTheme="minorEastAsia" w:cstheme="minorBidi"/>
                <w:color w:val="auto"/>
                <w:sz w:val="22"/>
                <w:szCs w:val="22"/>
              </w:rPr>
              <w:tab/>
            </w:r>
            <w:r w:rsidR="001A1712" w:rsidRPr="00A13EE0">
              <w:rPr>
                <w:rStyle w:val="Hyperlink"/>
              </w:rPr>
              <w:t>Damage and displacement</w:t>
            </w:r>
            <w:r w:rsidR="001A1712">
              <w:rPr>
                <w:webHidden/>
              </w:rPr>
              <w:tab/>
            </w:r>
            <w:r w:rsidR="001A1712">
              <w:rPr>
                <w:webHidden/>
              </w:rPr>
              <w:fldChar w:fldCharType="begin"/>
            </w:r>
            <w:r w:rsidR="001A1712">
              <w:rPr>
                <w:webHidden/>
              </w:rPr>
              <w:instrText xml:space="preserve"> PAGEREF _Toc523307109 \h </w:instrText>
            </w:r>
            <w:r w:rsidR="001A1712">
              <w:rPr>
                <w:webHidden/>
              </w:rPr>
            </w:r>
            <w:r w:rsidR="001A1712">
              <w:rPr>
                <w:webHidden/>
              </w:rPr>
              <w:fldChar w:fldCharType="separate"/>
            </w:r>
            <w:r w:rsidR="001A1712">
              <w:rPr>
                <w:webHidden/>
              </w:rPr>
              <w:t>14</w:t>
            </w:r>
            <w:r w:rsidR="001A1712">
              <w:rPr>
                <w:webHidden/>
              </w:rPr>
              <w:fldChar w:fldCharType="end"/>
            </w:r>
          </w:hyperlink>
        </w:p>
        <w:p w:rsidR="001A1712" w:rsidRDefault="00132566">
          <w:pPr>
            <w:pStyle w:val="TOC1"/>
            <w:rPr>
              <w:rFonts w:eastAsiaTheme="minorEastAsia" w:cstheme="minorBidi"/>
              <w:b w:val="0"/>
              <w:color w:val="auto"/>
              <w:sz w:val="22"/>
              <w:szCs w:val="22"/>
            </w:rPr>
          </w:pPr>
          <w:hyperlink w:anchor="_Toc523307110" w:history="1">
            <w:r w:rsidR="001A1712" w:rsidRPr="00A13EE0">
              <w:rPr>
                <w:rStyle w:val="Hyperlink"/>
              </w:rPr>
              <w:t>4.</w:t>
            </w:r>
            <w:r w:rsidR="001A1712">
              <w:rPr>
                <w:rFonts w:eastAsiaTheme="minorEastAsia" w:cstheme="minorBidi"/>
                <w:b w:val="0"/>
                <w:color w:val="auto"/>
                <w:sz w:val="22"/>
                <w:szCs w:val="22"/>
              </w:rPr>
              <w:tab/>
            </w:r>
            <w:r w:rsidR="001A1712" w:rsidRPr="00A13EE0">
              <w:rPr>
                <w:rStyle w:val="Hyperlink"/>
              </w:rPr>
              <w:t>Health co-benefits associated with climate change interventions</w:t>
            </w:r>
            <w:r w:rsidR="001A1712">
              <w:rPr>
                <w:webHidden/>
              </w:rPr>
              <w:tab/>
            </w:r>
            <w:r w:rsidR="001A1712">
              <w:rPr>
                <w:webHidden/>
              </w:rPr>
              <w:fldChar w:fldCharType="begin"/>
            </w:r>
            <w:r w:rsidR="001A1712">
              <w:rPr>
                <w:webHidden/>
              </w:rPr>
              <w:instrText xml:space="preserve"> PAGEREF _Toc523307110 \h </w:instrText>
            </w:r>
            <w:r w:rsidR="001A1712">
              <w:rPr>
                <w:webHidden/>
              </w:rPr>
            </w:r>
            <w:r w:rsidR="001A1712">
              <w:rPr>
                <w:webHidden/>
              </w:rPr>
              <w:fldChar w:fldCharType="separate"/>
            </w:r>
            <w:r w:rsidR="001A1712">
              <w:rPr>
                <w:webHidden/>
              </w:rPr>
              <w:t>15</w:t>
            </w:r>
            <w:r w:rsidR="001A1712">
              <w:rPr>
                <w:webHidden/>
              </w:rPr>
              <w:fldChar w:fldCharType="end"/>
            </w:r>
          </w:hyperlink>
        </w:p>
        <w:p w:rsidR="001A1712" w:rsidRDefault="00132566">
          <w:pPr>
            <w:pStyle w:val="TOC2"/>
            <w:rPr>
              <w:rFonts w:eastAsiaTheme="minorEastAsia" w:cstheme="minorBidi"/>
              <w:color w:val="auto"/>
              <w:sz w:val="22"/>
              <w:szCs w:val="22"/>
            </w:rPr>
          </w:pPr>
          <w:hyperlink w:anchor="_Toc523307111" w:history="1">
            <w:r w:rsidR="001A1712" w:rsidRPr="00A13EE0">
              <w:rPr>
                <w:rStyle w:val="Hyperlink"/>
              </w:rPr>
              <w:t>4.1</w:t>
            </w:r>
            <w:r w:rsidR="001A1712">
              <w:rPr>
                <w:rFonts w:eastAsiaTheme="minorEastAsia" w:cstheme="minorBidi"/>
                <w:color w:val="auto"/>
                <w:sz w:val="22"/>
                <w:szCs w:val="22"/>
              </w:rPr>
              <w:tab/>
            </w:r>
            <w:r w:rsidR="001A1712" w:rsidRPr="00A13EE0">
              <w:rPr>
                <w:rStyle w:val="Hyperlink"/>
              </w:rPr>
              <w:t>Climate mitigation and adaptation strategies with health co-benefits</w:t>
            </w:r>
            <w:r w:rsidR="001A1712">
              <w:rPr>
                <w:webHidden/>
              </w:rPr>
              <w:tab/>
            </w:r>
            <w:r w:rsidR="001A1712">
              <w:rPr>
                <w:webHidden/>
              </w:rPr>
              <w:fldChar w:fldCharType="begin"/>
            </w:r>
            <w:r w:rsidR="001A1712">
              <w:rPr>
                <w:webHidden/>
              </w:rPr>
              <w:instrText xml:space="preserve"> PAGEREF _Toc523307111 \h </w:instrText>
            </w:r>
            <w:r w:rsidR="001A1712">
              <w:rPr>
                <w:webHidden/>
              </w:rPr>
            </w:r>
            <w:r w:rsidR="001A1712">
              <w:rPr>
                <w:webHidden/>
              </w:rPr>
              <w:fldChar w:fldCharType="separate"/>
            </w:r>
            <w:r w:rsidR="001A1712">
              <w:rPr>
                <w:webHidden/>
              </w:rPr>
              <w:t>16</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12" w:history="1">
            <w:r w:rsidR="001A1712" w:rsidRPr="00A13EE0">
              <w:rPr>
                <w:rStyle w:val="Hyperlink"/>
              </w:rPr>
              <w:t>4.1.1</w:t>
            </w:r>
            <w:r w:rsidR="001A1712">
              <w:rPr>
                <w:rFonts w:eastAsiaTheme="minorEastAsia" w:cstheme="minorBidi"/>
                <w:color w:val="auto"/>
                <w:sz w:val="22"/>
                <w:szCs w:val="22"/>
              </w:rPr>
              <w:tab/>
            </w:r>
            <w:r w:rsidR="001A1712" w:rsidRPr="00A13EE0">
              <w:rPr>
                <w:rStyle w:val="Hyperlink"/>
              </w:rPr>
              <w:t>Transport</w:t>
            </w:r>
            <w:r w:rsidR="001A1712">
              <w:rPr>
                <w:webHidden/>
              </w:rPr>
              <w:tab/>
            </w:r>
            <w:r w:rsidR="001A1712">
              <w:rPr>
                <w:webHidden/>
              </w:rPr>
              <w:fldChar w:fldCharType="begin"/>
            </w:r>
            <w:r w:rsidR="001A1712">
              <w:rPr>
                <w:webHidden/>
              </w:rPr>
              <w:instrText xml:space="preserve"> PAGEREF _Toc523307112 \h </w:instrText>
            </w:r>
            <w:r w:rsidR="001A1712">
              <w:rPr>
                <w:webHidden/>
              </w:rPr>
            </w:r>
            <w:r w:rsidR="001A1712">
              <w:rPr>
                <w:webHidden/>
              </w:rPr>
              <w:fldChar w:fldCharType="separate"/>
            </w:r>
            <w:r w:rsidR="001A1712">
              <w:rPr>
                <w:webHidden/>
              </w:rPr>
              <w:t>18</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13" w:history="1">
            <w:r w:rsidR="001A1712" w:rsidRPr="00A13EE0">
              <w:rPr>
                <w:rStyle w:val="Hyperlink"/>
              </w:rPr>
              <w:t>4.1.2</w:t>
            </w:r>
            <w:r w:rsidR="001A1712">
              <w:rPr>
                <w:rFonts w:eastAsiaTheme="minorEastAsia" w:cstheme="minorBidi"/>
                <w:color w:val="auto"/>
                <w:sz w:val="22"/>
                <w:szCs w:val="22"/>
              </w:rPr>
              <w:tab/>
            </w:r>
            <w:r w:rsidR="001A1712" w:rsidRPr="00A13EE0">
              <w:rPr>
                <w:rStyle w:val="Hyperlink"/>
              </w:rPr>
              <w:t>Buildings</w:t>
            </w:r>
            <w:r w:rsidR="001A1712">
              <w:rPr>
                <w:webHidden/>
              </w:rPr>
              <w:tab/>
            </w:r>
            <w:r w:rsidR="001A1712">
              <w:rPr>
                <w:webHidden/>
              </w:rPr>
              <w:fldChar w:fldCharType="begin"/>
            </w:r>
            <w:r w:rsidR="001A1712">
              <w:rPr>
                <w:webHidden/>
              </w:rPr>
              <w:instrText xml:space="preserve"> PAGEREF _Toc523307113 \h </w:instrText>
            </w:r>
            <w:r w:rsidR="001A1712">
              <w:rPr>
                <w:webHidden/>
              </w:rPr>
            </w:r>
            <w:r w:rsidR="001A1712">
              <w:rPr>
                <w:webHidden/>
              </w:rPr>
              <w:fldChar w:fldCharType="separate"/>
            </w:r>
            <w:r w:rsidR="001A1712">
              <w:rPr>
                <w:webHidden/>
              </w:rPr>
              <w:t>19</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14" w:history="1">
            <w:r w:rsidR="001A1712" w:rsidRPr="00A13EE0">
              <w:rPr>
                <w:rStyle w:val="Hyperlink"/>
              </w:rPr>
              <w:t>4.1.3</w:t>
            </w:r>
            <w:r w:rsidR="001A1712">
              <w:rPr>
                <w:rFonts w:eastAsiaTheme="minorEastAsia" w:cstheme="minorBidi"/>
                <w:color w:val="auto"/>
                <w:sz w:val="22"/>
                <w:szCs w:val="22"/>
              </w:rPr>
              <w:tab/>
            </w:r>
            <w:r w:rsidR="001A1712" w:rsidRPr="00A13EE0">
              <w:rPr>
                <w:rStyle w:val="Hyperlink"/>
              </w:rPr>
              <w:t>Energy</w:t>
            </w:r>
            <w:r w:rsidR="001A1712">
              <w:rPr>
                <w:webHidden/>
              </w:rPr>
              <w:tab/>
            </w:r>
            <w:r w:rsidR="001A1712">
              <w:rPr>
                <w:webHidden/>
              </w:rPr>
              <w:fldChar w:fldCharType="begin"/>
            </w:r>
            <w:r w:rsidR="001A1712">
              <w:rPr>
                <w:webHidden/>
              </w:rPr>
              <w:instrText xml:space="preserve"> PAGEREF _Toc523307114 \h </w:instrText>
            </w:r>
            <w:r w:rsidR="001A1712">
              <w:rPr>
                <w:webHidden/>
              </w:rPr>
            </w:r>
            <w:r w:rsidR="001A1712">
              <w:rPr>
                <w:webHidden/>
              </w:rPr>
              <w:fldChar w:fldCharType="separate"/>
            </w:r>
            <w:r w:rsidR="001A1712">
              <w:rPr>
                <w:webHidden/>
              </w:rPr>
              <w:t>21</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15" w:history="1">
            <w:r w:rsidR="001A1712" w:rsidRPr="00A13EE0">
              <w:rPr>
                <w:rStyle w:val="Hyperlink"/>
              </w:rPr>
              <w:t>4.1.4</w:t>
            </w:r>
            <w:r w:rsidR="001A1712">
              <w:rPr>
                <w:rFonts w:eastAsiaTheme="minorEastAsia" w:cstheme="minorBidi"/>
                <w:color w:val="auto"/>
                <w:sz w:val="22"/>
                <w:szCs w:val="22"/>
              </w:rPr>
              <w:tab/>
            </w:r>
            <w:r w:rsidR="001A1712" w:rsidRPr="00A13EE0">
              <w:rPr>
                <w:rStyle w:val="Hyperlink"/>
              </w:rPr>
              <w:t>Food</w:t>
            </w:r>
            <w:r w:rsidR="001A1712">
              <w:rPr>
                <w:webHidden/>
              </w:rPr>
              <w:tab/>
            </w:r>
            <w:r w:rsidR="001A1712">
              <w:rPr>
                <w:webHidden/>
              </w:rPr>
              <w:fldChar w:fldCharType="begin"/>
            </w:r>
            <w:r w:rsidR="001A1712">
              <w:rPr>
                <w:webHidden/>
              </w:rPr>
              <w:instrText xml:space="preserve"> PAGEREF _Toc523307115 \h </w:instrText>
            </w:r>
            <w:r w:rsidR="001A1712">
              <w:rPr>
                <w:webHidden/>
              </w:rPr>
            </w:r>
            <w:r w:rsidR="001A1712">
              <w:rPr>
                <w:webHidden/>
              </w:rPr>
              <w:fldChar w:fldCharType="separate"/>
            </w:r>
            <w:r w:rsidR="001A1712">
              <w:rPr>
                <w:webHidden/>
              </w:rPr>
              <w:t>22</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16" w:history="1">
            <w:r w:rsidR="001A1712" w:rsidRPr="00A13EE0">
              <w:rPr>
                <w:rStyle w:val="Hyperlink"/>
              </w:rPr>
              <w:t>4.1.5</w:t>
            </w:r>
            <w:r w:rsidR="001A1712">
              <w:rPr>
                <w:rFonts w:eastAsiaTheme="minorEastAsia" w:cstheme="minorBidi"/>
                <w:color w:val="auto"/>
                <w:sz w:val="22"/>
                <w:szCs w:val="22"/>
              </w:rPr>
              <w:tab/>
            </w:r>
            <w:r w:rsidR="001A1712" w:rsidRPr="00A13EE0">
              <w:rPr>
                <w:rStyle w:val="Hyperlink"/>
              </w:rPr>
              <w:t>Green infrastructure, including parks and gardens</w:t>
            </w:r>
            <w:r w:rsidR="001A1712">
              <w:rPr>
                <w:webHidden/>
              </w:rPr>
              <w:tab/>
            </w:r>
            <w:r w:rsidR="001A1712">
              <w:rPr>
                <w:webHidden/>
              </w:rPr>
              <w:fldChar w:fldCharType="begin"/>
            </w:r>
            <w:r w:rsidR="001A1712">
              <w:rPr>
                <w:webHidden/>
              </w:rPr>
              <w:instrText xml:space="preserve"> PAGEREF _Toc523307116 \h </w:instrText>
            </w:r>
            <w:r w:rsidR="001A1712">
              <w:rPr>
                <w:webHidden/>
              </w:rPr>
            </w:r>
            <w:r w:rsidR="001A1712">
              <w:rPr>
                <w:webHidden/>
              </w:rPr>
              <w:fldChar w:fldCharType="separate"/>
            </w:r>
            <w:r w:rsidR="001A1712">
              <w:rPr>
                <w:webHidden/>
              </w:rPr>
              <w:t>23</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17" w:history="1">
            <w:r w:rsidR="001A1712" w:rsidRPr="00A13EE0">
              <w:rPr>
                <w:rStyle w:val="Hyperlink"/>
              </w:rPr>
              <w:t>4.1.6</w:t>
            </w:r>
            <w:r w:rsidR="001A1712">
              <w:rPr>
                <w:rFonts w:eastAsiaTheme="minorEastAsia" w:cstheme="minorBidi"/>
                <w:color w:val="auto"/>
                <w:sz w:val="22"/>
                <w:szCs w:val="22"/>
              </w:rPr>
              <w:tab/>
            </w:r>
            <w:r w:rsidR="001A1712" w:rsidRPr="00A13EE0">
              <w:rPr>
                <w:rStyle w:val="Hyperlink"/>
              </w:rPr>
              <w:t>Healthcare</w:t>
            </w:r>
            <w:r w:rsidR="001A1712">
              <w:rPr>
                <w:webHidden/>
              </w:rPr>
              <w:tab/>
            </w:r>
            <w:r w:rsidR="001A1712">
              <w:rPr>
                <w:webHidden/>
              </w:rPr>
              <w:fldChar w:fldCharType="begin"/>
            </w:r>
            <w:r w:rsidR="001A1712">
              <w:rPr>
                <w:webHidden/>
              </w:rPr>
              <w:instrText xml:space="preserve"> PAGEREF _Toc523307117 \h </w:instrText>
            </w:r>
            <w:r w:rsidR="001A1712">
              <w:rPr>
                <w:webHidden/>
              </w:rPr>
            </w:r>
            <w:r w:rsidR="001A1712">
              <w:rPr>
                <w:webHidden/>
              </w:rPr>
              <w:fldChar w:fldCharType="separate"/>
            </w:r>
            <w:r w:rsidR="001A1712">
              <w:rPr>
                <w:webHidden/>
              </w:rPr>
              <w:t>24</w:t>
            </w:r>
            <w:r w:rsidR="001A1712">
              <w:rPr>
                <w:webHidden/>
              </w:rPr>
              <w:fldChar w:fldCharType="end"/>
            </w:r>
          </w:hyperlink>
        </w:p>
        <w:p w:rsidR="001A1712" w:rsidRDefault="00132566">
          <w:pPr>
            <w:pStyle w:val="TOC1"/>
            <w:rPr>
              <w:rFonts w:eastAsiaTheme="minorEastAsia" w:cstheme="minorBidi"/>
              <w:b w:val="0"/>
              <w:color w:val="auto"/>
              <w:sz w:val="22"/>
              <w:szCs w:val="22"/>
            </w:rPr>
          </w:pPr>
          <w:hyperlink w:anchor="_Toc523307118" w:history="1">
            <w:r w:rsidR="001A1712" w:rsidRPr="00A13EE0">
              <w:rPr>
                <w:rStyle w:val="Hyperlink"/>
              </w:rPr>
              <w:t>5.</w:t>
            </w:r>
            <w:r w:rsidR="001A1712">
              <w:rPr>
                <w:rFonts w:eastAsiaTheme="minorEastAsia" w:cstheme="minorBidi"/>
                <w:b w:val="0"/>
                <w:color w:val="auto"/>
                <w:sz w:val="22"/>
                <w:szCs w:val="22"/>
              </w:rPr>
              <w:tab/>
            </w:r>
            <w:r w:rsidR="001A1712" w:rsidRPr="00A13EE0">
              <w:rPr>
                <w:rStyle w:val="Hyperlink"/>
              </w:rPr>
              <w:t>Implications and opportunities for City of Melbourne</w:t>
            </w:r>
            <w:r w:rsidR="001A1712">
              <w:rPr>
                <w:webHidden/>
              </w:rPr>
              <w:tab/>
            </w:r>
            <w:r w:rsidR="001A1712">
              <w:rPr>
                <w:webHidden/>
              </w:rPr>
              <w:fldChar w:fldCharType="begin"/>
            </w:r>
            <w:r w:rsidR="001A1712">
              <w:rPr>
                <w:webHidden/>
              </w:rPr>
              <w:instrText xml:space="preserve"> PAGEREF _Toc523307118 \h </w:instrText>
            </w:r>
            <w:r w:rsidR="001A1712">
              <w:rPr>
                <w:webHidden/>
              </w:rPr>
            </w:r>
            <w:r w:rsidR="001A1712">
              <w:rPr>
                <w:webHidden/>
              </w:rPr>
              <w:fldChar w:fldCharType="separate"/>
            </w:r>
            <w:r w:rsidR="001A1712">
              <w:rPr>
                <w:webHidden/>
              </w:rPr>
              <w:t>27</w:t>
            </w:r>
            <w:r w:rsidR="001A1712">
              <w:rPr>
                <w:webHidden/>
              </w:rPr>
              <w:fldChar w:fldCharType="end"/>
            </w:r>
          </w:hyperlink>
        </w:p>
        <w:p w:rsidR="001A1712" w:rsidRDefault="00132566">
          <w:pPr>
            <w:pStyle w:val="TOC2"/>
            <w:rPr>
              <w:rFonts w:eastAsiaTheme="minorEastAsia" w:cstheme="minorBidi"/>
              <w:color w:val="auto"/>
              <w:sz w:val="22"/>
              <w:szCs w:val="22"/>
            </w:rPr>
          </w:pPr>
          <w:hyperlink w:anchor="_Toc523307119" w:history="1">
            <w:r w:rsidR="001A1712" w:rsidRPr="00A13EE0">
              <w:rPr>
                <w:rStyle w:val="Hyperlink"/>
                <w:lang w:eastAsia="en-US"/>
              </w:rPr>
              <w:t>Transport:</w:t>
            </w:r>
            <w:r w:rsidR="001A1712">
              <w:rPr>
                <w:webHidden/>
              </w:rPr>
              <w:tab/>
            </w:r>
            <w:r w:rsidR="001A1712">
              <w:rPr>
                <w:webHidden/>
              </w:rPr>
              <w:fldChar w:fldCharType="begin"/>
            </w:r>
            <w:r w:rsidR="001A1712">
              <w:rPr>
                <w:webHidden/>
              </w:rPr>
              <w:instrText xml:space="preserve"> PAGEREF _Toc523307119 \h </w:instrText>
            </w:r>
            <w:r w:rsidR="001A1712">
              <w:rPr>
                <w:webHidden/>
              </w:rPr>
            </w:r>
            <w:r w:rsidR="001A1712">
              <w:rPr>
                <w:webHidden/>
              </w:rPr>
              <w:fldChar w:fldCharType="separate"/>
            </w:r>
            <w:r w:rsidR="001A1712">
              <w:rPr>
                <w:webHidden/>
              </w:rPr>
              <w:t>27</w:t>
            </w:r>
            <w:r w:rsidR="001A1712">
              <w:rPr>
                <w:webHidden/>
              </w:rPr>
              <w:fldChar w:fldCharType="end"/>
            </w:r>
          </w:hyperlink>
        </w:p>
        <w:p w:rsidR="001A1712" w:rsidRDefault="00132566">
          <w:pPr>
            <w:pStyle w:val="TOC2"/>
            <w:rPr>
              <w:rFonts w:eastAsiaTheme="minorEastAsia" w:cstheme="minorBidi"/>
              <w:color w:val="auto"/>
              <w:sz w:val="22"/>
              <w:szCs w:val="22"/>
            </w:rPr>
          </w:pPr>
          <w:hyperlink w:anchor="_Toc523307120" w:history="1">
            <w:r w:rsidR="001A1712" w:rsidRPr="00A13EE0">
              <w:rPr>
                <w:rStyle w:val="Hyperlink"/>
                <w:lang w:eastAsia="en-US"/>
              </w:rPr>
              <w:t>Buildings:</w:t>
            </w:r>
            <w:r w:rsidR="001A1712">
              <w:rPr>
                <w:webHidden/>
              </w:rPr>
              <w:tab/>
            </w:r>
            <w:r w:rsidR="001A1712">
              <w:rPr>
                <w:webHidden/>
              </w:rPr>
              <w:fldChar w:fldCharType="begin"/>
            </w:r>
            <w:r w:rsidR="001A1712">
              <w:rPr>
                <w:webHidden/>
              </w:rPr>
              <w:instrText xml:space="preserve"> PAGEREF _Toc523307120 \h </w:instrText>
            </w:r>
            <w:r w:rsidR="001A1712">
              <w:rPr>
                <w:webHidden/>
              </w:rPr>
            </w:r>
            <w:r w:rsidR="001A1712">
              <w:rPr>
                <w:webHidden/>
              </w:rPr>
              <w:fldChar w:fldCharType="separate"/>
            </w:r>
            <w:r w:rsidR="001A1712">
              <w:rPr>
                <w:webHidden/>
              </w:rPr>
              <w:t>27</w:t>
            </w:r>
            <w:r w:rsidR="001A1712">
              <w:rPr>
                <w:webHidden/>
              </w:rPr>
              <w:fldChar w:fldCharType="end"/>
            </w:r>
          </w:hyperlink>
        </w:p>
        <w:p w:rsidR="001A1712" w:rsidRDefault="00132566">
          <w:pPr>
            <w:pStyle w:val="TOC2"/>
            <w:rPr>
              <w:rFonts w:eastAsiaTheme="minorEastAsia" w:cstheme="minorBidi"/>
              <w:color w:val="auto"/>
              <w:sz w:val="22"/>
              <w:szCs w:val="22"/>
            </w:rPr>
          </w:pPr>
          <w:hyperlink w:anchor="_Toc523307121" w:history="1">
            <w:r w:rsidR="001A1712" w:rsidRPr="00A13EE0">
              <w:rPr>
                <w:rStyle w:val="Hyperlink"/>
                <w:lang w:eastAsia="en-US"/>
              </w:rPr>
              <w:t>Energy:</w:t>
            </w:r>
            <w:r w:rsidR="001A1712">
              <w:rPr>
                <w:webHidden/>
              </w:rPr>
              <w:tab/>
            </w:r>
            <w:r w:rsidR="001A1712">
              <w:rPr>
                <w:webHidden/>
              </w:rPr>
              <w:fldChar w:fldCharType="begin"/>
            </w:r>
            <w:r w:rsidR="001A1712">
              <w:rPr>
                <w:webHidden/>
              </w:rPr>
              <w:instrText xml:space="preserve"> PAGEREF _Toc523307121 \h </w:instrText>
            </w:r>
            <w:r w:rsidR="001A1712">
              <w:rPr>
                <w:webHidden/>
              </w:rPr>
            </w:r>
            <w:r w:rsidR="001A1712">
              <w:rPr>
                <w:webHidden/>
              </w:rPr>
              <w:fldChar w:fldCharType="separate"/>
            </w:r>
            <w:r w:rsidR="001A1712">
              <w:rPr>
                <w:webHidden/>
              </w:rPr>
              <w:t>27</w:t>
            </w:r>
            <w:r w:rsidR="001A1712">
              <w:rPr>
                <w:webHidden/>
              </w:rPr>
              <w:fldChar w:fldCharType="end"/>
            </w:r>
          </w:hyperlink>
        </w:p>
        <w:p w:rsidR="001A1712" w:rsidRDefault="00132566">
          <w:pPr>
            <w:pStyle w:val="TOC2"/>
            <w:rPr>
              <w:rFonts w:eastAsiaTheme="minorEastAsia" w:cstheme="minorBidi"/>
              <w:color w:val="auto"/>
              <w:sz w:val="22"/>
              <w:szCs w:val="22"/>
            </w:rPr>
          </w:pPr>
          <w:hyperlink w:anchor="_Toc523307122" w:history="1">
            <w:r w:rsidR="001A1712" w:rsidRPr="00A13EE0">
              <w:rPr>
                <w:rStyle w:val="Hyperlink"/>
                <w:lang w:eastAsia="en-US"/>
              </w:rPr>
              <w:t>Food:</w:t>
            </w:r>
            <w:r w:rsidR="001A1712">
              <w:rPr>
                <w:webHidden/>
              </w:rPr>
              <w:tab/>
            </w:r>
            <w:r w:rsidR="001A1712">
              <w:rPr>
                <w:webHidden/>
              </w:rPr>
              <w:fldChar w:fldCharType="begin"/>
            </w:r>
            <w:r w:rsidR="001A1712">
              <w:rPr>
                <w:webHidden/>
              </w:rPr>
              <w:instrText xml:space="preserve"> PAGEREF _Toc523307122 \h </w:instrText>
            </w:r>
            <w:r w:rsidR="001A1712">
              <w:rPr>
                <w:webHidden/>
              </w:rPr>
            </w:r>
            <w:r w:rsidR="001A1712">
              <w:rPr>
                <w:webHidden/>
              </w:rPr>
              <w:fldChar w:fldCharType="separate"/>
            </w:r>
            <w:r w:rsidR="001A1712">
              <w:rPr>
                <w:webHidden/>
              </w:rPr>
              <w:t>27</w:t>
            </w:r>
            <w:r w:rsidR="001A1712">
              <w:rPr>
                <w:webHidden/>
              </w:rPr>
              <w:fldChar w:fldCharType="end"/>
            </w:r>
          </w:hyperlink>
        </w:p>
        <w:p w:rsidR="001A1712" w:rsidRDefault="00132566">
          <w:pPr>
            <w:pStyle w:val="TOC2"/>
            <w:rPr>
              <w:rFonts w:eastAsiaTheme="minorEastAsia" w:cstheme="minorBidi"/>
              <w:color w:val="auto"/>
              <w:sz w:val="22"/>
              <w:szCs w:val="22"/>
            </w:rPr>
          </w:pPr>
          <w:hyperlink w:anchor="_Toc523307123" w:history="1">
            <w:r w:rsidR="001A1712" w:rsidRPr="00A13EE0">
              <w:rPr>
                <w:rStyle w:val="Hyperlink"/>
                <w:lang w:eastAsia="en-US"/>
              </w:rPr>
              <w:t>Green infrastructure:</w:t>
            </w:r>
            <w:r w:rsidR="001A1712">
              <w:rPr>
                <w:webHidden/>
              </w:rPr>
              <w:tab/>
            </w:r>
            <w:r w:rsidR="001A1712">
              <w:rPr>
                <w:webHidden/>
              </w:rPr>
              <w:fldChar w:fldCharType="begin"/>
            </w:r>
            <w:r w:rsidR="001A1712">
              <w:rPr>
                <w:webHidden/>
              </w:rPr>
              <w:instrText xml:space="preserve"> PAGEREF _Toc523307123 \h </w:instrText>
            </w:r>
            <w:r w:rsidR="001A1712">
              <w:rPr>
                <w:webHidden/>
              </w:rPr>
            </w:r>
            <w:r w:rsidR="001A1712">
              <w:rPr>
                <w:webHidden/>
              </w:rPr>
              <w:fldChar w:fldCharType="separate"/>
            </w:r>
            <w:r w:rsidR="001A1712">
              <w:rPr>
                <w:webHidden/>
              </w:rPr>
              <w:t>27</w:t>
            </w:r>
            <w:r w:rsidR="001A1712">
              <w:rPr>
                <w:webHidden/>
              </w:rPr>
              <w:fldChar w:fldCharType="end"/>
            </w:r>
          </w:hyperlink>
        </w:p>
        <w:p w:rsidR="001A1712" w:rsidRDefault="00132566">
          <w:pPr>
            <w:pStyle w:val="TOC2"/>
            <w:rPr>
              <w:rFonts w:eastAsiaTheme="minorEastAsia" w:cstheme="minorBidi"/>
              <w:color w:val="auto"/>
              <w:sz w:val="22"/>
              <w:szCs w:val="22"/>
            </w:rPr>
          </w:pPr>
          <w:hyperlink w:anchor="_Toc523307124" w:history="1">
            <w:r w:rsidR="001A1712" w:rsidRPr="00A13EE0">
              <w:rPr>
                <w:rStyle w:val="Hyperlink"/>
                <w:lang w:eastAsia="en-US"/>
              </w:rPr>
              <w:t>Healthcare:</w:t>
            </w:r>
            <w:r w:rsidR="001A1712">
              <w:rPr>
                <w:webHidden/>
              </w:rPr>
              <w:tab/>
            </w:r>
            <w:r w:rsidR="001A1712">
              <w:rPr>
                <w:webHidden/>
              </w:rPr>
              <w:fldChar w:fldCharType="begin"/>
            </w:r>
            <w:r w:rsidR="001A1712">
              <w:rPr>
                <w:webHidden/>
              </w:rPr>
              <w:instrText xml:space="preserve"> PAGEREF _Toc523307124 \h </w:instrText>
            </w:r>
            <w:r w:rsidR="001A1712">
              <w:rPr>
                <w:webHidden/>
              </w:rPr>
            </w:r>
            <w:r w:rsidR="001A1712">
              <w:rPr>
                <w:webHidden/>
              </w:rPr>
              <w:fldChar w:fldCharType="separate"/>
            </w:r>
            <w:r w:rsidR="001A1712">
              <w:rPr>
                <w:webHidden/>
              </w:rPr>
              <w:t>27</w:t>
            </w:r>
            <w:r w:rsidR="001A1712">
              <w:rPr>
                <w:webHidden/>
              </w:rPr>
              <w:fldChar w:fldCharType="end"/>
            </w:r>
          </w:hyperlink>
        </w:p>
        <w:p w:rsidR="001A1712" w:rsidRDefault="00132566">
          <w:pPr>
            <w:pStyle w:val="TOC1"/>
            <w:rPr>
              <w:rFonts w:eastAsiaTheme="minorEastAsia" w:cstheme="minorBidi"/>
              <w:b w:val="0"/>
              <w:color w:val="auto"/>
              <w:sz w:val="22"/>
              <w:szCs w:val="22"/>
            </w:rPr>
          </w:pPr>
          <w:hyperlink w:anchor="_Toc523307125" w:history="1">
            <w:r w:rsidR="001A1712" w:rsidRPr="00A13EE0">
              <w:rPr>
                <w:rStyle w:val="Hyperlink"/>
              </w:rPr>
              <w:t>6.</w:t>
            </w:r>
            <w:r w:rsidR="001A1712">
              <w:rPr>
                <w:rFonts w:eastAsiaTheme="minorEastAsia" w:cstheme="minorBidi"/>
                <w:b w:val="0"/>
                <w:color w:val="auto"/>
                <w:sz w:val="22"/>
                <w:szCs w:val="22"/>
              </w:rPr>
              <w:tab/>
            </w:r>
            <w:r w:rsidR="001A1712" w:rsidRPr="00A13EE0">
              <w:rPr>
                <w:rStyle w:val="Hyperlink"/>
              </w:rPr>
              <w:t>Recommendations and Conclusion</w:t>
            </w:r>
            <w:r w:rsidR="001A1712">
              <w:rPr>
                <w:webHidden/>
              </w:rPr>
              <w:tab/>
            </w:r>
            <w:r w:rsidR="001A1712">
              <w:rPr>
                <w:webHidden/>
              </w:rPr>
              <w:fldChar w:fldCharType="begin"/>
            </w:r>
            <w:r w:rsidR="001A1712">
              <w:rPr>
                <w:webHidden/>
              </w:rPr>
              <w:instrText xml:space="preserve"> PAGEREF _Toc523307125 \h </w:instrText>
            </w:r>
            <w:r w:rsidR="001A1712">
              <w:rPr>
                <w:webHidden/>
              </w:rPr>
            </w:r>
            <w:r w:rsidR="001A1712">
              <w:rPr>
                <w:webHidden/>
              </w:rPr>
              <w:fldChar w:fldCharType="separate"/>
            </w:r>
            <w:r w:rsidR="001A1712">
              <w:rPr>
                <w:webHidden/>
              </w:rPr>
              <w:t>28</w:t>
            </w:r>
            <w:r w:rsidR="001A1712">
              <w:rPr>
                <w:webHidden/>
              </w:rPr>
              <w:fldChar w:fldCharType="end"/>
            </w:r>
          </w:hyperlink>
        </w:p>
        <w:p w:rsidR="001A1712" w:rsidRDefault="00132566">
          <w:pPr>
            <w:pStyle w:val="TOC2"/>
            <w:rPr>
              <w:rFonts w:eastAsiaTheme="minorEastAsia" w:cstheme="minorBidi"/>
              <w:color w:val="auto"/>
              <w:sz w:val="22"/>
              <w:szCs w:val="22"/>
            </w:rPr>
          </w:pPr>
          <w:hyperlink w:anchor="_Toc523307126" w:history="1">
            <w:r w:rsidR="001A1712" w:rsidRPr="00A13EE0">
              <w:rPr>
                <w:rStyle w:val="Hyperlink"/>
              </w:rPr>
              <w:t>6.1</w:t>
            </w:r>
            <w:r w:rsidR="001A1712">
              <w:rPr>
                <w:rFonts w:eastAsiaTheme="minorEastAsia" w:cstheme="minorBidi"/>
                <w:color w:val="auto"/>
                <w:sz w:val="22"/>
                <w:szCs w:val="22"/>
              </w:rPr>
              <w:tab/>
            </w:r>
            <w:r w:rsidR="001A1712" w:rsidRPr="00A13EE0">
              <w:rPr>
                <w:rStyle w:val="Hyperlink"/>
              </w:rPr>
              <w:t>Key recommendations:</w:t>
            </w:r>
            <w:r w:rsidR="001A1712">
              <w:rPr>
                <w:webHidden/>
              </w:rPr>
              <w:tab/>
            </w:r>
            <w:r w:rsidR="001A1712">
              <w:rPr>
                <w:webHidden/>
              </w:rPr>
              <w:fldChar w:fldCharType="begin"/>
            </w:r>
            <w:r w:rsidR="001A1712">
              <w:rPr>
                <w:webHidden/>
              </w:rPr>
              <w:instrText xml:space="preserve"> PAGEREF _Toc523307126 \h </w:instrText>
            </w:r>
            <w:r w:rsidR="001A1712">
              <w:rPr>
                <w:webHidden/>
              </w:rPr>
            </w:r>
            <w:r w:rsidR="001A1712">
              <w:rPr>
                <w:webHidden/>
              </w:rPr>
              <w:fldChar w:fldCharType="separate"/>
            </w:r>
            <w:r w:rsidR="001A1712">
              <w:rPr>
                <w:webHidden/>
              </w:rPr>
              <w:t>28</w:t>
            </w:r>
            <w:r w:rsidR="001A1712">
              <w:rPr>
                <w:webHidden/>
              </w:rPr>
              <w:fldChar w:fldCharType="end"/>
            </w:r>
          </w:hyperlink>
        </w:p>
        <w:p w:rsidR="001A1712" w:rsidRDefault="00132566">
          <w:pPr>
            <w:pStyle w:val="TOC2"/>
            <w:rPr>
              <w:rFonts w:eastAsiaTheme="minorEastAsia" w:cstheme="minorBidi"/>
              <w:color w:val="auto"/>
              <w:sz w:val="22"/>
              <w:szCs w:val="22"/>
            </w:rPr>
          </w:pPr>
          <w:hyperlink w:anchor="_Toc523307127" w:history="1">
            <w:r w:rsidR="001A1712" w:rsidRPr="00A13EE0">
              <w:rPr>
                <w:rStyle w:val="Hyperlink"/>
              </w:rPr>
              <w:t>6.2</w:t>
            </w:r>
            <w:r w:rsidR="001A1712">
              <w:rPr>
                <w:rFonts w:eastAsiaTheme="minorEastAsia" w:cstheme="minorBidi"/>
                <w:color w:val="auto"/>
                <w:sz w:val="22"/>
                <w:szCs w:val="22"/>
              </w:rPr>
              <w:tab/>
            </w:r>
            <w:r w:rsidR="001A1712" w:rsidRPr="00A13EE0">
              <w:rPr>
                <w:rStyle w:val="Hyperlink"/>
              </w:rPr>
              <w:t>Further considerations</w:t>
            </w:r>
            <w:r w:rsidR="001A1712">
              <w:rPr>
                <w:webHidden/>
              </w:rPr>
              <w:tab/>
            </w:r>
            <w:r w:rsidR="001A1712">
              <w:rPr>
                <w:webHidden/>
              </w:rPr>
              <w:fldChar w:fldCharType="begin"/>
            </w:r>
            <w:r w:rsidR="001A1712">
              <w:rPr>
                <w:webHidden/>
              </w:rPr>
              <w:instrText xml:space="preserve"> PAGEREF _Toc523307127 \h </w:instrText>
            </w:r>
            <w:r w:rsidR="001A1712">
              <w:rPr>
                <w:webHidden/>
              </w:rPr>
            </w:r>
            <w:r w:rsidR="001A1712">
              <w:rPr>
                <w:webHidden/>
              </w:rPr>
              <w:fldChar w:fldCharType="separate"/>
            </w:r>
            <w:r w:rsidR="001A1712">
              <w:rPr>
                <w:webHidden/>
              </w:rPr>
              <w:t>28</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28" w:history="1">
            <w:r w:rsidR="001A1712" w:rsidRPr="00A13EE0">
              <w:rPr>
                <w:rStyle w:val="Hyperlink"/>
              </w:rPr>
              <w:t>6.2.1</w:t>
            </w:r>
            <w:r w:rsidR="001A1712">
              <w:rPr>
                <w:rFonts w:eastAsiaTheme="minorEastAsia" w:cstheme="minorBidi"/>
                <w:color w:val="auto"/>
                <w:sz w:val="22"/>
                <w:szCs w:val="22"/>
              </w:rPr>
              <w:tab/>
            </w:r>
            <w:r w:rsidR="001A1712" w:rsidRPr="00A13EE0">
              <w:rPr>
                <w:rStyle w:val="Hyperlink"/>
              </w:rPr>
              <w:t>Research</w:t>
            </w:r>
            <w:r w:rsidR="001A1712">
              <w:rPr>
                <w:webHidden/>
              </w:rPr>
              <w:tab/>
            </w:r>
            <w:r w:rsidR="001A1712">
              <w:rPr>
                <w:webHidden/>
              </w:rPr>
              <w:fldChar w:fldCharType="begin"/>
            </w:r>
            <w:r w:rsidR="001A1712">
              <w:rPr>
                <w:webHidden/>
              </w:rPr>
              <w:instrText xml:space="preserve"> PAGEREF _Toc523307128 \h </w:instrText>
            </w:r>
            <w:r w:rsidR="001A1712">
              <w:rPr>
                <w:webHidden/>
              </w:rPr>
            </w:r>
            <w:r w:rsidR="001A1712">
              <w:rPr>
                <w:webHidden/>
              </w:rPr>
              <w:fldChar w:fldCharType="separate"/>
            </w:r>
            <w:r w:rsidR="001A1712">
              <w:rPr>
                <w:webHidden/>
              </w:rPr>
              <w:t>28</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29" w:history="1">
            <w:r w:rsidR="001A1712" w:rsidRPr="00A13EE0">
              <w:rPr>
                <w:rStyle w:val="Hyperlink"/>
              </w:rPr>
              <w:t>6.2.2</w:t>
            </w:r>
            <w:r w:rsidR="001A1712">
              <w:rPr>
                <w:rFonts w:eastAsiaTheme="minorEastAsia" w:cstheme="minorBidi"/>
                <w:color w:val="auto"/>
                <w:sz w:val="22"/>
                <w:szCs w:val="22"/>
              </w:rPr>
              <w:tab/>
            </w:r>
            <w:r w:rsidR="001A1712" w:rsidRPr="00A13EE0">
              <w:rPr>
                <w:rStyle w:val="Hyperlink"/>
              </w:rPr>
              <w:t>Integrating mental health</w:t>
            </w:r>
            <w:r w:rsidR="001A1712">
              <w:rPr>
                <w:webHidden/>
              </w:rPr>
              <w:tab/>
            </w:r>
            <w:r w:rsidR="001A1712">
              <w:rPr>
                <w:webHidden/>
              </w:rPr>
              <w:fldChar w:fldCharType="begin"/>
            </w:r>
            <w:r w:rsidR="001A1712">
              <w:rPr>
                <w:webHidden/>
              </w:rPr>
              <w:instrText xml:space="preserve"> PAGEREF _Toc523307129 \h </w:instrText>
            </w:r>
            <w:r w:rsidR="001A1712">
              <w:rPr>
                <w:webHidden/>
              </w:rPr>
            </w:r>
            <w:r w:rsidR="001A1712">
              <w:rPr>
                <w:webHidden/>
              </w:rPr>
              <w:fldChar w:fldCharType="separate"/>
            </w:r>
            <w:r w:rsidR="001A1712">
              <w:rPr>
                <w:webHidden/>
              </w:rPr>
              <w:t>29</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30" w:history="1">
            <w:r w:rsidR="001A1712" w:rsidRPr="00A13EE0">
              <w:rPr>
                <w:rStyle w:val="Hyperlink"/>
              </w:rPr>
              <w:t>6.2.3</w:t>
            </w:r>
            <w:r w:rsidR="001A1712">
              <w:rPr>
                <w:rFonts w:eastAsiaTheme="minorEastAsia" w:cstheme="minorBidi"/>
                <w:color w:val="auto"/>
                <w:sz w:val="22"/>
                <w:szCs w:val="22"/>
              </w:rPr>
              <w:tab/>
            </w:r>
            <w:r w:rsidR="001A1712" w:rsidRPr="00A13EE0">
              <w:rPr>
                <w:rStyle w:val="Hyperlink"/>
              </w:rPr>
              <w:t>Health Impact Assessment</w:t>
            </w:r>
            <w:r w:rsidR="001A1712">
              <w:rPr>
                <w:webHidden/>
              </w:rPr>
              <w:tab/>
            </w:r>
            <w:r w:rsidR="001A1712">
              <w:rPr>
                <w:webHidden/>
              </w:rPr>
              <w:fldChar w:fldCharType="begin"/>
            </w:r>
            <w:r w:rsidR="001A1712">
              <w:rPr>
                <w:webHidden/>
              </w:rPr>
              <w:instrText xml:space="preserve"> PAGEREF _Toc523307130 \h </w:instrText>
            </w:r>
            <w:r w:rsidR="001A1712">
              <w:rPr>
                <w:webHidden/>
              </w:rPr>
            </w:r>
            <w:r w:rsidR="001A1712">
              <w:rPr>
                <w:webHidden/>
              </w:rPr>
              <w:fldChar w:fldCharType="separate"/>
            </w:r>
            <w:r w:rsidR="001A1712">
              <w:rPr>
                <w:webHidden/>
              </w:rPr>
              <w:t>29</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31" w:history="1">
            <w:r w:rsidR="001A1712" w:rsidRPr="00A13EE0">
              <w:rPr>
                <w:rStyle w:val="Hyperlink"/>
              </w:rPr>
              <w:t>6.2.4</w:t>
            </w:r>
            <w:r w:rsidR="001A1712">
              <w:rPr>
                <w:rFonts w:eastAsiaTheme="minorEastAsia" w:cstheme="minorBidi"/>
                <w:color w:val="auto"/>
                <w:sz w:val="22"/>
                <w:szCs w:val="22"/>
              </w:rPr>
              <w:tab/>
            </w:r>
            <w:r w:rsidR="001A1712" w:rsidRPr="00A13EE0">
              <w:rPr>
                <w:rStyle w:val="Hyperlink"/>
              </w:rPr>
              <w:t>Governance to support policy integration</w:t>
            </w:r>
            <w:r w:rsidR="001A1712">
              <w:rPr>
                <w:webHidden/>
              </w:rPr>
              <w:tab/>
            </w:r>
            <w:r w:rsidR="001A1712">
              <w:rPr>
                <w:webHidden/>
              </w:rPr>
              <w:fldChar w:fldCharType="begin"/>
            </w:r>
            <w:r w:rsidR="001A1712">
              <w:rPr>
                <w:webHidden/>
              </w:rPr>
              <w:instrText xml:space="preserve"> PAGEREF _Toc523307131 \h </w:instrText>
            </w:r>
            <w:r w:rsidR="001A1712">
              <w:rPr>
                <w:webHidden/>
              </w:rPr>
            </w:r>
            <w:r w:rsidR="001A1712">
              <w:rPr>
                <w:webHidden/>
              </w:rPr>
              <w:fldChar w:fldCharType="separate"/>
            </w:r>
            <w:r w:rsidR="001A1712">
              <w:rPr>
                <w:webHidden/>
              </w:rPr>
              <w:t>29</w:t>
            </w:r>
            <w:r w:rsidR="001A1712">
              <w:rPr>
                <w:webHidden/>
              </w:rPr>
              <w:fldChar w:fldCharType="end"/>
            </w:r>
          </w:hyperlink>
        </w:p>
        <w:p w:rsidR="001A1712" w:rsidRDefault="00132566">
          <w:pPr>
            <w:pStyle w:val="TOC3"/>
            <w:rPr>
              <w:rFonts w:eastAsiaTheme="minorEastAsia" w:cstheme="minorBidi"/>
              <w:color w:val="auto"/>
              <w:sz w:val="22"/>
              <w:szCs w:val="22"/>
            </w:rPr>
          </w:pPr>
          <w:hyperlink w:anchor="_Toc523307132" w:history="1">
            <w:r w:rsidR="001A1712" w:rsidRPr="00A13EE0">
              <w:rPr>
                <w:rStyle w:val="Hyperlink"/>
              </w:rPr>
              <w:t>6.2.5</w:t>
            </w:r>
            <w:r w:rsidR="001A1712">
              <w:rPr>
                <w:rFonts w:eastAsiaTheme="minorEastAsia" w:cstheme="minorBidi"/>
                <w:color w:val="auto"/>
                <w:sz w:val="22"/>
                <w:szCs w:val="22"/>
              </w:rPr>
              <w:tab/>
            </w:r>
            <w:r w:rsidR="001A1712" w:rsidRPr="00A13EE0">
              <w:rPr>
                <w:rStyle w:val="Hyperlink"/>
              </w:rPr>
              <w:t>Assessing upstream emissions</w:t>
            </w:r>
            <w:r w:rsidR="001A1712">
              <w:rPr>
                <w:webHidden/>
              </w:rPr>
              <w:tab/>
            </w:r>
            <w:r w:rsidR="001A1712">
              <w:rPr>
                <w:webHidden/>
              </w:rPr>
              <w:fldChar w:fldCharType="begin"/>
            </w:r>
            <w:r w:rsidR="001A1712">
              <w:rPr>
                <w:webHidden/>
              </w:rPr>
              <w:instrText xml:space="preserve"> PAGEREF _Toc523307132 \h </w:instrText>
            </w:r>
            <w:r w:rsidR="001A1712">
              <w:rPr>
                <w:webHidden/>
              </w:rPr>
            </w:r>
            <w:r w:rsidR="001A1712">
              <w:rPr>
                <w:webHidden/>
              </w:rPr>
              <w:fldChar w:fldCharType="separate"/>
            </w:r>
            <w:r w:rsidR="001A1712">
              <w:rPr>
                <w:webHidden/>
              </w:rPr>
              <w:t>29</w:t>
            </w:r>
            <w:r w:rsidR="001A1712">
              <w:rPr>
                <w:webHidden/>
              </w:rPr>
              <w:fldChar w:fldCharType="end"/>
            </w:r>
          </w:hyperlink>
        </w:p>
        <w:p w:rsidR="001A1712" w:rsidRDefault="00132566">
          <w:pPr>
            <w:pStyle w:val="TOC1"/>
            <w:rPr>
              <w:rFonts w:eastAsiaTheme="minorEastAsia" w:cstheme="minorBidi"/>
              <w:b w:val="0"/>
              <w:color w:val="auto"/>
              <w:sz w:val="22"/>
              <w:szCs w:val="22"/>
            </w:rPr>
          </w:pPr>
          <w:hyperlink w:anchor="_Toc523307133" w:history="1">
            <w:r w:rsidR="001A1712" w:rsidRPr="00A13EE0">
              <w:rPr>
                <w:rStyle w:val="Hyperlink"/>
              </w:rPr>
              <w:t>7.</w:t>
            </w:r>
            <w:r w:rsidR="001A1712">
              <w:rPr>
                <w:rFonts w:eastAsiaTheme="minorEastAsia" w:cstheme="minorBidi"/>
                <w:b w:val="0"/>
                <w:color w:val="auto"/>
                <w:sz w:val="22"/>
                <w:szCs w:val="22"/>
              </w:rPr>
              <w:tab/>
            </w:r>
            <w:r w:rsidR="001A1712" w:rsidRPr="00A13EE0">
              <w:rPr>
                <w:rStyle w:val="Hyperlink"/>
              </w:rPr>
              <w:t>Conclusion</w:t>
            </w:r>
            <w:r w:rsidR="001A1712">
              <w:rPr>
                <w:webHidden/>
              </w:rPr>
              <w:tab/>
            </w:r>
            <w:r w:rsidR="001A1712">
              <w:rPr>
                <w:webHidden/>
              </w:rPr>
              <w:fldChar w:fldCharType="begin"/>
            </w:r>
            <w:r w:rsidR="001A1712">
              <w:rPr>
                <w:webHidden/>
              </w:rPr>
              <w:instrText xml:space="preserve"> PAGEREF _Toc523307133 \h </w:instrText>
            </w:r>
            <w:r w:rsidR="001A1712">
              <w:rPr>
                <w:webHidden/>
              </w:rPr>
            </w:r>
            <w:r w:rsidR="001A1712">
              <w:rPr>
                <w:webHidden/>
              </w:rPr>
              <w:fldChar w:fldCharType="separate"/>
            </w:r>
            <w:r w:rsidR="001A1712">
              <w:rPr>
                <w:webHidden/>
              </w:rPr>
              <w:t>30</w:t>
            </w:r>
            <w:r w:rsidR="001A1712">
              <w:rPr>
                <w:webHidden/>
              </w:rPr>
              <w:fldChar w:fldCharType="end"/>
            </w:r>
          </w:hyperlink>
        </w:p>
        <w:p w:rsidR="001A1712" w:rsidRDefault="00132566">
          <w:pPr>
            <w:pStyle w:val="TOC1"/>
            <w:rPr>
              <w:rFonts w:eastAsiaTheme="minorEastAsia" w:cstheme="minorBidi"/>
              <w:b w:val="0"/>
              <w:color w:val="auto"/>
              <w:sz w:val="22"/>
              <w:szCs w:val="22"/>
            </w:rPr>
          </w:pPr>
          <w:hyperlink w:anchor="_Toc523307134" w:history="1">
            <w:r w:rsidR="001A1712" w:rsidRPr="00A13EE0">
              <w:rPr>
                <w:rStyle w:val="Hyperlink"/>
              </w:rPr>
              <w:t>8.</w:t>
            </w:r>
            <w:r w:rsidR="001A1712">
              <w:rPr>
                <w:rFonts w:eastAsiaTheme="minorEastAsia" w:cstheme="minorBidi"/>
                <w:b w:val="0"/>
                <w:color w:val="auto"/>
                <w:sz w:val="22"/>
                <w:szCs w:val="22"/>
              </w:rPr>
              <w:tab/>
            </w:r>
            <w:r w:rsidR="001A1712" w:rsidRPr="00A13EE0">
              <w:rPr>
                <w:rStyle w:val="Hyperlink"/>
              </w:rPr>
              <w:t>References</w:t>
            </w:r>
            <w:r w:rsidR="001A1712">
              <w:rPr>
                <w:webHidden/>
              </w:rPr>
              <w:tab/>
            </w:r>
            <w:r w:rsidR="001A1712">
              <w:rPr>
                <w:webHidden/>
              </w:rPr>
              <w:fldChar w:fldCharType="begin"/>
            </w:r>
            <w:r w:rsidR="001A1712">
              <w:rPr>
                <w:webHidden/>
              </w:rPr>
              <w:instrText xml:space="preserve"> PAGEREF _Toc523307134 \h </w:instrText>
            </w:r>
            <w:r w:rsidR="001A1712">
              <w:rPr>
                <w:webHidden/>
              </w:rPr>
            </w:r>
            <w:r w:rsidR="001A1712">
              <w:rPr>
                <w:webHidden/>
              </w:rPr>
              <w:fldChar w:fldCharType="separate"/>
            </w:r>
            <w:r w:rsidR="001A1712">
              <w:rPr>
                <w:webHidden/>
              </w:rPr>
              <w:t>31</w:t>
            </w:r>
            <w:r w:rsidR="001A1712">
              <w:rPr>
                <w:webHidden/>
              </w:rPr>
              <w:fldChar w:fldCharType="end"/>
            </w:r>
          </w:hyperlink>
        </w:p>
        <w:p w:rsidR="001A1712" w:rsidRDefault="00132566">
          <w:pPr>
            <w:pStyle w:val="TOC1"/>
            <w:rPr>
              <w:rFonts w:eastAsiaTheme="minorEastAsia" w:cstheme="minorBidi"/>
              <w:b w:val="0"/>
              <w:color w:val="auto"/>
              <w:sz w:val="22"/>
              <w:szCs w:val="22"/>
            </w:rPr>
          </w:pPr>
          <w:hyperlink w:anchor="_Toc523307135" w:history="1">
            <w:r w:rsidR="001A1712" w:rsidRPr="00A13EE0">
              <w:rPr>
                <w:rStyle w:val="Hyperlink"/>
              </w:rPr>
              <w:t>Appendix A</w:t>
            </w:r>
            <w:r w:rsidR="001A1712">
              <w:rPr>
                <w:webHidden/>
              </w:rPr>
              <w:tab/>
            </w:r>
            <w:r w:rsidR="001A1712">
              <w:rPr>
                <w:webHidden/>
              </w:rPr>
              <w:fldChar w:fldCharType="begin"/>
            </w:r>
            <w:r w:rsidR="001A1712">
              <w:rPr>
                <w:webHidden/>
              </w:rPr>
              <w:instrText xml:space="preserve"> PAGEREF _Toc523307135 \h </w:instrText>
            </w:r>
            <w:r w:rsidR="001A1712">
              <w:rPr>
                <w:webHidden/>
              </w:rPr>
            </w:r>
            <w:r w:rsidR="001A1712">
              <w:rPr>
                <w:webHidden/>
              </w:rPr>
              <w:fldChar w:fldCharType="separate"/>
            </w:r>
            <w:r w:rsidR="001A1712">
              <w:rPr>
                <w:webHidden/>
              </w:rPr>
              <w:t>40</w:t>
            </w:r>
            <w:r w:rsidR="001A1712">
              <w:rPr>
                <w:webHidden/>
              </w:rPr>
              <w:fldChar w:fldCharType="end"/>
            </w:r>
          </w:hyperlink>
        </w:p>
        <w:p w:rsidR="000C479B" w:rsidRDefault="000C479B" w:rsidP="000C479B">
          <w:pPr>
            <w:rPr>
              <w:noProof/>
            </w:rPr>
          </w:pPr>
          <w:r>
            <w:rPr>
              <w:b/>
              <w:bCs/>
              <w:noProof/>
            </w:rPr>
            <w:fldChar w:fldCharType="end"/>
          </w:r>
        </w:p>
      </w:sdtContent>
    </w:sdt>
    <w:p w:rsidR="00944D57" w:rsidRDefault="00944D57" w:rsidP="00944D57">
      <w:pPr>
        <w:spacing w:after="360"/>
        <w:rPr>
          <w:b/>
        </w:rPr>
      </w:pPr>
    </w:p>
    <w:sdt>
      <w:sdtPr>
        <w:rPr>
          <w:rFonts w:ascii="Arial" w:hAnsi="Arial" w:cs="Arial"/>
          <w:b w:val="0"/>
          <w:noProof w:val="0"/>
          <w:color w:val="auto"/>
          <w:sz w:val="24"/>
          <w:szCs w:val="24"/>
          <w:lang w:eastAsia="en-US"/>
        </w:rPr>
        <w:id w:val="-2048135085"/>
        <w:docPartObj>
          <w:docPartGallery w:val="Table of Contents"/>
          <w:docPartUnique/>
        </w:docPartObj>
      </w:sdtPr>
      <w:sdtEndPr/>
      <w:sdtContent>
        <w:p w:rsidR="0066358A" w:rsidRDefault="0066358A" w:rsidP="0066358A">
          <w:pPr>
            <w:pStyle w:val="TOC1"/>
          </w:pPr>
        </w:p>
        <w:p w:rsidR="006956B4" w:rsidRPr="0066358A" w:rsidRDefault="00132566" w:rsidP="00E664BF">
          <w:pPr>
            <w:sectPr w:rsidR="006956B4" w:rsidRPr="0066358A" w:rsidSect="00534179">
              <w:pgSz w:w="11907" w:h="16839" w:code="9"/>
              <w:pgMar w:top="1701" w:right="1418" w:bottom="1134" w:left="1418" w:header="454" w:footer="510" w:gutter="0"/>
              <w:pgNumType w:fmt="lowerRoman"/>
              <w:cols w:space="708"/>
              <w:docGrid w:linePitch="360"/>
            </w:sectPr>
          </w:pPr>
        </w:p>
      </w:sdtContent>
    </w:sdt>
    <w:p w:rsidR="006956B4" w:rsidRDefault="006956B4" w:rsidP="00944D57">
      <w:pPr>
        <w:pStyle w:val="Heading1"/>
        <w:pageBreakBefore w:val="0"/>
        <w:numPr>
          <w:ilvl w:val="0"/>
          <w:numId w:val="0"/>
        </w:numPr>
      </w:pPr>
      <w:bookmarkStart w:id="3" w:name="_Toc412402248"/>
      <w:bookmarkStart w:id="4" w:name="_Toc420655059"/>
      <w:bookmarkStart w:id="5" w:name="_Toc523307089"/>
      <w:r w:rsidRPr="00851AAA">
        <w:t>Executive Summary</w:t>
      </w:r>
      <w:bookmarkEnd w:id="3"/>
      <w:bookmarkEnd w:id="4"/>
      <w:bookmarkEnd w:id="5"/>
    </w:p>
    <w:p w:rsidR="009B63F7" w:rsidRPr="00F004D8" w:rsidRDefault="009B63F7" w:rsidP="009B63F7">
      <w:pPr>
        <w:rPr>
          <w:sz w:val="20"/>
          <w:szCs w:val="20"/>
        </w:rPr>
      </w:pPr>
      <w:r w:rsidRPr="00F004D8">
        <w:rPr>
          <w:sz w:val="20"/>
          <w:szCs w:val="20"/>
        </w:rPr>
        <w:t>This report provides an overview of the evidence in relation to the health co-benefits associated with climate mitigation and adaptation strategies. It is intended to inform the City of Melbourne about the health and social benefits available from the implementation of initiatives to achieve its net zero emissions goal.</w:t>
      </w:r>
    </w:p>
    <w:p w:rsidR="009B63F7" w:rsidRPr="00F004D8" w:rsidRDefault="009B63F7" w:rsidP="009B63F7">
      <w:pPr>
        <w:rPr>
          <w:sz w:val="20"/>
          <w:szCs w:val="20"/>
        </w:rPr>
      </w:pPr>
    </w:p>
    <w:p w:rsidR="009B63F7" w:rsidRPr="00F004D8" w:rsidRDefault="009B63F7" w:rsidP="009B63F7">
      <w:pPr>
        <w:rPr>
          <w:sz w:val="20"/>
          <w:szCs w:val="20"/>
        </w:rPr>
      </w:pPr>
      <w:r w:rsidRPr="00F004D8">
        <w:rPr>
          <w:sz w:val="20"/>
          <w:szCs w:val="20"/>
        </w:rPr>
        <w:t>There are many benefits for the health and wellbeing of the population associated with strategies to reduce greenhouse gas (GHG) emissions. These health co-benefits, which either reduce current health threats or lead to improvements in current health status, can be realised at a local scale, and often in a very short time frame (days, weeks and months) whilst the climate benefits accrue in the longer term (years, decades and centuries).</w:t>
      </w:r>
    </w:p>
    <w:p w:rsidR="009B63F7" w:rsidRPr="00F004D8" w:rsidRDefault="009B63F7" w:rsidP="009B63F7">
      <w:pPr>
        <w:rPr>
          <w:sz w:val="20"/>
          <w:szCs w:val="20"/>
        </w:rPr>
      </w:pPr>
    </w:p>
    <w:p w:rsidR="009B63F7" w:rsidRPr="00F004D8" w:rsidRDefault="009B63F7" w:rsidP="009B63F7">
      <w:pPr>
        <w:rPr>
          <w:sz w:val="20"/>
          <w:szCs w:val="20"/>
        </w:rPr>
      </w:pPr>
      <w:r w:rsidRPr="00F004D8">
        <w:rPr>
          <w:sz w:val="20"/>
          <w:szCs w:val="20"/>
        </w:rPr>
        <w:t>Health co-benefits arise from a range of strategies to reduce emissions in a number of sectors. Reducing emissions in energy and transport sectors can reduce air pollution, which can lead to immediate improvements in cardiovascular and respiratory health, and results in fewer heart attacks and asthma attacks, and fewer hospitals admissions. Reducing the carbon intensity of our diets and food systems can also decrease heart disease, help avoid obesity and diabetes, and reduce the incidence of bowel cancer. Investing in green infrastructure lowers GHG emissions, and leads to positive improvements in mental, physical and social health.</w:t>
      </w:r>
    </w:p>
    <w:p w:rsidR="009B63F7" w:rsidRPr="00F004D8" w:rsidRDefault="009B63F7" w:rsidP="009B63F7">
      <w:pPr>
        <w:rPr>
          <w:sz w:val="20"/>
          <w:szCs w:val="20"/>
        </w:rPr>
      </w:pPr>
    </w:p>
    <w:p w:rsidR="009B63F7" w:rsidRPr="00F004D8" w:rsidRDefault="009B63F7" w:rsidP="009B63F7">
      <w:pPr>
        <w:rPr>
          <w:sz w:val="20"/>
          <w:szCs w:val="20"/>
        </w:rPr>
      </w:pPr>
      <w:r w:rsidRPr="00F004D8">
        <w:rPr>
          <w:sz w:val="20"/>
          <w:szCs w:val="20"/>
        </w:rPr>
        <w:t>These are just some of the opportunities that are currently under-recognised in the actions that individuals, communities, cities, states and nations are taking to act on climate change. While major emissions reduction targets may be set by national governments in accordance with international agreements, much of the effort to deliver the requisite emissions reductions will occur at the subnational and city level.   A net zero emissions strategy for the City of Melbourne can achieve much more than just emissions reductions if carefully targeted interventions are used (see Appendix A for current initiatives in other jurisdictions).</w:t>
      </w:r>
    </w:p>
    <w:p w:rsidR="009B63F7" w:rsidRPr="00F004D8" w:rsidRDefault="009B63F7" w:rsidP="009B63F7">
      <w:pPr>
        <w:rPr>
          <w:sz w:val="20"/>
          <w:szCs w:val="20"/>
        </w:rPr>
      </w:pPr>
    </w:p>
    <w:p w:rsidR="009B63F7" w:rsidRPr="00F004D8" w:rsidRDefault="009B63F7" w:rsidP="009B63F7">
      <w:pPr>
        <w:rPr>
          <w:sz w:val="20"/>
          <w:szCs w:val="20"/>
        </w:rPr>
      </w:pPr>
      <w:r w:rsidRPr="00F004D8">
        <w:rPr>
          <w:sz w:val="20"/>
          <w:szCs w:val="20"/>
        </w:rPr>
        <w:t>While there are health co-benefits associated with both climate mitigation and adaptation strategies, the bulk of the literature reviewed here is in relation to the co-benefits associated with climate mitigation. Many climate adaptation and climate mitigation strategies can be mutually reinforcing and are generally considered to be most effective when pursued simultaneously (</w:t>
      </w:r>
      <w:proofErr w:type="spellStart"/>
      <w:r w:rsidRPr="00F004D8">
        <w:rPr>
          <w:sz w:val="20"/>
          <w:szCs w:val="20"/>
        </w:rPr>
        <w:t>Landauer</w:t>
      </w:r>
      <w:proofErr w:type="spellEnd"/>
      <w:r w:rsidRPr="00F004D8">
        <w:rPr>
          <w:sz w:val="20"/>
          <w:szCs w:val="20"/>
        </w:rPr>
        <w:t>, 2015).</w:t>
      </w:r>
    </w:p>
    <w:p w:rsidR="009B63F7" w:rsidRPr="00F004D8" w:rsidRDefault="009B63F7" w:rsidP="009B63F7">
      <w:pPr>
        <w:rPr>
          <w:sz w:val="20"/>
          <w:szCs w:val="20"/>
        </w:rPr>
      </w:pPr>
    </w:p>
    <w:p w:rsidR="009B63F7" w:rsidRPr="00F004D8" w:rsidRDefault="009B63F7" w:rsidP="009B63F7">
      <w:pPr>
        <w:rPr>
          <w:sz w:val="20"/>
          <w:szCs w:val="20"/>
        </w:rPr>
      </w:pPr>
      <w:r w:rsidRPr="00F004D8">
        <w:rPr>
          <w:sz w:val="20"/>
          <w:szCs w:val="20"/>
        </w:rPr>
        <w:t xml:space="preserve">In additional to health and climate benefits, many climate mitigation and adaptation strategies also offer economic savings from avoided ill-health and productivity gains. These savings can often offset the costs of implementing the policy, and in some cases, the savings vastly outweigh the costs, offering health-climate-economic benefits: a win-win-win scenario. As such, the benefits of emissions reduction should be an integral inclusion as part of the systematic assessment and development of net zero emissions strategies.  </w:t>
      </w:r>
    </w:p>
    <w:p w:rsidR="009B63F7" w:rsidRPr="00F004D8" w:rsidRDefault="009B63F7" w:rsidP="009B63F7">
      <w:pPr>
        <w:rPr>
          <w:sz w:val="20"/>
          <w:szCs w:val="20"/>
        </w:rPr>
      </w:pPr>
    </w:p>
    <w:p w:rsidR="009B63F7" w:rsidRPr="00F004D8" w:rsidRDefault="009B63F7" w:rsidP="009B63F7">
      <w:pPr>
        <w:rPr>
          <w:sz w:val="20"/>
          <w:szCs w:val="20"/>
        </w:rPr>
      </w:pPr>
      <w:r w:rsidRPr="00F004D8">
        <w:rPr>
          <w:sz w:val="20"/>
          <w:szCs w:val="20"/>
        </w:rPr>
        <w:t>There is more to do to evaluate the specific economic opportunities associated with health co-benefits associated with zero net emissions strategies proposed for the City of Melbourne. However, the evidence of the health co-benefits from climate mitigation is sound, and there should be no delay in seeking to implement initiatives to capitalise on the evidence outlined in this report.</w:t>
      </w:r>
    </w:p>
    <w:p w:rsidR="009F6D0A" w:rsidRDefault="009F6D0A" w:rsidP="001948DE">
      <w:pPr>
        <w:pStyle w:val="BodyText"/>
      </w:pPr>
    </w:p>
    <w:p w:rsidR="0057108A" w:rsidRPr="00851AAA" w:rsidRDefault="0057108A" w:rsidP="001948DE">
      <w:pPr>
        <w:pStyle w:val="BodyText"/>
      </w:pPr>
    </w:p>
    <w:p w:rsidR="009F6D0A" w:rsidRPr="00851AAA" w:rsidRDefault="009F6D0A" w:rsidP="00E664BF">
      <w:pPr>
        <w:rPr>
          <w:sz w:val="19"/>
          <w:szCs w:val="19"/>
        </w:rPr>
        <w:sectPr w:rsidR="009F6D0A" w:rsidRPr="00851AAA" w:rsidSect="001A1712">
          <w:pgSz w:w="11907" w:h="16839" w:code="9"/>
          <w:pgMar w:top="1701" w:right="1418" w:bottom="1134" w:left="1418" w:header="454" w:footer="510" w:gutter="0"/>
          <w:pgNumType w:fmt="lowerRoman" w:start="1"/>
          <w:cols w:space="708"/>
          <w:docGrid w:linePitch="360"/>
        </w:sectPr>
      </w:pPr>
    </w:p>
    <w:p w:rsidR="00E664BF" w:rsidRDefault="00B3127D" w:rsidP="00AD3E68">
      <w:pPr>
        <w:pStyle w:val="Heading1"/>
      </w:pPr>
      <w:bookmarkStart w:id="6" w:name="_Toc523307090"/>
      <w:bookmarkStart w:id="7" w:name="_Toc328490786"/>
      <w:r>
        <w:t>Definitions</w:t>
      </w:r>
      <w:bookmarkEnd w:id="6"/>
    </w:p>
    <w:p w:rsidR="00B3127D" w:rsidRPr="00F004D8" w:rsidRDefault="00B3127D" w:rsidP="001F6075">
      <w:pPr>
        <w:spacing w:before="100" w:beforeAutospacing="1" w:after="100" w:afterAutospacing="1" w:line="288" w:lineRule="auto"/>
        <w:rPr>
          <w:rFonts w:asciiTheme="minorHAnsi" w:hAnsiTheme="minorHAnsi" w:cstheme="minorHAnsi"/>
          <w:color w:val="000000"/>
          <w:sz w:val="20"/>
          <w:szCs w:val="20"/>
        </w:rPr>
      </w:pPr>
      <w:bookmarkStart w:id="8" w:name="ReturnHere"/>
      <w:bookmarkEnd w:id="8"/>
      <w:r w:rsidRPr="001F6075">
        <w:rPr>
          <w:rFonts w:asciiTheme="minorHAnsi" w:hAnsiTheme="minorHAnsi" w:cstheme="minorHAnsi"/>
          <w:b/>
          <w:color w:val="000000"/>
          <w:sz w:val="20"/>
          <w:szCs w:val="20"/>
        </w:rPr>
        <w:t>Ancillary benefits</w:t>
      </w:r>
      <w:r w:rsidRPr="00F004D8">
        <w:rPr>
          <w:rFonts w:asciiTheme="minorHAnsi" w:hAnsiTheme="minorHAnsi" w:cstheme="minorHAnsi"/>
          <w:color w:val="000000"/>
          <w:sz w:val="20"/>
          <w:szCs w:val="20"/>
        </w:rPr>
        <w:t xml:space="preserve"> - the secondary or supplementary positive effects that a policy or measure aimed at a particular objective might have</w:t>
      </w:r>
      <w:r w:rsidRPr="00F004D8">
        <w:rPr>
          <w:rStyle w:val="apple-converted-space"/>
          <w:rFonts w:asciiTheme="minorHAnsi" w:hAnsiTheme="minorHAnsi" w:cstheme="minorHAnsi"/>
          <w:color w:val="000000"/>
          <w:sz w:val="20"/>
          <w:szCs w:val="20"/>
        </w:rPr>
        <w:t> </w:t>
      </w:r>
    </w:p>
    <w:p w:rsidR="00B3127D" w:rsidRPr="00F004D8" w:rsidRDefault="00B3127D" w:rsidP="001F6075">
      <w:pPr>
        <w:spacing w:before="100" w:beforeAutospacing="1" w:after="100" w:afterAutospacing="1" w:line="288" w:lineRule="auto"/>
        <w:rPr>
          <w:rFonts w:asciiTheme="minorHAnsi" w:hAnsiTheme="minorHAnsi" w:cstheme="minorHAnsi"/>
          <w:color w:val="000000"/>
          <w:sz w:val="20"/>
          <w:szCs w:val="20"/>
        </w:rPr>
      </w:pPr>
      <w:r w:rsidRPr="001F6075">
        <w:rPr>
          <w:rFonts w:asciiTheme="minorHAnsi" w:hAnsiTheme="minorHAnsi" w:cstheme="minorHAnsi"/>
          <w:b/>
          <w:color w:val="000000"/>
          <w:sz w:val="20"/>
          <w:szCs w:val="20"/>
        </w:rPr>
        <w:t>Co-benefits</w:t>
      </w:r>
      <w:r w:rsidRPr="00F004D8">
        <w:rPr>
          <w:rFonts w:asciiTheme="minorHAnsi" w:hAnsiTheme="minorHAnsi" w:cstheme="minorHAnsi"/>
          <w:color w:val="000000"/>
          <w:sz w:val="20"/>
          <w:szCs w:val="20"/>
        </w:rPr>
        <w:t xml:space="preserve"> - the positive effects that a policy or measure aimed at one objective might have on other objectives (</w:t>
      </w:r>
      <w:bookmarkStart w:id="9" w:name="bbib0125"/>
      <w:bookmarkEnd w:id="9"/>
      <w:r w:rsidRPr="00F004D8">
        <w:rPr>
          <w:rFonts w:asciiTheme="minorHAnsi" w:hAnsiTheme="minorHAnsi" w:cstheme="minorHAnsi"/>
          <w:color w:val="000000"/>
          <w:sz w:val="20"/>
          <w:szCs w:val="20"/>
        </w:rPr>
        <w:fldChar w:fldCharType="begin"/>
      </w:r>
      <w:r w:rsidRPr="00F004D8">
        <w:rPr>
          <w:rFonts w:asciiTheme="minorHAnsi" w:hAnsiTheme="minorHAnsi" w:cstheme="minorHAnsi"/>
          <w:color w:val="000000"/>
          <w:sz w:val="20"/>
          <w:szCs w:val="20"/>
        </w:rPr>
        <w:instrText xml:space="preserve"> HYPERLINK "https://www-sciencedirect-com.ezproxy.lib.rmit.edu.au/science/article/pii/S1462901115301064" \l "bib0125" </w:instrText>
      </w:r>
      <w:r w:rsidRPr="00F004D8">
        <w:rPr>
          <w:rFonts w:asciiTheme="minorHAnsi" w:hAnsiTheme="minorHAnsi" w:cstheme="minorHAnsi"/>
          <w:color w:val="000000"/>
          <w:sz w:val="20"/>
          <w:szCs w:val="20"/>
        </w:rPr>
        <w:fldChar w:fldCharType="separate"/>
      </w:r>
      <w:r w:rsidRPr="00F004D8">
        <w:rPr>
          <w:rStyle w:val="Hyperlink"/>
          <w:rFonts w:asciiTheme="minorHAnsi" w:hAnsiTheme="minorHAnsi" w:cstheme="minorHAnsi"/>
          <w:sz w:val="20"/>
          <w:szCs w:val="20"/>
        </w:rPr>
        <w:t>IPCC, 2014b</w:t>
      </w:r>
      <w:r w:rsidRPr="00F004D8">
        <w:rPr>
          <w:rFonts w:asciiTheme="minorHAnsi" w:hAnsiTheme="minorHAnsi" w:cstheme="minorHAnsi"/>
          <w:color w:val="000000"/>
          <w:sz w:val="20"/>
          <w:szCs w:val="20"/>
        </w:rPr>
        <w:fldChar w:fldCharType="end"/>
      </w:r>
      <w:r w:rsidRPr="00F004D8">
        <w:rPr>
          <w:rFonts w:asciiTheme="minorHAnsi" w:hAnsiTheme="minorHAnsi" w:cstheme="minorHAnsi"/>
          <w:color w:val="000000"/>
          <w:sz w:val="20"/>
          <w:szCs w:val="20"/>
        </w:rPr>
        <w:t>, p. 14). For example</w:t>
      </w:r>
      <w:r w:rsidR="00215B94" w:rsidRPr="00F004D8">
        <w:rPr>
          <w:rFonts w:asciiTheme="minorHAnsi" w:hAnsiTheme="minorHAnsi" w:cstheme="minorHAnsi"/>
          <w:color w:val="000000"/>
          <w:sz w:val="20"/>
          <w:szCs w:val="20"/>
        </w:rPr>
        <w:t>,</w:t>
      </w:r>
      <w:r w:rsidRPr="00F004D8">
        <w:rPr>
          <w:rFonts w:asciiTheme="minorHAnsi" w:hAnsiTheme="minorHAnsi" w:cstheme="minorHAnsi"/>
          <w:color w:val="000000"/>
          <w:sz w:val="20"/>
          <w:szCs w:val="20"/>
        </w:rPr>
        <w:t xml:space="preserve"> the health and economic benefits achieved through reducing GHG emissions.  </w:t>
      </w:r>
    </w:p>
    <w:p w:rsidR="00B3127D" w:rsidRPr="00F004D8" w:rsidRDefault="00B3127D" w:rsidP="001F6075">
      <w:pPr>
        <w:spacing w:before="100" w:beforeAutospacing="1" w:after="100" w:afterAutospacing="1" w:line="288" w:lineRule="auto"/>
        <w:rPr>
          <w:rFonts w:asciiTheme="minorHAnsi" w:hAnsiTheme="minorHAnsi" w:cstheme="minorHAnsi"/>
          <w:color w:val="000000"/>
          <w:sz w:val="20"/>
          <w:szCs w:val="20"/>
        </w:rPr>
      </w:pPr>
      <w:r w:rsidRPr="001F6075">
        <w:rPr>
          <w:rFonts w:asciiTheme="minorHAnsi" w:hAnsiTheme="minorHAnsi" w:cstheme="minorHAnsi"/>
          <w:b/>
          <w:color w:val="000000"/>
          <w:sz w:val="20"/>
          <w:szCs w:val="20"/>
        </w:rPr>
        <w:t>Climate action</w:t>
      </w:r>
      <w:r w:rsidRPr="00F004D8">
        <w:rPr>
          <w:rFonts w:asciiTheme="minorHAnsi" w:hAnsiTheme="minorHAnsi" w:cstheme="minorHAnsi"/>
          <w:color w:val="000000"/>
          <w:sz w:val="20"/>
          <w:szCs w:val="20"/>
        </w:rPr>
        <w:t xml:space="preserve"> – action taken to mitigate or adapt to climate change either by reducing GHG emissions to prevent worsening climate harm, or adapting to those changes which are unavoidable.</w:t>
      </w:r>
      <w:r w:rsidRPr="00F004D8">
        <w:rPr>
          <w:rStyle w:val="apple-converted-space"/>
          <w:rFonts w:asciiTheme="minorHAnsi" w:hAnsiTheme="minorHAnsi" w:cstheme="minorHAnsi"/>
          <w:color w:val="000000"/>
          <w:sz w:val="20"/>
          <w:szCs w:val="20"/>
        </w:rPr>
        <w:t> </w:t>
      </w:r>
    </w:p>
    <w:p w:rsidR="00B3127D" w:rsidRPr="00F004D8" w:rsidRDefault="00B3127D" w:rsidP="001F6075">
      <w:pPr>
        <w:spacing w:before="100" w:beforeAutospacing="1" w:after="100" w:afterAutospacing="1" w:line="288" w:lineRule="auto"/>
        <w:rPr>
          <w:rFonts w:asciiTheme="minorHAnsi" w:hAnsiTheme="minorHAnsi" w:cstheme="minorHAnsi"/>
          <w:color w:val="000000"/>
          <w:sz w:val="20"/>
          <w:szCs w:val="20"/>
        </w:rPr>
      </w:pPr>
      <w:r w:rsidRPr="001F6075">
        <w:rPr>
          <w:rFonts w:asciiTheme="minorHAnsi" w:hAnsiTheme="minorHAnsi" w:cstheme="minorHAnsi"/>
          <w:b/>
          <w:color w:val="000000"/>
          <w:sz w:val="20"/>
          <w:szCs w:val="20"/>
        </w:rPr>
        <w:t>Climate adaptation</w:t>
      </w:r>
      <w:r w:rsidRPr="00F004D8">
        <w:rPr>
          <w:rFonts w:asciiTheme="minorHAnsi" w:hAnsiTheme="minorHAnsi" w:cstheme="minorHAnsi"/>
          <w:color w:val="000000"/>
          <w:sz w:val="20"/>
          <w:szCs w:val="20"/>
        </w:rPr>
        <w:t xml:space="preserve"> – the process of adapting to climate change in order to better co</w:t>
      </w:r>
      <w:r w:rsidR="00215B94" w:rsidRPr="00F004D8">
        <w:rPr>
          <w:rFonts w:asciiTheme="minorHAnsi" w:hAnsiTheme="minorHAnsi" w:cstheme="minorHAnsi"/>
          <w:color w:val="000000"/>
          <w:sz w:val="20"/>
          <w:szCs w:val="20"/>
        </w:rPr>
        <w:t>pe with, manage or adjust to it</w:t>
      </w:r>
      <w:r w:rsidRPr="00F004D8">
        <w:rPr>
          <w:rFonts w:asciiTheme="minorHAnsi" w:hAnsiTheme="minorHAnsi" w:cstheme="minorHAnsi"/>
          <w:color w:val="000000"/>
          <w:sz w:val="20"/>
          <w:szCs w:val="20"/>
        </w:rPr>
        <w:t>s impacts including changing conditions, stress, hazard, risk, or opportunity. This can happen at household, community, group, sector, region, or country levels.</w:t>
      </w:r>
    </w:p>
    <w:p w:rsidR="00B3127D" w:rsidRPr="00F004D8" w:rsidRDefault="00B3127D" w:rsidP="001F6075">
      <w:pPr>
        <w:spacing w:before="100" w:beforeAutospacing="1" w:after="100" w:afterAutospacing="1" w:line="288" w:lineRule="auto"/>
        <w:rPr>
          <w:rFonts w:asciiTheme="minorHAnsi" w:hAnsiTheme="minorHAnsi" w:cstheme="minorHAnsi"/>
          <w:color w:val="000000"/>
          <w:sz w:val="20"/>
          <w:szCs w:val="20"/>
        </w:rPr>
      </w:pPr>
      <w:r w:rsidRPr="001F6075">
        <w:rPr>
          <w:rFonts w:asciiTheme="minorHAnsi" w:hAnsiTheme="minorHAnsi" w:cstheme="minorHAnsi"/>
          <w:b/>
          <w:color w:val="000000"/>
          <w:sz w:val="20"/>
          <w:szCs w:val="20"/>
        </w:rPr>
        <w:t>Climate mitigation</w:t>
      </w:r>
      <w:r w:rsidRPr="00F004D8">
        <w:rPr>
          <w:rFonts w:asciiTheme="minorHAnsi" w:hAnsiTheme="minorHAnsi" w:cstheme="minorHAnsi"/>
          <w:color w:val="000000"/>
          <w:sz w:val="20"/>
          <w:szCs w:val="20"/>
        </w:rPr>
        <w:t xml:space="preserve"> - includes actions taken globally, nationally and individually to limit changes in the global climate caused by human activities. Mitigation activities are designed to reduce greenhouse emissions and/or increase the amount of greenhouse gases removed from the atmosphere.</w:t>
      </w:r>
    </w:p>
    <w:p w:rsidR="00B3127D" w:rsidRPr="00F004D8" w:rsidRDefault="00B3127D" w:rsidP="001F6075">
      <w:pPr>
        <w:spacing w:before="100" w:beforeAutospacing="1" w:after="100" w:afterAutospacing="1" w:line="288" w:lineRule="auto"/>
        <w:rPr>
          <w:rFonts w:asciiTheme="minorHAnsi" w:hAnsiTheme="minorHAnsi" w:cstheme="minorHAnsi"/>
          <w:color w:val="000000"/>
          <w:sz w:val="20"/>
          <w:szCs w:val="20"/>
        </w:rPr>
      </w:pPr>
      <w:r w:rsidRPr="001F6075">
        <w:rPr>
          <w:rFonts w:asciiTheme="minorHAnsi" w:hAnsiTheme="minorHAnsi" w:cstheme="minorHAnsi"/>
          <w:b/>
          <w:color w:val="000000"/>
          <w:sz w:val="20"/>
          <w:szCs w:val="20"/>
        </w:rPr>
        <w:t>Climate altering pollutants</w:t>
      </w:r>
      <w:r w:rsidRPr="00F004D8">
        <w:rPr>
          <w:rFonts w:asciiTheme="minorHAnsi" w:hAnsiTheme="minorHAnsi" w:cstheme="minorHAnsi"/>
          <w:color w:val="000000"/>
          <w:sz w:val="20"/>
          <w:szCs w:val="20"/>
        </w:rPr>
        <w:t xml:space="preserve"> – include greenhouse gases such as carbon-dioxide, methane, nitrous oxide, ozone, chlorofluorocarbons (CFCs) and hydrofluorocarbons   and other climate pollutants like black carbon.   </w:t>
      </w:r>
    </w:p>
    <w:p w:rsidR="00B3127D" w:rsidRPr="00F004D8" w:rsidRDefault="00B3127D" w:rsidP="001F6075">
      <w:pPr>
        <w:spacing w:before="100" w:beforeAutospacing="1" w:after="100" w:afterAutospacing="1" w:line="288" w:lineRule="auto"/>
        <w:rPr>
          <w:rFonts w:asciiTheme="minorHAnsi" w:hAnsiTheme="minorHAnsi" w:cstheme="minorHAnsi"/>
          <w:color w:val="000000"/>
          <w:sz w:val="20"/>
          <w:szCs w:val="20"/>
        </w:rPr>
      </w:pPr>
      <w:r w:rsidRPr="001F6075">
        <w:rPr>
          <w:rFonts w:asciiTheme="minorHAnsi" w:hAnsiTheme="minorHAnsi" w:cstheme="minorHAnsi"/>
          <w:b/>
          <w:color w:val="000000"/>
          <w:sz w:val="20"/>
          <w:szCs w:val="20"/>
        </w:rPr>
        <w:t>Greenhouse gases</w:t>
      </w:r>
      <w:r w:rsidRPr="00F004D8">
        <w:rPr>
          <w:rFonts w:asciiTheme="minorHAnsi" w:hAnsiTheme="minorHAnsi" w:cstheme="minorHAnsi"/>
          <w:color w:val="000000"/>
          <w:sz w:val="20"/>
          <w:szCs w:val="20"/>
        </w:rPr>
        <w:t xml:space="preserve"> – the main greenhouse gases are carbon-dioxide, water vapour, methane, nitrous oxide, ozone, chlorofluorocarbons (CFCs) and hydrofluorocarbons (HFCs). Greenhouse gases trap heat in the atmosphere and the increasing levels in the atmosphere since pre-industrial times are responsible for the enhanced greenhouse effect or global warming.   </w:t>
      </w:r>
    </w:p>
    <w:p w:rsidR="00B3127D" w:rsidRPr="00F004D8" w:rsidRDefault="00B3127D" w:rsidP="001F6075">
      <w:pPr>
        <w:spacing w:before="100" w:beforeAutospacing="1" w:after="100" w:afterAutospacing="1" w:line="288" w:lineRule="auto"/>
        <w:rPr>
          <w:rFonts w:asciiTheme="minorHAnsi" w:hAnsiTheme="minorHAnsi" w:cstheme="minorHAnsi"/>
          <w:color w:val="000000"/>
          <w:sz w:val="20"/>
          <w:szCs w:val="20"/>
        </w:rPr>
      </w:pPr>
      <w:proofErr w:type="gramStart"/>
      <w:r w:rsidRPr="001F6075">
        <w:rPr>
          <w:rFonts w:asciiTheme="minorHAnsi" w:hAnsiTheme="minorHAnsi" w:cstheme="minorHAnsi"/>
          <w:b/>
          <w:color w:val="000000"/>
          <w:sz w:val="20"/>
          <w:szCs w:val="20"/>
        </w:rPr>
        <w:t>Green infrastructure</w:t>
      </w:r>
      <w:r w:rsidRPr="00F004D8">
        <w:rPr>
          <w:rFonts w:asciiTheme="minorHAnsi" w:hAnsiTheme="minorHAnsi" w:cstheme="minorHAnsi"/>
          <w:color w:val="000000"/>
          <w:sz w:val="20"/>
          <w:szCs w:val="20"/>
        </w:rPr>
        <w:t xml:space="preserve"> - the network of natural landscapes and features in urban settings.</w:t>
      </w:r>
      <w:proofErr w:type="gramEnd"/>
      <w:r w:rsidRPr="00F004D8">
        <w:rPr>
          <w:rFonts w:asciiTheme="minorHAnsi" w:hAnsiTheme="minorHAnsi" w:cstheme="minorHAnsi"/>
          <w:color w:val="000000"/>
          <w:sz w:val="20"/>
          <w:szCs w:val="20"/>
        </w:rPr>
        <w:t xml:space="preserve"> It can include parks and gardens, urban forests, street verges and footpaths, sports and recreational facilities, green roofs and walls.</w:t>
      </w:r>
      <w:r w:rsidRPr="00F004D8">
        <w:rPr>
          <w:rStyle w:val="apple-converted-space"/>
          <w:rFonts w:asciiTheme="minorHAnsi" w:hAnsiTheme="minorHAnsi" w:cstheme="minorHAnsi"/>
          <w:color w:val="000000"/>
          <w:sz w:val="20"/>
          <w:szCs w:val="20"/>
        </w:rPr>
        <w:t> </w:t>
      </w:r>
    </w:p>
    <w:p w:rsidR="00B3127D" w:rsidRPr="00F004D8" w:rsidRDefault="00B3127D" w:rsidP="001F6075">
      <w:pPr>
        <w:spacing w:before="100" w:beforeAutospacing="1" w:after="100" w:afterAutospacing="1" w:line="288" w:lineRule="auto"/>
        <w:rPr>
          <w:rFonts w:asciiTheme="minorHAnsi" w:hAnsiTheme="minorHAnsi" w:cstheme="minorHAnsi"/>
          <w:color w:val="000000"/>
          <w:sz w:val="20"/>
          <w:szCs w:val="20"/>
        </w:rPr>
      </w:pPr>
      <w:r w:rsidRPr="001F6075">
        <w:rPr>
          <w:rFonts w:asciiTheme="minorHAnsi" w:hAnsiTheme="minorHAnsi" w:cstheme="minorHAnsi"/>
          <w:b/>
          <w:color w:val="000000"/>
          <w:sz w:val="20"/>
          <w:szCs w:val="20"/>
        </w:rPr>
        <w:t>Health</w:t>
      </w:r>
      <w:r w:rsidRPr="00F004D8">
        <w:rPr>
          <w:rFonts w:asciiTheme="minorHAnsi" w:hAnsiTheme="minorHAnsi" w:cstheme="minorHAnsi"/>
          <w:color w:val="000000"/>
          <w:sz w:val="20"/>
          <w:szCs w:val="20"/>
        </w:rPr>
        <w:t xml:space="preserve"> -</w:t>
      </w:r>
      <w:r w:rsidRPr="00F004D8">
        <w:rPr>
          <w:rStyle w:val="apple-converted-space"/>
          <w:rFonts w:asciiTheme="minorHAnsi" w:hAnsiTheme="minorHAnsi" w:cstheme="minorHAnsi"/>
          <w:color w:val="000000"/>
          <w:sz w:val="20"/>
          <w:szCs w:val="20"/>
        </w:rPr>
        <w:t> </w:t>
      </w:r>
      <w:r w:rsidRPr="00F004D8">
        <w:rPr>
          <w:rFonts w:asciiTheme="minorHAnsi" w:hAnsiTheme="minorHAnsi" w:cstheme="minorHAnsi"/>
          <w:color w:val="000000"/>
          <w:sz w:val="20"/>
          <w:szCs w:val="20"/>
          <w:shd w:val="clear" w:color="auto" w:fill="FFFFFF"/>
        </w:rPr>
        <w:t>The World Health Organisation defined health in 1948 as a "State of complete physical, mental, and social wellbeing, and not merely the absence of disease or infirmity."</w:t>
      </w:r>
    </w:p>
    <w:p w:rsidR="00B3127D" w:rsidRPr="00F004D8" w:rsidRDefault="00B3127D" w:rsidP="001F6075">
      <w:pPr>
        <w:spacing w:before="100" w:beforeAutospacing="1" w:after="100" w:afterAutospacing="1" w:line="288" w:lineRule="auto"/>
        <w:rPr>
          <w:rFonts w:asciiTheme="minorHAnsi" w:hAnsiTheme="minorHAnsi" w:cstheme="minorHAnsi"/>
          <w:color w:val="000000"/>
          <w:sz w:val="20"/>
          <w:szCs w:val="20"/>
        </w:rPr>
      </w:pPr>
      <w:r w:rsidRPr="00F004D8">
        <w:rPr>
          <w:rFonts w:asciiTheme="minorHAnsi" w:hAnsiTheme="minorHAnsi" w:cstheme="minorHAnsi"/>
          <w:color w:val="000000"/>
          <w:sz w:val="20"/>
          <w:szCs w:val="20"/>
          <w:shd w:val="clear" w:color="auto" w:fill="FFFFFF"/>
        </w:rPr>
        <w:t>The 1986 Ottawa Charter for Health Promotion held that health is "The extent to which an individual or group is able to realize aspirations and satisfy needs, and to change or cope with the environment.   Health is a resource for everyday life, not the objective of living; it is a positive concept, emphasizing social and personal resources, as well as physical capacities."</w:t>
      </w:r>
    </w:p>
    <w:p w:rsidR="00B3127D" w:rsidRPr="00F004D8" w:rsidRDefault="00B3127D" w:rsidP="001F6075">
      <w:pPr>
        <w:spacing w:before="100" w:beforeAutospacing="1" w:after="100" w:afterAutospacing="1" w:line="288" w:lineRule="auto"/>
        <w:rPr>
          <w:rFonts w:asciiTheme="minorHAnsi" w:hAnsiTheme="minorHAnsi" w:cstheme="minorHAnsi"/>
          <w:color w:val="000000"/>
          <w:sz w:val="20"/>
          <w:szCs w:val="20"/>
        </w:rPr>
      </w:pPr>
      <w:r w:rsidRPr="001F6075">
        <w:rPr>
          <w:rFonts w:asciiTheme="minorHAnsi" w:hAnsiTheme="minorHAnsi" w:cstheme="minorHAnsi"/>
          <w:b/>
          <w:color w:val="000000"/>
          <w:sz w:val="20"/>
          <w:szCs w:val="20"/>
        </w:rPr>
        <w:t>Health promotion</w:t>
      </w:r>
      <w:r w:rsidRPr="00F004D8">
        <w:rPr>
          <w:rFonts w:asciiTheme="minorHAnsi" w:hAnsiTheme="minorHAnsi" w:cstheme="minorHAnsi"/>
          <w:color w:val="000000"/>
          <w:sz w:val="20"/>
          <w:szCs w:val="20"/>
        </w:rPr>
        <w:t xml:space="preserve"> - is the process of enabling people to increase control over, and to improve, their health. It moves beyond a focus on individual behaviour towards a wide range of social and environmental interventions.</w:t>
      </w:r>
    </w:p>
    <w:p w:rsidR="00B3127D" w:rsidRPr="00F004D8" w:rsidRDefault="00B3127D" w:rsidP="001F6075">
      <w:pPr>
        <w:spacing w:before="100" w:beforeAutospacing="1" w:after="100" w:afterAutospacing="1" w:line="288" w:lineRule="auto"/>
        <w:rPr>
          <w:rFonts w:asciiTheme="minorHAnsi" w:hAnsiTheme="minorHAnsi" w:cstheme="minorHAnsi"/>
          <w:color w:val="000000"/>
          <w:sz w:val="20"/>
          <w:szCs w:val="20"/>
        </w:rPr>
      </w:pPr>
      <w:r w:rsidRPr="001F6075">
        <w:rPr>
          <w:rFonts w:asciiTheme="minorHAnsi" w:hAnsiTheme="minorHAnsi" w:cstheme="minorHAnsi"/>
          <w:b/>
          <w:color w:val="000000"/>
          <w:sz w:val="20"/>
          <w:szCs w:val="20"/>
        </w:rPr>
        <w:t>Morbidity</w:t>
      </w:r>
      <w:r w:rsidRPr="00F004D8">
        <w:rPr>
          <w:rFonts w:asciiTheme="minorHAnsi" w:hAnsiTheme="minorHAnsi" w:cstheme="minorHAnsi"/>
          <w:color w:val="000000"/>
          <w:sz w:val="20"/>
          <w:szCs w:val="20"/>
        </w:rPr>
        <w:t xml:space="preserve"> - the incidence of disease</w:t>
      </w:r>
      <w:r w:rsidRPr="00F004D8">
        <w:rPr>
          <w:rFonts w:asciiTheme="minorHAnsi" w:hAnsiTheme="minorHAnsi" w:cstheme="minorHAnsi"/>
          <w:b/>
          <w:bCs/>
          <w:color w:val="000000"/>
          <w:sz w:val="20"/>
          <w:szCs w:val="20"/>
        </w:rPr>
        <w:t>:</w:t>
      </w:r>
      <w:r w:rsidRPr="00F004D8">
        <w:rPr>
          <w:rStyle w:val="apple-converted-space"/>
          <w:rFonts w:asciiTheme="minorHAnsi" w:hAnsiTheme="minorHAnsi" w:cstheme="minorHAnsi"/>
          <w:b/>
          <w:bCs/>
          <w:color w:val="000000"/>
          <w:sz w:val="20"/>
          <w:szCs w:val="20"/>
        </w:rPr>
        <w:t> </w:t>
      </w:r>
      <w:r w:rsidRPr="00F004D8">
        <w:rPr>
          <w:rFonts w:asciiTheme="minorHAnsi" w:hAnsiTheme="minorHAnsi" w:cstheme="minorHAnsi"/>
          <w:color w:val="000000"/>
          <w:sz w:val="20"/>
          <w:szCs w:val="20"/>
        </w:rPr>
        <w:t>the rate of illness (as in a specified population or group)</w:t>
      </w:r>
      <w:r w:rsidRPr="00F004D8">
        <w:rPr>
          <w:rStyle w:val="apple-converted-space"/>
          <w:rFonts w:asciiTheme="minorHAnsi" w:hAnsiTheme="minorHAnsi" w:cstheme="minorHAnsi"/>
          <w:color w:val="000000"/>
          <w:sz w:val="20"/>
          <w:szCs w:val="20"/>
        </w:rPr>
        <w:t> </w:t>
      </w:r>
    </w:p>
    <w:p w:rsidR="00B3127D" w:rsidRPr="00F004D8" w:rsidRDefault="00B3127D" w:rsidP="001F6075">
      <w:pPr>
        <w:spacing w:before="100" w:beforeAutospacing="1" w:after="100" w:afterAutospacing="1" w:line="288" w:lineRule="auto"/>
        <w:rPr>
          <w:rFonts w:asciiTheme="minorHAnsi" w:hAnsiTheme="minorHAnsi" w:cstheme="minorHAnsi"/>
          <w:color w:val="000000"/>
          <w:sz w:val="20"/>
          <w:szCs w:val="20"/>
        </w:rPr>
      </w:pPr>
      <w:r w:rsidRPr="001F6075">
        <w:rPr>
          <w:rFonts w:asciiTheme="minorHAnsi" w:hAnsiTheme="minorHAnsi" w:cstheme="minorHAnsi"/>
          <w:b/>
          <w:color w:val="000000"/>
          <w:sz w:val="20"/>
          <w:szCs w:val="20"/>
        </w:rPr>
        <w:t>Mortality</w:t>
      </w:r>
      <w:r w:rsidRPr="00F004D8">
        <w:rPr>
          <w:rFonts w:asciiTheme="minorHAnsi" w:hAnsiTheme="minorHAnsi" w:cstheme="minorHAnsi"/>
          <w:color w:val="000000"/>
          <w:sz w:val="20"/>
          <w:szCs w:val="20"/>
        </w:rPr>
        <w:t xml:space="preserve"> - the number of deaths in a population or group in a given time or place</w:t>
      </w:r>
    </w:p>
    <w:p w:rsidR="00B3127D" w:rsidRPr="00F004D8" w:rsidRDefault="00B3127D" w:rsidP="001F6075">
      <w:pPr>
        <w:spacing w:before="100" w:beforeAutospacing="1" w:after="100" w:afterAutospacing="1" w:line="288" w:lineRule="auto"/>
        <w:rPr>
          <w:rFonts w:asciiTheme="minorHAnsi" w:hAnsiTheme="minorHAnsi" w:cstheme="minorHAnsi"/>
          <w:color w:val="000000"/>
          <w:sz w:val="20"/>
          <w:szCs w:val="20"/>
        </w:rPr>
      </w:pPr>
      <w:r w:rsidRPr="001F6075">
        <w:rPr>
          <w:rFonts w:asciiTheme="minorHAnsi" w:hAnsiTheme="minorHAnsi" w:cstheme="minorHAnsi"/>
          <w:b/>
          <w:color w:val="000000"/>
          <w:sz w:val="20"/>
          <w:szCs w:val="20"/>
        </w:rPr>
        <w:t>Preventable deaths</w:t>
      </w:r>
      <w:r w:rsidRPr="00F004D8">
        <w:rPr>
          <w:rFonts w:asciiTheme="minorHAnsi" w:hAnsiTheme="minorHAnsi" w:cstheme="minorHAnsi"/>
          <w:color w:val="000000"/>
          <w:sz w:val="20"/>
          <w:szCs w:val="20"/>
        </w:rPr>
        <w:t xml:space="preserve"> - Avoidable and preventable deaths refers to deaths from conditions that are considered avoidable given timely and effective action including disease prevention and population health initiatives.  </w:t>
      </w:r>
    </w:p>
    <w:p w:rsidR="00B3127D" w:rsidRPr="00F004D8" w:rsidRDefault="00B3127D" w:rsidP="001F6075">
      <w:pPr>
        <w:spacing w:before="100" w:beforeAutospacing="1" w:after="100" w:afterAutospacing="1" w:line="288" w:lineRule="auto"/>
        <w:rPr>
          <w:rFonts w:asciiTheme="minorHAnsi" w:hAnsiTheme="minorHAnsi" w:cstheme="minorHAnsi"/>
          <w:color w:val="000000"/>
          <w:sz w:val="20"/>
          <w:szCs w:val="20"/>
        </w:rPr>
      </w:pPr>
      <w:proofErr w:type="gramStart"/>
      <w:r w:rsidRPr="001F6075">
        <w:rPr>
          <w:rFonts w:asciiTheme="minorHAnsi" w:hAnsiTheme="minorHAnsi" w:cstheme="minorHAnsi"/>
          <w:b/>
          <w:color w:val="000000"/>
          <w:sz w:val="20"/>
          <w:szCs w:val="20"/>
        </w:rPr>
        <w:t>Social benefit</w:t>
      </w:r>
      <w:r w:rsidRPr="00F004D8">
        <w:rPr>
          <w:rFonts w:asciiTheme="minorHAnsi" w:hAnsiTheme="minorHAnsi" w:cstheme="minorHAnsi"/>
          <w:color w:val="000000"/>
          <w:sz w:val="20"/>
          <w:szCs w:val="20"/>
        </w:rPr>
        <w:t xml:space="preserve"> - The increase in the welfare of a society that is derived from a particular course of action.</w:t>
      </w:r>
      <w:proofErr w:type="gramEnd"/>
      <w:r w:rsidRPr="00F004D8">
        <w:rPr>
          <w:rFonts w:asciiTheme="minorHAnsi" w:hAnsiTheme="minorHAnsi" w:cstheme="minorHAnsi"/>
          <w:color w:val="000000"/>
          <w:sz w:val="20"/>
          <w:szCs w:val="20"/>
        </w:rPr>
        <w:t xml:space="preserve"> Some social benefits, such as greater social justice, cannot easily be quantified.</w:t>
      </w:r>
      <w:r w:rsidRPr="00F004D8">
        <w:rPr>
          <w:rStyle w:val="apple-converted-space"/>
          <w:rFonts w:asciiTheme="minorHAnsi" w:hAnsiTheme="minorHAnsi" w:cstheme="minorHAnsi"/>
          <w:color w:val="000000"/>
          <w:sz w:val="20"/>
          <w:szCs w:val="20"/>
        </w:rPr>
        <w:t> </w:t>
      </w:r>
    </w:p>
    <w:p w:rsidR="00120CB6" w:rsidRPr="00F004D8" w:rsidRDefault="00120CB6" w:rsidP="00120CB6">
      <w:pPr>
        <w:pStyle w:val="BodyText"/>
        <w:rPr>
          <w:rFonts w:cstheme="minorHAnsi"/>
        </w:rPr>
      </w:pPr>
    </w:p>
    <w:p w:rsidR="001E768A" w:rsidRDefault="001E768A" w:rsidP="00120CB6">
      <w:pPr>
        <w:pStyle w:val="BodyText"/>
      </w:pPr>
    </w:p>
    <w:p w:rsidR="00B3127D" w:rsidRDefault="00B3127D" w:rsidP="0066358A">
      <w:pPr>
        <w:pStyle w:val="Heading2"/>
        <w:numPr>
          <w:ilvl w:val="0"/>
          <w:numId w:val="0"/>
        </w:numPr>
        <w:spacing w:before="40" w:after="0" w:line="240" w:lineRule="auto"/>
      </w:pPr>
      <w:bookmarkStart w:id="10" w:name="PasteHere"/>
      <w:bookmarkStart w:id="11" w:name="EndPasteHere"/>
      <w:bookmarkStart w:id="12" w:name="_Toc420655061"/>
      <w:bookmarkStart w:id="13" w:name="xRefStart"/>
      <w:bookmarkStart w:id="14" w:name="xrefEnd"/>
      <w:bookmarkStart w:id="15" w:name="SectionBreakEndHere"/>
      <w:bookmarkStart w:id="16" w:name="_Toc392762218"/>
      <w:bookmarkStart w:id="17" w:name="_Toc412402265"/>
      <w:bookmarkStart w:id="18" w:name="_Toc420655062"/>
      <w:bookmarkEnd w:id="7"/>
      <w:bookmarkEnd w:id="10"/>
      <w:bookmarkEnd w:id="11"/>
      <w:bookmarkEnd w:id="12"/>
      <w:bookmarkEnd w:id="13"/>
      <w:bookmarkEnd w:id="14"/>
      <w:bookmarkEnd w:id="15"/>
      <w:r>
        <w:t xml:space="preserve"> </w:t>
      </w:r>
    </w:p>
    <w:p w:rsidR="00B3127D" w:rsidRDefault="00B3127D" w:rsidP="00B3127D">
      <w:pPr>
        <w:pStyle w:val="Heading1"/>
      </w:pPr>
      <w:bookmarkStart w:id="19" w:name="_Toc523307091"/>
      <w:r w:rsidRPr="00B3127D">
        <w:t>Purpose of the report, review method, and rationale</w:t>
      </w:r>
      <w:bookmarkEnd w:id="19"/>
      <w:r w:rsidRPr="00B3127D">
        <w:t xml:space="preserve"> </w:t>
      </w:r>
    </w:p>
    <w:p w:rsidR="00B3127D" w:rsidRDefault="00B3127D" w:rsidP="00B3127D">
      <w:pPr>
        <w:pStyle w:val="Heading2"/>
      </w:pPr>
      <w:bookmarkStart w:id="20" w:name="_Toc523307092"/>
      <w:r w:rsidRPr="00B3127D">
        <w:t>Purpose</w:t>
      </w:r>
      <w:bookmarkEnd w:id="20"/>
    </w:p>
    <w:p w:rsidR="00814BB8" w:rsidRPr="00F004D8" w:rsidRDefault="00B3127D" w:rsidP="001F6075">
      <w:pPr>
        <w:spacing w:before="200" w:after="200" w:line="288" w:lineRule="auto"/>
        <w:rPr>
          <w:sz w:val="20"/>
          <w:szCs w:val="20"/>
        </w:rPr>
      </w:pPr>
      <w:r w:rsidRPr="00F004D8">
        <w:rPr>
          <w:sz w:val="20"/>
          <w:szCs w:val="20"/>
        </w:rPr>
        <w:t>The purpose of this report is to:</w:t>
      </w:r>
    </w:p>
    <w:p w:rsidR="00B3127D" w:rsidRPr="00F004D8" w:rsidRDefault="00B3127D" w:rsidP="001F6075">
      <w:pPr>
        <w:pStyle w:val="ListParagraph"/>
        <w:numPr>
          <w:ilvl w:val="0"/>
          <w:numId w:val="20"/>
        </w:numPr>
        <w:spacing w:before="200" w:after="200"/>
        <w:contextualSpacing/>
      </w:pPr>
      <w:r w:rsidRPr="00F004D8">
        <w:t>provide an overview of the literature on health co-benefits associated with strategies implemented for climate adaptation and mitigation goals; and</w:t>
      </w:r>
    </w:p>
    <w:p w:rsidR="00B3127D" w:rsidRPr="00F004D8" w:rsidRDefault="00B3127D" w:rsidP="001F6075">
      <w:pPr>
        <w:pStyle w:val="ListParagraph"/>
        <w:numPr>
          <w:ilvl w:val="0"/>
          <w:numId w:val="20"/>
        </w:numPr>
        <w:spacing w:before="200" w:after="200"/>
        <w:contextualSpacing/>
      </w:pPr>
      <w:proofErr w:type="gramStart"/>
      <w:r w:rsidRPr="00F004D8">
        <w:t>inform</w:t>
      </w:r>
      <w:proofErr w:type="gramEnd"/>
      <w:r w:rsidRPr="00F004D8">
        <w:t xml:space="preserve"> the City of Melbourne about the possible health and social benefits available to the city and its inhabitants from the implementation of measures to put Melbourne on a path to net zero emissions by 2050.</w:t>
      </w:r>
    </w:p>
    <w:p w:rsidR="00B3127D" w:rsidRDefault="00B3127D" w:rsidP="00B3127D">
      <w:pPr>
        <w:pStyle w:val="Heading2"/>
      </w:pPr>
      <w:bookmarkStart w:id="21" w:name="_Toc523307093"/>
      <w:r>
        <w:t>Method</w:t>
      </w:r>
      <w:bookmarkEnd w:id="21"/>
    </w:p>
    <w:p w:rsidR="00B3127D" w:rsidRPr="00F004D8" w:rsidRDefault="00B3127D" w:rsidP="001F6075">
      <w:pPr>
        <w:spacing w:before="200" w:after="200" w:line="288" w:lineRule="auto"/>
        <w:rPr>
          <w:color w:val="1C1D1E"/>
          <w:sz w:val="20"/>
          <w:szCs w:val="20"/>
          <w:shd w:val="clear" w:color="auto" w:fill="FFFFFF"/>
        </w:rPr>
      </w:pPr>
      <w:r w:rsidRPr="00F004D8">
        <w:rPr>
          <w:color w:val="000000"/>
          <w:sz w:val="20"/>
          <w:szCs w:val="20"/>
        </w:rPr>
        <w:t xml:space="preserve">A desktop review was conducted of the literature on the evidence of health and social co-benefits associated with climate mitigation and adaptation strategies. Relevant literature from 2008-2018 was identified by searching electronic databases and search engines using a range of search terms related to ‘climate mitigation’ and ‘climate adaptation’ and ‘health co-benefits’. The term co-benefits are sometimes used interchangeably with “additional benefits” or “ancillary benefits” or “win-win-win scenarios”, so these search terms were also used. It was supplemented by studies recommended by policy and academic experts in the field. It included peer reviewed studies which described or evaluated health impacts in relation to climate mitigation or adaptation measures or assessed potential health impacts. Studies that considered co-benefits for health associated with active, public and low emissions transport, low carbon diets, energy efficiency in homes and buildings, low emissions energy sources, low carbon healthcare, and green infrastructure, including parks and gardens were also sourced. </w:t>
      </w:r>
      <w:r w:rsidRPr="00F004D8">
        <w:rPr>
          <w:color w:val="1C1D1E"/>
          <w:sz w:val="20"/>
          <w:szCs w:val="20"/>
          <w:shd w:val="clear" w:color="auto" w:fill="FFFFFF"/>
        </w:rPr>
        <w:t>Studies were included if they were peer reviewed or were considered reputable grey literature from research institutions, governments or non-government organisations. A total of 124 studies were used for the report. The literature was analysed according to themes included in the report contents.</w:t>
      </w:r>
    </w:p>
    <w:p w:rsidR="00B3127D" w:rsidRDefault="00B3127D" w:rsidP="00B3127D">
      <w:pPr>
        <w:pStyle w:val="Heading2"/>
      </w:pPr>
      <w:bookmarkStart w:id="22" w:name="_Toc523307094"/>
      <w:r>
        <w:t>Rationale</w:t>
      </w:r>
      <w:bookmarkEnd w:id="22"/>
    </w:p>
    <w:p w:rsidR="0066358A" w:rsidRDefault="0066358A" w:rsidP="0066358A">
      <w:pPr>
        <w:pStyle w:val="Heading3"/>
      </w:pPr>
      <w:bookmarkStart w:id="23" w:name="_Toc523307095"/>
      <w:r>
        <w:t>The evidence</w:t>
      </w:r>
      <w:bookmarkEnd w:id="23"/>
    </w:p>
    <w:p w:rsidR="00B3127D" w:rsidRPr="00AC5B04" w:rsidRDefault="00B3127D" w:rsidP="0066358A">
      <w:pPr>
        <w:pStyle w:val="BodyText"/>
      </w:pPr>
      <w:r>
        <w:t>The</w:t>
      </w:r>
      <w:r w:rsidRPr="00AC5B04">
        <w:t xml:space="preserve"> health and social </w:t>
      </w:r>
      <w:r>
        <w:t>co-</w:t>
      </w:r>
      <w:r w:rsidRPr="00AC5B04">
        <w:t xml:space="preserve">benefits </w:t>
      </w:r>
      <w:r>
        <w:t xml:space="preserve">of climate mitigation and adaptation strategies </w:t>
      </w:r>
      <w:r w:rsidRPr="00AC5B04">
        <w:t>can help create additional motivation to take action towards the net zero emissions goal. The</w:t>
      </w:r>
      <w:r>
        <w:t xml:space="preserve"> evidence </w:t>
      </w:r>
      <w:r w:rsidRPr="00AC5B04">
        <w:t>reveal</w:t>
      </w:r>
      <w:r>
        <w:t>s</w:t>
      </w:r>
      <w:r w:rsidRPr="00AC5B04">
        <w:t xml:space="preserve"> economic savings </w:t>
      </w:r>
      <w:r>
        <w:t>associated with health co-benefits can</w:t>
      </w:r>
      <w:r w:rsidRPr="00AC5B04">
        <w:t xml:space="preserve"> outweigh the cost of the measures themselves</w:t>
      </w:r>
      <w:r>
        <w:t xml:space="preserve">. The literature </w:t>
      </w:r>
      <w:r w:rsidRPr="00AC5B04">
        <w:t>demonstrate</w:t>
      </w:r>
      <w:r>
        <w:t>s</w:t>
      </w:r>
      <w:r w:rsidRPr="00AC5B04">
        <w:t xml:space="preserve"> that integrated policies (that consider the implications for a number of sectors and stakeholders) </w:t>
      </w:r>
      <w:r>
        <w:t>provide</w:t>
      </w:r>
      <w:r w:rsidRPr="00AC5B04">
        <w:t xml:space="preserve"> opportunities to enhance positive social, environmental and human health</w:t>
      </w:r>
      <w:r>
        <w:t xml:space="preserve"> outcomes</w:t>
      </w:r>
      <w:r w:rsidRPr="00AC5B04">
        <w:t>. Importantly, many health co-benefits associated with climate mitigation strategies are realised in short timeframes (days, months and years, depending on the intervention), while the climate benefits accumulate in the longer term (</w:t>
      </w:r>
      <w:proofErr w:type="spellStart"/>
      <w:r w:rsidRPr="00AC5B04">
        <w:t>Remais</w:t>
      </w:r>
      <w:proofErr w:type="spellEnd"/>
      <w:r w:rsidRPr="00AC5B04">
        <w:t>, 2014).</w:t>
      </w:r>
    </w:p>
    <w:p w:rsidR="00B3127D" w:rsidRDefault="00B3127D" w:rsidP="00B3127D"/>
    <w:p w:rsidR="0066358A" w:rsidRDefault="0066358A" w:rsidP="0066358A">
      <w:pPr>
        <w:pStyle w:val="Heading3"/>
      </w:pPr>
      <w:bookmarkStart w:id="24" w:name="_Toc523307096"/>
      <w:r>
        <w:t>International covenants</w:t>
      </w:r>
      <w:bookmarkEnd w:id="24"/>
    </w:p>
    <w:p w:rsidR="00B3127D" w:rsidRPr="00F004D8" w:rsidRDefault="00B3127D" w:rsidP="001F6075">
      <w:pPr>
        <w:spacing w:before="200" w:after="200" w:line="288" w:lineRule="auto"/>
        <w:rPr>
          <w:sz w:val="20"/>
          <w:szCs w:val="20"/>
        </w:rPr>
      </w:pPr>
      <w:r w:rsidRPr="00F004D8">
        <w:rPr>
          <w:sz w:val="20"/>
          <w:szCs w:val="20"/>
        </w:rPr>
        <w:t>The potential for health co-benefits from climate mitigation and adaptation has been recognised in the Intergovernmental Panel on Climate Change Fifth Assessment Report and codified in the UNFCCC Paris Agreement (Smith, 2014; UNFCCC 2015). Health and wellbeing and climate action are also mutually reinforcing and complementary goals in the Sustainable Development Goals (SDGs).</w:t>
      </w:r>
    </w:p>
    <w:p w:rsidR="0066358A" w:rsidRPr="00F004D8" w:rsidRDefault="00B3127D" w:rsidP="001F6075">
      <w:pPr>
        <w:spacing w:before="200" w:after="200" w:line="288" w:lineRule="auto"/>
        <w:rPr>
          <w:sz w:val="20"/>
          <w:szCs w:val="20"/>
        </w:rPr>
      </w:pPr>
      <w:r w:rsidRPr="00F004D8">
        <w:rPr>
          <w:sz w:val="20"/>
          <w:szCs w:val="20"/>
        </w:rPr>
        <w:t>As a party to the Paris Agreement, Australia has an obligation to consider its citizens’ right to health in the context of climate policy, and to consider the potential for health co-benefits in climate mitigation strategies. This provides an important framework for sub-national (including local) governments to use to guide decision-making and prioritisation of strategies in their efforts to contribute to the impleme</w:t>
      </w:r>
      <w:r w:rsidR="001F6075">
        <w:rPr>
          <w:sz w:val="20"/>
          <w:szCs w:val="20"/>
        </w:rPr>
        <w:t>ntation of the Paris Agreement.</w:t>
      </w:r>
    </w:p>
    <w:p w:rsidR="0066358A" w:rsidRPr="0066358A" w:rsidRDefault="0066358A" w:rsidP="0066358A">
      <w:pPr>
        <w:pStyle w:val="Heading3"/>
      </w:pPr>
      <w:bookmarkStart w:id="25" w:name="_Toc523307097"/>
      <w:r w:rsidRPr="0066358A">
        <w:t>Health as a climate change communications ‘frame’</w:t>
      </w:r>
      <w:bookmarkEnd w:id="25"/>
    </w:p>
    <w:p w:rsidR="0066358A" w:rsidRPr="00F004D8" w:rsidRDefault="0066358A" w:rsidP="001F6075">
      <w:pPr>
        <w:spacing w:before="200" w:after="200" w:line="288" w:lineRule="auto"/>
        <w:rPr>
          <w:sz w:val="20"/>
          <w:szCs w:val="20"/>
        </w:rPr>
      </w:pPr>
      <w:r w:rsidRPr="00F004D8">
        <w:rPr>
          <w:sz w:val="20"/>
          <w:szCs w:val="20"/>
        </w:rPr>
        <w:t>Health is an important ‘frame’</w:t>
      </w:r>
      <w:r w:rsidRPr="00F004D8">
        <w:rPr>
          <w:rStyle w:val="FootnoteReference"/>
          <w:rFonts w:eastAsiaTheme="majorEastAsia"/>
          <w:sz w:val="20"/>
          <w:szCs w:val="20"/>
        </w:rPr>
        <w:footnoteReference w:id="1"/>
      </w:r>
      <w:r w:rsidRPr="00F004D8">
        <w:rPr>
          <w:sz w:val="20"/>
          <w:szCs w:val="20"/>
        </w:rPr>
        <w:t xml:space="preserve"> when communicating about climate change: research from the Centre for Climate Change Communication at George Mason University shows when climate change is presented as a health issue, people are much more likely to consider it in a personal context, as an individual threat and something that is understandable and directly relevant to them (</w:t>
      </w:r>
      <w:proofErr w:type="spellStart"/>
      <w:r w:rsidRPr="00F004D8">
        <w:rPr>
          <w:sz w:val="20"/>
          <w:szCs w:val="20"/>
        </w:rPr>
        <w:t>Maibach</w:t>
      </w:r>
      <w:proofErr w:type="spellEnd"/>
      <w:r w:rsidRPr="00F004D8">
        <w:rPr>
          <w:sz w:val="20"/>
          <w:szCs w:val="20"/>
        </w:rPr>
        <w:t xml:space="preserve"> 2010). When the health co-benefits are part of the climate change narrative, this has even more impact – and leads to stronger support for climate mitigation and adaptation strategies (</w:t>
      </w:r>
      <w:proofErr w:type="spellStart"/>
      <w:r w:rsidRPr="00F004D8">
        <w:rPr>
          <w:sz w:val="20"/>
          <w:szCs w:val="20"/>
        </w:rPr>
        <w:t>Maibach</w:t>
      </w:r>
      <w:proofErr w:type="spellEnd"/>
      <w:r w:rsidRPr="00F004D8">
        <w:rPr>
          <w:sz w:val="20"/>
          <w:szCs w:val="20"/>
        </w:rPr>
        <w:t xml:space="preserve"> 2010; Myers, 2012). Importantly, a health frame around climate change communications also has strong appeal across all audience spectrums (ranging from those ‘alarmed’ about climate change, to those that are ‘dismissive’), regardless of political leaning (Myers, 2012). This demonstrates that a health lens provides a way to communicate about climate change in a way that can bypass otherwise partisan and politically hostile debate (Myers, 2012; Bain, 2015).</w:t>
      </w:r>
    </w:p>
    <w:p w:rsidR="0066358A" w:rsidRPr="00F004D8" w:rsidRDefault="0066358A" w:rsidP="001F6075">
      <w:pPr>
        <w:spacing w:before="200" w:after="200" w:line="288" w:lineRule="auto"/>
        <w:rPr>
          <w:sz w:val="20"/>
          <w:szCs w:val="20"/>
        </w:rPr>
      </w:pPr>
      <w:r w:rsidRPr="00F004D8">
        <w:rPr>
          <w:sz w:val="20"/>
          <w:szCs w:val="20"/>
        </w:rPr>
        <w:t>Research by Sustainability Victoria shows 78% of Victorians are concerned about climate change, with 38% concerned about its impact on health and quality of life (Sustainability Victoria, 2016/17). Insights from psychological science suggest policymakers seeking to improve climate policy outcomes should: emphasise climate change poses current, local and personal risk; and that individuals and the wider community can make a difference; define and communicate social norms (i.e. what others are doing); and highlight what can be gained from immediate action, while linking to valued longer term</w:t>
      </w:r>
      <w:r w:rsidR="001F6075">
        <w:rPr>
          <w:sz w:val="20"/>
          <w:szCs w:val="20"/>
        </w:rPr>
        <w:t xml:space="preserve"> goals (van der Linden, 2015). </w:t>
      </w:r>
    </w:p>
    <w:p w:rsidR="0066358A" w:rsidRPr="00F004D8" w:rsidRDefault="0066358A" w:rsidP="00B002E7">
      <w:pPr>
        <w:spacing w:before="200" w:after="200" w:line="288" w:lineRule="auto"/>
        <w:rPr>
          <w:sz w:val="20"/>
          <w:szCs w:val="20"/>
        </w:rPr>
      </w:pPr>
      <w:r w:rsidRPr="00F004D8">
        <w:rPr>
          <w:sz w:val="20"/>
          <w:szCs w:val="20"/>
        </w:rPr>
        <w:t>Further, the evidence suggests that personal perception of risk, linked to health, is a powerful influence on behavioural change (</w:t>
      </w:r>
      <w:proofErr w:type="spellStart"/>
      <w:r w:rsidRPr="00F004D8">
        <w:rPr>
          <w:sz w:val="20"/>
          <w:szCs w:val="20"/>
        </w:rPr>
        <w:t>Petrovic</w:t>
      </w:r>
      <w:proofErr w:type="spellEnd"/>
      <w:r w:rsidRPr="00F004D8">
        <w:rPr>
          <w:sz w:val="20"/>
          <w:szCs w:val="20"/>
        </w:rPr>
        <w:t>, 2014).</w:t>
      </w:r>
    </w:p>
    <w:p w:rsidR="0066358A" w:rsidRPr="00B002E7" w:rsidRDefault="0066358A" w:rsidP="00B002E7">
      <w:pPr>
        <w:spacing w:before="200" w:after="200" w:line="288" w:lineRule="auto"/>
        <w:rPr>
          <w:b/>
          <w:sz w:val="20"/>
          <w:szCs w:val="20"/>
        </w:rPr>
      </w:pPr>
      <w:r w:rsidRPr="00F004D8">
        <w:rPr>
          <w:b/>
          <w:sz w:val="20"/>
          <w:szCs w:val="20"/>
        </w:rPr>
        <w:t>This points to an important opportunity for the City of Melbourne to use health as a communications vehicle to engage people more deeply in the City’s climate change mitigation and adaptation plans, and to use the health co-benefits framing as a positive opportunity and trigger for action.</w:t>
      </w:r>
      <w:r w:rsidR="00B002E7">
        <w:rPr>
          <w:b/>
          <w:sz w:val="20"/>
          <w:szCs w:val="20"/>
        </w:rPr>
        <w:t xml:space="preserve"> </w:t>
      </w:r>
    </w:p>
    <w:p w:rsidR="0066358A" w:rsidRPr="00F004D8" w:rsidRDefault="0066358A" w:rsidP="00B002E7">
      <w:pPr>
        <w:spacing w:before="200" w:after="200" w:line="288" w:lineRule="auto"/>
        <w:rPr>
          <w:sz w:val="20"/>
          <w:szCs w:val="20"/>
        </w:rPr>
      </w:pPr>
    </w:p>
    <w:p w:rsidR="0066358A" w:rsidRPr="00F004D8" w:rsidRDefault="0066358A" w:rsidP="00B002E7">
      <w:pPr>
        <w:spacing w:before="200" w:after="200" w:line="288" w:lineRule="auto"/>
        <w:rPr>
          <w:sz w:val="20"/>
          <w:szCs w:val="20"/>
        </w:rPr>
      </w:pPr>
    </w:p>
    <w:p w:rsidR="0066358A" w:rsidRDefault="0066358A" w:rsidP="0066358A">
      <w:pPr>
        <w:pStyle w:val="Heading1"/>
      </w:pPr>
      <w:bookmarkStart w:id="26" w:name="_Toc523307098"/>
      <w:r w:rsidRPr="0066358A">
        <w:t>Introduction and Background</w:t>
      </w:r>
      <w:bookmarkEnd w:id="26"/>
      <w:r w:rsidRPr="0066358A">
        <w:t xml:space="preserve"> </w:t>
      </w:r>
    </w:p>
    <w:p w:rsidR="0066358A" w:rsidRDefault="0066358A" w:rsidP="0066358A">
      <w:pPr>
        <w:pStyle w:val="Heading2"/>
      </w:pPr>
      <w:bookmarkStart w:id="27" w:name="_Toc523307099"/>
      <w:r w:rsidRPr="0066358A">
        <w:t>Risks to health from climate change</w:t>
      </w:r>
      <w:bookmarkEnd w:id="27"/>
    </w:p>
    <w:p w:rsidR="0066358A" w:rsidRPr="0066358A" w:rsidRDefault="0066358A" w:rsidP="0066358A">
      <w:pPr>
        <w:pStyle w:val="BodyText"/>
      </w:pPr>
      <w:r w:rsidRPr="0066358A">
        <w:t xml:space="preserve">Climate change is recognised as a profound threat to the health and wellbeing of people in Australia and around the world, and left unchecked, threatens to undermine the health gains associated with the last 50 years of global development (Watts, 2015). The economic costs associated with the adverse health and social costs of climate change are frequently unrecognised, but are often immense: for example, the costs associated with deaths and injuries, mental stress, worsening chronic illness, domestic violence, and unemployment associated with the 2001 floods in Qld amounted to AUD$7.4 billion. This exceeded the AUD$6.7 billion worth of combined costs of damage to homes, infrastructure, businesses, agricultural production, and the emergency response (Deloitte Access Economics, </w:t>
      </w:r>
      <w:r>
        <w:t xml:space="preserve">2016). </w:t>
      </w:r>
    </w:p>
    <w:p w:rsidR="0066358A" w:rsidRPr="0066358A" w:rsidRDefault="0066358A" w:rsidP="0066358A">
      <w:pPr>
        <w:pStyle w:val="BodyText"/>
      </w:pPr>
      <w:r w:rsidRPr="0066358A">
        <w:t>As well as the health costs of climate change, there are significant immediate and costly negative health impacts associated with air pollution - released by the same combustion processes that produce GHG emissions (Watts, 2017; Roy, 2017). Air pollution presents both a personal toll as well as a significant impact on the economy: a 2017 report estimates the present human and economic cost of air pollution in just 41 OECD and BRIICS countries</w:t>
      </w:r>
      <w:r w:rsidRPr="0066358A">
        <w:rPr>
          <w:vertAlign w:val="superscript"/>
        </w:rPr>
        <w:footnoteReference w:id="2"/>
      </w:r>
      <w:r w:rsidRPr="0066358A">
        <w:t xml:space="preserve"> is around 3.2 million deaths and USD$5.1 trillion annually (Roy, 2017). Globally, the World Health Organisation (WHO) estimates 7 million deaths occur each year as a result of exposure to dangerous air pollution (WHO, 2018). As the OECD report shows, this is not just a risk for developing nations: 91% of the world’s population lives in places where air quality exceeds the WHO guideline limits (WHO, 2018). It is estimated that the annual death toll from urban air pollution in Australia is 3,000 (AIHW, 2016). </w:t>
      </w:r>
    </w:p>
    <w:p w:rsidR="0066358A" w:rsidRPr="0066358A" w:rsidRDefault="0066358A" w:rsidP="0066358A">
      <w:pPr>
        <w:pStyle w:val="BodyText"/>
      </w:pPr>
      <w:r w:rsidRPr="0066358A">
        <w:t>Leading climate change and health researcher Professor Tony McMichael describes climate change as a complex phenomenon which can alter the rate, range and patterns of injury, illness, and death,</w:t>
      </w:r>
      <w:r>
        <w:t xml:space="preserve"> but emphasises:</w:t>
      </w:r>
    </w:p>
    <w:p w:rsidR="0066358A" w:rsidRPr="0066358A" w:rsidRDefault="0066358A" w:rsidP="0066358A">
      <w:pPr>
        <w:pStyle w:val="BodyText"/>
      </w:pPr>
      <w:r w:rsidRPr="0066358A">
        <w:rPr>
          <w:i/>
        </w:rPr>
        <w:t xml:space="preserve">“…it is not the climate itself that affects human health; rather, the health consequences result from the environmental, ecological and social impacts of a changing climate.” </w:t>
      </w:r>
      <w:proofErr w:type="gramStart"/>
      <w:r w:rsidRPr="0066358A">
        <w:t>(McMichael, 2011).</w:t>
      </w:r>
      <w:proofErr w:type="gramEnd"/>
    </w:p>
    <w:p w:rsidR="0066358A" w:rsidRPr="0066358A" w:rsidRDefault="0066358A" w:rsidP="0066358A">
      <w:pPr>
        <w:pStyle w:val="BodyText"/>
      </w:pPr>
      <w:r w:rsidRPr="0066358A">
        <w:t xml:space="preserve">The most negative direct impacts on health from climate change include deaths, injuries, and illnesses associated with heatwaves, floods, bushfires and severe storms (McMichael, 2011). Indirect impacts are mediated by environmental or ecosystem factors such as deaths and illnesses related to increases in air pollution, exposure to vector-borne, or food- and water-borne diseases. Further indirect effects arise from: socio-economic and mental health issues associated with trauma and displacement following extreme weather events; poor nutrition associated with declining agricultural production; and exposure to violence and conflict (Workman, 2018). There is an increased risk of cardiovascular and respiratory illness linked with declining air quality and increased aeroallergens associated with climate change (D’Amato, 2013). Indirect risks also include threats to nutritional status associated with impacts on food supply and water security, and threats to personal and community security related to economic instability, migration and conflict (intergroup and interpersonal) (Hsiang, 2013; Butler, 2016). </w:t>
      </w:r>
    </w:p>
    <w:p w:rsidR="0066358A" w:rsidRPr="0066358A" w:rsidRDefault="0066358A" w:rsidP="0066358A">
      <w:pPr>
        <w:pStyle w:val="BodyText"/>
      </w:pPr>
      <w:r w:rsidRPr="0066358A">
        <w:t xml:space="preserve">The extent to which people’s health is affected by climate change depends on many factors, including their current health status, age and gender, socio-economic status, and access to social services, infrastructure and support, including healthcare (Smith, 2014). Figure 1 below highlights how climate change impacts on human health as a “threat multiplier” in that it amplifies or increases pre-existing health threats or problems (CDPH, 2018; </w:t>
      </w:r>
      <w:proofErr w:type="spellStart"/>
      <w:r w:rsidRPr="0066358A">
        <w:t>Kjellstrom</w:t>
      </w:r>
      <w:proofErr w:type="spellEnd"/>
      <w:r w:rsidRPr="0066358A">
        <w:t>, 2013).</w:t>
      </w:r>
    </w:p>
    <w:p w:rsidR="0066358A" w:rsidRPr="0066358A" w:rsidRDefault="0066358A" w:rsidP="0066358A">
      <w:pPr>
        <w:pStyle w:val="BodyText"/>
      </w:pPr>
      <w:r w:rsidRPr="00C36312">
        <w:rPr>
          <w:noProof/>
        </w:rPr>
        <w:drawing>
          <wp:inline distT="0" distB="0" distL="0" distR="0" wp14:anchorId="2E69363B" wp14:editId="15524922">
            <wp:extent cx="5727700" cy="26720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2672080"/>
                    </a:xfrm>
                    <a:prstGeom prst="rect">
                      <a:avLst/>
                    </a:prstGeom>
                  </pic:spPr>
                </pic:pic>
              </a:graphicData>
            </a:graphic>
          </wp:inline>
        </w:drawing>
      </w:r>
    </w:p>
    <w:p w:rsidR="0066358A" w:rsidRPr="00F004D8" w:rsidRDefault="0066358A" w:rsidP="0066358A">
      <w:pPr>
        <w:rPr>
          <w:bCs/>
          <w:i/>
          <w:iCs/>
          <w:spacing w:val="5"/>
          <w:sz w:val="16"/>
          <w:szCs w:val="16"/>
        </w:rPr>
      </w:pPr>
      <w:r w:rsidRPr="00F004D8">
        <w:rPr>
          <w:rStyle w:val="BookTitle"/>
          <w:b w:val="0"/>
          <w:sz w:val="16"/>
          <w:szCs w:val="16"/>
        </w:rPr>
        <w:t xml:space="preserve">Figure 1: </w:t>
      </w:r>
      <w:r w:rsidRPr="00F004D8">
        <w:rPr>
          <w:bCs/>
          <w:i/>
          <w:iCs/>
          <w:spacing w:val="5"/>
          <w:sz w:val="16"/>
          <w:szCs w:val="16"/>
        </w:rPr>
        <w:t>Impact of Climate Change on Human Health and Exacerbation of Existing Inequities (Adapted from CDC, J. Patz by California Department of Public Health).</w:t>
      </w:r>
    </w:p>
    <w:p w:rsidR="0066358A" w:rsidRDefault="0066358A" w:rsidP="0066358A">
      <w:pPr>
        <w:pStyle w:val="Heading2"/>
      </w:pPr>
      <w:bookmarkStart w:id="28" w:name="_Toc523307100"/>
      <w:r w:rsidRPr="0066358A">
        <w:t>Direct impacts: Extreme weather events</w:t>
      </w:r>
      <w:bookmarkEnd w:id="28"/>
    </w:p>
    <w:p w:rsidR="0066358A" w:rsidRPr="00F004D8" w:rsidRDefault="0066358A" w:rsidP="00B002E7">
      <w:pPr>
        <w:spacing w:before="200" w:after="200" w:line="288" w:lineRule="auto"/>
        <w:rPr>
          <w:sz w:val="20"/>
          <w:szCs w:val="20"/>
        </w:rPr>
      </w:pPr>
      <w:r w:rsidRPr="00F004D8">
        <w:rPr>
          <w:sz w:val="20"/>
          <w:szCs w:val="20"/>
        </w:rPr>
        <w:t>Some of the direct risks to health from extreme weather events associated with climate change relevant to the City of Melbourne include heatwaves, floods and storms.</w:t>
      </w:r>
    </w:p>
    <w:p w:rsidR="0066358A" w:rsidRPr="00F004D8" w:rsidRDefault="0066358A" w:rsidP="00B002E7">
      <w:pPr>
        <w:spacing w:before="200" w:after="200" w:line="288" w:lineRule="auto"/>
        <w:rPr>
          <w:sz w:val="20"/>
          <w:szCs w:val="20"/>
        </w:rPr>
      </w:pPr>
      <w:r w:rsidRPr="00F004D8">
        <w:rPr>
          <w:sz w:val="20"/>
          <w:szCs w:val="20"/>
        </w:rPr>
        <w:t>Extreme weather events such as floods, storms, extreme precipitation, droughts, and bushfires are increasing in frequency, duration and intensity (Black, 2015; Lewis, 2014; Steffen, 2017). These put people at risk of injury, illness and death through direct trauma and exposure to air-borne (e.g. smoke haze) and water-borne (e.g. contaminated stormwater) pollutants. Physical displacement, mental health impacts and post-traumatic stress associated with extreme weather all place increased demand on health, emergency and community services (State Government of Victoria, 2009, 2014; Banham, 2018; Curtis, 2017; Mallon, 2013). Extreme events also pose a threat to health services infrastructure, operations and service continuity, as well as to the health workforce, posing further risks to the community if services are inaccessible, unable to function, or not fully staffed (</w:t>
      </w:r>
      <w:proofErr w:type="spellStart"/>
      <w:r w:rsidRPr="00F004D8">
        <w:rPr>
          <w:sz w:val="20"/>
          <w:szCs w:val="20"/>
        </w:rPr>
        <w:t>Carthey</w:t>
      </w:r>
      <w:proofErr w:type="spellEnd"/>
      <w:r w:rsidRPr="00F004D8">
        <w:rPr>
          <w:sz w:val="20"/>
          <w:szCs w:val="20"/>
        </w:rPr>
        <w:t xml:space="preserve">, 2009). </w:t>
      </w:r>
    </w:p>
    <w:p w:rsidR="0066358A" w:rsidRDefault="0066358A" w:rsidP="0066358A">
      <w:pPr>
        <w:pStyle w:val="Heading3"/>
      </w:pPr>
      <w:bookmarkStart w:id="29" w:name="_Toc523307101"/>
      <w:r>
        <w:t>Heatwaves</w:t>
      </w:r>
      <w:bookmarkEnd w:id="29"/>
    </w:p>
    <w:p w:rsidR="0066358A" w:rsidRPr="00F004D8" w:rsidRDefault="0066358A" w:rsidP="00B002E7">
      <w:pPr>
        <w:spacing w:before="200" w:after="200" w:line="288" w:lineRule="auto"/>
        <w:rPr>
          <w:sz w:val="20"/>
          <w:szCs w:val="20"/>
        </w:rPr>
      </w:pPr>
      <w:r w:rsidRPr="00F004D8">
        <w:rPr>
          <w:sz w:val="20"/>
          <w:szCs w:val="20"/>
        </w:rPr>
        <w:t xml:space="preserve">Rising global average temperatures are giving rise to more frequent and intense heatwaves (Patrick, 2015). This is exacerbated for city dwellers by the urban heat island event, whereby cities can be 5-11 degrees Celsius hotter than surrounding areas (Patrick, 2015). Heatwaves already cause more deaths in Australia than bushfires, cyclones, earthquakes, floods and severe storms combined (Hughes, 2016). Deaths from heatwaves primarily occur as a result of myocardial infarction (heart attack), respiratory failure, and heat stroke (McMichael, 2011). Socially disadvantaged communities (e.g. those on lower incomes) and people with existing physical (e.g. heart disease, obesity, multiple sclerosis) or mental illness, the very old and the very young, and those living alone are most at risk of negative health impacts from extreme heat (Norton, 2015). </w:t>
      </w:r>
    </w:p>
    <w:p w:rsidR="0066358A" w:rsidRDefault="0066358A" w:rsidP="0066358A">
      <w:pPr>
        <w:pStyle w:val="Heading3"/>
      </w:pPr>
      <w:bookmarkStart w:id="30" w:name="_Toc523307102"/>
      <w:r>
        <w:t>Floods and storms</w:t>
      </w:r>
      <w:bookmarkEnd w:id="30"/>
    </w:p>
    <w:p w:rsidR="0066358A" w:rsidRPr="00F004D8" w:rsidRDefault="0066358A" w:rsidP="00B002E7">
      <w:pPr>
        <w:spacing w:before="200" w:after="200" w:line="288" w:lineRule="auto"/>
        <w:rPr>
          <w:sz w:val="20"/>
          <w:szCs w:val="20"/>
        </w:rPr>
      </w:pPr>
      <w:r w:rsidRPr="00F004D8">
        <w:rPr>
          <w:sz w:val="20"/>
          <w:szCs w:val="20"/>
        </w:rPr>
        <w:t>Severe floods in Australia in recent years highlight that many urban and rural communities are vulnerable to the damaging effects of floods and severe storms. Floods affect health through drownings, injuries, and the spread of disease through contamination of floodwaters with environmental toxins or infectious diseases (Smith, 2014). Severe storms and flash flooding can cause fatalities and injuries, as well as disrupt transport systems, and contribute to power outages (Wales, 2012). Flooding and storms can have serious impacts on mental health, with people whose homes and properties are inundated with flood waters being two to five times more likely to report mental health impacts (psychological distress, anxiety, and depression) than those not flooded (</w:t>
      </w:r>
      <w:proofErr w:type="spellStart"/>
      <w:r w:rsidRPr="00F004D8">
        <w:rPr>
          <w:sz w:val="20"/>
          <w:szCs w:val="20"/>
        </w:rPr>
        <w:t>Paranjothy</w:t>
      </w:r>
      <w:proofErr w:type="spellEnd"/>
      <w:r w:rsidRPr="00F004D8">
        <w:rPr>
          <w:sz w:val="20"/>
          <w:szCs w:val="20"/>
        </w:rPr>
        <w:t>, 2011; Smith, 2014).</w:t>
      </w:r>
    </w:p>
    <w:p w:rsidR="0066358A" w:rsidRDefault="0066358A" w:rsidP="0066358A">
      <w:pPr>
        <w:pStyle w:val="Heading2"/>
      </w:pPr>
      <w:bookmarkStart w:id="31" w:name="_Toc523307103"/>
      <w:r>
        <w:t>Indirect health impacts: ecosystem-mediated and human institution-mediated risks</w:t>
      </w:r>
      <w:bookmarkEnd w:id="31"/>
    </w:p>
    <w:p w:rsidR="0066358A" w:rsidRPr="00F004D8" w:rsidRDefault="0066358A" w:rsidP="00B002E7">
      <w:pPr>
        <w:spacing w:before="200" w:after="200" w:line="288" w:lineRule="auto"/>
        <w:rPr>
          <w:sz w:val="20"/>
          <w:szCs w:val="20"/>
        </w:rPr>
      </w:pPr>
      <w:r w:rsidRPr="00F004D8">
        <w:rPr>
          <w:sz w:val="20"/>
          <w:szCs w:val="20"/>
        </w:rPr>
        <w:t xml:space="preserve">Indirect impacts on human health and wellbeing linked to climate change include influences on ecosystems such as increased risk of exposure to infectious and vector borne diseases; food and water borne infections; as well as air pollution and aeroallergens (Smith, 2014; Workman, 2018). Other indirect effects involve health impacts associated with droughts and crop failures, as well social impacts, such as population displacement related to prolonged drought or sea level rise (Smith, 2014). </w:t>
      </w:r>
    </w:p>
    <w:p w:rsidR="0066358A" w:rsidRDefault="0066358A" w:rsidP="0066358A">
      <w:pPr>
        <w:pStyle w:val="Heading3"/>
      </w:pPr>
      <w:bookmarkStart w:id="32" w:name="_Toc523307104"/>
      <w:r w:rsidRPr="0066358A">
        <w:t>Air pollution and aeroallergens</w:t>
      </w:r>
      <w:bookmarkEnd w:id="32"/>
    </w:p>
    <w:p w:rsidR="0066358A" w:rsidRPr="00F004D8" w:rsidRDefault="0066358A" w:rsidP="00B002E7">
      <w:pPr>
        <w:spacing w:before="200" w:after="200" w:line="288" w:lineRule="auto"/>
        <w:rPr>
          <w:sz w:val="20"/>
          <w:szCs w:val="20"/>
        </w:rPr>
      </w:pPr>
      <w:r w:rsidRPr="00F004D8">
        <w:rPr>
          <w:sz w:val="20"/>
          <w:szCs w:val="20"/>
        </w:rPr>
        <w:t>Many processes that create GHG emissions also produce local air pollution harmful to human health. Pollutants produced by burning coal, oil and gas for electricity, heat and transport are associated with an elevated risk of heart attacks, strokes, and respiratory diseases, including lung cancer (Smith, 2013). The pollutants abundant in urban air pollution associated with health harms include particulate matter (PM), nitrogen oxide (NOx) and ground level ozone (D’Amato, 2013; Dean, 2018). The City of Melbourne periodically experiences air pollution which poses a serious health risk for residents, workers, and tourists (Cunningham, 2017). A recent report from the Victorian Auditor-General’s Office suggests a lack of air monitoring equipment may mean air pollution poses a more serious threat to the people of Melbourne than is currently realised, with exceedances in pollutant concentrations occurring more frequently than EPA reports suggest (VAGO, 2018). Increases in temperatures associated with climate change are also linked to increased production of aeroallergens, which contribute to respiratory problems, such as the severe thunderstorm asthma event in Victoria in 2016 (</w:t>
      </w:r>
      <w:proofErr w:type="spellStart"/>
      <w:r w:rsidRPr="00F004D8">
        <w:rPr>
          <w:sz w:val="20"/>
          <w:szCs w:val="20"/>
        </w:rPr>
        <w:t>Tofa</w:t>
      </w:r>
      <w:proofErr w:type="spellEnd"/>
      <w:r w:rsidRPr="00F004D8">
        <w:rPr>
          <w:sz w:val="20"/>
          <w:szCs w:val="20"/>
        </w:rPr>
        <w:t>, 2017), which caused the deaths of nine people and a massive surge in demand for emergency services and medical care (State of Victoria, 2017a).</w:t>
      </w:r>
    </w:p>
    <w:p w:rsidR="0066358A" w:rsidRDefault="0066358A" w:rsidP="0066358A">
      <w:pPr>
        <w:pStyle w:val="Heading3"/>
        <w:rPr>
          <w:iCs/>
        </w:rPr>
      </w:pPr>
      <w:bookmarkStart w:id="33" w:name="_Toc523307105"/>
      <w:r w:rsidRPr="0066358A">
        <w:rPr>
          <w:iCs/>
        </w:rPr>
        <w:t>Infectious and vector-borne diseases</w:t>
      </w:r>
      <w:bookmarkEnd w:id="33"/>
    </w:p>
    <w:p w:rsidR="0066358A" w:rsidRPr="00F004D8" w:rsidRDefault="0066358A" w:rsidP="00B002E7">
      <w:pPr>
        <w:spacing w:before="200" w:after="200" w:line="288" w:lineRule="auto"/>
        <w:rPr>
          <w:sz w:val="20"/>
          <w:szCs w:val="20"/>
        </w:rPr>
      </w:pPr>
      <w:proofErr w:type="gramStart"/>
      <w:r w:rsidRPr="00F004D8">
        <w:rPr>
          <w:sz w:val="20"/>
          <w:szCs w:val="20"/>
        </w:rPr>
        <w:t>As temperatures rise, so too does the number, range and resilience of various food-, water-, and vector-borne pathogens (Smith, 2014; AAS, 2015).</w:t>
      </w:r>
      <w:proofErr w:type="gramEnd"/>
      <w:r w:rsidRPr="00F004D8">
        <w:rPr>
          <w:sz w:val="20"/>
          <w:szCs w:val="20"/>
        </w:rPr>
        <w:t xml:space="preserve"> Food-borne illnesses such as gastroenteritis are caused by bacteria such as campylobacter and salmonella which occur more readily with warmer temperatures (Hall, 2011; Smith, 2014). Given around there are already around 10,000 episodes of gastroenteritis leading to about 80 hospitalisations in Australia every day, more frequent heatwaves will put hundreds more people in Melbourne at risk of food related illness (Voice, 2015). Rising temperatures are also associated with increased exposure to vector-borne diseases, including mosquito-borne viruses such as dengue and Ross River fever. The range of these vectors is expected to increase across Australia under climate change scenarios (</w:t>
      </w:r>
      <w:proofErr w:type="spellStart"/>
      <w:r w:rsidRPr="00F004D8">
        <w:rPr>
          <w:sz w:val="20"/>
          <w:szCs w:val="20"/>
        </w:rPr>
        <w:t>Kjellstrom</w:t>
      </w:r>
      <w:proofErr w:type="spellEnd"/>
      <w:r w:rsidRPr="00F004D8">
        <w:rPr>
          <w:sz w:val="20"/>
          <w:szCs w:val="20"/>
        </w:rPr>
        <w:t xml:space="preserve">, 2009; Smith, 2014).  </w:t>
      </w:r>
    </w:p>
    <w:p w:rsidR="0066358A" w:rsidRDefault="0066358A" w:rsidP="0066358A">
      <w:pPr>
        <w:pStyle w:val="Heading3"/>
      </w:pPr>
      <w:bookmarkStart w:id="34" w:name="_Toc523307106"/>
      <w:r w:rsidRPr="0066358A">
        <w:t>Food and water security</w:t>
      </w:r>
      <w:bookmarkEnd w:id="34"/>
    </w:p>
    <w:p w:rsidR="0066358A" w:rsidRPr="00F004D8" w:rsidRDefault="0066358A" w:rsidP="00B002E7">
      <w:pPr>
        <w:spacing w:before="200" w:after="200" w:line="288" w:lineRule="auto"/>
        <w:rPr>
          <w:sz w:val="20"/>
          <w:szCs w:val="20"/>
        </w:rPr>
      </w:pPr>
      <w:r w:rsidRPr="00F004D8">
        <w:rPr>
          <w:sz w:val="20"/>
          <w:szCs w:val="20"/>
        </w:rPr>
        <w:t>Reduced rainfall and drought related to climate change poses a range of risks related to human health and wellbeing. Reduced environmental flows in rivers can lead to declining water quality (</w:t>
      </w:r>
      <w:proofErr w:type="spellStart"/>
      <w:r w:rsidRPr="00F004D8">
        <w:rPr>
          <w:sz w:val="20"/>
          <w:szCs w:val="20"/>
        </w:rPr>
        <w:t>Kjellstrom</w:t>
      </w:r>
      <w:proofErr w:type="spellEnd"/>
      <w:r w:rsidRPr="00F004D8">
        <w:rPr>
          <w:sz w:val="20"/>
          <w:szCs w:val="20"/>
        </w:rPr>
        <w:t>, 2009), loss of aquatic biodiversity, and reductions in available water to support agriculture, threatening food security – all of which have flow on effects for human health (Wales, 2012). Inequitable access to water may exacerbate existing health inequalities, while declining water availability may impact water quality and reduce crop yields, leading to higher food prices and limiting food options (</w:t>
      </w:r>
      <w:proofErr w:type="spellStart"/>
      <w:r w:rsidRPr="00F004D8">
        <w:rPr>
          <w:sz w:val="20"/>
          <w:szCs w:val="20"/>
        </w:rPr>
        <w:t>Hanjra</w:t>
      </w:r>
      <w:proofErr w:type="spellEnd"/>
      <w:r w:rsidRPr="00F004D8">
        <w:rPr>
          <w:sz w:val="20"/>
          <w:szCs w:val="20"/>
        </w:rPr>
        <w:t>, 2010).</w:t>
      </w:r>
    </w:p>
    <w:p w:rsidR="0066358A" w:rsidRDefault="0066358A" w:rsidP="0066358A">
      <w:pPr>
        <w:pStyle w:val="Heading3"/>
      </w:pPr>
      <w:bookmarkStart w:id="35" w:name="_Toc523307107"/>
      <w:r w:rsidRPr="00A43CCE">
        <w:t xml:space="preserve">Mental </w:t>
      </w:r>
      <w:r>
        <w:t>illness and stress</w:t>
      </w:r>
      <w:bookmarkEnd w:id="35"/>
    </w:p>
    <w:p w:rsidR="0066358A" w:rsidRPr="00F004D8" w:rsidRDefault="0066358A" w:rsidP="00B002E7">
      <w:pPr>
        <w:spacing w:before="200" w:after="200" w:line="288" w:lineRule="auto"/>
        <w:rPr>
          <w:sz w:val="20"/>
          <w:szCs w:val="20"/>
        </w:rPr>
      </w:pPr>
      <w:r w:rsidRPr="00F004D8">
        <w:rPr>
          <w:sz w:val="20"/>
          <w:szCs w:val="20"/>
        </w:rPr>
        <w:t>Environmental and climatic changes contribute to a diverse range of mental health impacts. These include mental stress related to economic and emotional pressures associated with increasingly frequent and severe climate change-related disasters, including droughts (</w:t>
      </w:r>
      <w:proofErr w:type="spellStart"/>
      <w:r w:rsidRPr="00F004D8">
        <w:rPr>
          <w:sz w:val="20"/>
          <w:szCs w:val="20"/>
        </w:rPr>
        <w:t>Hanigan</w:t>
      </w:r>
      <w:proofErr w:type="spellEnd"/>
      <w:r w:rsidRPr="00F004D8">
        <w:rPr>
          <w:sz w:val="20"/>
          <w:szCs w:val="20"/>
        </w:rPr>
        <w:t>, 2012; Climate Institute, 2011). An emerging mental health risk is a sense of despair and hopelessness related to inadequate societal responses to the threat of climate change (Hayes, 2018). Other impacts include exacerbations of psychiatric disorders during heatwaves (Hanse, 2008). Research reveals worry and distress about the future in relation to climate change, and anxiety and depression related to inaction, constitutes both a negative health impact, as well as a basis for action (Berry, 2018).</w:t>
      </w:r>
    </w:p>
    <w:p w:rsidR="0066358A" w:rsidRDefault="00B40242" w:rsidP="00B40242">
      <w:pPr>
        <w:pStyle w:val="Heading3"/>
      </w:pPr>
      <w:bookmarkStart w:id="36" w:name="_Toc523307108"/>
      <w:r>
        <w:t>Occupational health risks</w:t>
      </w:r>
      <w:bookmarkEnd w:id="36"/>
    </w:p>
    <w:p w:rsidR="00B40242" w:rsidRPr="00F004D8" w:rsidRDefault="00B40242" w:rsidP="00B002E7">
      <w:pPr>
        <w:spacing w:before="200" w:after="200" w:line="288" w:lineRule="auto"/>
        <w:rPr>
          <w:sz w:val="20"/>
          <w:szCs w:val="20"/>
        </w:rPr>
      </w:pPr>
      <w:r w:rsidRPr="00F004D8">
        <w:rPr>
          <w:sz w:val="20"/>
          <w:szCs w:val="20"/>
        </w:rPr>
        <w:t xml:space="preserve">In addition to the adverse effects of heat waves, hotter temperatures also pose occupational health and safety risks (Varghese, 2018). The sheer volume of workers entering the City of Melbourne during weekdays increases the local air temperature in the city (Klein, 2017). Hotter temperatures associated with climate change can pose serious occupational risks, particularly for outdoor workers, and those working in indoor </w:t>
      </w:r>
      <w:proofErr w:type="spellStart"/>
      <w:r w:rsidRPr="00F004D8">
        <w:rPr>
          <w:sz w:val="20"/>
          <w:szCs w:val="20"/>
        </w:rPr>
        <w:t>noncooled</w:t>
      </w:r>
      <w:proofErr w:type="spellEnd"/>
      <w:r w:rsidRPr="00F004D8">
        <w:rPr>
          <w:sz w:val="20"/>
          <w:szCs w:val="20"/>
        </w:rPr>
        <w:t xml:space="preserve"> environments (Hanna, 2011; Singh, 2013), such as manufacturing, bakeries, laundries, and restaurant kitchens (Varghese, 2018). Occupational heat stress is associated with an increase in workplace injuries, with hot conditions contributing to discomfort, fatigue, and reduced concentration and alertness (Varghese, 2018). Reduced work capacity related to occupational heat stress carries a significant economic toll and is already associated with lost productivity costing $6.2 billion per annum in Australia (Zander, 2015). </w:t>
      </w:r>
    </w:p>
    <w:p w:rsidR="00B40242" w:rsidRDefault="00B40242" w:rsidP="00B40242">
      <w:pPr>
        <w:pStyle w:val="Heading3"/>
      </w:pPr>
      <w:bookmarkStart w:id="37" w:name="_Toc523307109"/>
      <w:r>
        <w:t>Damage and displacement</w:t>
      </w:r>
      <w:bookmarkEnd w:id="37"/>
    </w:p>
    <w:p w:rsidR="00B40242" w:rsidRPr="00F004D8" w:rsidRDefault="00B40242" w:rsidP="00B002E7">
      <w:pPr>
        <w:spacing w:before="200" w:after="200" w:line="288" w:lineRule="auto"/>
        <w:rPr>
          <w:sz w:val="20"/>
          <w:szCs w:val="20"/>
        </w:rPr>
      </w:pPr>
      <w:r w:rsidRPr="00F004D8">
        <w:rPr>
          <w:sz w:val="20"/>
          <w:szCs w:val="20"/>
        </w:rPr>
        <w:t>Sea level rise and drought both pose threats to the population in Victoria and have implications for the City of Melbourne (Wales, 2012). Several coastal municipalities are at risk of inundation associated with sea level rise, posing risks to property and associated economic and social costs (Warren-Myers, 2018; Wales, 2012). Forced displacement from homes and properties in low lying and coastal communities in the face of inundation associated with sea level rise, and from regional communities in the context of persistent drought, will bring a range of health challenges in the future, including psycho-social ill-health (</w:t>
      </w:r>
      <w:proofErr w:type="spellStart"/>
      <w:r w:rsidRPr="00F004D8">
        <w:rPr>
          <w:sz w:val="20"/>
          <w:szCs w:val="20"/>
        </w:rPr>
        <w:t>Schwertle</w:t>
      </w:r>
      <w:proofErr w:type="spellEnd"/>
      <w:r w:rsidRPr="00F004D8">
        <w:rPr>
          <w:sz w:val="20"/>
          <w:szCs w:val="20"/>
        </w:rPr>
        <w:t>, 2017).</w:t>
      </w:r>
    </w:p>
    <w:p w:rsidR="00B40242" w:rsidRPr="00B40242" w:rsidRDefault="00B40242" w:rsidP="00B40242">
      <w:pPr>
        <w:pStyle w:val="BodyText"/>
      </w:pPr>
    </w:p>
    <w:p w:rsidR="00B40242" w:rsidRDefault="00B40242" w:rsidP="00B40242">
      <w:pPr>
        <w:pStyle w:val="Heading1"/>
      </w:pPr>
      <w:bookmarkStart w:id="38" w:name="_Toc523307110"/>
      <w:r w:rsidRPr="00B40242">
        <w:t>Health co-benefits associated with climate change interventions</w:t>
      </w:r>
      <w:bookmarkEnd w:id="38"/>
    </w:p>
    <w:p w:rsidR="00B40242" w:rsidRPr="00B002E7" w:rsidRDefault="00B40242" w:rsidP="00B002E7">
      <w:pPr>
        <w:spacing w:before="200" w:after="200" w:line="288" w:lineRule="auto"/>
        <w:rPr>
          <w:sz w:val="20"/>
          <w:szCs w:val="20"/>
        </w:rPr>
      </w:pPr>
      <w:r w:rsidRPr="00B002E7">
        <w:rPr>
          <w:sz w:val="20"/>
          <w:szCs w:val="20"/>
        </w:rPr>
        <w:t xml:space="preserve">The good news is that there are many health co-benefits associated with strategies that reduce GHG emissions. Provided these strategies are developed with the potential health benefits (and risks) in mind, they offer enormous potential to improve the general health and wellbeing of the population, as well as to provide economic benefits, since the cost savings from avoided ill-health and productivity gains often exceed the costs of policy implementation (Watts, 2017; Thompson, 2014; </w:t>
      </w:r>
      <w:proofErr w:type="spellStart"/>
      <w:r w:rsidRPr="00B002E7">
        <w:rPr>
          <w:sz w:val="20"/>
          <w:szCs w:val="20"/>
        </w:rPr>
        <w:t>Landrigan</w:t>
      </w:r>
      <w:proofErr w:type="spellEnd"/>
      <w:r w:rsidRPr="00B002E7">
        <w:rPr>
          <w:sz w:val="20"/>
          <w:szCs w:val="20"/>
        </w:rPr>
        <w:t>, 2018).</w:t>
      </w:r>
    </w:p>
    <w:p w:rsidR="00B40242" w:rsidRPr="00B002E7" w:rsidRDefault="00B40242" w:rsidP="00B002E7">
      <w:pPr>
        <w:spacing w:before="200" w:after="200" w:line="288" w:lineRule="auto"/>
        <w:rPr>
          <w:sz w:val="20"/>
          <w:szCs w:val="20"/>
        </w:rPr>
      </w:pPr>
      <w:r w:rsidRPr="00B002E7">
        <w:rPr>
          <w:sz w:val="20"/>
          <w:szCs w:val="20"/>
        </w:rPr>
        <w:t xml:space="preserve">Co-benefits (or ‘ancillary benefits’ as they are sometimes known) refer to the additional benefits that accrue from actions or strategies designed or implemented for a different purpose. This report provides an overview of the literature in relation to health co-benefits (improvements in health outcomes, or reductions in health risks) associated with climate adaptation or mitigation measures designed to reduce greenhouse emissions or to limit other risks associated with climate change. These offer a win-win scenario – both reducing emissions and delivering health benefits. Carefully designed strategies can deliver a triple win as they can also deliver (often </w:t>
      </w:r>
      <w:r w:rsidR="00B002E7">
        <w:rPr>
          <w:sz w:val="20"/>
          <w:szCs w:val="20"/>
        </w:rPr>
        <w:t xml:space="preserve">substantial) economic savings. </w:t>
      </w:r>
    </w:p>
    <w:p w:rsidR="00B40242" w:rsidRPr="00B002E7" w:rsidRDefault="00B40242" w:rsidP="00B002E7">
      <w:pPr>
        <w:spacing w:before="200" w:after="200" w:line="288" w:lineRule="auto"/>
        <w:rPr>
          <w:sz w:val="20"/>
          <w:szCs w:val="20"/>
        </w:rPr>
      </w:pPr>
      <w:r w:rsidRPr="00B002E7">
        <w:rPr>
          <w:sz w:val="20"/>
          <w:szCs w:val="20"/>
        </w:rPr>
        <w:t>Health co-benefits arising from climate adaptation and climate mitigation strategies can often help address existing health challenges, such as preventable lifestyle diseases (cardiovascular disease, obesity, Type 2 diabetes), as well as respiratory diseases linked to air pollution (asthma, lung cancer), and mental health (stress, anxiety and depression). Health and social benefits also arise when climate strategies positively impact on the social determinants of health – those wider forces that shape the conditions of daily life – economic factors, social and environmental conditions, education, cultural influences, gender equity and personal autonomy.</w:t>
      </w:r>
    </w:p>
    <w:p w:rsidR="00B40242" w:rsidRPr="00B002E7" w:rsidRDefault="00B40242" w:rsidP="00B002E7">
      <w:pPr>
        <w:spacing w:before="200" w:after="200" w:line="288" w:lineRule="auto"/>
        <w:rPr>
          <w:sz w:val="20"/>
          <w:szCs w:val="20"/>
        </w:rPr>
      </w:pPr>
      <w:r w:rsidRPr="00B002E7">
        <w:rPr>
          <w:sz w:val="20"/>
          <w:szCs w:val="20"/>
        </w:rPr>
        <w:t>While there remains some uncertainty about the longer-term climate outcomes in relation to climate change mitigation and adaptation actions, there is a high level of certainty in relation to the health co-benefits that accompany them and the time frame within which they c</w:t>
      </w:r>
      <w:r w:rsidR="00B002E7">
        <w:rPr>
          <w:sz w:val="20"/>
          <w:szCs w:val="20"/>
        </w:rPr>
        <w:t>an be realised (Workman, 2018).</w:t>
      </w:r>
    </w:p>
    <w:p w:rsidR="00B40242" w:rsidRPr="00B002E7" w:rsidRDefault="00B40242" w:rsidP="00B002E7">
      <w:pPr>
        <w:spacing w:before="200" w:after="200" w:line="288" w:lineRule="auto"/>
        <w:rPr>
          <w:sz w:val="20"/>
          <w:szCs w:val="20"/>
        </w:rPr>
      </w:pPr>
      <w:r w:rsidRPr="00B002E7">
        <w:rPr>
          <w:sz w:val="20"/>
          <w:szCs w:val="20"/>
        </w:rPr>
        <w:t>The co-benefits approach offers enormous advocacy potential as it positions climate action in the context of the positive outcomes that can be realised locally, and in the short term, while the climate benefits accumulate over a longer time scale. It provides the opportunity to elevate particular policy goals higher on the political agenda as the positive co-benefits ‘story’ can help overcome political opposition and increase policy acceptability in th</w:t>
      </w:r>
      <w:r w:rsidR="00B002E7">
        <w:rPr>
          <w:sz w:val="20"/>
          <w:szCs w:val="20"/>
        </w:rPr>
        <w:t>e community (</w:t>
      </w:r>
      <w:proofErr w:type="spellStart"/>
      <w:r w:rsidR="00B002E7">
        <w:rPr>
          <w:sz w:val="20"/>
          <w:szCs w:val="20"/>
        </w:rPr>
        <w:t>Mayrhofer</w:t>
      </w:r>
      <w:proofErr w:type="spellEnd"/>
      <w:r w:rsidR="00B002E7">
        <w:rPr>
          <w:sz w:val="20"/>
          <w:szCs w:val="20"/>
        </w:rPr>
        <w:t xml:space="preserve">, 2016). </w:t>
      </w:r>
    </w:p>
    <w:p w:rsidR="00574250" w:rsidRPr="00B002E7" w:rsidRDefault="00B40242" w:rsidP="00B002E7">
      <w:pPr>
        <w:spacing w:before="200" w:after="200" w:line="288" w:lineRule="auto"/>
        <w:rPr>
          <w:sz w:val="20"/>
          <w:szCs w:val="20"/>
        </w:rPr>
      </w:pPr>
      <w:r w:rsidRPr="00B002E7">
        <w:rPr>
          <w:sz w:val="20"/>
          <w:szCs w:val="20"/>
        </w:rPr>
        <w:t>Health is already a key message in climate advocacy campaigns, as many health and environmental advocates recognise both the threat to health and the opportunity to positively engage communities associated with integrating climate change and health strategies and communications (EJA, 2017; ACF, 2018; PHAA, 2014).</w:t>
      </w:r>
    </w:p>
    <w:p w:rsidR="00B40242" w:rsidRPr="00B002E7" w:rsidRDefault="00574250" w:rsidP="00B002E7">
      <w:pPr>
        <w:pStyle w:val="BodyText"/>
      </w:pPr>
      <w:r w:rsidRPr="00B002E7">
        <w:br w:type="page"/>
      </w:r>
    </w:p>
    <w:p w:rsidR="00B40242" w:rsidRDefault="00B40242" w:rsidP="00B40242">
      <w:pPr>
        <w:pStyle w:val="Heading2"/>
      </w:pPr>
      <w:bookmarkStart w:id="39" w:name="_Toc523307111"/>
      <w:r w:rsidRPr="00B40242">
        <w:t>Climate mitigation and adaptation strategies with health co-benefits</w:t>
      </w:r>
      <w:bookmarkEnd w:id="39"/>
    </w:p>
    <w:p w:rsidR="00574250" w:rsidRDefault="00B40242" w:rsidP="00B40242">
      <w:pPr>
        <w:pStyle w:val="BodyText"/>
      </w:pPr>
      <w:r w:rsidRPr="00B40242">
        <w:t xml:space="preserve">This review provides insights into the potential health co-benefits and positive social benefits accompanying economic savings associated with integrated climate change and health policies. </w:t>
      </w:r>
    </w:p>
    <w:p w:rsidR="00574250" w:rsidRDefault="00B40242" w:rsidP="00B40242">
      <w:pPr>
        <w:pStyle w:val="BodyText"/>
      </w:pPr>
      <w:r w:rsidRPr="00B40242">
        <w:t xml:space="preserve">The evidence reveals that there are significant health co-benefits associated with climate adaptation and mitigation policies in relation to transport, buildings, energy, food, green infrastructure and healthcare. </w:t>
      </w:r>
    </w:p>
    <w:p w:rsidR="00B40242" w:rsidRPr="00B40242" w:rsidRDefault="00B40242" w:rsidP="00B40242">
      <w:pPr>
        <w:pStyle w:val="BodyText"/>
      </w:pPr>
      <w:r w:rsidRPr="00B40242">
        <w:t xml:space="preserve">These benefits arise from adaptation and mitigation actions which reduce or help avoid adverse health impacts and provide a strong rationale and motivation, in addition to the climate benefits, for the net zero emissions goal. </w:t>
      </w:r>
    </w:p>
    <w:p w:rsidR="00574250" w:rsidRPr="00574250" w:rsidRDefault="00574250" w:rsidP="00574250">
      <w:r w:rsidRPr="008928FF">
        <w:fldChar w:fldCharType="begin"/>
      </w:r>
      <w:r w:rsidR="00100176">
        <w:instrText xml:space="preserve"> INCLUDEPICTURE "C:\\var\\folders\\8_\\gpbc4g795p1chw55xc9k75nh0000gn\\T\\com.microsoft.Word\\WebArchiveCopyPasteTempFiles\\cobenefits-v40.png" \* MERGEFORMAT </w:instrText>
      </w:r>
      <w:r w:rsidRPr="008928FF">
        <w:fldChar w:fldCharType="separate"/>
      </w:r>
      <w:r w:rsidRPr="008928FF">
        <w:rPr>
          <w:noProof/>
          <w:lang w:eastAsia="en-AU"/>
        </w:rPr>
        <w:drawing>
          <wp:inline distT="0" distB="0" distL="0" distR="0" wp14:anchorId="10CC4CB6" wp14:editId="08A78DCE">
            <wp:extent cx="5635870" cy="4237525"/>
            <wp:effectExtent l="0" t="0" r="3175" b="4445"/>
            <wp:docPr id="1" name="Picture 1" descr="Infographic showing examples of interventions that target both climate and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fographic showing examples of interventions that target both climate and health"/>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45563" cy="4244813"/>
                    </a:xfrm>
                    <a:prstGeom prst="rect">
                      <a:avLst/>
                    </a:prstGeom>
                    <a:noFill/>
                    <a:ln>
                      <a:noFill/>
                    </a:ln>
                  </pic:spPr>
                </pic:pic>
              </a:graphicData>
            </a:graphic>
          </wp:inline>
        </w:drawing>
      </w:r>
      <w:r w:rsidRPr="008928FF">
        <w:fldChar w:fldCharType="end"/>
      </w:r>
    </w:p>
    <w:p w:rsidR="00B002E7" w:rsidRDefault="00B002E7" w:rsidP="00574250">
      <w:pPr>
        <w:rPr>
          <w:rStyle w:val="BookTitle"/>
          <w:b w:val="0"/>
          <w:sz w:val="18"/>
          <w:szCs w:val="18"/>
        </w:rPr>
      </w:pPr>
    </w:p>
    <w:p w:rsidR="00574250" w:rsidRPr="00B002E7" w:rsidRDefault="00574250" w:rsidP="00574250">
      <w:pPr>
        <w:rPr>
          <w:rStyle w:val="BookTitle"/>
          <w:b w:val="0"/>
          <w:sz w:val="18"/>
          <w:szCs w:val="18"/>
        </w:rPr>
      </w:pPr>
      <w:r w:rsidRPr="00B002E7">
        <w:rPr>
          <w:rStyle w:val="BookTitle"/>
          <w:b w:val="0"/>
          <w:sz w:val="18"/>
          <w:szCs w:val="18"/>
        </w:rPr>
        <w:t>Figure 2: Health and climate: co-benefits, British Medical Journal, 2016</w:t>
      </w:r>
    </w:p>
    <w:p w:rsidR="00574250" w:rsidRDefault="00574250">
      <w:pPr>
        <w:rPr>
          <w:i/>
        </w:rPr>
      </w:pPr>
      <w:r>
        <w:rPr>
          <w:i/>
        </w:rPr>
        <w:br w:type="page"/>
      </w:r>
    </w:p>
    <w:p w:rsidR="00B40242" w:rsidRPr="00B40242" w:rsidRDefault="00B40242" w:rsidP="00B40242">
      <w:pPr>
        <w:pStyle w:val="BodyText"/>
        <w:rPr>
          <w:i/>
        </w:rPr>
      </w:pPr>
      <w:proofErr w:type="gramStart"/>
      <w:r w:rsidRPr="00B40242">
        <w:rPr>
          <w:i/>
        </w:rPr>
        <w:t>Table 1.</w:t>
      </w:r>
      <w:proofErr w:type="gramEnd"/>
      <w:r w:rsidRPr="00B40242">
        <w:rPr>
          <w:i/>
        </w:rPr>
        <w:t xml:space="preserve"> Summary of key health co-benefits across sectors</w:t>
      </w:r>
    </w:p>
    <w:tbl>
      <w:tblPr>
        <w:tblStyle w:val="TableGrid"/>
        <w:tblW w:w="0" w:type="auto"/>
        <w:tblLook w:val="04A0" w:firstRow="1" w:lastRow="0" w:firstColumn="1" w:lastColumn="0" w:noHBand="0" w:noVBand="1"/>
      </w:tblPr>
      <w:tblGrid>
        <w:gridCol w:w="1838"/>
        <w:gridCol w:w="3686"/>
        <w:gridCol w:w="3486"/>
      </w:tblGrid>
      <w:tr w:rsidR="00B40242" w:rsidRPr="00B40242" w:rsidTr="00FB0D68">
        <w:trPr>
          <w:cnfStyle w:val="100000000000" w:firstRow="1" w:lastRow="0" w:firstColumn="0" w:lastColumn="0" w:oddVBand="0" w:evenVBand="0" w:oddHBand="0" w:evenHBand="0" w:firstRowFirstColumn="0" w:firstRowLastColumn="0" w:lastRowFirstColumn="0" w:lastRowLastColumn="0"/>
        </w:trPr>
        <w:tc>
          <w:tcPr>
            <w:tcW w:w="1838" w:type="dxa"/>
          </w:tcPr>
          <w:p w:rsidR="00B40242" w:rsidRPr="00B40242" w:rsidRDefault="00B40242" w:rsidP="00B40242">
            <w:pPr>
              <w:pStyle w:val="BodyText"/>
              <w:keepNext w:val="0"/>
              <w:ind w:left="0" w:right="0"/>
              <w:rPr>
                <w:b/>
              </w:rPr>
            </w:pPr>
            <w:r w:rsidRPr="00B40242">
              <w:rPr>
                <w:b/>
              </w:rPr>
              <w:t>Sector</w:t>
            </w:r>
          </w:p>
        </w:tc>
        <w:tc>
          <w:tcPr>
            <w:tcW w:w="3686" w:type="dxa"/>
          </w:tcPr>
          <w:p w:rsidR="00B40242" w:rsidRPr="00B40242" w:rsidRDefault="00B40242" w:rsidP="00B40242">
            <w:pPr>
              <w:pStyle w:val="BodyText"/>
              <w:keepNext w:val="0"/>
              <w:ind w:left="0" w:right="0"/>
              <w:rPr>
                <w:b/>
              </w:rPr>
            </w:pPr>
            <w:r w:rsidRPr="00B40242">
              <w:rPr>
                <w:b/>
              </w:rPr>
              <w:t>Mitigation or adaptation initiative</w:t>
            </w:r>
          </w:p>
        </w:tc>
        <w:tc>
          <w:tcPr>
            <w:tcW w:w="3486" w:type="dxa"/>
          </w:tcPr>
          <w:p w:rsidR="00B40242" w:rsidRPr="00B40242" w:rsidRDefault="00B40242" w:rsidP="00B40242">
            <w:pPr>
              <w:pStyle w:val="BodyText"/>
              <w:keepNext w:val="0"/>
              <w:ind w:left="0" w:right="0"/>
              <w:rPr>
                <w:b/>
              </w:rPr>
            </w:pPr>
            <w:r w:rsidRPr="00B40242">
              <w:rPr>
                <w:b/>
              </w:rPr>
              <w:t>Key health co-benefits</w:t>
            </w:r>
          </w:p>
        </w:tc>
      </w:tr>
      <w:tr w:rsidR="00B40242" w:rsidRPr="00B40242" w:rsidTr="00FB0D68">
        <w:tc>
          <w:tcPr>
            <w:tcW w:w="1838" w:type="dxa"/>
          </w:tcPr>
          <w:p w:rsidR="00B40242" w:rsidRPr="00B40242" w:rsidRDefault="00B40242" w:rsidP="00B40242">
            <w:pPr>
              <w:pStyle w:val="BodyText"/>
              <w:ind w:left="0" w:right="0"/>
            </w:pPr>
            <w:r w:rsidRPr="00B40242">
              <w:t>Transport</w:t>
            </w:r>
          </w:p>
        </w:tc>
        <w:tc>
          <w:tcPr>
            <w:tcW w:w="3686" w:type="dxa"/>
          </w:tcPr>
          <w:p w:rsidR="00B40242" w:rsidRPr="00B40242" w:rsidRDefault="00B40242" w:rsidP="00B40242">
            <w:pPr>
              <w:pStyle w:val="BodyText"/>
              <w:ind w:left="0" w:right="0"/>
            </w:pPr>
            <w:r w:rsidRPr="00B40242">
              <w:t xml:space="preserve">Increased active / public transport; replacement of diesel/petrol vehicles </w:t>
            </w:r>
            <w:r w:rsidR="00574250">
              <w:t xml:space="preserve"> </w:t>
            </w:r>
            <w:r w:rsidRPr="00B40242">
              <w:t>with clean-powered electric vehicles</w:t>
            </w:r>
          </w:p>
        </w:tc>
        <w:tc>
          <w:tcPr>
            <w:tcW w:w="3486" w:type="dxa"/>
          </w:tcPr>
          <w:p w:rsidR="00B40242" w:rsidRPr="00B40242" w:rsidRDefault="00B40242" w:rsidP="00B40242">
            <w:pPr>
              <w:pStyle w:val="BodyText"/>
              <w:ind w:left="0" w:right="0"/>
            </w:pPr>
            <w:r w:rsidRPr="00B40242">
              <w:t>Reduced prevalence of cardiovascular and respiratory illness, type 2 diabetes, dementia and cancer</w:t>
            </w:r>
          </w:p>
        </w:tc>
      </w:tr>
      <w:tr w:rsidR="00B40242" w:rsidRPr="00B40242" w:rsidTr="00FB0D68">
        <w:tc>
          <w:tcPr>
            <w:tcW w:w="1838" w:type="dxa"/>
          </w:tcPr>
          <w:p w:rsidR="00B40242" w:rsidRPr="00B40242" w:rsidRDefault="00B40242" w:rsidP="00B40242">
            <w:pPr>
              <w:pStyle w:val="BodyText"/>
              <w:ind w:left="0" w:right="0"/>
            </w:pPr>
            <w:r w:rsidRPr="00B40242">
              <w:t>Buildings</w:t>
            </w:r>
          </w:p>
        </w:tc>
        <w:tc>
          <w:tcPr>
            <w:tcW w:w="3686" w:type="dxa"/>
          </w:tcPr>
          <w:p w:rsidR="00B40242" w:rsidRPr="00B40242" w:rsidRDefault="00B40242" w:rsidP="00B40242">
            <w:pPr>
              <w:pStyle w:val="BodyText"/>
              <w:ind w:left="0" w:right="0"/>
              <w:rPr>
                <w:bCs/>
              </w:rPr>
            </w:pPr>
            <w:r w:rsidRPr="00B40242">
              <w:rPr>
                <w:bCs/>
              </w:rPr>
              <w:t xml:space="preserve">Improving energy efficiency in </w:t>
            </w:r>
            <w:r w:rsidR="00574250">
              <w:rPr>
                <w:bCs/>
              </w:rPr>
              <w:t xml:space="preserve">   </w:t>
            </w:r>
            <w:r w:rsidRPr="00B40242">
              <w:rPr>
                <w:bCs/>
              </w:rPr>
              <w:t xml:space="preserve">buildings, improved </w:t>
            </w:r>
            <w:proofErr w:type="spellStart"/>
            <w:r w:rsidRPr="00B40242">
              <w:rPr>
                <w:bCs/>
              </w:rPr>
              <w:t>insultation</w:t>
            </w:r>
            <w:proofErr w:type="spellEnd"/>
            <w:r w:rsidRPr="00B40242">
              <w:rPr>
                <w:bCs/>
              </w:rPr>
              <w:t xml:space="preserve"> and natural ventilation; designing for </w:t>
            </w:r>
            <w:r w:rsidR="00574250">
              <w:rPr>
                <w:bCs/>
              </w:rPr>
              <w:t xml:space="preserve">  </w:t>
            </w:r>
            <w:r w:rsidRPr="00B40242">
              <w:rPr>
                <w:bCs/>
              </w:rPr>
              <w:t>physical activity and social interaction</w:t>
            </w:r>
          </w:p>
          <w:p w:rsidR="00B40242" w:rsidRPr="00B40242" w:rsidRDefault="00B40242" w:rsidP="00B40242">
            <w:pPr>
              <w:pStyle w:val="BodyText"/>
              <w:ind w:left="0" w:right="0"/>
              <w:rPr>
                <w:bCs/>
              </w:rPr>
            </w:pPr>
          </w:p>
        </w:tc>
        <w:tc>
          <w:tcPr>
            <w:tcW w:w="3486" w:type="dxa"/>
          </w:tcPr>
          <w:p w:rsidR="00B40242" w:rsidRPr="00B40242" w:rsidRDefault="00B40242" w:rsidP="00B40242">
            <w:pPr>
              <w:pStyle w:val="BodyText"/>
              <w:ind w:left="0" w:right="0"/>
            </w:pPr>
            <w:r w:rsidRPr="00B40242">
              <w:rPr>
                <w:bCs/>
              </w:rPr>
              <w:t>R</w:t>
            </w:r>
            <w:r w:rsidRPr="00B40242">
              <w:t xml:space="preserve">educed risk of </w:t>
            </w:r>
            <w:r w:rsidRPr="00B40242">
              <w:rPr>
                <w:bCs/>
              </w:rPr>
              <w:t>heart disease, strokes, injuries, asthma and other respiratory diseases; improved mental health and psychological well-being; reduced visits to GPs, fewer hospitalisations and days off work or school</w:t>
            </w:r>
          </w:p>
        </w:tc>
      </w:tr>
      <w:tr w:rsidR="00B40242" w:rsidRPr="00B40242" w:rsidTr="00FB0D68">
        <w:tc>
          <w:tcPr>
            <w:tcW w:w="1838" w:type="dxa"/>
          </w:tcPr>
          <w:p w:rsidR="00B40242" w:rsidRPr="00B40242" w:rsidRDefault="00B40242" w:rsidP="00B40242">
            <w:pPr>
              <w:pStyle w:val="BodyText"/>
              <w:ind w:left="0" w:right="0"/>
            </w:pPr>
            <w:r w:rsidRPr="00B40242">
              <w:t>Energy</w:t>
            </w:r>
          </w:p>
        </w:tc>
        <w:tc>
          <w:tcPr>
            <w:tcW w:w="3686" w:type="dxa"/>
          </w:tcPr>
          <w:p w:rsidR="00B40242" w:rsidRPr="00B40242" w:rsidRDefault="00B40242" w:rsidP="00B40242">
            <w:pPr>
              <w:pStyle w:val="BodyText"/>
              <w:ind w:left="0" w:right="0"/>
            </w:pPr>
            <w:r w:rsidRPr="00B40242">
              <w:t xml:space="preserve">Substituting fossil fuels with renewable energy for electricity and transport </w:t>
            </w:r>
          </w:p>
        </w:tc>
        <w:tc>
          <w:tcPr>
            <w:tcW w:w="3486" w:type="dxa"/>
          </w:tcPr>
          <w:p w:rsidR="00B40242" w:rsidRPr="00B40242" w:rsidRDefault="00B40242" w:rsidP="00B40242">
            <w:pPr>
              <w:pStyle w:val="BodyText"/>
              <w:ind w:left="0" w:right="0"/>
            </w:pPr>
            <w:r w:rsidRPr="00B40242">
              <w:t>Potential for thousands of avoided premature deaths nationally, substantial savings for healthcare budgets</w:t>
            </w:r>
          </w:p>
        </w:tc>
      </w:tr>
      <w:tr w:rsidR="00B40242" w:rsidRPr="00B40242" w:rsidTr="00FB0D68">
        <w:tc>
          <w:tcPr>
            <w:tcW w:w="1838" w:type="dxa"/>
          </w:tcPr>
          <w:p w:rsidR="00B40242" w:rsidRPr="00B40242" w:rsidRDefault="00B40242" w:rsidP="00B40242">
            <w:pPr>
              <w:pStyle w:val="BodyText"/>
              <w:ind w:left="0" w:right="0"/>
            </w:pPr>
            <w:r w:rsidRPr="00B40242">
              <w:t>Food</w:t>
            </w:r>
          </w:p>
        </w:tc>
        <w:tc>
          <w:tcPr>
            <w:tcW w:w="3686" w:type="dxa"/>
          </w:tcPr>
          <w:p w:rsidR="00B40242" w:rsidRPr="00B40242" w:rsidRDefault="00B40242" w:rsidP="00B40242">
            <w:pPr>
              <w:pStyle w:val="BodyText"/>
              <w:ind w:left="0" w:right="0"/>
            </w:pPr>
            <w:r w:rsidRPr="00B40242">
              <w:t>Increasing proportion of plant-based products in diets; local food production; avoiding overconsumption</w:t>
            </w:r>
          </w:p>
        </w:tc>
        <w:tc>
          <w:tcPr>
            <w:tcW w:w="3486" w:type="dxa"/>
          </w:tcPr>
          <w:p w:rsidR="00B40242" w:rsidRPr="00B40242" w:rsidRDefault="00B40242" w:rsidP="00B40242">
            <w:pPr>
              <w:pStyle w:val="BodyText"/>
              <w:ind w:left="0" w:right="0"/>
            </w:pPr>
            <w:r w:rsidRPr="00B40242">
              <w:t>Reduced ischaemic heart disease, obesity and bowel cancer; improved community resilience, improved psychological wellbeing</w:t>
            </w:r>
          </w:p>
        </w:tc>
      </w:tr>
      <w:tr w:rsidR="00B40242" w:rsidRPr="00B40242" w:rsidTr="00FB0D68">
        <w:tc>
          <w:tcPr>
            <w:tcW w:w="1838" w:type="dxa"/>
          </w:tcPr>
          <w:p w:rsidR="00B40242" w:rsidRPr="00B40242" w:rsidRDefault="00B40242" w:rsidP="00B40242">
            <w:pPr>
              <w:pStyle w:val="BodyText"/>
              <w:ind w:left="0" w:right="0"/>
            </w:pPr>
            <w:r w:rsidRPr="00B40242">
              <w:t xml:space="preserve">Green </w:t>
            </w:r>
            <w:r w:rsidR="00574250">
              <w:t xml:space="preserve">  </w:t>
            </w:r>
            <w:r w:rsidRPr="00B40242">
              <w:t>infrastructure</w:t>
            </w:r>
          </w:p>
        </w:tc>
        <w:tc>
          <w:tcPr>
            <w:tcW w:w="3686" w:type="dxa"/>
          </w:tcPr>
          <w:p w:rsidR="00B40242" w:rsidRPr="00B40242" w:rsidRDefault="00B40242" w:rsidP="00B40242">
            <w:pPr>
              <w:pStyle w:val="BodyText"/>
              <w:ind w:left="0" w:right="0"/>
            </w:pPr>
            <w:r w:rsidRPr="00B40242">
              <w:t>Increased urban tree canopy, parks and gardens, green roofs</w:t>
            </w:r>
          </w:p>
        </w:tc>
        <w:tc>
          <w:tcPr>
            <w:tcW w:w="3486" w:type="dxa"/>
          </w:tcPr>
          <w:p w:rsidR="00B40242" w:rsidRPr="00B40242" w:rsidRDefault="00B40242" w:rsidP="00B40242">
            <w:pPr>
              <w:pStyle w:val="BodyText"/>
              <w:ind w:left="0" w:right="0"/>
            </w:pPr>
            <w:r w:rsidRPr="00B40242">
              <w:t>Reduced respiratory disease (from improved air quality); better overall health, reduced stress, and an enhanced sense of personal wellbeing; reduced heat stress; positive mental health</w:t>
            </w:r>
          </w:p>
        </w:tc>
      </w:tr>
      <w:tr w:rsidR="00B40242" w:rsidRPr="00B40242" w:rsidTr="00FB0D68">
        <w:tc>
          <w:tcPr>
            <w:tcW w:w="1838" w:type="dxa"/>
          </w:tcPr>
          <w:p w:rsidR="00B40242" w:rsidRPr="00B40242" w:rsidRDefault="00B40242" w:rsidP="00B40242">
            <w:pPr>
              <w:pStyle w:val="BodyText"/>
              <w:ind w:left="0" w:right="0"/>
            </w:pPr>
            <w:r w:rsidRPr="00B40242">
              <w:t>Healthcare</w:t>
            </w:r>
          </w:p>
        </w:tc>
        <w:tc>
          <w:tcPr>
            <w:tcW w:w="3686" w:type="dxa"/>
          </w:tcPr>
          <w:p w:rsidR="00B40242" w:rsidRPr="00B40242" w:rsidRDefault="00B40242" w:rsidP="00B40242">
            <w:pPr>
              <w:pStyle w:val="BodyText"/>
              <w:ind w:left="0" w:right="0"/>
            </w:pPr>
            <w:r w:rsidRPr="00B40242">
              <w:t xml:space="preserve">Reducing healthcare waste through recycling and low carbon procurement; improved energy efficiency; </w:t>
            </w:r>
            <w:r w:rsidR="00574250">
              <w:t xml:space="preserve">  </w:t>
            </w:r>
            <w:r w:rsidRPr="00B40242">
              <w:t>encouraging active transport</w:t>
            </w:r>
            <w:r w:rsidR="00626C96">
              <w:t xml:space="preserve"> </w:t>
            </w:r>
            <w:r w:rsidRPr="00B40242">
              <w:t xml:space="preserve">/ clean power vehicles; delivering healthcare </w:t>
            </w:r>
            <w:r w:rsidR="00574250">
              <w:t xml:space="preserve">    </w:t>
            </w:r>
            <w:r w:rsidRPr="00B40242">
              <w:t xml:space="preserve">at home; investing in renewable </w:t>
            </w:r>
            <w:r w:rsidR="00574250">
              <w:t>e</w:t>
            </w:r>
            <w:r w:rsidRPr="00B40242">
              <w:t>nergy</w:t>
            </w:r>
          </w:p>
        </w:tc>
        <w:tc>
          <w:tcPr>
            <w:tcW w:w="3486" w:type="dxa"/>
          </w:tcPr>
          <w:p w:rsidR="00B40242" w:rsidRPr="00B40242" w:rsidRDefault="00B40242" w:rsidP="00B40242">
            <w:pPr>
              <w:pStyle w:val="BodyText"/>
              <w:ind w:left="0" w:right="0"/>
            </w:pPr>
            <w:r w:rsidRPr="00B40242">
              <w:t>Reduced environmental pollutants; improved air quality; reduced morbidity and mortality; improved physical and mental health; reduced healthcare costs</w:t>
            </w:r>
          </w:p>
        </w:tc>
      </w:tr>
    </w:tbl>
    <w:p w:rsidR="00B40242" w:rsidRPr="00B40242" w:rsidRDefault="00B40242" w:rsidP="00B40242">
      <w:pPr>
        <w:pStyle w:val="BodyText"/>
        <w:rPr>
          <w:sz w:val="16"/>
          <w:szCs w:val="16"/>
        </w:rPr>
      </w:pPr>
      <w:r w:rsidRPr="00B40242">
        <w:rPr>
          <w:sz w:val="16"/>
          <w:szCs w:val="16"/>
        </w:rPr>
        <w:t xml:space="preserve">Sources: Jarratt, 2012; </w:t>
      </w:r>
      <w:proofErr w:type="spellStart"/>
      <w:r w:rsidRPr="00B40242">
        <w:rPr>
          <w:sz w:val="16"/>
          <w:szCs w:val="16"/>
        </w:rPr>
        <w:t>Remais</w:t>
      </w:r>
      <w:proofErr w:type="spellEnd"/>
      <w:r w:rsidRPr="00B40242">
        <w:rPr>
          <w:sz w:val="16"/>
          <w:szCs w:val="16"/>
        </w:rPr>
        <w:t xml:space="preserve">, 2014; Chapman, 2088, Milner, 2012; </w:t>
      </w:r>
      <w:r w:rsidRPr="00B40242">
        <w:rPr>
          <w:bCs/>
          <w:sz w:val="16"/>
          <w:szCs w:val="16"/>
        </w:rPr>
        <w:t>WHO, 2011; Urge-</w:t>
      </w:r>
      <w:proofErr w:type="spellStart"/>
      <w:r w:rsidRPr="00B40242">
        <w:rPr>
          <w:bCs/>
          <w:sz w:val="16"/>
          <w:szCs w:val="16"/>
        </w:rPr>
        <w:t>Vorsatz</w:t>
      </w:r>
      <w:proofErr w:type="spellEnd"/>
      <w:r w:rsidRPr="00B40242">
        <w:rPr>
          <w:bCs/>
          <w:sz w:val="16"/>
          <w:szCs w:val="16"/>
        </w:rPr>
        <w:t xml:space="preserve">, 2012; </w:t>
      </w:r>
      <w:proofErr w:type="spellStart"/>
      <w:r w:rsidRPr="00B40242">
        <w:rPr>
          <w:sz w:val="16"/>
          <w:szCs w:val="16"/>
        </w:rPr>
        <w:t>Buonocore</w:t>
      </w:r>
      <w:proofErr w:type="spellEnd"/>
      <w:r w:rsidRPr="00B40242">
        <w:rPr>
          <w:sz w:val="16"/>
          <w:szCs w:val="16"/>
        </w:rPr>
        <w:t xml:space="preserve">, 2015; Thompson, 2014; </w:t>
      </w:r>
      <w:proofErr w:type="spellStart"/>
      <w:r w:rsidRPr="00B40242">
        <w:rPr>
          <w:sz w:val="16"/>
          <w:szCs w:val="16"/>
        </w:rPr>
        <w:t>Okvat</w:t>
      </w:r>
      <w:proofErr w:type="spellEnd"/>
      <w:r w:rsidRPr="00B40242">
        <w:rPr>
          <w:sz w:val="16"/>
          <w:szCs w:val="16"/>
        </w:rPr>
        <w:t xml:space="preserve">; 2011; Patrick, 2015; </w:t>
      </w:r>
      <w:proofErr w:type="spellStart"/>
      <w:r w:rsidRPr="00B40242">
        <w:rPr>
          <w:sz w:val="16"/>
          <w:szCs w:val="16"/>
        </w:rPr>
        <w:t>Friel</w:t>
      </w:r>
      <w:proofErr w:type="spellEnd"/>
      <w:r w:rsidRPr="00B40242">
        <w:rPr>
          <w:sz w:val="16"/>
          <w:szCs w:val="16"/>
        </w:rPr>
        <w:t xml:space="preserve">, 2013; Haines, 2010; </w:t>
      </w:r>
      <w:proofErr w:type="spellStart"/>
      <w:r w:rsidRPr="00B40242">
        <w:rPr>
          <w:sz w:val="16"/>
          <w:szCs w:val="16"/>
        </w:rPr>
        <w:t>Demuzere</w:t>
      </w:r>
      <w:proofErr w:type="spellEnd"/>
      <w:r w:rsidRPr="00B40242">
        <w:rPr>
          <w:sz w:val="16"/>
          <w:szCs w:val="16"/>
        </w:rPr>
        <w:t xml:space="preserve">, 2014; Bowen, 2015; Townsend, 2010; </w:t>
      </w:r>
      <w:proofErr w:type="spellStart"/>
      <w:r w:rsidRPr="00B40242">
        <w:rPr>
          <w:sz w:val="16"/>
          <w:szCs w:val="16"/>
        </w:rPr>
        <w:t>Sarajevs</w:t>
      </w:r>
      <w:proofErr w:type="spellEnd"/>
      <w:r w:rsidRPr="00B40242">
        <w:rPr>
          <w:sz w:val="16"/>
          <w:szCs w:val="16"/>
        </w:rPr>
        <w:t xml:space="preserve">, 2011; </w:t>
      </w:r>
      <w:proofErr w:type="spellStart"/>
      <w:r w:rsidRPr="00B40242">
        <w:rPr>
          <w:sz w:val="16"/>
          <w:szCs w:val="16"/>
        </w:rPr>
        <w:t>Tallis</w:t>
      </w:r>
      <w:proofErr w:type="spellEnd"/>
      <w:r w:rsidRPr="00B40242">
        <w:rPr>
          <w:sz w:val="16"/>
          <w:szCs w:val="16"/>
        </w:rPr>
        <w:t xml:space="preserve">, 2011; </w:t>
      </w:r>
      <w:proofErr w:type="spellStart"/>
      <w:r w:rsidRPr="00B40242">
        <w:rPr>
          <w:sz w:val="16"/>
          <w:szCs w:val="16"/>
        </w:rPr>
        <w:t>Eckelman</w:t>
      </w:r>
      <w:proofErr w:type="spellEnd"/>
      <w:r w:rsidRPr="00B40242">
        <w:rPr>
          <w:sz w:val="16"/>
          <w:szCs w:val="16"/>
        </w:rPr>
        <w:t xml:space="preserve">, 2016; </w:t>
      </w:r>
      <w:proofErr w:type="spellStart"/>
      <w:r w:rsidRPr="00B40242">
        <w:rPr>
          <w:sz w:val="16"/>
          <w:szCs w:val="16"/>
        </w:rPr>
        <w:t>Pencheon</w:t>
      </w:r>
      <w:proofErr w:type="spellEnd"/>
      <w:r w:rsidRPr="00B40242">
        <w:rPr>
          <w:sz w:val="16"/>
          <w:szCs w:val="16"/>
        </w:rPr>
        <w:t xml:space="preserve">, 2009; </w:t>
      </w:r>
      <w:proofErr w:type="spellStart"/>
      <w:r w:rsidRPr="00B40242">
        <w:rPr>
          <w:sz w:val="16"/>
          <w:szCs w:val="16"/>
        </w:rPr>
        <w:t>McGain</w:t>
      </w:r>
      <w:proofErr w:type="spellEnd"/>
      <w:r w:rsidRPr="00B40242">
        <w:rPr>
          <w:sz w:val="16"/>
          <w:szCs w:val="16"/>
        </w:rPr>
        <w:t>, 2010; Naylor, 2012, Sherman, 2016.</w:t>
      </w:r>
    </w:p>
    <w:p w:rsidR="00B40242" w:rsidRPr="00B40242" w:rsidRDefault="00B40242" w:rsidP="00B40242">
      <w:pPr>
        <w:pStyle w:val="BodyText"/>
      </w:pPr>
    </w:p>
    <w:p w:rsidR="00574250" w:rsidRDefault="00574250" w:rsidP="00574250">
      <w:pPr>
        <w:pStyle w:val="Heading3"/>
      </w:pPr>
      <w:bookmarkStart w:id="40" w:name="_Toc523307112"/>
      <w:r>
        <w:t>Transport</w:t>
      </w:r>
      <w:bookmarkEnd w:id="40"/>
    </w:p>
    <w:p w:rsidR="00574250" w:rsidRPr="00574250" w:rsidRDefault="00574250" w:rsidP="00574250">
      <w:pPr>
        <w:pStyle w:val="BodyText"/>
      </w:pPr>
      <w:r w:rsidRPr="00574250">
        <w:t>In Australia, the transport sector accounts for 16% of total GHG emissions, of which 10% comes from light vehicles (Climate Change Authority, 2018). In addition to GHGs, the combustion of fossil fuels for transport also produces harmful local air pollutants, the annual health costs of which has been estimated at USD$5.8 billion in Australia (OECD, 2014).</w:t>
      </w:r>
      <w:r>
        <w:t xml:space="preserve"> </w:t>
      </w:r>
    </w:p>
    <w:p w:rsidR="00574250" w:rsidRPr="00574250" w:rsidRDefault="00574250" w:rsidP="00574250">
      <w:pPr>
        <w:pStyle w:val="BodyText"/>
      </w:pPr>
      <w:r w:rsidRPr="00574250">
        <w:t xml:space="preserve">A number of international studies have investigated the health benefits associated with climate change strategies involving urban transport. Strategies to expand and promote public transport offer a range of health co-benefits associated with a reduction in air pollution, traffic injuries, noise, congestion and physical activity (Kwan, 2016). </w:t>
      </w:r>
    </w:p>
    <w:p w:rsidR="00574250" w:rsidRPr="00574250" w:rsidRDefault="00574250" w:rsidP="00574250">
      <w:pPr>
        <w:pStyle w:val="BodyText"/>
      </w:pPr>
      <w:r w:rsidRPr="00574250">
        <w:t>Further, strategies to reduce emissions from transport frequently lead to improvements in air quality, due to reduced cardiovascular and respiratory disease (</w:t>
      </w:r>
      <w:proofErr w:type="spellStart"/>
      <w:r w:rsidRPr="00574250">
        <w:t>eg</w:t>
      </w:r>
      <w:proofErr w:type="spellEnd"/>
      <w:r w:rsidRPr="00574250">
        <w:t xml:space="preserve"> heart attacks, strokes, asthma, lung cancer) (IARC, 2013; </w:t>
      </w:r>
      <w:proofErr w:type="spellStart"/>
      <w:r w:rsidRPr="00574250">
        <w:t>Remais</w:t>
      </w:r>
      <w:proofErr w:type="spellEnd"/>
      <w:r w:rsidRPr="00574250">
        <w:t xml:space="preserve">, 2014) and reduced hospitalization and emergency room visits for cardiovascular and respiratory diseases (McKinley, 2005). The increased physical activity associated with expanded public transport options can also reduce premature mortality (early deaths) and morbidity (illnesses) (McKinley, 2005).  More stringent air quality guidelines for cities in Australia would lead to significant co-benefits and therefore more stringent mitigation targets could deliver significant health and economic co-benefits (Dean, 2018).  </w:t>
      </w:r>
    </w:p>
    <w:p w:rsidR="00574250" w:rsidRPr="00574250" w:rsidRDefault="00574250" w:rsidP="00574250">
      <w:pPr>
        <w:pStyle w:val="Heading4"/>
      </w:pPr>
      <w:r w:rsidRPr="00574250">
        <w:t>Active transport offers lower emissions and improved health</w:t>
      </w:r>
    </w:p>
    <w:p w:rsidR="00574250" w:rsidRPr="00574250" w:rsidRDefault="00574250" w:rsidP="00574250">
      <w:pPr>
        <w:pStyle w:val="BodyText"/>
      </w:pPr>
      <w:r w:rsidRPr="00574250">
        <w:t>A study which modelled four different transport policy scenarios in European cities (</w:t>
      </w:r>
      <w:proofErr w:type="spellStart"/>
      <w:r w:rsidRPr="00574250">
        <w:t>Creutzig</w:t>
      </w:r>
      <w:proofErr w:type="spellEnd"/>
      <w:r w:rsidRPr="00574250">
        <w:t>, 2012) found synergistic health and social gains and significant emissions reductions are possible if city infrastructure is adapted for pedestrians, cyclists, and efficient public transport. In larger cities (&gt; one million people), increasing the modal share of public transport to beyond 50% offers the most viable option for health and climate gains, while smaller cities (where shorter trips are possible) can achieve emissions reductions through a modal shift to more than 50% walking and cycling (</w:t>
      </w:r>
      <w:proofErr w:type="spellStart"/>
      <w:r w:rsidRPr="00574250">
        <w:t>Creutzig</w:t>
      </w:r>
      <w:proofErr w:type="spellEnd"/>
      <w:r w:rsidRPr="00574250">
        <w:t xml:space="preserve">, 2012). </w:t>
      </w:r>
      <w:proofErr w:type="gramStart"/>
      <w:r w:rsidRPr="00574250">
        <w:t>The nature of the surrounding built environment (i.e. whether or not it is conducive to walking), access to transit stations, and local culture and climate influence people’s willingness to walk to catch public transport (Kw</w:t>
      </w:r>
      <w:r>
        <w:t>an, 2016).</w:t>
      </w:r>
      <w:proofErr w:type="gramEnd"/>
    </w:p>
    <w:p w:rsidR="00574250" w:rsidRPr="00574250" w:rsidRDefault="00574250" w:rsidP="00574250">
      <w:pPr>
        <w:pStyle w:val="BodyText"/>
      </w:pPr>
      <w:r w:rsidRPr="00574250">
        <w:t xml:space="preserve">Comprehensive policy packages that combine ‘push’ (pricing disincentives for cars, infrastructure changes to discourage traffic), and ‘pull’ factors (encouraging public transport, increasing active transport infrastructure), along with fuel efficiency standards and urban planning levers offer the biggest health co-benefits and emissions savings, according to </w:t>
      </w:r>
      <w:proofErr w:type="spellStart"/>
      <w:r w:rsidRPr="00574250">
        <w:t>Creutzig</w:t>
      </w:r>
      <w:proofErr w:type="spellEnd"/>
      <w:r w:rsidRPr="00574250">
        <w:t xml:space="preserve"> (2012).  This is supported by a systematic review of the literature by Quam (2017), which reinforces that a combination of initiatives to increase public and active transport and cleaner operating vehicles offers the best opportunities to reduce GHG emissions and achieve positive health outcomes. </w:t>
      </w:r>
    </w:p>
    <w:p w:rsidR="00574250" w:rsidRPr="00574250" w:rsidRDefault="00574250" w:rsidP="00574250">
      <w:pPr>
        <w:pStyle w:val="BodyText"/>
      </w:pPr>
      <w:r w:rsidRPr="00574250">
        <w:t>Active transport options also help address the health burden of preventable chronic illnesses associated with sedentary lifestyles (</w:t>
      </w:r>
      <w:proofErr w:type="spellStart"/>
      <w:r w:rsidRPr="00574250">
        <w:t>Larouche</w:t>
      </w:r>
      <w:proofErr w:type="spellEnd"/>
      <w:r w:rsidRPr="00574250">
        <w:t xml:space="preserve">, 2012). A 2010 study of the potential effect of increased walking and cycling in urban areas in England and Wales found </w:t>
      </w:r>
      <w:r w:rsidRPr="00574250">
        <w:rPr>
          <w:bCs/>
        </w:rPr>
        <w:t xml:space="preserve">reductions in the prevalence of type 2 diabetes, dementia, ischaemic heart disease, cerebrovascular disease, and cancer related to increased physical activity (Jarrett, 2012). These health improvements were estimated to deliver savings of UK£17 billion within 20 years for the National Health Service – funds that could either reduce pressure on healthcare budgets or </w:t>
      </w:r>
      <w:proofErr w:type="gramStart"/>
      <w:r w:rsidRPr="00574250">
        <w:rPr>
          <w:bCs/>
        </w:rPr>
        <w:t>be</w:t>
      </w:r>
      <w:proofErr w:type="gramEnd"/>
      <w:r w:rsidRPr="00574250">
        <w:rPr>
          <w:bCs/>
        </w:rPr>
        <w:t xml:space="preserve"> made available to fund additional health services (Jarrett, 2012). A</w:t>
      </w:r>
      <w:r w:rsidRPr="00574250">
        <w:t xml:space="preserve"> study from New Zealand found that shifting just 5% of shorter trips in urban settings (&lt;7km) from car to bicycles would save around NZD$37 million in fuel bills, avert 50,000 tonnes of carbon dioxide (CO</w:t>
      </w:r>
      <w:r w:rsidRPr="00574250">
        <w:rPr>
          <w:vertAlign w:val="subscript"/>
        </w:rPr>
        <w:t>2</w:t>
      </w:r>
      <w:r w:rsidRPr="00574250">
        <w:t>), and deliver positive health effects worth NZD$200 mi</w:t>
      </w:r>
      <w:r>
        <w:t>llion per annum (Lindsay, 2011).</w:t>
      </w:r>
    </w:p>
    <w:p w:rsidR="00574250" w:rsidRPr="00574250" w:rsidRDefault="00574250" w:rsidP="00574250">
      <w:pPr>
        <w:pStyle w:val="BodyText"/>
        <w:rPr>
          <w:bCs/>
        </w:rPr>
      </w:pPr>
      <w:r w:rsidRPr="00574250">
        <w:rPr>
          <w:bCs/>
        </w:rPr>
        <w:t>A US study further emphasises the triple health, climate and economic benefits of substituting short car trips with walking and cycling – revealing the associated reductions in air pollution and increase in physical activity would deliver cost savings of USD$7 billion per annum (in a population of around 30 million people), and amount to 1,769Mt of CO</w:t>
      </w:r>
      <w:r w:rsidRPr="00574250">
        <w:rPr>
          <w:bCs/>
          <w:vertAlign w:val="subscript"/>
        </w:rPr>
        <w:t>2</w:t>
      </w:r>
      <w:r w:rsidRPr="00574250">
        <w:rPr>
          <w:bCs/>
        </w:rPr>
        <w:t xml:space="preserve"> avoided each year (</w:t>
      </w:r>
      <w:proofErr w:type="spellStart"/>
      <w:r w:rsidRPr="00574250">
        <w:rPr>
          <w:bCs/>
        </w:rPr>
        <w:t>Grabow</w:t>
      </w:r>
      <w:proofErr w:type="spellEnd"/>
      <w:r w:rsidRPr="00574250">
        <w:rPr>
          <w:bCs/>
        </w:rPr>
        <w:t>, 2012).</w:t>
      </w:r>
    </w:p>
    <w:p w:rsidR="00574250" w:rsidRPr="00574250" w:rsidRDefault="00574250" w:rsidP="00574250">
      <w:pPr>
        <w:pStyle w:val="BodyText"/>
      </w:pPr>
      <w:r w:rsidRPr="00574250">
        <w:t>In addition to the physical health benefits, active transport options also offer psychological benefits - from increased physical activity, reduced noise, increased social interaction, and exposure to green spaces (</w:t>
      </w:r>
      <w:proofErr w:type="spellStart"/>
      <w:r w:rsidRPr="00574250">
        <w:t>Wolkinger</w:t>
      </w:r>
      <w:proofErr w:type="spellEnd"/>
      <w:r w:rsidRPr="00574250">
        <w:t xml:space="preserve">, 2017). </w:t>
      </w:r>
    </w:p>
    <w:p w:rsidR="00574250" w:rsidRPr="00574250" w:rsidRDefault="00574250" w:rsidP="00574250">
      <w:pPr>
        <w:pStyle w:val="Heading4"/>
      </w:pPr>
      <w:r w:rsidRPr="00574250">
        <w:t>Comprehensive policies deliver economic savings</w:t>
      </w:r>
    </w:p>
    <w:p w:rsidR="00574250" w:rsidRPr="00574250" w:rsidRDefault="00574250" w:rsidP="00574250">
      <w:pPr>
        <w:pStyle w:val="BodyText"/>
      </w:pPr>
      <w:r w:rsidRPr="00574250">
        <w:t xml:space="preserve">Economic and health modelling by </w:t>
      </w:r>
      <w:proofErr w:type="spellStart"/>
      <w:r w:rsidRPr="00574250">
        <w:t>Wolkinger</w:t>
      </w:r>
      <w:proofErr w:type="spellEnd"/>
      <w:r w:rsidRPr="00574250">
        <w:t xml:space="preserve"> (2017) on the implementation of ambitious transport policies (restricted car use, active transport and introduction of electric vehicles) in three cities in Austria found huge savings from avoided ill health and productivity gains, suggesting benefits arising from these policies in just these three cities would deliver economic savings equivalent to 0.25% of overall Austrian gross domestic product (GDP).</w:t>
      </w:r>
      <w:r>
        <w:t xml:space="preserve"> </w:t>
      </w:r>
    </w:p>
    <w:p w:rsidR="00574250" w:rsidRPr="00574250" w:rsidRDefault="00574250" w:rsidP="00574250">
      <w:pPr>
        <w:pStyle w:val="BodyText"/>
      </w:pPr>
      <w:r w:rsidRPr="00574250">
        <w:t>This study found the biggest opportunities for emissions cuts and health gains from switching to electric vehicles, powered by carbon neutral sources (</w:t>
      </w:r>
      <w:proofErr w:type="spellStart"/>
      <w:r w:rsidRPr="00574250">
        <w:t>Wolkinger</w:t>
      </w:r>
      <w:proofErr w:type="spellEnd"/>
      <w:r w:rsidRPr="00574250">
        <w:t>, 2017). The corresponding decline in air pollution (principally NO</w:t>
      </w:r>
      <w:r w:rsidRPr="00574250">
        <w:rPr>
          <w:vertAlign w:val="subscript"/>
        </w:rPr>
        <w:t>2</w:t>
      </w:r>
      <w:r w:rsidRPr="00574250">
        <w:t xml:space="preserve"> and PM) would mean fewer heart attacks and incidences of lung cancer, fewer hospital admissions, and improved productivity associated with less work time lost </w:t>
      </w:r>
      <w:r>
        <w:t>to illness (</w:t>
      </w:r>
      <w:proofErr w:type="spellStart"/>
      <w:r>
        <w:t>Wolkinger</w:t>
      </w:r>
      <w:proofErr w:type="spellEnd"/>
      <w:r>
        <w:t xml:space="preserve">, 2017).  </w:t>
      </w:r>
    </w:p>
    <w:p w:rsidR="00574250" w:rsidRPr="00574250" w:rsidRDefault="00574250" w:rsidP="00574250">
      <w:pPr>
        <w:pStyle w:val="BodyText"/>
      </w:pPr>
      <w:r w:rsidRPr="00574250">
        <w:t xml:space="preserve">Other studies suggest transport scenarios that combine a number of elements of ‘green’ or low carbon transport options (e.g. cleaner operating vehicles alongside increased public and active modes of transport) deliver the greatest health benefit (Quam, 2017). </w:t>
      </w:r>
    </w:p>
    <w:p w:rsidR="00574250" w:rsidRPr="00574250" w:rsidRDefault="00574250" w:rsidP="00574250">
      <w:pPr>
        <w:pStyle w:val="BodyText"/>
      </w:pPr>
      <w:r w:rsidRPr="00574250">
        <w:t xml:space="preserve">Proposed policy mechanisms to realise both GHG emissions reductions and health co-benefits associated with transport include: financial disincentives to correct the currently externalised health and social costs of current transport options; initiatives to engage communities in identifying and choosing alternatives; and programs to encourage active transport and modal shifts (Quam, 2017).  </w:t>
      </w:r>
    </w:p>
    <w:p w:rsidR="00574250" w:rsidRPr="00574250" w:rsidRDefault="00574250" w:rsidP="00574250">
      <w:pPr>
        <w:pStyle w:val="BodyText"/>
      </w:pPr>
      <w:r w:rsidRPr="00574250">
        <w:t xml:space="preserve">Despite these documented benefits, many government and local authorities are not investing in quantitative analysis of the health co-benefits associated with measures to simultaneously tackle air pollution and GHG emissions (McKinley, 2005). </w:t>
      </w:r>
    </w:p>
    <w:p w:rsidR="00574250" w:rsidRPr="00574250" w:rsidRDefault="00574250" w:rsidP="00574250">
      <w:pPr>
        <w:pStyle w:val="BodyText"/>
      </w:pPr>
      <w:r w:rsidRPr="00574250">
        <w:rPr>
          <w:b/>
        </w:rPr>
        <w:t xml:space="preserve">Closer analysis of these benefits in the City of Melbourne may well reveal, as in other cities in developed nations, that the health and climate benefits associated with measures to improve air quality and reduce emissions significantly outweigh the costs of implementing adaptation and mitigation strategies. </w:t>
      </w:r>
    </w:p>
    <w:p w:rsidR="00574250" w:rsidRDefault="00574250" w:rsidP="00574250">
      <w:pPr>
        <w:pStyle w:val="Heading3"/>
      </w:pPr>
      <w:bookmarkStart w:id="41" w:name="_Toc523307113"/>
      <w:r>
        <w:t>Buildings</w:t>
      </w:r>
      <w:bookmarkEnd w:id="41"/>
    </w:p>
    <w:p w:rsidR="00574250" w:rsidRPr="00B002E7" w:rsidRDefault="00574250" w:rsidP="00B002E7">
      <w:pPr>
        <w:spacing w:before="200" w:after="200" w:line="288" w:lineRule="auto"/>
        <w:rPr>
          <w:sz w:val="20"/>
          <w:szCs w:val="20"/>
        </w:rPr>
      </w:pPr>
      <w:r w:rsidRPr="00B002E7">
        <w:rPr>
          <w:sz w:val="20"/>
          <w:szCs w:val="20"/>
        </w:rPr>
        <w:t xml:space="preserve">Improving the energy efficiency of homes and buildings can deliver important health benefits as well as financial savings from reduced energy consumption, while reducing GHG emissions (WHO, 2011). </w:t>
      </w:r>
    </w:p>
    <w:p w:rsidR="00574250" w:rsidRPr="00B002E7" w:rsidRDefault="00574250" w:rsidP="00B002E7">
      <w:pPr>
        <w:spacing w:before="200" w:after="200" w:line="288" w:lineRule="auto"/>
        <w:rPr>
          <w:bCs/>
          <w:sz w:val="20"/>
          <w:szCs w:val="20"/>
        </w:rPr>
      </w:pPr>
      <w:r w:rsidRPr="00B002E7">
        <w:rPr>
          <w:bCs/>
          <w:sz w:val="20"/>
          <w:szCs w:val="20"/>
        </w:rPr>
        <w:t>Improving energy efficiency in buildings can deliver positive health benefits by creating more stable indoor temperatures, improving air quality, reducing energy use and costs, and ease cost of living pressures (Milner, 2012). These health benefits can manifest in a variety of ways, such as reduced visits to GPs, fewer hospitalisations and days of work or school each of which benefit both individuals and the bro</w:t>
      </w:r>
      <w:r w:rsidR="00B002E7">
        <w:rPr>
          <w:bCs/>
          <w:sz w:val="20"/>
          <w:szCs w:val="20"/>
        </w:rPr>
        <w:t>ader community (Chapman, 2008).</w:t>
      </w:r>
    </w:p>
    <w:p w:rsidR="00574250" w:rsidRDefault="00574250" w:rsidP="00B002E7">
      <w:pPr>
        <w:spacing w:before="200" w:after="200" w:line="288" w:lineRule="auto"/>
        <w:rPr>
          <w:bCs/>
        </w:rPr>
      </w:pPr>
      <w:r w:rsidRPr="00B002E7">
        <w:rPr>
          <w:sz w:val="20"/>
          <w:szCs w:val="20"/>
        </w:rPr>
        <w:t xml:space="preserve">Measures that </w:t>
      </w:r>
      <w:r w:rsidRPr="00B002E7">
        <w:rPr>
          <w:bCs/>
          <w:sz w:val="20"/>
          <w:szCs w:val="20"/>
        </w:rPr>
        <w:t>reduce fluctuations in heat and cold, improve natural ventilation and provide greater energy efficiency can</w:t>
      </w:r>
      <w:r w:rsidRPr="00B002E7">
        <w:rPr>
          <w:sz w:val="20"/>
          <w:szCs w:val="20"/>
        </w:rPr>
        <w:t xml:space="preserve"> reduce the risk of </w:t>
      </w:r>
      <w:r w:rsidRPr="00B002E7">
        <w:rPr>
          <w:bCs/>
          <w:sz w:val="20"/>
          <w:szCs w:val="20"/>
        </w:rPr>
        <w:t xml:space="preserve">heart disease, strokes, injuries, asthma and other respiratory diseases (Milner, 2012; WHO, 2011). There is also good evidence that homes that are well-insulated improve mental health and psychological wellbeing (Milner, 2012). </w:t>
      </w:r>
    </w:p>
    <w:p w:rsidR="00574250" w:rsidRPr="00574250" w:rsidRDefault="00574250" w:rsidP="00574250">
      <w:pPr>
        <w:pStyle w:val="Heading4"/>
      </w:pPr>
      <w:r>
        <w:t>Better health, lower emissions and lower costs</w:t>
      </w:r>
    </w:p>
    <w:p w:rsidR="00574250" w:rsidRPr="00B002E7" w:rsidRDefault="00574250" w:rsidP="00B002E7">
      <w:pPr>
        <w:spacing w:before="200" w:after="200" w:line="288" w:lineRule="auto"/>
        <w:rPr>
          <w:bCs/>
          <w:sz w:val="20"/>
          <w:szCs w:val="20"/>
        </w:rPr>
      </w:pPr>
      <w:r w:rsidRPr="00B002E7">
        <w:rPr>
          <w:bCs/>
          <w:sz w:val="20"/>
          <w:szCs w:val="20"/>
        </w:rPr>
        <w:t xml:space="preserve">An analysis of health gains, energy and emissions savings and cost savings by retrofitting homes in New Zealand found the total savings associated with avoided ill health and energy savings were 1.5-2 times the cost of implementing the initiative (Chapman, 2008). A modelling study in the US which estimated the energy savings and health benefits of retrofitting 46 million single family homes with insulation found the health benefits of the initiative would save USD$1.3 billion each year, while the energy savings were worth USD$5.9 billion per annum (Levy, 2003). </w:t>
      </w:r>
    </w:p>
    <w:p w:rsidR="00574250" w:rsidRPr="00B002E7" w:rsidRDefault="00574250" w:rsidP="00B002E7">
      <w:pPr>
        <w:spacing w:before="200" w:after="200" w:line="288" w:lineRule="auto"/>
        <w:rPr>
          <w:bCs/>
          <w:sz w:val="20"/>
          <w:szCs w:val="20"/>
        </w:rPr>
      </w:pPr>
      <w:r w:rsidRPr="00B002E7">
        <w:rPr>
          <w:bCs/>
          <w:sz w:val="20"/>
          <w:szCs w:val="20"/>
        </w:rPr>
        <w:t>Designing homes and buildings that utilise sustainable, recycled and local materials can reduce the carbon footprint, while reducing health risks associated with climate change (Urge-</w:t>
      </w:r>
      <w:proofErr w:type="spellStart"/>
      <w:r w:rsidRPr="00B002E7">
        <w:rPr>
          <w:bCs/>
          <w:sz w:val="20"/>
          <w:szCs w:val="20"/>
        </w:rPr>
        <w:t>Vorsatz</w:t>
      </w:r>
      <w:proofErr w:type="spellEnd"/>
      <w:r w:rsidRPr="00B002E7">
        <w:rPr>
          <w:bCs/>
          <w:sz w:val="20"/>
          <w:szCs w:val="20"/>
        </w:rPr>
        <w:t>, 2012). Access to energy efficiency measures for low income households is a health protection measure as affordability of essential services is an important social deter</w:t>
      </w:r>
      <w:r w:rsidR="00B002E7">
        <w:rPr>
          <w:bCs/>
          <w:sz w:val="20"/>
          <w:szCs w:val="20"/>
        </w:rPr>
        <w:t>minant of health (ACOSS, 2017).</w:t>
      </w:r>
    </w:p>
    <w:p w:rsidR="00574250" w:rsidRPr="00B002E7" w:rsidRDefault="00574250" w:rsidP="00B002E7">
      <w:pPr>
        <w:spacing w:before="200" w:after="200" w:line="288" w:lineRule="auto"/>
        <w:rPr>
          <w:bCs/>
          <w:sz w:val="20"/>
          <w:szCs w:val="20"/>
        </w:rPr>
      </w:pPr>
      <w:r w:rsidRPr="00B002E7">
        <w:rPr>
          <w:bCs/>
          <w:sz w:val="20"/>
          <w:szCs w:val="20"/>
        </w:rPr>
        <w:t>The use of state-of-the-art design and technology to build new, and retrofit old homes, can substantially reduce the risks of energy poverty for low income households, even in jurisdictions with high energy use (Urge-</w:t>
      </w:r>
      <w:proofErr w:type="spellStart"/>
      <w:r w:rsidRPr="00B002E7">
        <w:rPr>
          <w:bCs/>
          <w:sz w:val="20"/>
          <w:szCs w:val="20"/>
        </w:rPr>
        <w:t>Vorsatz</w:t>
      </w:r>
      <w:proofErr w:type="spellEnd"/>
      <w:r w:rsidRPr="00B002E7">
        <w:rPr>
          <w:bCs/>
          <w:sz w:val="20"/>
          <w:szCs w:val="20"/>
        </w:rPr>
        <w:t xml:space="preserve">, 2012). It is estimated heating and cooling costs in developed nations could be reduced by 66-75% by 2050 (and accrue economic savings four times the cost of implementation) if new and existing buildings adopted passive house energy standards (&lt;15kWh per </w:t>
      </w:r>
      <w:proofErr w:type="spellStart"/>
      <w:r w:rsidRPr="00B002E7">
        <w:rPr>
          <w:bCs/>
          <w:sz w:val="20"/>
          <w:szCs w:val="20"/>
        </w:rPr>
        <w:t>sqm</w:t>
      </w:r>
      <w:proofErr w:type="spellEnd"/>
      <w:r w:rsidRPr="00B002E7">
        <w:rPr>
          <w:bCs/>
          <w:sz w:val="20"/>
          <w:szCs w:val="20"/>
        </w:rPr>
        <w:t xml:space="preserve"> per annum) (Urge-</w:t>
      </w:r>
      <w:proofErr w:type="spellStart"/>
      <w:r w:rsidRPr="00B002E7">
        <w:rPr>
          <w:bCs/>
          <w:sz w:val="20"/>
          <w:szCs w:val="20"/>
        </w:rPr>
        <w:t>Vorsatz</w:t>
      </w:r>
      <w:proofErr w:type="spellEnd"/>
      <w:r w:rsidRPr="00B002E7">
        <w:rPr>
          <w:bCs/>
          <w:sz w:val="20"/>
          <w:szCs w:val="20"/>
        </w:rPr>
        <w:t xml:space="preserve">, 2012). </w:t>
      </w:r>
    </w:p>
    <w:p w:rsidR="00574250" w:rsidRDefault="00574250" w:rsidP="00574250">
      <w:pPr>
        <w:pStyle w:val="Heading4"/>
      </w:pPr>
      <w:r>
        <w:t xml:space="preserve">Well-designed low carbon buildings can encourage positive health and social behaviours </w:t>
      </w:r>
    </w:p>
    <w:p w:rsidR="00574250" w:rsidRPr="00AB72F6" w:rsidRDefault="00574250" w:rsidP="00AB72F6">
      <w:pPr>
        <w:spacing w:before="200" w:after="200" w:line="288" w:lineRule="auto"/>
        <w:rPr>
          <w:bCs/>
          <w:sz w:val="20"/>
          <w:szCs w:val="20"/>
        </w:rPr>
      </w:pPr>
      <w:r w:rsidRPr="00AB72F6">
        <w:rPr>
          <w:sz w:val="20"/>
          <w:szCs w:val="20"/>
        </w:rPr>
        <w:t>The characteristics of the built environment can also influence social behaviours and positively impact on health. A study exploring the links between green infrastructure and buildings and social behaviour concluded that increased greenness and natural elements around a building reduced crime levels in the area, as well as aggression and violence levels of residents (</w:t>
      </w:r>
      <w:proofErr w:type="spellStart"/>
      <w:r w:rsidRPr="00AB72F6">
        <w:rPr>
          <w:sz w:val="20"/>
          <w:szCs w:val="20"/>
        </w:rPr>
        <w:t>Kuo</w:t>
      </w:r>
      <w:proofErr w:type="spellEnd"/>
      <w:r w:rsidRPr="00AB72F6">
        <w:rPr>
          <w:sz w:val="20"/>
          <w:szCs w:val="20"/>
        </w:rPr>
        <w:t xml:space="preserve"> and Sullivan 2001a, 2001b in Townsend, 2010). </w:t>
      </w:r>
      <w:r w:rsidRPr="00AB72F6">
        <w:rPr>
          <w:bCs/>
          <w:sz w:val="20"/>
          <w:szCs w:val="20"/>
        </w:rPr>
        <w:t>Building and infrastructure design features which promote social engagement and physical activity, such as wide, well lit, easily accessible stairs, as well as walking paths and gathering spots, can encourage low carbon behaviour and contribute to positive physical and mental health outcomes (WHO, 2011; Urge-</w:t>
      </w:r>
      <w:proofErr w:type="spellStart"/>
      <w:r w:rsidRPr="00AB72F6">
        <w:rPr>
          <w:bCs/>
          <w:sz w:val="20"/>
          <w:szCs w:val="20"/>
        </w:rPr>
        <w:t>Vorsatz</w:t>
      </w:r>
      <w:proofErr w:type="spellEnd"/>
      <w:r w:rsidRPr="00AB72F6">
        <w:rPr>
          <w:bCs/>
          <w:sz w:val="20"/>
          <w:szCs w:val="20"/>
        </w:rPr>
        <w:t>, 2012).</w:t>
      </w:r>
    </w:p>
    <w:p w:rsidR="00574250" w:rsidRPr="00AB72F6" w:rsidRDefault="00574250" w:rsidP="00AB72F6">
      <w:pPr>
        <w:spacing w:before="200" w:after="200" w:line="288" w:lineRule="auto"/>
        <w:rPr>
          <w:bCs/>
          <w:sz w:val="20"/>
          <w:szCs w:val="20"/>
        </w:rPr>
      </w:pPr>
      <w:r w:rsidRPr="00AB72F6">
        <w:rPr>
          <w:bCs/>
          <w:sz w:val="20"/>
          <w:szCs w:val="20"/>
        </w:rPr>
        <w:t xml:space="preserve">There is a potential risk of unintended adverse health consequences associated with improving energy efficiency through reducing air leaks, as the reduced air flow may lead to an increase in indoor air pollution (from tobacco, particles, radon, volatile organic compounds), so it is important that planned upgrades involve collaboration between agencies, public health experts, and affected households to avoid unintended adverse health consequences and ensure </w:t>
      </w:r>
      <w:r w:rsidR="00AB72F6">
        <w:rPr>
          <w:bCs/>
          <w:sz w:val="20"/>
          <w:szCs w:val="20"/>
        </w:rPr>
        <w:t>optimal outcomes (USEPA, 2017).</w:t>
      </w:r>
    </w:p>
    <w:p w:rsidR="00574250" w:rsidRDefault="00574250" w:rsidP="00AB72F6">
      <w:pPr>
        <w:spacing w:before="200" w:after="200" w:line="288" w:lineRule="auto"/>
        <w:rPr>
          <w:bCs/>
        </w:rPr>
      </w:pPr>
      <w:r w:rsidRPr="00AB72F6">
        <w:rPr>
          <w:b/>
          <w:bCs/>
          <w:sz w:val="20"/>
          <w:szCs w:val="20"/>
        </w:rPr>
        <w:t>There are substantial opportunities to simultaneously achieve emissions reductions and promote public health and wellbeing, as well as social cohesion in the City of Melbourne through strategies to improve the energy performance of buildings, through design of built infrastructure, and inclusion of green infrastructure requirements in urban design.</w:t>
      </w:r>
      <w:r w:rsidRPr="0034028D">
        <w:rPr>
          <w:b/>
          <w:bCs/>
        </w:rPr>
        <w:t xml:space="preserve">  </w:t>
      </w:r>
    </w:p>
    <w:p w:rsidR="00574250" w:rsidRDefault="00574250" w:rsidP="00574250">
      <w:pPr>
        <w:pStyle w:val="Heading3"/>
      </w:pPr>
      <w:bookmarkStart w:id="42" w:name="_Toc523307114"/>
      <w:r>
        <w:t>Energy</w:t>
      </w:r>
      <w:bookmarkEnd w:id="42"/>
    </w:p>
    <w:p w:rsidR="00574250" w:rsidRPr="00AB72F6" w:rsidRDefault="00574250" w:rsidP="00AB72F6">
      <w:pPr>
        <w:spacing w:before="200" w:after="200" w:line="288" w:lineRule="auto"/>
        <w:rPr>
          <w:sz w:val="20"/>
          <w:szCs w:val="20"/>
        </w:rPr>
      </w:pPr>
      <w:r w:rsidRPr="00AB72F6">
        <w:rPr>
          <w:sz w:val="20"/>
          <w:szCs w:val="20"/>
        </w:rPr>
        <w:t xml:space="preserve">The literature on emissions reductions in the electricity sector inevitably overlaps and intersects with those in other sectors, given the contribution of carbon intensive energy sources to GHG emissions in transport, buildings and food, as well as healthcare. </w:t>
      </w:r>
    </w:p>
    <w:p w:rsidR="00574250" w:rsidRPr="00AB72F6" w:rsidRDefault="00574250" w:rsidP="00AB72F6">
      <w:pPr>
        <w:spacing w:before="200" w:after="200" w:line="288" w:lineRule="auto"/>
        <w:rPr>
          <w:sz w:val="20"/>
          <w:szCs w:val="20"/>
        </w:rPr>
      </w:pPr>
      <w:r w:rsidRPr="00AB72F6">
        <w:rPr>
          <w:sz w:val="20"/>
          <w:szCs w:val="20"/>
        </w:rPr>
        <w:t>There is considerable consistency across studies from different nations in relation to the substantial co-benefits associated with climate change mitigation strategies that shift energy production away from fossil fuels and towards renewable energy sources (</w:t>
      </w:r>
      <w:proofErr w:type="spellStart"/>
      <w:r w:rsidRPr="00AB72F6">
        <w:rPr>
          <w:sz w:val="20"/>
          <w:szCs w:val="20"/>
        </w:rPr>
        <w:t>Balbus</w:t>
      </w:r>
      <w:proofErr w:type="spellEnd"/>
      <w:r w:rsidRPr="00AB72F6">
        <w:rPr>
          <w:sz w:val="20"/>
          <w:szCs w:val="20"/>
        </w:rPr>
        <w:t>, 2014). These co-benefits include thousands of avoided premature deaths and amount to tens of billions of dollars saved for economy-wide initiatives in nations such as the US (</w:t>
      </w:r>
      <w:proofErr w:type="spellStart"/>
      <w:r w:rsidRPr="00AB72F6">
        <w:rPr>
          <w:sz w:val="20"/>
          <w:szCs w:val="20"/>
        </w:rPr>
        <w:t>Balbus</w:t>
      </w:r>
      <w:proofErr w:type="spellEnd"/>
      <w:r w:rsidRPr="00AB72F6">
        <w:rPr>
          <w:sz w:val="20"/>
          <w:szCs w:val="20"/>
        </w:rPr>
        <w:t>, 2014; Thompson, 2014). These benefits translate to between USD$40 and USD$198 per tonne of CO</w:t>
      </w:r>
      <w:r w:rsidRPr="00AB72F6">
        <w:rPr>
          <w:sz w:val="20"/>
          <w:szCs w:val="20"/>
          <w:vertAlign w:val="subscript"/>
        </w:rPr>
        <w:t xml:space="preserve">2 </w:t>
      </w:r>
      <w:r w:rsidRPr="00AB72F6">
        <w:rPr>
          <w:sz w:val="20"/>
          <w:szCs w:val="20"/>
        </w:rPr>
        <w:t>equivalent avoided (</w:t>
      </w:r>
      <w:proofErr w:type="spellStart"/>
      <w:r w:rsidRPr="00AB72F6">
        <w:rPr>
          <w:sz w:val="20"/>
          <w:szCs w:val="20"/>
        </w:rPr>
        <w:t>Balbus</w:t>
      </w:r>
      <w:proofErr w:type="spellEnd"/>
      <w:r w:rsidRPr="00AB72F6">
        <w:rPr>
          <w:sz w:val="20"/>
          <w:szCs w:val="20"/>
        </w:rPr>
        <w:t xml:space="preserve">, 2014; </w:t>
      </w:r>
      <w:proofErr w:type="spellStart"/>
      <w:r w:rsidRPr="00AB72F6">
        <w:rPr>
          <w:sz w:val="20"/>
          <w:szCs w:val="20"/>
        </w:rPr>
        <w:t>Nemet</w:t>
      </w:r>
      <w:proofErr w:type="spellEnd"/>
      <w:r w:rsidRPr="00AB72F6">
        <w:rPr>
          <w:sz w:val="20"/>
          <w:szCs w:val="20"/>
        </w:rPr>
        <w:t xml:space="preserve">, 2010). </w:t>
      </w:r>
    </w:p>
    <w:p w:rsidR="00574250" w:rsidRDefault="00574250" w:rsidP="00574250">
      <w:pPr>
        <w:pStyle w:val="Heading4"/>
      </w:pPr>
      <w:r>
        <w:t>Cutting emissions from energy is a win-win-win option</w:t>
      </w:r>
    </w:p>
    <w:p w:rsidR="00574250" w:rsidRPr="00AB72F6" w:rsidRDefault="00574250" w:rsidP="00AB72F6">
      <w:pPr>
        <w:spacing w:before="200" w:after="200" w:line="288" w:lineRule="auto"/>
        <w:rPr>
          <w:sz w:val="20"/>
          <w:szCs w:val="20"/>
        </w:rPr>
      </w:pPr>
      <w:r w:rsidRPr="00AB72F6">
        <w:rPr>
          <w:sz w:val="20"/>
          <w:szCs w:val="20"/>
        </w:rPr>
        <w:t xml:space="preserve">Generally, the evidence demonstrates that the value of the health co-benefits arising from emissions reductions in the energy sector exceed the costs of energy policy implementation. In some cases, the value of these savings is immense. For example, a study from researchers at the Massachusetts Institute of Technology in 2014 found monetised human health benefits associated with air quality improvements from various policy scenarios could offset 26–1,050% of the cost of the policies (Thompson, 2014). </w:t>
      </w:r>
    </w:p>
    <w:p w:rsidR="00574250" w:rsidRPr="00AB72F6" w:rsidRDefault="00574250" w:rsidP="00AB72F6">
      <w:pPr>
        <w:spacing w:before="200" w:after="200" w:line="288" w:lineRule="auto"/>
        <w:rPr>
          <w:sz w:val="20"/>
          <w:szCs w:val="20"/>
        </w:rPr>
      </w:pPr>
      <w:r w:rsidRPr="00AB72F6">
        <w:rPr>
          <w:sz w:val="20"/>
          <w:szCs w:val="20"/>
        </w:rPr>
        <w:t>The biggest co-benefits demonstrated in this study were associated with a national cap and trade scheme. However, scenarios involving clean energy standards and transportation policies also delivered cost savings. The findings are considered conservative, as they reflected health improvements related to air quality only and did not include health gains available from other potential parallel strategies (e.g. transport policies which encourage walking and bicycling</w:t>
      </w:r>
      <w:r w:rsidR="00AB72F6">
        <w:rPr>
          <w:sz w:val="20"/>
          <w:szCs w:val="20"/>
        </w:rPr>
        <w:t xml:space="preserve">). </w:t>
      </w:r>
    </w:p>
    <w:p w:rsidR="00574250" w:rsidRPr="00AB72F6" w:rsidRDefault="00574250" w:rsidP="00AB72F6">
      <w:pPr>
        <w:spacing w:before="200" w:after="200" w:line="288" w:lineRule="auto"/>
        <w:rPr>
          <w:sz w:val="20"/>
          <w:szCs w:val="20"/>
        </w:rPr>
      </w:pPr>
      <w:r w:rsidRPr="00AB72F6">
        <w:rPr>
          <w:sz w:val="20"/>
          <w:szCs w:val="20"/>
        </w:rPr>
        <w:t xml:space="preserve">The researchers conclude that: </w:t>
      </w:r>
      <w:r w:rsidRPr="00AB72F6">
        <w:rPr>
          <w:i/>
          <w:sz w:val="20"/>
          <w:szCs w:val="20"/>
        </w:rPr>
        <w:t>“cost-benefit analyses of climate policy that omit regional air pollution could greatly underestimate benefits”</w:t>
      </w:r>
      <w:r w:rsidR="00AB72F6">
        <w:rPr>
          <w:sz w:val="20"/>
          <w:szCs w:val="20"/>
        </w:rPr>
        <w:t xml:space="preserve"> (Thompson, 2014).</w:t>
      </w:r>
    </w:p>
    <w:p w:rsidR="00574250" w:rsidRPr="00AB72F6" w:rsidRDefault="00574250" w:rsidP="00AB72F6">
      <w:pPr>
        <w:spacing w:before="200" w:after="200" w:line="288" w:lineRule="auto"/>
        <w:rPr>
          <w:sz w:val="20"/>
          <w:szCs w:val="20"/>
        </w:rPr>
      </w:pPr>
      <w:proofErr w:type="spellStart"/>
      <w:r w:rsidRPr="00AB72F6">
        <w:rPr>
          <w:sz w:val="20"/>
          <w:szCs w:val="20"/>
        </w:rPr>
        <w:t>Buonocore</w:t>
      </w:r>
      <w:proofErr w:type="spellEnd"/>
      <w:r w:rsidRPr="00AB72F6">
        <w:rPr>
          <w:sz w:val="20"/>
          <w:szCs w:val="20"/>
        </w:rPr>
        <w:t xml:space="preserve"> (2015) also found the displacement of fossil fuel powered electricity generation by renewable energy and energy efficiency delivers both climate and public health benefits. These benefits vary according to the type of generation displaced, its location and the distribution of the population proximal to energy generation infrastructure (i.e. power plants). A comparison of four different renewable energy / energy efficiency installations across six locations in the US found benefits ranging from </w:t>
      </w:r>
      <w:r w:rsidRPr="00AB72F6">
        <w:rPr>
          <w:bCs/>
          <w:sz w:val="20"/>
          <w:szCs w:val="20"/>
        </w:rPr>
        <w:t xml:space="preserve">USD$14-$170 per MWh. The benefits were greatest where coal was displaced, with solar photovoltaics, wind and energy efficiency delivering health benefits at comparable prices </w:t>
      </w:r>
      <w:r w:rsidRPr="00AB72F6">
        <w:rPr>
          <w:sz w:val="20"/>
          <w:szCs w:val="20"/>
        </w:rPr>
        <w:t>(</w:t>
      </w:r>
      <w:proofErr w:type="spellStart"/>
      <w:r w:rsidRPr="00AB72F6">
        <w:rPr>
          <w:sz w:val="20"/>
          <w:szCs w:val="20"/>
        </w:rPr>
        <w:t>Buonocore</w:t>
      </w:r>
      <w:proofErr w:type="spellEnd"/>
      <w:r w:rsidRPr="00AB72F6">
        <w:rPr>
          <w:sz w:val="20"/>
          <w:szCs w:val="20"/>
        </w:rPr>
        <w:t xml:space="preserve">, 2015). </w:t>
      </w:r>
      <w:r w:rsidRPr="00AB72F6">
        <w:rPr>
          <w:bCs/>
          <w:sz w:val="20"/>
          <w:szCs w:val="20"/>
        </w:rPr>
        <w:t xml:space="preserve"> </w:t>
      </w:r>
    </w:p>
    <w:p w:rsidR="00574250" w:rsidRPr="00AB72F6" w:rsidRDefault="00574250" w:rsidP="00AB72F6">
      <w:pPr>
        <w:spacing w:before="200" w:after="200" w:line="288" w:lineRule="auto"/>
        <w:rPr>
          <w:sz w:val="20"/>
          <w:szCs w:val="20"/>
        </w:rPr>
      </w:pPr>
      <w:r w:rsidRPr="00AB72F6">
        <w:rPr>
          <w:sz w:val="20"/>
          <w:szCs w:val="20"/>
        </w:rPr>
        <w:t>It is important to note, however, that strategies to reduce emissions in the energy sector do not always in and of themselves deliver health co-benefits. For example, subjecting coal-fired power plants to CO</w:t>
      </w:r>
      <w:r w:rsidRPr="00AB72F6">
        <w:rPr>
          <w:sz w:val="20"/>
          <w:szCs w:val="20"/>
          <w:vertAlign w:val="subscript"/>
        </w:rPr>
        <w:t>2</w:t>
      </w:r>
      <w:r w:rsidRPr="00AB72F6">
        <w:rPr>
          <w:sz w:val="20"/>
          <w:szCs w:val="20"/>
        </w:rPr>
        <w:t xml:space="preserve"> emissions limits without including restrictions on sulphur dioxide and nitrogen oxide emissions would reduce the available health co-benefits and limit near term gains (</w:t>
      </w:r>
      <w:proofErr w:type="spellStart"/>
      <w:r w:rsidRPr="00AB72F6">
        <w:rPr>
          <w:sz w:val="20"/>
          <w:szCs w:val="20"/>
        </w:rPr>
        <w:t>Balbus</w:t>
      </w:r>
      <w:proofErr w:type="spellEnd"/>
      <w:r w:rsidRPr="00AB72F6">
        <w:rPr>
          <w:sz w:val="20"/>
          <w:szCs w:val="20"/>
        </w:rPr>
        <w:t>, 2014). For this reason, it is vital that climate mitigation strategies in the energy sector (as in other sectors) include an evaluation of the associated health impacts in order to ensure emissions reduction</w:t>
      </w:r>
      <w:r w:rsidR="00AB72F6">
        <w:rPr>
          <w:sz w:val="20"/>
          <w:szCs w:val="20"/>
        </w:rPr>
        <w:t>s also deliver health benefits.</w:t>
      </w:r>
    </w:p>
    <w:p w:rsidR="00574250" w:rsidRPr="00AB72F6" w:rsidRDefault="00574250" w:rsidP="00AB72F6">
      <w:pPr>
        <w:spacing w:before="200" w:after="200" w:line="288" w:lineRule="auto"/>
        <w:rPr>
          <w:b/>
          <w:sz w:val="20"/>
          <w:szCs w:val="20"/>
        </w:rPr>
      </w:pPr>
      <w:r w:rsidRPr="00AB72F6">
        <w:rPr>
          <w:b/>
          <w:sz w:val="20"/>
          <w:szCs w:val="20"/>
        </w:rPr>
        <w:t>Strategies to encourage energy efficiency and further uptake of renewable energy systems will contribute to emissions reductions for the City of Melbourne and reduce healthcare costs arising from the burden of disease related to fossil fuel combustion in the region. Decarbonising the energy sector will also provide the platform for low emissions transport through the adoption of electric vehicles powered by renewable energy.</w:t>
      </w:r>
    </w:p>
    <w:p w:rsidR="00B3127D" w:rsidRDefault="00574250" w:rsidP="00574250">
      <w:pPr>
        <w:pStyle w:val="Heading3"/>
      </w:pPr>
      <w:bookmarkStart w:id="43" w:name="_Toc523307115"/>
      <w:r>
        <w:t>Food</w:t>
      </w:r>
      <w:bookmarkEnd w:id="43"/>
    </w:p>
    <w:p w:rsidR="00574250" w:rsidRPr="00AB72F6" w:rsidRDefault="00574250" w:rsidP="00AB72F6">
      <w:pPr>
        <w:spacing w:before="200" w:after="200" w:line="288" w:lineRule="auto"/>
        <w:rPr>
          <w:sz w:val="20"/>
          <w:szCs w:val="20"/>
        </w:rPr>
      </w:pPr>
      <w:r w:rsidRPr="00AB72F6">
        <w:rPr>
          <w:sz w:val="20"/>
          <w:szCs w:val="20"/>
        </w:rPr>
        <w:t>One of the highest emitting parts of the food system is associated with the raising of livestock for meat production (</w:t>
      </w:r>
      <w:proofErr w:type="spellStart"/>
      <w:r w:rsidRPr="00AB72F6">
        <w:rPr>
          <w:sz w:val="20"/>
          <w:szCs w:val="20"/>
        </w:rPr>
        <w:t>Friel</w:t>
      </w:r>
      <w:proofErr w:type="spellEnd"/>
      <w:r w:rsidRPr="00AB72F6">
        <w:rPr>
          <w:sz w:val="20"/>
          <w:szCs w:val="20"/>
        </w:rPr>
        <w:t>, 2013). Since many people in OECD nations, including Australia, consume more meat and protein than is recommended in dietary guidelines, reduction in meat consumption can deliver both climate and health benefits (</w:t>
      </w:r>
      <w:proofErr w:type="spellStart"/>
      <w:r w:rsidRPr="00AB72F6">
        <w:rPr>
          <w:sz w:val="20"/>
          <w:szCs w:val="20"/>
        </w:rPr>
        <w:t>Friel</w:t>
      </w:r>
      <w:proofErr w:type="spellEnd"/>
      <w:r w:rsidRPr="00AB72F6">
        <w:rPr>
          <w:sz w:val="20"/>
          <w:szCs w:val="20"/>
        </w:rPr>
        <w:t xml:space="preserve"> 2013). Lowering consumption of animal products in the population reduces consumption of saturated fat, which can reduce the risk of ischaemic heart disease, as well as reduce household and societal expenditure (Haines, 2010).</w:t>
      </w:r>
    </w:p>
    <w:p w:rsidR="00574250" w:rsidRPr="00AB72F6" w:rsidRDefault="00574250" w:rsidP="00AB72F6">
      <w:pPr>
        <w:spacing w:before="200" w:after="200" w:line="288" w:lineRule="auto"/>
        <w:rPr>
          <w:sz w:val="20"/>
          <w:szCs w:val="20"/>
        </w:rPr>
      </w:pPr>
      <w:r w:rsidRPr="00AB72F6">
        <w:rPr>
          <w:sz w:val="20"/>
          <w:szCs w:val="20"/>
        </w:rPr>
        <w:t xml:space="preserve">A 2009 study in </w:t>
      </w:r>
      <w:r w:rsidRPr="00AB72F6">
        <w:rPr>
          <w:i/>
          <w:sz w:val="20"/>
          <w:szCs w:val="20"/>
        </w:rPr>
        <w:t>The Lancet</w:t>
      </w:r>
      <w:r w:rsidRPr="00AB72F6">
        <w:rPr>
          <w:sz w:val="20"/>
          <w:szCs w:val="20"/>
        </w:rPr>
        <w:t xml:space="preserve"> found reducing consumption of animal products by 30% would reduce the incidence of ischaemic heart disease by 15% (</w:t>
      </w:r>
      <w:proofErr w:type="spellStart"/>
      <w:r w:rsidRPr="00AB72F6">
        <w:rPr>
          <w:sz w:val="20"/>
          <w:szCs w:val="20"/>
        </w:rPr>
        <w:t>Friel</w:t>
      </w:r>
      <w:proofErr w:type="spellEnd"/>
      <w:r w:rsidRPr="00AB72F6">
        <w:rPr>
          <w:sz w:val="20"/>
          <w:szCs w:val="20"/>
        </w:rPr>
        <w:t xml:space="preserve">, 2009). While consumption of red meat in Australia is declining (80g/day in 2016 compared to 100g of red meat /day in 2010) it is still above the recommended average of 50g/day (ABS, 2016; </w:t>
      </w:r>
      <w:proofErr w:type="spellStart"/>
      <w:r w:rsidRPr="00AB72F6">
        <w:rPr>
          <w:sz w:val="20"/>
          <w:szCs w:val="20"/>
        </w:rPr>
        <w:t>Friel</w:t>
      </w:r>
      <w:proofErr w:type="spellEnd"/>
      <w:r w:rsidRPr="00AB72F6">
        <w:rPr>
          <w:sz w:val="20"/>
          <w:szCs w:val="20"/>
        </w:rPr>
        <w:t>, 2010). In 2010, it was estimated that reducing this to 50g/day would reduce emissions from livestock in Australia by 22% and reduce the incidence of colorectal cancer by 11% (</w:t>
      </w:r>
      <w:proofErr w:type="spellStart"/>
      <w:r w:rsidRPr="00AB72F6">
        <w:rPr>
          <w:sz w:val="20"/>
          <w:szCs w:val="20"/>
        </w:rPr>
        <w:t>Friel</w:t>
      </w:r>
      <w:proofErr w:type="spellEnd"/>
      <w:r w:rsidRPr="00AB72F6">
        <w:rPr>
          <w:sz w:val="20"/>
          <w:szCs w:val="20"/>
        </w:rPr>
        <w:t>, 2010).</w:t>
      </w:r>
    </w:p>
    <w:p w:rsidR="00574250" w:rsidRDefault="00574250" w:rsidP="00574250">
      <w:pPr>
        <w:pStyle w:val="Heading4"/>
      </w:pPr>
      <w:r>
        <w:t xml:space="preserve">A healthy, low carbon diet involves whole food, mostly plants </w:t>
      </w:r>
    </w:p>
    <w:p w:rsidR="00574250" w:rsidRPr="00AB72F6" w:rsidRDefault="00574250" w:rsidP="00AB72F6">
      <w:pPr>
        <w:spacing w:before="200" w:after="200" w:line="288" w:lineRule="auto"/>
        <w:rPr>
          <w:sz w:val="20"/>
          <w:szCs w:val="20"/>
        </w:rPr>
      </w:pPr>
      <w:r w:rsidRPr="00AB72F6">
        <w:rPr>
          <w:sz w:val="20"/>
          <w:szCs w:val="20"/>
        </w:rPr>
        <w:t>An Australian case study (</w:t>
      </w:r>
      <w:proofErr w:type="spellStart"/>
      <w:r w:rsidRPr="00AB72F6">
        <w:rPr>
          <w:sz w:val="20"/>
          <w:szCs w:val="20"/>
        </w:rPr>
        <w:t>Friel</w:t>
      </w:r>
      <w:proofErr w:type="spellEnd"/>
      <w:r w:rsidRPr="00AB72F6">
        <w:rPr>
          <w:sz w:val="20"/>
          <w:szCs w:val="20"/>
        </w:rPr>
        <w:t>, 2013) demonstrates it is possible to reduce household emissions related to food consumption and achieve a healthy, nutritionally balanced diet. This can be achieved through replacing typically consumed foods with readily available alternatives with lower emissions and a lower environmental footprint. This approach is based on three principles: avoiding food above any person’s individual energy requirement (i.e. avoiding overeating); avoiding energy dense, highly processed and packaged food; and choosing more plant-derived foods and less animal products (</w:t>
      </w:r>
      <w:proofErr w:type="spellStart"/>
      <w:r w:rsidRPr="00AB72F6">
        <w:rPr>
          <w:sz w:val="20"/>
          <w:szCs w:val="20"/>
        </w:rPr>
        <w:t>Friel</w:t>
      </w:r>
      <w:proofErr w:type="spellEnd"/>
      <w:r w:rsidRPr="00AB72F6">
        <w:rPr>
          <w:sz w:val="20"/>
          <w:szCs w:val="20"/>
        </w:rPr>
        <w:t xml:space="preserve">, 2013). </w:t>
      </w:r>
    </w:p>
    <w:p w:rsidR="00574250" w:rsidRPr="00AB72F6" w:rsidRDefault="00574250" w:rsidP="00AB72F6">
      <w:pPr>
        <w:spacing w:before="200" w:after="200" w:line="288" w:lineRule="auto"/>
        <w:rPr>
          <w:sz w:val="20"/>
          <w:szCs w:val="20"/>
        </w:rPr>
      </w:pPr>
      <w:r w:rsidRPr="00AB72F6">
        <w:rPr>
          <w:sz w:val="20"/>
          <w:szCs w:val="20"/>
        </w:rPr>
        <w:t>While low carbon diets typically emphasise reducing or eliminating consumption of animal products, studies from the UK have found a low emissions diet which meets dietary requirements for good health can be achieved without omitting meat and dairy and without increasing costs to consumers (</w:t>
      </w:r>
      <w:proofErr w:type="spellStart"/>
      <w:r w:rsidRPr="00AB72F6">
        <w:rPr>
          <w:sz w:val="20"/>
          <w:szCs w:val="20"/>
        </w:rPr>
        <w:t>Macdiarmid</w:t>
      </w:r>
      <w:proofErr w:type="spellEnd"/>
      <w:r w:rsidRPr="00AB72F6">
        <w:rPr>
          <w:sz w:val="20"/>
          <w:szCs w:val="20"/>
        </w:rPr>
        <w:t xml:space="preserve">, 2012). </w:t>
      </w:r>
    </w:p>
    <w:p w:rsidR="00574250" w:rsidRPr="00AB72F6" w:rsidRDefault="00574250" w:rsidP="00AB72F6">
      <w:pPr>
        <w:spacing w:before="200" w:after="200" w:line="288" w:lineRule="auto"/>
        <w:rPr>
          <w:sz w:val="20"/>
          <w:szCs w:val="20"/>
        </w:rPr>
      </w:pPr>
      <w:r w:rsidRPr="00AB72F6">
        <w:rPr>
          <w:sz w:val="20"/>
          <w:szCs w:val="20"/>
        </w:rPr>
        <w:t>Modelling of the health impacts of low carbon diets in the UK suggests a 50% reduction in meat and dairy products (from 2005 levels), replaced with fruit, vegetables and cereals, would deliver a 19% reduction in GHG emissions and a 42% reduction in land use while averting or delaying between 30,192 and 43,592 deaths each year in the UK (Scarborough, 2012).</w:t>
      </w:r>
    </w:p>
    <w:p w:rsidR="00574250" w:rsidRPr="00AB72F6" w:rsidRDefault="00574250" w:rsidP="00AB72F6">
      <w:pPr>
        <w:spacing w:before="200" w:after="200" w:line="288" w:lineRule="auto"/>
        <w:rPr>
          <w:sz w:val="20"/>
          <w:szCs w:val="20"/>
        </w:rPr>
      </w:pPr>
      <w:r w:rsidRPr="00AB72F6">
        <w:rPr>
          <w:sz w:val="20"/>
          <w:szCs w:val="20"/>
        </w:rPr>
        <w:t>A comprehensive review of the literature on the impacts of adopting a sustainable diet</w:t>
      </w:r>
      <w:r w:rsidRPr="00AB72F6">
        <w:rPr>
          <w:rStyle w:val="FootnoteReference"/>
          <w:rFonts w:eastAsiaTheme="majorEastAsia"/>
          <w:bCs/>
          <w:sz w:val="20"/>
          <w:szCs w:val="20"/>
        </w:rPr>
        <w:footnoteReference w:id="3"/>
      </w:r>
      <w:r w:rsidRPr="00AB72F6">
        <w:rPr>
          <w:sz w:val="20"/>
          <w:szCs w:val="20"/>
        </w:rPr>
        <w:t xml:space="preserve"> on GHG emissions, land use, water use, and health (</w:t>
      </w:r>
      <w:proofErr w:type="spellStart"/>
      <w:r w:rsidRPr="00AB72F6">
        <w:rPr>
          <w:bCs/>
          <w:sz w:val="20"/>
          <w:szCs w:val="20"/>
        </w:rPr>
        <w:t>Aleksandrowicz</w:t>
      </w:r>
      <w:proofErr w:type="spellEnd"/>
      <w:r w:rsidRPr="00AB72F6">
        <w:rPr>
          <w:bCs/>
          <w:sz w:val="20"/>
          <w:szCs w:val="20"/>
        </w:rPr>
        <w:t>, 2016) found that adopting a sustainable diet would deliver GHG emissions reductions of 70-80%, along with a 50% decline in water use, with modest health gains from reductions in mortality rates and risk.</w:t>
      </w:r>
    </w:p>
    <w:p w:rsidR="00574250" w:rsidRPr="00AB72F6" w:rsidRDefault="00574250" w:rsidP="00AB72F6">
      <w:pPr>
        <w:spacing w:before="200" w:after="200" w:line="288" w:lineRule="auto"/>
        <w:rPr>
          <w:sz w:val="20"/>
          <w:szCs w:val="20"/>
        </w:rPr>
      </w:pPr>
      <w:r w:rsidRPr="00AB72F6">
        <w:rPr>
          <w:sz w:val="20"/>
          <w:szCs w:val="20"/>
        </w:rPr>
        <w:t>Achieving dual benefits in terms of emissions reductions and health gains in relation to diet requires a comprehensive understanding of diet and health interactions, cultural traditions and availa</w:t>
      </w:r>
      <w:r w:rsidR="00AB72F6">
        <w:rPr>
          <w:sz w:val="20"/>
          <w:szCs w:val="20"/>
        </w:rPr>
        <w:t xml:space="preserve">ble food sources (Quam, 2017). </w:t>
      </w:r>
    </w:p>
    <w:p w:rsidR="00574250" w:rsidRDefault="00574250" w:rsidP="00AB72F6">
      <w:pPr>
        <w:spacing w:before="200" w:after="200" w:line="288" w:lineRule="auto"/>
      </w:pPr>
      <w:r w:rsidRPr="00AB72F6">
        <w:rPr>
          <w:sz w:val="20"/>
          <w:szCs w:val="20"/>
        </w:rPr>
        <w:t xml:space="preserve">The best outcomes for both health and climate can be achieved by identifying diets that are safe, healthy and nutritious as well as low carbon, and also support healthy ecosystems, encourage biodiversity, as well as being affordable, culturally appropriate, and use natural and human resources in a fair and sustainable manner (Quam, 2017). </w:t>
      </w:r>
    </w:p>
    <w:p w:rsidR="00574250" w:rsidRDefault="00574250" w:rsidP="00574250">
      <w:pPr>
        <w:pStyle w:val="Heading4"/>
      </w:pPr>
      <w:r>
        <w:t xml:space="preserve">Dual benefits of growing local food </w:t>
      </w:r>
    </w:p>
    <w:p w:rsidR="00574250" w:rsidRPr="00AB72F6" w:rsidRDefault="00574250" w:rsidP="00AB72F6">
      <w:pPr>
        <w:spacing w:before="200" w:after="200" w:line="288" w:lineRule="auto"/>
        <w:rPr>
          <w:sz w:val="20"/>
          <w:szCs w:val="20"/>
        </w:rPr>
      </w:pPr>
      <w:r w:rsidRPr="00AB72F6">
        <w:rPr>
          <w:sz w:val="20"/>
          <w:szCs w:val="20"/>
        </w:rPr>
        <w:t>Localised food systems not only help reduce ‘food miles’ (and therefore emissions) but can also contribute to social benefits through addressing economic inequity (through access to affordable food) and contributing to social capital and health co-benefits (</w:t>
      </w:r>
      <w:proofErr w:type="spellStart"/>
      <w:r w:rsidRPr="00AB72F6">
        <w:rPr>
          <w:sz w:val="20"/>
          <w:szCs w:val="20"/>
        </w:rPr>
        <w:t>Okvat</w:t>
      </w:r>
      <w:proofErr w:type="spellEnd"/>
      <w:r w:rsidRPr="00AB72F6">
        <w:rPr>
          <w:sz w:val="20"/>
          <w:szCs w:val="20"/>
        </w:rPr>
        <w:t xml:space="preserve">; 2011; Patrick, 2015). Community gardens promote social interaction thereby reducing social isolation and improving mental health, as well as offering physical health benefits through physical activity, and reducing the risks of morbidity and mortality associated with preventable chronic illnesses (Townsend, 2011; </w:t>
      </w:r>
      <w:proofErr w:type="spellStart"/>
      <w:r w:rsidRPr="00AB72F6">
        <w:rPr>
          <w:sz w:val="20"/>
          <w:szCs w:val="20"/>
        </w:rPr>
        <w:t>Okvat</w:t>
      </w:r>
      <w:proofErr w:type="spellEnd"/>
      <w:r w:rsidRPr="00AB72F6">
        <w:rPr>
          <w:sz w:val="20"/>
          <w:szCs w:val="20"/>
        </w:rPr>
        <w:t xml:space="preserve">, 2011). </w:t>
      </w:r>
    </w:p>
    <w:p w:rsidR="00574250" w:rsidRPr="00AB72F6" w:rsidRDefault="00574250" w:rsidP="00AB72F6">
      <w:pPr>
        <w:spacing w:before="200" w:after="200" w:line="288" w:lineRule="auto"/>
        <w:rPr>
          <w:sz w:val="20"/>
          <w:szCs w:val="20"/>
        </w:rPr>
      </w:pPr>
      <w:r w:rsidRPr="00AB72F6">
        <w:rPr>
          <w:sz w:val="20"/>
          <w:szCs w:val="20"/>
        </w:rPr>
        <w:t>Possible policy options to encourage healthy low carbon diets include taxing unhealthy or high carbon food choices. However, this should be accompanied by community education programs and revised dietary guidelines to ensure substituted foods are also nutritious and contribute to a balanced diet (</w:t>
      </w:r>
      <w:proofErr w:type="spellStart"/>
      <w:r w:rsidRPr="00AB72F6">
        <w:rPr>
          <w:bCs/>
          <w:sz w:val="20"/>
          <w:szCs w:val="20"/>
        </w:rPr>
        <w:t>Aleksandrowicz</w:t>
      </w:r>
      <w:proofErr w:type="spellEnd"/>
      <w:r w:rsidRPr="00AB72F6">
        <w:rPr>
          <w:bCs/>
          <w:sz w:val="20"/>
          <w:szCs w:val="20"/>
        </w:rPr>
        <w:t>, 2016</w:t>
      </w:r>
      <w:r w:rsidRPr="00AB72F6">
        <w:rPr>
          <w:sz w:val="20"/>
          <w:szCs w:val="20"/>
        </w:rPr>
        <w:t xml:space="preserve">; Quam, 2017). Improvements in diet and exercise will contribute to a healthier population, which is likely to result in reduced hospital admissions, and reduced health costs as well as reduced GHG emissions from </w:t>
      </w:r>
      <w:r w:rsidR="00AB72F6">
        <w:rPr>
          <w:sz w:val="20"/>
          <w:szCs w:val="20"/>
        </w:rPr>
        <w:t>the health sector (Quam, 2017).</w:t>
      </w:r>
    </w:p>
    <w:p w:rsidR="00574250" w:rsidRPr="00AB72F6" w:rsidRDefault="00574250" w:rsidP="00AB72F6">
      <w:pPr>
        <w:spacing w:before="200" w:after="200" w:line="288" w:lineRule="auto"/>
        <w:rPr>
          <w:b/>
          <w:sz w:val="20"/>
          <w:szCs w:val="20"/>
        </w:rPr>
      </w:pPr>
      <w:r w:rsidRPr="00AB72F6">
        <w:rPr>
          <w:b/>
          <w:sz w:val="20"/>
          <w:szCs w:val="20"/>
        </w:rPr>
        <w:t xml:space="preserve">Programs to encourage the adoption of a low carbon diet and local urban food systems and food production, including the use of community gardens, can help reduce emissions in the City of Melbourne, and boost individual and population health, while contributing to social cohesion and community resilience. </w:t>
      </w:r>
    </w:p>
    <w:p w:rsidR="00B3127D" w:rsidRDefault="00574250" w:rsidP="00574250">
      <w:pPr>
        <w:pStyle w:val="Heading3"/>
      </w:pPr>
      <w:bookmarkStart w:id="44" w:name="_Toc523307116"/>
      <w:r>
        <w:t>Green infrastructure, including parks and gardens</w:t>
      </w:r>
      <w:bookmarkEnd w:id="44"/>
    </w:p>
    <w:p w:rsidR="00574250" w:rsidRPr="00AB72F6" w:rsidRDefault="00574250" w:rsidP="00AB72F6">
      <w:pPr>
        <w:spacing w:before="200" w:after="200" w:line="288" w:lineRule="auto"/>
        <w:rPr>
          <w:sz w:val="20"/>
          <w:szCs w:val="20"/>
        </w:rPr>
      </w:pPr>
      <w:r w:rsidRPr="00AB72F6">
        <w:rPr>
          <w:sz w:val="20"/>
          <w:szCs w:val="20"/>
        </w:rPr>
        <w:t>There is good evidence that ‘green’ infrastructure (parks and gardens, green roofs and facades, tree canopy) in urban settings can make an important contribution to climate mitigation and adaptation efforts as well as confer human health benefits (</w:t>
      </w:r>
      <w:proofErr w:type="spellStart"/>
      <w:r w:rsidRPr="00AB72F6">
        <w:rPr>
          <w:sz w:val="20"/>
          <w:szCs w:val="20"/>
        </w:rPr>
        <w:t>Demuzere</w:t>
      </w:r>
      <w:proofErr w:type="spellEnd"/>
      <w:r w:rsidRPr="00AB72F6">
        <w:rPr>
          <w:sz w:val="20"/>
          <w:szCs w:val="20"/>
        </w:rPr>
        <w:t xml:space="preserve">, 2014; Bowen, 2015). </w:t>
      </w:r>
    </w:p>
    <w:p w:rsidR="00574250" w:rsidRPr="00AB72F6" w:rsidRDefault="00574250" w:rsidP="00AB72F6">
      <w:pPr>
        <w:spacing w:before="200" w:after="200" w:line="288" w:lineRule="auto"/>
        <w:rPr>
          <w:sz w:val="20"/>
          <w:szCs w:val="20"/>
        </w:rPr>
      </w:pPr>
      <w:r w:rsidRPr="00AB72F6">
        <w:rPr>
          <w:sz w:val="20"/>
          <w:szCs w:val="20"/>
        </w:rPr>
        <w:t>Green urban infrastructure is associated with climate mitigation (by providing CO</w:t>
      </w:r>
      <w:r w:rsidRPr="00AB72F6">
        <w:rPr>
          <w:sz w:val="20"/>
          <w:szCs w:val="20"/>
          <w:vertAlign w:val="subscript"/>
        </w:rPr>
        <w:t>2</w:t>
      </w:r>
      <w:r w:rsidRPr="00AB72F6">
        <w:rPr>
          <w:sz w:val="20"/>
          <w:szCs w:val="20"/>
        </w:rPr>
        <w:t xml:space="preserve"> sequestration), supporting climate resilience (by helping to mitigate the effects of extreme weather i.e. floods, heatwaves and extreme rainfall) as well as physical and psychological health benefits (</w:t>
      </w:r>
      <w:proofErr w:type="spellStart"/>
      <w:r w:rsidRPr="00AB72F6">
        <w:rPr>
          <w:sz w:val="20"/>
          <w:szCs w:val="20"/>
        </w:rPr>
        <w:t>Demuzere</w:t>
      </w:r>
      <w:proofErr w:type="spellEnd"/>
      <w:r w:rsidRPr="00AB72F6">
        <w:rPr>
          <w:sz w:val="20"/>
          <w:szCs w:val="20"/>
        </w:rPr>
        <w:t xml:space="preserve">, </w:t>
      </w:r>
      <w:r w:rsidR="00AB72F6">
        <w:rPr>
          <w:sz w:val="20"/>
          <w:szCs w:val="20"/>
        </w:rPr>
        <w:t xml:space="preserve">2014). </w:t>
      </w:r>
    </w:p>
    <w:p w:rsidR="00574250" w:rsidRPr="00AB72F6" w:rsidRDefault="00574250" w:rsidP="00AB72F6">
      <w:pPr>
        <w:spacing w:before="200" w:after="200" w:line="288" w:lineRule="auto"/>
        <w:rPr>
          <w:sz w:val="20"/>
          <w:szCs w:val="20"/>
        </w:rPr>
      </w:pPr>
      <w:r w:rsidRPr="00AB72F6">
        <w:rPr>
          <w:sz w:val="20"/>
          <w:szCs w:val="20"/>
        </w:rPr>
        <w:t>Access to parks and gardens is associated with increased physical activity, better overall health, reduced stress, and an enhanced sense of personal wellbeing (</w:t>
      </w:r>
      <w:proofErr w:type="spellStart"/>
      <w:r w:rsidRPr="00AB72F6">
        <w:rPr>
          <w:sz w:val="20"/>
          <w:szCs w:val="20"/>
        </w:rPr>
        <w:t>Demuzere</w:t>
      </w:r>
      <w:proofErr w:type="spellEnd"/>
      <w:r w:rsidRPr="00AB72F6">
        <w:rPr>
          <w:sz w:val="20"/>
          <w:szCs w:val="20"/>
        </w:rPr>
        <w:t>, 2014; Townsend, 2010). By providing opportunities to interact with nature, engage in physical activity, and reduce stress, increasing access to green infrastructure in urban environments has a positive effect on physical, mental a</w:t>
      </w:r>
      <w:r w:rsidR="00AB72F6">
        <w:rPr>
          <w:sz w:val="20"/>
          <w:szCs w:val="20"/>
        </w:rPr>
        <w:t>nd social health (Bowen, 2015).</w:t>
      </w:r>
    </w:p>
    <w:p w:rsidR="00574250" w:rsidRDefault="00574250" w:rsidP="00574250">
      <w:pPr>
        <w:pStyle w:val="Heading4"/>
      </w:pPr>
      <w:r>
        <w:t xml:space="preserve">Nature: our air filter </w:t>
      </w:r>
    </w:p>
    <w:p w:rsidR="00574250" w:rsidRPr="00AB72F6" w:rsidRDefault="00574250" w:rsidP="00AB72F6">
      <w:pPr>
        <w:spacing w:before="200" w:after="200" w:line="288" w:lineRule="auto"/>
        <w:rPr>
          <w:sz w:val="20"/>
          <w:szCs w:val="20"/>
        </w:rPr>
      </w:pPr>
      <w:r w:rsidRPr="00AB72F6">
        <w:rPr>
          <w:sz w:val="20"/>
          <w:szCs w:val="20"/>
        </w:rPr>
        <w:t>Trees and urban forests, along with domestic gardens, reduce air pollution, help reduce the urban heat island effect, improve thermal comfort and limit heat stress for people as well as other species (</w:t>
      </w:r>
      <w:proofErr w:type="spellStart"/>
      <w:r w:rsidRPr="00AB72F6">
        <w:rPr>
          <w:sz w:val="20"/>
          <w:szCs w:val="20"/>
        </w:rPr>
        <w:t>Demuzere</w:t>
      </w:r>
      <w:proofErr w:type="spellEnd"/>
      <w:r w:rsidRPr="00AB72F6">
        <w:rPr>
          <w:sz w:val="20"/>
          <w:szCs w:val="20"/>
        </w:rPr>
        <w:t>, 2014; Norton, 2015). Vegetation helps absorb local air pollutants, such as ground level ozone and NOx, and helps remove PM, such as dust, ash, pollen and smoke (</w:t>
      </w:r>
      <w:proofErr w:type="spellStart"/>
      <w:r w:rsidRPr="00AB72F6">
        <w:rPr>
          <w:sz w:val="20"/>
          <w:szCs w:val="20"/>
        </w:rPr>
        <w:t>Sarajevs</w:t>
      </w:r>
      <w:proofErr w:type="spellEnd"/>
      <w:r w:rsidRPr="00AB72F6">
        <w:rPr>
          <w:sz w:val="20"/>
          <w:szCs w:val="20"/>
        </w:rPr>
        <w:t xml:space="preserve">, 2011; </w:t>
      </w:r>
      <w:proofErr w:type="spellStart"/>
      <w:r w:rsidRPr="00AB72F6">
        <w:rPr>
          <w:sz w:val="20"/>
          <w:szCs w:val="20"/>
        </w:rPr>
        <w:t>Tallis</w:t>
      </w:r>
      <w:proofErr w:type="spellEnd"/>
      <w:r w:rsidRPr="00AB72F6">
        <w:rPr>
          <w:sz w:val="20"/>
          <w:szCs w:val="20"/>
        </w:rPr>
        <w:t>, 2011). Studies from the UK reveal increasing tree cover by 10% in the Great London area could remove between 1,000-2,000 tonnes of PM</w:t>
      </w:r>
      <w:r w:rsidRPr="00AB72F6">
        <w:rPr>
          <w:sz w:val="20"/>
          <w:szCs w:val="20"/>
          <w:vertAlign w:val="subscript"/>
        </w:rPr>
        <w:t>10</w:t>
      </w:r>
      <w:r w:rsidRPr="00AB72F6">
        <w:rPr>
          <w:sz w:val="20"/>
          <w:szCs w:val="20"/>
        </w:rPr>
        <w:t xml:space="preserve"> by 2050, or almost 3% of PM</w:t>
      </w:r>
      <w:r w:rsidRPr="00AB72F6">
        <w:rPr>
          <w:sz w:val="20"/>
          <w:szCs w:val="20"/>
          <w:vertAlign w:val="subscript"/>
        </w:rPr>
        <w:t>10</w:t>
      </w:r>
      <w:r w:rsidRPr="00AB72F6">
        <w:rPr>
          <w:sz w:val="20"/>
          <w:szCs w:val="20"/>
        </w:rPr>
        <w:t xml:space="preserve"> pollution (</w:t>
      </w:r>
      <w:proofErr w:type="spellStart"/>
      <w:r w:rsidRPr="00AB72F6">
        <w:rPr>
          <w:sz w:val="20"/>
          <w:szCs w:val="20"/>
        </w:rPr>
        <w:t>Tallis</w:t>
      </w:r>
      <w:proofErr w:type="spellEnd"/>
      <w:r w:rsidRPr="00AB72F6">
        <w:rPr>
          <w:sz w:val="20"/>
          <w:szCs w:val="20"/>
        </w:rPr>
        <w:t>, 2011).</w:t>
      </w:r>
    </w:p>
    <w:p w:rsidR="00574250" w:rsidRPr="00AB72F6" w:rsidRDefault="00574250" w:rsidP="00AB72F6">
      <w:pPr>
        <w:spacing w:before="200" w:after="200" w:line="288" w:lineRule="auto"/>
        <w:rPr>
          <w:sz w:val="20"/>
          <w:szCs w:val="20"/>
        </w:rPr>
      </w:pPr>
      <w:r w:rsidRPr="00AB72F6">
        <w:rPr>
          <w:sz w:val="20"/>
          <w:szCs w:val="20"/>
        </w:rPr>
        <w:t xml:space="preserve">Choosing plant species to include in urban green infrastructure to realise climate and health benefits should be informed by local climate conditions, as well as community values, and should seek to avoid unintended negative health impacts, such as aeroallergens from increased pollen production associated with certain species (Norton, 2015; Cheng, 2013). </w:t>
      </w:r>
    </w:p>
    <w:p w:rsidR="00574250" w:rsidRDefault="00574250" w:rsidP="00574250">
      <w:pPr>
        <w:pStyle w:val="Heading4"/>
      </w:pPr>
      <w:r>
        <w:t>Green = cool = comfort</w:t>
      </w:r>
    </w:p>
    <w:p w:rsidR="00574250" w:rsidRPr="00AB72F6" w:rsidRDefault="00574250" w:rsidP="00AB72F6">
      <w:pPr>
        <w:spacing w:before="200" w:after="200" w:line="288" w:lineRule="auto"/>
        <w:rPr>
          <w:sz w:val="20"/>
          <w:szCs w:val="20"/>
        </w:rPr>
      </w:pPr>
      <w:r w:rsidRPr="00AB72F6">
        <w:rPr>
          <w:sz w:val="20"/>
          <w:szCs w:val="20"/>
        </w:rPr>
        <w:t>Green roofs reflect sunlight, creating cooler conditions which reduce energy use, and provide insulation (</w:t>
      </w:r>
      <w:proofErr w:type="spellStart"/>
      <w:r w:rsidRPr="00AB72F6">
        <w:rPr>
          <w:sz w:val="20"/>
          <w:szCs w:val="20"/>
        </w:rPr>
        <w:t>Demuzere</w:t>
      </w:r>
      <w:proofErr w:type="spellEnd"/>
      <w:r w:rsidRPr="00AB72F6">
        <w:rPr>
          <w:sz w:val="20"/>
          <w:szCs w:val="20"/>
        </w:rPr>
        <w:t>, 2014). Green roofs can cool at neighbourhood scale if they cover a large area of low buildings (Norton, 2015), and may deliver cooling of up to three degrees Celsius (</w:t>
      </w:r>
      <w:proofErr w:type="spellStart"/>
      <w:r w:rsidRPr="00AB72F6">
        <w:rPr>
          <w:sz w:val="20"/>
          <w:szCs w:val="20"/>
        </w:rPr>
        <w:t>Santomouris</w:t>
      </w:r>
      <w:proofErr w:type="spellEnd"/>
      <w:r w:rsidRPr="00AB72F6">
        <w:rPr>
          <w:sz w:val="20"/>
          <w:szCs w:val="20"/>
        </w:rPr>
        <w:t>, 2014). The combination of green roofs and green walls is demonstrated to have a substantial effect on mitigating high temperatures in urban environments, with the potential to achieve energy savings from cooling buildings between 32% and 100% (</w:t>
      </w:r>
      <w:proofErr w:type="spellStart"/>
      <w:r w:rsidRPr="00AB72F6">
        <w:rPr>
          <w:sz w:val="20"/>
          <w:szCs w:val="20"/>
        </w:rPr>
        <w:t>Alexandri</w:t>
      </w:r>
      <w:proofErr w:type="spellEnd"/>
      <w:r w:rsidRPr="00AB72F6">
        <w:rPr>
          <w:sz w:val="20"/>
          <w:szCs w:val="20"/>
        </w:rPr>
        <w:t>, 2008). Parks and gardens also offer a cooling effect; a London study found Kensington Gardens provided cooling of 4 degrees Celsius up to 440 metres beyond its boundary (</w:t>
      </w:r>
      <w:proofErr w:type="spellStart"/>
      <w:r w:rsidRPr="00AB72F6">
        <w:rPr>
          <w:sz w:val="20"/>
          <w:szCs w:val="20"/>
        </w:rPr>
        <w:t>Doick</w:t>
      </w:r>
      <w:proofErr w:type="spellEnd"/>
      <w:r w:rsidRPr="00AB72F6">
        <w:rPr>
          <w:sz w:val="20"/>
          <w:szCs w:val="20"/>
        </w:rPr>
        <w:t>, 2014).</w:t>
      </w:r>
    </w:p>
    <w:p w:rsidR="00574250" w:rsidRPr="00AB72F6" w:rsidRDefault="00574250" w:rsidP="00AB72F6">
      <w:pPr>
        <w:spacing w:before="200" w:after="200" w:line="288" w:lineRule="auto"/>
        <w:rPr>
          <w:sz w:val="20"/>
          <w:szCs w:val="20"/>
        </w:rPr>
      </w:pPr>
      <w:r w:rsidRPr="00AB72F6">
        <w:rPr>
          <w:sz w:val="20"/>
          <w:szCs w:val="20"/>
        </w:rPr>
        <w:t>Heat-related deaths and illnesses associated with the urban heat island effect can be minimised by the cooling that plants provide through shade and evapotranspiration (the release of water vapour from plants to the surrounding air</w:t>
      </w:r>
      <w:r w:rsidR="00AB72F6" w:rsidRPr="00AB72F6">
        <w:rPr>
          <w:sz w:val="20"/>
          <w:szCs w:val="20"/>
        </w:rPr>
        <w:t xml:space="preserve">) (Berry, 2013, </w:t>
      </w:r>
      <w:proofErr w:type="spellStart"/>
      <w:r w:rsidR="00AB72F6" w:rsidRPr="00AB72F6">
        <w:rPr>
          <w:sz w:val="20"/>
          <w:szCs w:val="20"/>
        </w:rPr>
        <w:t>Zkang</w:t>
      </w:r>
      <w:proofErr w:type="spellEnd"/>
      <w:r w:rsidR="00AB72F6" w:rsidRPr="00AB72F6">
        <w:rPr>
          <w:sz w:val="20"/>
          <w:szCs w:val="20"/>
        </w:rPr>
        <w:t>, 2014).</w:t>
      </w:r>
    </w:p>
    <w:p w:rsidR="00574250" w:rsidRPr="00AB72F6" w:rsidRDefault="00574250" w:rsidP="00AB72F6">
      <w:pPr>
        <w:spacing w:before="200" w:after="200" w:line="288" w:lineRule="auto"/>
        <w:rPr>
          <w:sz w:val="20"/>
          <w:szCs w:val="20"/>
        </w:rPr>
      </w:pPr>
      <w:r w:rsidRPr="00AB72F6">
        <w:rPr>
          <w:sz w:val="20"/>
          <w:szCs w:val="20"/>
        </w:rPr>
        <w:t>Community gardens offer the potential for emissions reductions through carbon sequestration, reduced emissions from transporting food, reductions in methane (if food waste is used as compost), and through the contribution of vegetation to urban cooling, reducing energy demand, and therefore emissions (from fossil fuel-based</w:t>
      </w:r>
      <w:r w:rsidR="00AB72F6" w:rsidRPr="00AB72F6">
        <w:rPr>
          <w:sz w:val="20"/>
          <w:szCs w:val="20"/>
        </w:rPr>
        <w:t xml:space="preserve"> power sources) (</w:t>
      </w:r>
      <w:proofErr w:type="spellStart"/>
      <w:r w:rsidR="00AB72F6" w:rsidRPr="00AB72F6">
        <w:rPr>
          <w:sz w:val="20"/>
          <w:szCs w:val="20"/>
        </w:rPr>
        <w:t>Okvat</w:t>
      </w:r>
      <w:proofErr w:type="spellEnd"/>
      <w:r w:rsidR="00AB72F6" w:rsidRPr="00AB72F6">
        <w:rPr>
          <w:sz w:val="20"/>
          <w:szCs w:val="20"/>
        </w:rPr>
        <w:t xml:space="preserve">, 2011). </w:t>
      </w:r>
    </w:p>
    <w:p w:rsidR="00574250" w:rsidRPr="00AB72F6" w:rsidRDefault="00574250" w:rsidP="00AB72F6">
      <w:pPr>
        <w:spacing w:before="200" w:after="200" w:line="288" w:lineRule="auto"/>
        <w:rPr>
          <w:sz w:val="20"/>
          <w:szCs w:val="20"/>
        </w:rPr>
      </w:pPr>
      <w:r w:rsidRPr="00AB72F6">
        <w:rPr>
          <w:sz w:val="20"/>
          <w:szCs w:val="20"/>
        </w:rPr>
        <w:t>Community food gardens can also enhance food security, as well as support positive social relationships, enhance people’s capacity to cope with stress, and foster environmental stewardship (</w:t>
      </w:r>
      <w:proofErr w:type="spellStart"/>
      <w:r w:rsidRPr="00AB72F6">
        <w:rPr>
          <w:sz w:val="20"/>
          <w:szCs w:val="20"/>
        </w:rPr>
        <w:t>Demuzere</w:t>
      </w:r>
      <w:proofErr w:type="spellEnd"/>
      <w:r w:rsidRPr="00AB72F6">
        <w:rPr>
          <w:sz w:val="20"/>
          <w:szCs w:val="20"/>
        </w:rPr>
        <w:t>, 2014; Townsend, 2010). Public participation in the management of green spaces, such as parks and watershed restoration, can boost individual self-efficacy, which is important for positive mental health, as well as civic participation (</w:t>
      </w:r>
      <w:proofErr w:type="spellStart"/>
      <w:r w:rsidRPr="00AB72F6">
        <w:rPr>
          <w:sz w:val="20"/>
          <w:szCs w:val="20"/>
        </w:rPr>
        <w:t>Demuzere</w:t>
      </w:r>
      <w:proofErr w:type="spellEnd"/>
      <w:r w:rsidRPr="00AB72F6">
        <w:rPr>
          <w:sz w:val="20"/>
          <w:szCs w:val="20"/>
        </w:rPr>
        <w:t xml:space="preserve">, 2014). </w:t>
      </w:r>
    </w:p>
    <w:p w:rsidR="00574250" w:rsidRDefault="00574250" w:rsidP="00574250">
      <w:pPr>
        <w:pStyle w:val="Heading4"/>
      </w:pPr>
      <w:r>
        <w:t>Access to nature as a health protection measure</w:t>
      </w:r>
    </w:p>
    <w:p w:rsidR="00FB0D68" w:rsidRPr="00AB72F6" w:rsidRDefault="00574250" w:rsidP="00AB72F6">
      <w:pPr>
        <w:spacing w:before="200" w:after="200" w:line="288" w:lineRule="auto"/>
        <w:rPr>
          <w:sz w:val="20"/>
          <w:szCs w:val="20"/>
        </w:rPr>
      </w:pPr>
      <w:r w:rsidRPr="00AB72F6">
        <w:rPr>
          <w:sz w:val="20"/>
          <w:szCs w:val="20"/>
        </w:rPr>
        <w:t xml:space="preserve">The health benefits associated with green infrastructure also carry significant economic benefits (Bowen, 2015). Access to parks and recreational facilities (because of the physical activity it facilitates) in just 11 cities in the US has been estimated to save between USD$4 million to USD$90 million in healthcare budgets each year, while increasing green space across the Netherlands by 10% has been estimated to save €65 million in annual healthcare costs (Bowen, 2015). </w:t>
      </w:r>
    </w:p>
    <w:p w:rsidR="00574250" w:rsidRPr="00AB72F6" w:rsidRDefault="00574250" w:rsidP="00AB72F6">
      <w:pPr>
        <w:pStyle w:val="BodyText"/>
        <w:rPr>
          <w:b/>
        </w:rPr>
      </w:pPr>
      <w:r w:rsidRPr="00AB72F6">
        <w:rPr>
          <w:b/>
        </w:rPr>
        <w:t xml:space="preserve">Increasing </w:t>
      </w:r>
      <w:r w:rsidRPr="00AB72F6">
        <w:rPr>
          <w:rFonts w:ascii="Arial" w:hAnsi="Arial" w:cs="Arial"/>
          <w:b/>
        </w:rPr>
        <w:t xml:space="preserve">the natural environment and green spaces </w:t>
      </w:r>
      <w:r w:rsidRPr="00AB72F6">
        <w:rPr>
          <w:b/>
        </w:rPr>
        <w:t>in the City of Melbourne offers the opportunity to reduce emissions through carbon sequestration and reduced energy demand, while delivering important health benefits through improved air quality, reduced heat stress, as well as enhanced psychological and social wellbeing and resilience.</w:t>
      </w:r>
    </w:p>
    <w:p w:rsidR="00FB0D68" w:rsidRDefault="00FB0D68" w:rsidP="00FB0D68">
      <w:pPr>
        <w:pStyle w:val="Heading3"/>
      </w:pPr>
      <w:bookmarkStart w:id="45" w:name="_Toc523307117"/>
      <w:r>
        <w:t>Healthcare</w:t>
      </w:r>
      <w:bookmarkEnd w:id="45"/>
    </w:p>
    <w:p w:rsidR="00FB0D68" w:rsidRPr="00AB72F6" w:rsidRDefault="00FB0D68" w:rsidP="00AB72F6">
      <w:pPr>
        <w:spacing w:before="200" w:after="200" w:line="288" w:lineRule="auto"/>
        <w:rPr>
          <w:rFonts w:asciiTheme="minorHAnsi" w:hAnsiTheme="minorHAnsi" w:cstheme="minorHAnsi"/>
          <w:sz w:val="20"/>
          <w:szCs w:val="20"/>
        </w:rPr>
      </w:pPr>
      <w:r w:rsidRPr="00AB72F6">
        <w:rPr>
          <w:rFonts w:asciiTheme="minorHAnsi" w:hAnsiTheme="minorHAnsi" w:cstheme="minorHAnsi"/>
          <w:sz w:val="20"/>
          <w:szCs w:val="20"/>
        </w:rPr>
        <w:t>The health sector is itself a considerable contributor to GHG emissions production: in Australia it is responsible for 7% of total national emissions (Malik, 2018). Hospitals and health services also produce substantial quantities of local environmental pollutants, including air pollution, which contributes to the burden of illness and deaths in the community (</w:t>
      </w:r>
      <w:proofErr w:type="spellStart"/>
      <w:r w:rsidRPr="00AB72F6">
        <w:rPr>
          <w:rFonts w:asciiTheme="minorHAnsi" w:hAnsiTheme="minorHAnsi" w:cstheme="minorHAnsi"/>
          <w:sz w:val="20"/>
          <w:szCs w:val="20"/>
        </w:rPr>
        <w:t>Eckelman</w:t>
      </w:r>
      <w:proofErr w:type="spellEnd"/>
      <w:r w:rsidRPr="00AB72F6">
        <w:rPr>
          <w:rFonts w:asciiTheme="minorHAnsi" w:hAnsiTheme="minorHAnsi" w:cstheme="minorHAnsi"/>
          <w:sz w:val="20"/>
          <w:szCs w:val="20"/>
        </w:rPr>
        <w:t>, 2016). Reducing health sector emissions would also reduce healthcare expenditure and contribute to improved public health (</w:t>
      </w:r>
      <w:proofErr w:type="spellStart"/>
      <w:r w:rsidRPr="00AB72F6">
        <w:rPr>
          <w:rFonts w:asciiTheme="minorHAnsi" w:hAnsiTheme="minorHAnsi" w:cstheme="minorHAnsi"/>
          <w:sz w:val="20"/>
          <w:szCs w:val="20"/>
        </w:rPr>
        <w:t>Eckelman</w:t>
      </w:r>
      <w:proofErr w:type="spellEnd"/>
      <w:r w:rsidRPr="00AB72F6">
        <w:rPr>
          <w:rFonts w:asciiTheme="minorHAnsi" w:hAnsiTheme="minorHAnsi" w:cstheme="minorHAnsi"/>
          <w:sz w:val="20"/>
          <w:szCs w:val="20"/>
        </w:rPr>
        <w:t xml:space="preserve">, 2016). Investing in health promotion and illness prevention programs </w:t>
      </w:r>
      <w:proofErr w:type="spellStart"/>
      <w:r w:rsidRPr="00AB72F6">
        <w:rPr>
          <w:rFonts w:asciiTheme="minorHAnsi" w:hAnsiTheme="minorHAnsi" w:cstheme="minorHAnsi"/>
          <w:sz w:val="20"/>
          <w:szCs w:val="20"/>
        </w:rPr>
        <w:t>canl</w:t>
      </w:r>
      <w:proofErr w:type="spellEnd"/>
      <w:r w:rsidRPr="00AB72F6">
        <w:rPr>
          <w:rFonts w:asciiTheme="minorHAnsi" w:hAnsiTheme="minorHAnsi" w:cstheme="minorHAnsi"/>
          <w:sz w:val="20"/>
          <w:szCs w:val="20"/>
        </w:rPr>
        <w:t xml:space="preserve"> help reduce health costs as well as reduce GHG emissions from the health sector (Quam, 2017).</w:t>
      </w:r>
    </w:p>
    <w:p w:rsidR="00FB0D68" w:rsidRPr="00AB72F6" w:rsidRDefault="00FB0D68" w:rsidP="00AB72F6">
      <w:pPr>
        <w:spacing w:before="200" w:after="200" w:line="288" w:lineRule="auto"/>
        <w:rPr>
          <w:rFonts w:asciiTheme="minorHAnsi" w:hAnsiTheme="minorHAnsi" w:cstheme="minorHAnsi"/>
          <w:sz w:val="20"/>
          <w:szCs w:val="20"/>
        </w:rPr>
      </w:pPr>
      <w:r w:rsidRPr="00AB72F6">
        <w:rPr>
          <w:rFonts w:asciiTheme="minorHAnsi" w:hAnsiTheme="minorHAnsi" w:cstheme="minorHAnsi"/>
          <w:sz w:val="20"/>
          <w:szCs w:val="20"/>
        </w:rPr>
        <w:t xml:space="preserve">Hospitals are high energy users, and produce considerable quantities of waste, much of which could be reduced through improved waste segregation, recycling and procurement decisions (Naylor, 2012). The </w:t>
      </w:r>
      <w:proofErr w:type="gramStart"/>
      <w:r w:rsidRPr="00AB72F6">
        <w:rPr>
          <w:rFonts w:asciiTheme="minorHAnsi" w:hAnsiTheme="minorHAnsi" w:cstheme="minorHAnsi"/>
          <w:sz w:val="20"/>
          <w:szCs w:val="20"/>
        </w:rPr>
        <w:t>size of the healthcare workforce, and the 24-hour nature of its operations, contribute</w:t>
      </w:r>
      <w:proofErr w:type="gramEnd"/>
      <w:r w:rsidRPr="00AB72F6">
        <w:rPr>
          <w:rFonts w:asciiTheme="minorHAnsi" w:hAnsiTheme="minorHAnsi" w:cstheme="minorHAnsi"/>
          <w:sz w:val="20"/>
          <w:szCs w:val="20"/>
        </w:rPr>
        <w:t xml:space="preserve"> to a large carbon footprint from transport to and from healthcare services (</w:t>
      </w:r>
      <w:proofErr w:type="spellStart"/>
      <w:r w:rsidRPr="00AB72F6">
        <w:rPr>
          <w:rFonts w:asciiTheme="minorHAnsi" w:hAnsiTheme="minorHAnsi" w:cstheme="minorHAnsi"/>
          <w:sz w:val="20"/>
          <w:szCs w:val="20"/>
        </w:rPr>
        <w:t>Holmer</w:t>
      </w:r>
      <w:proofErr w:type="spellEnd"/>
      <w:r w:rsidRPr="00AB72F6">
        <w:rPr>
          <w:rFonts w:asciiTheme="minorHAnsi" w:hAnsiTheme="minorHAnsi" w:cstheme="minorHAnsi"/>
          <w:sz w:val="20"/>
          <w:szCs w:val="20"/>
        </w:rPr>
        <w:t>, 2012). The bulk of healthcare emissions however occur upstream in the healthcare supply chain, particularly in the manufacture and distribution of medicines (NHS, 2008). It is often assumed that a high carbon and environmental footprint is necessary for the provision of quality healthcare (</w:t>
      </w:r>
      <w:proofErr w:type="spellStart"/>
      <w:r w:rsidRPr="00AB72F6">
        <w:rPr>
          <w:rFonts w:asciiTheme="minorHAnsi" w:hAnsiTheme="minorHAnsi" w:cstheme="minorHAnsi"/>
          <w:sz w:val="20"/>
          <w:szCs w:val="20"/>
        </w:rPr>
        <w:t>MacNeill</w:t>
      </w:r>
      <w:proofErr w:type="spellEnd"/>
      <w:r w:rsidRPr="00AB72F6">
        <w:rPr>
          <w:rFonts w:asciiTheme="minorHAnsi" w:hAnsiTheme="minorHAnsi" w:cstheme="minorHAnsi"/>
          <w:sz w:val="20"/>
          <w:szCs w:val="20"/>
        </w:rPr>
        <w:t>, 2017), however there are many opportunities to reduce emissions across a range of</w:t>
      </w:r>
      <w:r w:rsidR="00AB72F6">
        <w:rPr>
          <w:rFonts w:asciiTheme="minorHAnsi" w:hAnsiTheme="minorHAnsi" w:cstheme="minorHAnsi"/>
          <w:sz w:val="20"/>
          <w:szCs w:val="20"/>
        </w:rPr>
        <w:t xml:space="preserve"> areas in this complex sector. </w:t>
      </w:r>
    </w:p>
    <w:p w:rsidR="00FB0D68" w:rsidRPr="00AB72F6" w:rsidRDefault="00FB0D68" w:rsidP="00AB72F6">
      <w:pPr>
        <w:spacing w:before="200" w:after="200" w:line="288" w:lineRule="auto"/>
        <w:rPr>
          <w:rFonts w:asciiTheme="minorHAnsi" w:hAnsiTheme="minorHAnsi" w:cstheme="minorHAnsi"/>
          <w:sz w:val="20"/>
          <w:szCs w:val="20"/>
        </w:rPr>
      </w:pPr>
      <w:r w:rsidRPr="00AB72F6">
        <w:rPr>
          <w:rFonts w:asciiTheme="minorHAnsi" w:hAnsiTheme="minorHAnsi" w:cstheme="minorHAnsi"/>
          <w:sz w:val="20"/>
          <w:szCs w:val="20"/>
        </w:rPr>
        <w:t>Some specific opportunities include:</w:t>
      </w:r>
    </w:p>
    <w:p w:rsidR="00FB0D68" w:rsidRPr="00AB72F6" w:rsidRDefault="00FB0D68" w:rsidP="00AB72F6">
      <w:pPr>
        <w:pStyle w:val="ListParagraph"/>
        <w:numPr>
          <w:ilvl w:val="0"/>
          <w:numId w:val="21"/>
        </w:numPr>
        <w:spacing w:before="200" w:after="200"/>
        <w:contextualSpacing/>
        <w:rPr>
          <w:rFonts w:cstheme="minorHAnsi"/>
        </w:rPr>
      </w:pPr>
      <w:r w:rsidRPr="00AB72F6">
        <w:rPr>
          <w:rFonts w:cstheme="minorHAnsi"/>
        </w:rPr>
        <w:t xml:space="preserve">reducing energy use (from heating, cooling, and ventilation); </w:t>
      </w:r>
    </w:p>
    <w:p w:rsidR="00FB0D68" w:rsidRPr="00AB72F6" w:rsidRDefault="00FB0D68" w:rsidP="00AB72F6">
      <w:pPr>
        <w:pStyle w:val="ListParagraph"/>
        <w:numPr>
          <w:ilvl w:val="0"/>
          <w:numId w:val="21"/>
        </w:numPr>
        <w:spacing w:before="200" w:after="200"/>
        <w:contextualSpacing/>
        <w:rPr>
          <w:rFonts w:cstheme="minorHAnsi"/>
        </w:rPr>
      </w:pPr>
      <w:r w:rsidRPr="00AB72F6">
        <w:rPr>
          <w:rFonts w:cstheme="minorHAnsi"/>
        </w:rPr>
        <w:t>reducing emissions from transport (for staff, patients and visitors);</w:t>
      </w:r>
    </w:p>
    <w:p w:rsidR="00FB0D68" w:rsidRPr="00AB72F6" w:rsidRDefault="00FB0D68" w:rsidP="00AB72F6">
      <w:pPr>
        <w:pStyle w:val="ListParagraph"/>
        <w:numPr>
          <w:ilvl w:val="0"/>
          <w:numId w:val="21"/>
        </w:numPr>
        <w:spacing w:before="200" w:after="200"/>
        <w:contextualSpacing/>
        <w:rPr>
          <w:rFonts w:cstheme="minorHAnsi"/>
        </w:rPr>
      </w:pPr>
      <w:r w:rsidRPr="00AB72F6">
        <w:rPr>
          <w:rFonts w:cstheme="minorHAnsi"/>
        </w:rPr>
        <w:t>improving energy performance of buildings (through insulation and lighting sensors);</w:t>
      </w:r>
    </w:p>
    <w:p w:rsidR="00FB0D68" w:rsidRPr="00AB72F6" w:rsidRDefault="00FB0D68" w:rsidP="00AB72F6">
      <w:pPr>
        <w:pStyle w:val="ListParagraph"/>
        <w:numPr>
          <w:ilvl w:val="0"/>
          <w:numId w:val="21"/>
        </w:numPr>
        <w:spacing w:before="200" w:after="200"/>
        <w:contextualSpacing/>
        <w:rPr>
          <w:rFonts w:cstheme="minorHAnsi"/>
        </w:rPr>
      </w:pPr>
      <w:r w:rsidRPr="00AB72F6">
        <w:rPr>
          <w:rFonts w:cstheme="minorHAnsi"/>
        </w:rPr>
        <w:t xml:space="preserve">assessing the carbon footprint of healthcare procedures and interventions, avoiding unnecessary tests, treatments and procedures, and avoiding unnecessary travel (i.e. using telehealth, </w:t>
      </w:r>
      <w:proofErr w:type="spellStart"/>
      <w:r w:rsidRPr="00AB72F6">
        <w:rPr>
          <w:rFonts w:cstheme="minorHAnsi"/>
        </w:rPr>
        <w:t>webconferencing</w:t>
      </w:r>
      <w:proofErr w:type="spellEnd"/>
      <w:r w:rsidRPr="00AB72F6">
        <w:rPr>
          <w:rFonts w:cstheme="minorHAnsi"/>
        </w:rPr>
        <w:t>);</w:t>
      </w:r>
    </w:p>
    <w:p w:rsidR="00FB0D68" w:rsidRPr="00AB72F6" w:rsidRDefault="00FB0D68" w:rsidP="00AB72F6">
      <w:pPr>
        <w:pStyle w:val="ListParagraph"/>
        <w:numPr>
          <w:ilvl w:val="0"/>
          <w:numId w:val="21"/>
        </w:numPr>
        <w:spacing w:before="200" w:after="200"/>
        <w:contextualSpacing/>
        <w:rPr>
          <w:rFonts w:cstheme="minorHAnsi"/>
        </w:rPr>
      </w:pPr>
      <w:r w:rsidRPr="00AB72F6">
        <w:rPr>
          <w:rFonts w:cstheme="minorHAnsi"/>
        </w:rPr>
        <w:t>implementing sustainable procurement practices (requiring carbon disclosure in all buying, and commissioning and contracting decisions);</w:t>
      </w:r>
    </w:p>
    <w:p w:rsidR="00FB0D68" w:rsidRPr="00AB72F6" w:rsidRDefault="00FB0D68" w:rsidP="00AB72F6">
      <w:pPr>
        <w:pStyle w:val="ListParagraph"/>
        <w:numPr>
          <w:ilvl w:val="0"/>
          <w:numId w:val="21"/>
        </w:numPr>
        <w:spacing w:before="200" w:after="200"/>
        <w:contextualSpacing/>
        <w:rPr>
          <w:rFonts w:cstheme="minorHAnsi"/>
        </w:rPr>
      </w:pPr>
      <w:r w:rsidRPr="00AB72F6">
        <w:rPr>
          <w:rFonts w:cstheme="minorHAnsi"/>
        </w:rPr>
        <w:t>avoiding single use and disposable products where possible;</w:t>
      </w:r>
    </w:p>
    <w:p w:rsidR="00FB0D68" w:rsidRPr="00AB72F6" w:rsidRDefault="00FB0D68" w:rsidP="00AB72F6">
      <w:pPr>
        <w:pStyle w:val="ListParagraph"/>
        <w:numPr>
          <w:ilvl w:val="0"/>
          <w:numId w:val="21"/>
        </w:numPr>
        <w:spacing w:before="200" w:after="200"/>
        <w:contextualSpacing/>
        <w:rPr>
          <w:rFonts w:cstheme="minorHAnsi"/>
        </w:rPr>
      </w:pPr>
      <w:r w:rsidRPr="00AB72F6">
        <w:rPr>
          <w:rFonts w:cstheme="minorHAnsi"/>
        </w:rPr>
        <w:t>reducing pharmaceutical waste; and</w:t>
      </w:r>
    </w:p>
    <w:p w:rsidR="00FB0D68" w:rsidRPr="00AB72F6" w:rsidRDefault="00FB0D68" w:rsidP="00AB72F6">
      <w:pPr>
        <w:pStyle w:val="ListParagraph"/>
        <w:numPr>
          <w:ilvl w:val="0"/>
          <w:numId w:val="21"/>
        </w:numPr>
        <w:spacing w:before="200" w:after="200"/>
        <w:contextualSpacing/>
        <w:rPr>
          <w:rFonts w:cstheme="minorHAnsi"/>
        </w:rPr>
      </w:pPr>
      <w:proofErr w:type="gramStart"/>
      <w:r w:rsidRPr="00AB72F6">
        <w:rPr>
          <w:rFonts w:cstheme="minorHAnsi"/>
        </w:rPr>
        <w:t>substituting</w:t>
      </w:r>
      <w:proofErr w:type="gramEnd"/>
      <w:r w:rsidRPr="00AB72F6">
        <w:rPr>
          <w:rFonts w:cstheme="minorHAnsi"/>
        </w:rPr>
        <w:t xml:space="preserve"> anaesthetic gases with a high global-warming potential (GWP) with safe, effective alternatives (</w:t>
      </w:r>
      <w:proofErr w:type="spellStart"/>
      <w:r w:rsidRPr="00AB72F6">
        <w:rPr>
          <w:rFonts w:cstheme="minorHAnsi"/>
        </w:rPr>
        <w:t>Pencheon</w:t>
      </w:r>
      <w:proofErr w:type="spellEnd"/>
      <w:r w:rsidRPr="00AB72F6">
        <w:rPr>
          <w:rFonts w:cstheme="minorHAnsi"/>
        </w:rPr>
        <w:t xml:space="preserve">, 2009; </w:t>
      </w:r>
      <w:proofErr w:type="spellStart"/>
      <w:r w:rsidRPr="00AB72F6">
        <w:rPr>
          <w:rFonts w:cstheme="minorHAnsi"/>
        </w:rPr>
        <w:t>McGain</w:t>
      </w:r>
      <w:proofErr w:type="spellEnd"/>
      <w:r w:rsidRPr="00AB72F6">
        <w:rPr>
          <w:rFonts w:cstheme="minorHAnsi"/>
        </w:rPr>
        <w:t>, 2010; Naylor, 2012; Sherman, 2016).</w:t>
      </w:r>
    </w:p>
    <w:p w:rsidR="00FB0D68" w:rsidRPr="00AB72F6" w:rsidRDefault="00FB0D68" w:rsidP="00AB72F6">
      <w:pPr>
        <w:spacing w:before="200" w:after="200" w:line="288" w:lineRule="auto"/>
        <w:rPr>
          <w:rFonts w:asciiTheme="minorHAnsi" w:hAnsiTheme="minorHAnsi" w:cstheme="minorHAnsi"/>
          <w:sz w:val="20"/>
          <w:szCs w:val="20"/>
        </w:rPr>
      </w:pPr>
      <w:r w:rsidRPr="00AB72F6">
        <w:rPr>
          <w:rFonts w:asciiTheme="minorHAnsi" w:hAnsiTheme="minorHAnsi" w:cstheme="minorHAnsi"/>
          <w:sz w:val="20"/>
          <w:szCs w:val="20"/>
        </w:rPr>
        <w:t xml:space="preserve">Initiatives that promote active travel and public transport options among healthcare workers deliver personal health benefits from more physical activity, as well as reduced traffic congestion and air pollution (Naylor, 2012; </w:t>
      </w:r>
      <w:proofErr w:type="spellStart"/>
      <w:r w:rsidRPr="00AB72F6">
        <w:rPr>
          <w:rFonts w:asciiTheme="minorHAnsi" w:hAnsiTheme="minorHAnsi" w:cstheme="minorHAnsi"/>
          <w:sz w:val="20"/>
          <w:szCs w:val="20"/>
        </w:rPr>
        <w:t>Pencheon</w:t>
      </w:r>
      <w:proofErr w:type="spellEnd"/>
      <w:r w:rsidRPr="00AB72F6">
        <w:rPr>
          <w:rFonts w:asciiTheme="minorHAnsi" w:hAnsiTheme="minorHAnsi" w:cstheme="minorHAnsi"/>
          <w:sz w:val="20"/>
          <w:szCs w:val="20"/>
        </w:rPr>
        <w:t>, 2009). Delivering healthcare closer to home or at home can substantially reduce emissions, reduce the cost of healthcare and improve the experience for patients (e.g. less disruption, and alienation from family and home, and greater comfort) as well as deliver positive health outcomes (</w:t>
      </w:r>
      <w:proofErr w:type="spellStart"/>
      <w:r w:rsidRPr="00AB72F6">
        <w:rPr>
          <w:rFonts w:asciiTheme="minorHAnsi" w:hAnsiTheme="minorHAnsi" w:cstheme="minorHAnsi"/>
          <w:sz w:val="20"/>
          <w:szCs w:val="20"/>
        </w:rPr>
        <w:t>Pencheon</w:t>
      </w:r>
      <w:proofErr w:type="spellEnd"/>
      <w:r w:rsidRPr="00AB72F6">
        <w:rPr>
          <w:rFonts w:asciiTheme="minorHAnsi" w:hAnsiTheme="minorHAnsi" w:cstheme="minorHAnsi"/>
          <w:sz w:val="20"/>
          <w:szCs w:val="20"/>
        </w:rPr>
        <w:t>, 2009). Greater utilisation of e-health options, such as consultations via videoconference, and use of e-health diagnostic and prescribing systems can reduce travel and emissions in the sec</w:t>
      </w:r>
      <w:r w:rsidR="00AB72F6">
        <w:rPr>
          <w:rFonts w:asciiTheme="minorHAnsi" w:hAnsiTheme="minorHAnsi" w:cstheme="minorHAnsi"/>
          <w:sz w:val="20"/>
          <w:szCs w:val="20"/>
        </w:rPr>
        <w:t>tor (</w:t>
      </w:r>
      <w:proofErr w:type="spellStart"/>
      <w:r w:rsidR="00AB72F6">
        <w:rPr>
          <w:rFonts w:asciiTheme="minorHAnsi" w:hAnsiTheme="minorHAnsi" w:cstheme="minorHAnsi"/>
          <w:sz w:val="20"/>
          <w:szCs w:val="20"/>
        </w:rPr>
        <w:t>Holmer</w:t>
      </w:r>
      <w:proofErr w:type="spellEnd"/>
      <w:r w:rsidR="00AB72F6">
        <w:rPr>
          <w:rFonts w:asciiTheme="minorHAnsi" w:hAnsiTheme="minorHAnsi" w:cstheme="minorHAnsi"/>
          <w:sz w:val="20"/>
          <w:szCs w:val="20"/>
        </w:rPr>
        <w:t>, 2012).</w:t>
      </w:r>
    </w:p>
    <w:p w:rsidR="00FB0D68" w:rsidRPr="00AB72F6" w:rsidRDefault="00FB0D68" w:rsidP="00AB72F6">
      <w:pPr>
        <w:spacing w:before="200" w:after="200" w:line="288" w:lineRule="auto"/>
        <w:rPr>
          <w:rFonts w:asciiTheme="minorHAnsi" w:hAnsiTheme="minorHAnsi" w:cstheme="minorHAnsi"/>
          <w:color w:val="1C1D1E"/>
          <w:sz w:val="20"/>
          <w:szCs w:val="20"/>
          <w:shd w:val="clear" w:color="auto" w:fill="FFFFFF"/>
        </w:rPr>
      </w:pPr>
      <w:r w:rsidRPr="00AB72F6">
        <w:rPr>
          <w:rFonts w:asciiTheme="minorHAnsi" w:hAnsiTheme="minorHAnsi" w:cstheme="minorHAnsi"/>
          <w:sz w:val="20"/>
          <w:szCs w:val="20"/>
        </w:rPr>
        <w:t xml:space="preserve">The health promotion and health risk prevention responsibilities of the health sector and the health professions offer a unique and important role in climate change mitigation (McMichael, 2011). A key element of this, as described by Professor Tony McMichael, involves health professionals: </w:t>
      </w:r>
    </w:p>
    <w:p w:rsidR="00FB0D68" w:rsidRPr="00AB72F6" w:rsidRDefault="00FB0D68" w:rsidP="00AB72F6">
      <w:pPr>
        <w:spacing w:before="200" w:after="200" w:line="288" w:lineRule="auto"/>
        <w:ind w:left="720"/>
        <w:rPr>
          <w:rFonts w:asciiTheme="minorHAnsi" w:hAnsiTheme="minorHAnsi" w:cstheme="minorHAnsi"/>
          <w:i/>
          <w:sz w:val="20"/>
          <w:szCs w:val="20"/>
        </w:rPr>
      </w:pPr>
      <w:r w:rsidRPr="00AB72F6">
        <w:rPr>
          <w:rFonts w:asciiTheme="minorHAnsi" w:hAnsiTheme="minorHAnsi" w:cstheme="minorHAnsi"/>
          <w:i/>
          <w:color w:val="1C1D1E"/>
          <w:sz w:val="20"/>
          <w:szCs w:val="20"/>
          <w:shd w:val="clear" w:color="auto" w:fill="FFFFFF"/>
        </w:rPr>
        <w:t>“</w:t>
      </w:r>
      <w:proofErr w:type="gramStart"/>
      <w:r w:rsidRPr="00AB72F6">
        <w:rPr>
          <w:rFonts w:asciiTheme="minorHAnsi" w:hAnsiTheme="minorHAnsi" w:cstheme="minorHAnsi"/>
          <w:i/>
          <w:color w:val="1C1D1E"/>
          <w:sz w:val="20"/>
          <w:szCs w:val="20"/>
          <w:shd w:val="clear" w:color="auto" w:fill="FFFFFF"/>
        </w:rPr>
        <w:t>promoting</w:t>
      </w:r>
      <w:proofErr w:type="gramEnd"/>
      <w:r w:rsidRPr="00AB72F6">
        <w:rPr>
          <w:rFonts w:asciiTheme="minorHAnsi" w:hAnsiTheme="minorHAnsi" w:cstheme="minorHAnsi"/>
          <w:i/>
          <w:color w:val="1C1D1E"/>
          <w:sz w:val="20"/>
          <w:szCs w:val="20"/>
          <w:shd w:val="clear" w:color="auto" w:fill="FFFFFF"/>
        </w:rPr>
        <w:t xml:space="preserve"> the</w:t>
      </w:r>
      <w:r w:rsidRPr="00AB72F6">
        <w:rPr>
          <w:rStyle w:val="apple-converted-space"/>
          <w:rFonts w:asciiTheme="minorHAnsi" w:hAnsiTheme="minorHAnsi" w:cstheme="minorHAnsi"/>
          <w:i/>
          <w:color w:val="1C1D1E"/>
          <w:sz w:val="20"/>
          <w:szCs w:val="20"/>
          <w:shd w:val="clear" w:color="auto" w:fill="FFFFFF"/>
        </w:rPr>
        <w:t> </w:t>
      </w:r>
      <w:r w:rsidRPr="00AB72F6">
        <w:rPr>
          <w:rFonts w:asciiTheme="minorHAnsi" w:hAnsiTheme="minorHAnsi" w:cstheme="minorHAnsi"/>
          <w:i/>
          <w:iCs/>
          <w:color w:val="1C1D1E"/>
          <w:sz w:val="20"/>
          <w:szCs w:val="20"/>
        </w:rPr>
        <w:t xml:space="preserve">positive </w:t>
      </w:r>
      <w:r w:rsidRPr="00AB72F6">
        <w:rPr>
          <w:rFonts w:asciiTheme="minorHAnsi" w:hAnsiTheme="minorHAnsi" w:cstheme="minorHAnsi"/>
          <w:i/>
          <w:color w:val="1C1D1E"/>
          <w:sz w:val="20"/>
          <w:szCs w:val="20"/>
          <w:shd w:val="clear" w:color="auto" w:fill="FFFFFF"/>
        </w:rPr>
        <w:t>message that many mitigation strategies will also yield additional, near</w:t>
      </w:r>
      <w:r w:rsidRPr="00AB72F6">
        <w:rPr>
          <w:rFonts w:ascii="Cambria Math" w:hAnsi="Cambria Math" w:cs="Cambria Math"/>
          <w:i/>
          <w:color w:val="1C1D1E"/>
          <w:sz w:val="20"/>
          <w:szCs w:val="20"/>
          <w:shd w:val="clear" w:color="auto" w:fill="FFFFFF"/>
        </w:rPr>
        <w:t>‐</w:t>
      </w:r>
      <w:r w:rsidRPr="00AB72F6">
        <w:rPr>
          <w:rFonts w:asciiTheme="minorHAnsi" w:hAnsiTheme="minorHAnsi" w:cstheme="minorHAnsi"/>
          <w:i/>
          <w:color w:val="1C1D1E"/>
          <w:sz w:val="20"/>
          <w:szCs w:val="20"/>
          <w:shd w:val="clear" w:color="auto" w:fill="FFFFFF"/>
        </w:rPr>
        <w:t xml:space="preserve">term, health gains to any local population that takes such action”. </w:t>
      </w:r>
    </w:p>
    <w:p w:rsidR="00FB0D68" w:rsidRPr="00AB72F6" w:rsidRDefault="00FB0D68" w:rsidP="00AB72F6">
      <w:pPr>
        <w:spacing w:before="200" w:after="200" w:line="288" w:lineRule="auto"/>
        <w:rPr>
          <w:rFonts w:asciiTheme="minorHAnsi" w:hAnsiTheme="minorHAnsi" w:cstheme="minorHAnsi"/>
          <w:sz w:val="20"/>
          <w:szCs w:val="20"/>
        </w:rPr>
      </w:pPr>
      <w:r w:rsidRPr="00AB72F6">
        <w:rPr>
          <w:rFonts w:asciiTheme="minorHAnsi" w:hAnsiTheme="minorHAnsi" w:cstheme="minorHAnsi"/>
          <w:sz w:val="20"/>
          <w:szCs w:val="20"/>
        </w:rPr>
        <w:t>The health sector in Australia and around the world is increasingly recognising the imperative to reduce GHG emissions and build climate resilience in ways that improve public and envi</w:t>
      </w:r>
      <w:r w:rsidR="00AB72F6">
        <w:rPr>
          <w:rFonts w:asciiTheme="minorHAnsi" w:hAnsiTheme="minorHAnsi" w:cstheme="minorHAnsi"/>
          <w:sz w:val="20"/>
          <w:szCs w:val="20"/>
        </w:rPr>
        <w:t xml:space="preserve">ronmental health (GGHH, 2018). </w:t>
      </w:r>
    </w:p>
    <w:p w:rsidR="00FB0D68" w:rsidRPr="00AB72F6" w:rsidRDefault="00FB0D68" w:rsidP="00AB72F6">
      <w:pPr>
        <w:spacing w:before="200" w:after="200" w:line="288" w:lineRule="auto"/>
        <w:rPr>
          <w:rFonts w:asciiTheme="minorHAnsi" w:hAnsiTheme="minorHAnsi" w:cstheme="minorHAnsi"/>
          <w:sz w:val="20"/>
          <w:szCs w:val="20"/>
        </w:rPr>
      </w:pPr>
      <w:r w:rsidRPr="00AB72F6">
        <w:rPr>
          <w:rFonts w:asciiTheme="minorHAnsi" w:hAnsiTheme="minorHAnsi" w:cstheme="minorHAnsi"/>
          <w:sz w:val="20"/>
          <w:szCs w:val="20"/>
        </w:rPr>
        <w:t>Strategies to reduce emissions in healthcare in Australia and internationally which also confer immediate and local health co-benefits for individuals and the wider community to date have included:</w:t>
      </w:r>
    </w:p>
    <w:p w:rsidR="00FB0D68" w:rsidRPr="00AB72F6" w:rsidRDefault="00FB0D68" w:rsidP="00AB72F6">
      <w:pPr>
        <w:pStyle w:val="ListParagraph"/>
        <w:numPr>
          <w:ilvl w:val="0"/>
          <w:numId w:val="22"/>
        </w:numPr>
        <w:spacing w:before="200" w:after="200"/>
        <w:contextualSpacing/>
        <w:rPr>
          <w:rFonts w:cstheme="minorHAnsi"/>
        </w:rPr>
      </w:pPr>
      <w:r w:rsidRPr="00AB72F6">
        <w:rPr>
          <w:rFonts w:cstheme="minorHAnsi"/>
        </w:rPr>
        <w:t>Transport access guides to highlight pathways and opportunities for active and public transport options (</w:t>
      </w:r>
      <w:proofErr w:type="spellStart"/>
      <w:r w:rsidRPr="00AB72F6">
        <w:rPr>
          <w:rFonts w:cstheme="minorHAnsi"/>
        </w:rPr>
        <w:t>Pencheon</w:t>
      </w:r>
      <w:proofErr w:type="spellEnd"/>
      <w:r w:rsidRPr="00AB72F6">
        <w:rPr>
          <w:rFonts w:cstheme="minorHAnsi"/>
        </w:rPr>
        <w:t>, 2009);</w:t>
      </w:r>
    </w:p>
    <w:p w:rsidR="00FB0D68" w:rsidRPr="00AB72F6" w:rsidRDefault="00FB0D68" w:rsidP="00AB72F6">
      <w:pPr>
        <w:pStyle w:val="ListParagraph"/>
        <w:numPr>
          <w:ilvl w:val="0"/>
          <w:numId w:val="22"/>
        </w:numPr>
        <w:spacing w:before="200" w:after="200"/>
        <w:contextualSpacing/>
        <w:rPr>
          <w:rFonts w:cstheme="minorHAnsi"/>
        </w:rPr>
      </w:pPr>
      <w:r w:rsidRPr="00AB72F6">
        <w:rPr>
          <w:rFonts w:cstheme="minorHAnsi"/>
        </w:rPr>
        <w:t>Developing cycling maps to highlight routes to and from health facilities (Health Promotion Service, 2009);</w:t>
      </w:r>
    </w:p>
    <w:p w:rsidR="00FB0D68" w:rsidRPr="00AB72F6" w:rsidRDefault="00FB0D68" w:rsidP="00AB72F6">
      <w:pPr>
        <w:pStyle w:val="ListParagraph"/>
        <w:numPr>
          <w:ilvl w:val="0"/>
          <w:numId w:val="22"/>
        </w:numPr>
        <w:spacing w:before="200" w:after="200"/>
        <w:contextualSpacing/>
        <w:rPr>
          <w:rFonts w:cstheme="minorHAnsi"/>
        </w:rPr>
      </w:pPr>
      <w:r w:rsidRPr="00AB72F6">
        <w:rPr>
          <w:rFonts w:cstheme="minorHAnsi"/>
        </w:rPr>
        <w:t>Working with local councils develop to Bicycle Plans (Daley, 2007); offering cycling proficiency courses, and establishing a staff bicycling pool (</w:t>
      </w:r>
      <w:proofErr w:type="spellStart"/>
      <w:r w:rsidRPr="00AB72F6">
        <w:rPr>
          <w:rFonts w:cstheme="minorHAnsi"/>
        </w:rPr>
        <w:t>Rissel</w:t>
      </w:r>
      <w:proofErr w:type="spellEnd"/>
      <w:r w:rsidRPr="00AB72F6">
        <w:rPr>
          <w:rFonts w:cstheme="minorHAnsi"/>
        </w:rPr>
        <w:t>, 2009);</w:t>
      </w:r>
    </w:p>
    <w:p w:rsidR="00FB0D68" w:rsidRPr="00AB72F6" w:rsidRDefault="00FB0D68" w:rsidP="00AB72F6">
      <w:pPr>
        <w:pStyle w:val="ListParagraph"/>
        <w:numPr>
          <w:ilvl w:val="0"/>
          <w:numId w:val="22"/>
        </w:numPr>
        <w:spacing w:before="200" w:after="200"/>
        <w:contextualSpacing/>
        <w:rPr>
          <w:rFonts w:cstheme="minorHAnsi"/>
        </w:rPr>
      </w:pPr>
      <w:r w:rsidRPr="00AB72F6">
        <w:rPr>
          <w:rFonts w:cstheme="minorHAnsi"/>
        </w:rPr>
        <w:t>Implementing energy efficiency measures e.g. lighting upgrades, energy management controls, education programs (</w:t>
      </w:r>
      <w:proofErr w:type="spellStart"/>
      <w:r w:rsidRPr="00AB72F6">
        <w:rPr>
          <w:rFonts w:cstheme="minorHAnsi"/>
        </w:rPr>
        <w:t>UnitingCare</w:t>
      </w:r>
      <w:proofErr w:type="spellEnd"/>
      <w:r w:rsidRPr="00AB72F6">
        <w:rPr>
          <w:rFonts w:cstheme="minorHAnsi"/>
        </w:rPr>
        <w:t>, 2016; Southern Cross Care, 2016);</w:t>
      </w:r>
    </w:p>
    <w:p w:rsidR="00FB0D68" w:rsidRPr="00AB72F6" w:rsidRDefault="00FB0D68" w:rsidP="00AB72F6">
      <w:pPr>
        <w:pStyle w:val="ListParagraph"/>
        <w:numPr>
          <w:ilvl w:val="0"/>
          <w:numId w:val="22"/>
        </w:numPr>
        <w:spacing w:before="200" w:after="200"/>
        <w:contextualSpacing/>
        <w:rPr>
          <w:rFonts w:cstheme="minorHAnsi"/>
        </w:rPr>
      </w:pPr>
      <w:r w:rsidRPr="00AB72F6">
        <w:rPr>
          <w:rFonts w:cstheme="minorHAnsi"/>
        </w:rPr>
        <w:t>Increasing recycling and reducing waste to landfill (Royal Melbourne Hospital, 2017);</w:t>
      </w:r>
    </w:p>
    <w:p w:rsidR="00FB0D68" w:rsidRPr="00AB72F6" w:rsidRDefault="00FB0D68" w:rsidP="00AB72F6">
      <w:pPr>
        <w:pStyle w:val="ListParagraph"/>
        <w:numPr>
          <w:ilvl w:val="0"/>
          <w:numId w:val="22"/>
        </w:numPr>
        <w:spacing w:before="200" w:after="200"/>
        <w:contextualSpacing/>
        <w:rPr>
          <w:rFonts w:cstheme="minorHAnsi"/>
        </w:rPr>
      </w:pPr>
      <w:r w:rsidRPr="00AB72F6">
        <w:rPr>
          <w:rFonts w:cstheme="minorHAnsi"/>
        </w:rPr>
        <w:t>Investing in renewable energy to offset emissions from health services (</w:t>
      </w:r>
      <w:proofErr w:type="spellStart"/>
      <w:r w:rsidRPr="00AB72F6">
        <w:rPr>
          <w:rFonts w:cstheme="minorHAnsi"/>
        </w:rPr>
        <w:t>Gundersen</w:t>
      </w:r>
      <w:proofErr w:type="spellEnd"/>
      <w:r w:rsidRPr="00AB72F6">
        <w:rPr>
          <w:rFonts w:cstheme="minorHAnsi"/>
        </w:rPr>
        <w:t xml:space="preserve"> Health System, 2016); and</w:t>
      </w:r>
    </w:p>
    <w:p w:rsidR="00FB0D68" w:rsidRPr="00AB72F6" w:rsidRDefault="00FB0D68" w:rsidP="00AB72F6">
      <w:pPr>
        <w:pStyle w:val="ListParagraph"/>
        <w:numPr>
          <w:ilvl w:val="0"/>
          <w:numId w:val="22"/>
        </w:numPr>
        <w:spacing w:before="200" w:after="200"/>
        <w:contextualSpacing/>
        <w:rPr>
          <w:rFonts w:cstheme="minorHAnsi"/>
        </w:rPr>
      </w:pPr>
      <w:r w:rsidRPr="00AB72F6">
        <w:rPr>
          <w:rFonts w:cstheme="minorHAnsi"/>
        </w:rPr>
        <w:t>Using heat reflective paint to reduce heat load in buildings by 5-15 degrees Celsius (Kooweerup Regional Health Service, 2017).</w:t>
      </w:r>
    </w:p>
    <w:p w:rsidR="00FB0D68" w:rsidRPr="00AB72F6" w:rsidRDefault="00FB0D68" w:rsidP="00AB72F6">
      <w:pPr>
        <w:spacing w:before="200" w:after="200" w:line="288" w:lineRule="auto"/>
        <w:rPr>
          <w:rFonts w:asciiTheme="minorHAnsi" w:hAnsiTheme="minorHAnsi" w:cstheme="minorHAnsi"/>
          <w:sz w:val="20"/>
          <w:szCs w:val="20"/>
        </w:rPr>
      </w:pPr>
      <w:r w:rsidRPr="00AB72F6">
        <w:rPr>
          <w:rFonts w:asciiTheme="minorHAnsi" w:hAnsiTheme="minorHAnsi" w:cstheme="minorHAnsi"/>
          <w:sz w:val="20"/>
          <w:szCs w:val="20"/>
        </w:rPr>
        <w:t>Due to its size and the complex nature of healthcare operations, achieving net zero emissions in the health sector in Melbourne will require the concerted efforts of many actors. Evidence from existing networks demonstrates that collaboration and information sharing through a community of practice can help promote innovation, provide motivation, and accelerate the adoption of emission reduction strategies in healthcare (GGHH, 2018).</w:t>
      </w:r>
      <w:r w:rsidR="00AB72F6">
        <w:rPr>
          <w:rFonts w:asciiTheme="minorHAnsi" w:hAnsiTheme="minorHAnsi" w:cstheme="minorHAnsi"/>
          <w:sz w:val="20"/>
          <w:szCs w:val="20"/>
        </w:rPr>
        <w:t xml:space="preserve">  </w:t>
      </w:r>
    </w:p>
    <w:p w:rsidR="00FB0D68" w:rsidRPr="00AB72F6" w:rsidRDefault="00FB0D68" w:rsidP="00AB72F6">
      <w:pPr>
        <w:spacing w:before="200" w:after="200" w:line="288" w:lineRule="auto"/>
        <w:rPr>
          <w:rFonts w:asciiTheme="minorHAnsi" w:hAnsiTheme="minorHAnsi" w:cstheme="minorHAnsi"/>
          <w:sz w:val="20"/>
          <w:szCs w:val="20"/>
        </w:rPr>
      </w:pPr>
      <w:r w:rsidRPr="00AB72F6">
        <w:rPr>
          <w:rFonts w:asciiTheme="minorHAnsi" w:hAnsiTheme="minorHAnsi" w:cstheme="minorHAnsi"/>
          <w:sz w:val="20"/>
          <w:szCs w:val="20"/>
        </w:rPr>
        <w:t>Evaluation of healthcare’s carbon footprint at the facility level in the City of Melbourne would allow for more targeted interventions to reduce emissions, particularly if it involves engagement of a cross section of stakeholders, including, but not limited to, hospital executives, facilities managers, engineers, clinicians, sustainability officers</w:t>
      </w:r>
      <w:r w:rsidR="00AB72F6">
        <w:rPr>
          <w:rFonts w:asciiTheme="minorHAnsi" w:hAnsiTheme="minorHAnsi" w:cstheme="minorHAnsi"/>
          <w:sz w:val="20"/>
          <w:szCs w:val="20"/>
        </w:rPr>
        <w:t>, and consumers.</w:t>
      </w:r>
    </w:p>
    <w:p w:rsidR="00FB0D68" w:rsidRPr="00AB72F6" w:rsidRDefault="00FB0D68" w:rsidP="00AB72F6">
      <w:pPr>
        <w:spacing w:before="200" w:after="200" w:line="288" w:lineRule="auto"/>
        <w:rPr>
          <w:rFonts w:asciiTheme="minorHAnsi" w:hAnsiTheme="minorHAnsi" w:cstheme="minorHAnsi"/>
          <w:b/>
          <w:sz w:val="20"/>
          <w:szCs w:val="20"/>
        </w:rPr>
      </w:pPr>
      <w:r w:rsidRPr="00AB72F6">
        <w:rPr>
          <w:rFonts w:asciiTheme="minorHAnsi" w:hAnsiTheme="minorHAnsi" w:cstheme="minorHAnsi"/>
          <w:b/>
          <w:sz w:val="20"/>
          <w:szCs w:val="20"/>
        </w:rPr>
        <w:t xml:space="preserve">Engagement of healthcare facilities and the health workforce in the City of Melbourne in the further development and implementation of the net zero emissions plan will be </w:t>
      </w:r>
      <w:proofErr w:type="gramStart"/>
      <w:r w:rsidRPr="00AB72F6">
        <w:rPr>
          <w:rFonts w:asciiTheme="minorHAnsi" w:hAnsiTheme="minorHAnsi" w:cstheme="minorHAnsi"/>
          <w:b/>
          <w:sz w:val="20"/>
          <w:szCs w:val="20"/>
        </w:rPr>
        <w:t>key</w:t>
      </w:r>
      <w:proofErr w:type="gramEnd"/>
      <w:r w:rsidRPr="00AB72F6">
        <w:rPr>
          <w:rFonts w:asciiTheme="minorHAnsi" w:hAnsiTheme="minorHAnsi" w:cstheme="minorHAnsi"/>
          <w:b/>
          <w:sz w:val="20"/>
          <w:szCs w:val="20"/>
        </w:rPr>
        <w:t xml:space="preserve"> to ensuring healthcare facilities are on track to help deliver this goal. The use of health messages (and health messengers) will be critical to engaging the wider community and communicating the human and social benefits of emissions reductions. </w:t>
      </w:r>
    </w:p>
    <w:p w:rsidR="00FB0D68" w:rsidRPr="00FB0D68" w:rsidRDefault="00FB0D68" w:rsidP="00FB0D68">
      <w:pPr>
        <w:pStyle w:val="BodyText"/>
      </w:pPr>
    </w:p>
    <w:p w:rsidR="00FB0D68" w:rsidRDefault="00FB0D68" w:rsidP="00FB0D68">
      <w:pPr>
        <w:pStyle w:val="Heading1"/>
      </w:pPr>
      <w:bookmarkStart w:id="46" w:name="_Toc523307118"/>
      <w:r w:rsidRPr="00FB0D68">
        <w:t>Implications and opportunities for City of Melbourne</w:t>
      </w:r>
      <w:bookmarkEnd w:id="46"/>
    </w:p>
    <w:p w:rsidR="00FB0D68" w:rsidRPr="00AB72F6" w:rsidRDefault="00FB0D68" w:rsidP="00AB72F6">
      <w:pPr>
        <w:spacing w:before="200" w:after="200" w:line="288" w:lineRule="auto"/>
        <w:rPr>
          <w:sz w:val="20"/>
          <w:szCs w:val="20"/>
        </w:rPr>
      </w:pPr>
      <w:r w:rsidRPr="00AB72F6">
        <w:rPr>
          <w:sz w:val="20"/>
          <w:szCs w:val="20"/>
        </w:rPr>
        <w:t xml:space="preserve">The evidence presented here suggests there </w:t>
      </w:r>
      <w:proofErr w:type="gramStart"/>
      <w:r w:rsidRPr="00AB72F6">
        <w:rPr>
          <w:sz w:val="20"/>
          <w:szCs w:val="20"/>
        </w:rPr>
        <w:t>is</w:t>
      </w:r>
      <w:proofErr w:type="gramEnd"/>
      <w:r w:rsidRPr="00AB72F6">
        <w:rPr>
          <w:sz w:val="20"/>
          <w:szCs w:val="20"/>
        </w:rPr>
        <w:t xml:space="preserve"> potentially substantial health co-benefits and positive social impacts available to the people in the City of Melbourne from climate adaptation and mitigation strategies to reduce emissions. These benefits are available to the council staff, as well as residents, visitors, workers, and business owners in the city.</w:t>
      </w:r>
    </w:p>
    <w:p w:rsidR="00FB0D68" w:rsidRPr="00AB72F6" w:rsidRDefault="00FB0D68" w:rsidP="00AB72F6">
      <w:pPr>
        <w:spacing w:before="200" w:after="200" w:line="288" w:lineRule="auto"/>
        <w:rPr>
          <w:sz w:val="20"/>
          <w:szCs w:val="20"/>
        </w:rPr>
      </w:pPr>
      <w:r w:rsidRPr="00AB72F6">
        <w:rPr>
          <w:sz w:val="20"/>
          <w:szCs w:val="20"/>
        </w:rPr>
        <w:t>Health co-benefits are available from low and net zero carbon strategies across transport, buildings, food, energy, green infrastructure and healthcare. The implementation of climate mitigation and adaptation strategies across these sectors can reduce the burden of disease in the community, deliver economic savings which strengthen the local economy, and help protect the community from</w:t>
      </w:r>
      <w:r w:rsidR="00AB72F6">
        <w:rPr>
          <w:sz w:val="20"/>
          <w:szCs w:val="20"/>
        </w:rPr>
        <w:t xml:space="preserve"> the impacts of climate change.</w:t>
      </w:r>
    </w:p>
    <w:p w:rsidR="00FB0D68" w:rsidRPr="00AB72F6" w:rsidRDefault="00FB0D68" w:rsidP="00AB72F6">
      <w:pPr>
        <w:spacing w:before="200" w:after="200" w:line="288" w:lineRule="auto"/>
        <w:rPr>
          <w:sz w:val="20"/>
          <w:szCs w:val="20"/>
        </w:rPr>
      </w:pPr>
      <w:r w:rsidRPr="00AB72F6">
        <w:rPr>
          <w:sz w:val="20"/>
          <w:szCs w:val="20"/>
        </w:rPr>
        <w:t>A brief summary of the opportunities in each of t</w:t>
      </w:r>
      <w:r w:rsidR="00AB72F6">
        <w:rPr>
          <w:sz w:val="20"/>
          <w:szCs w:val="20"/>
        </w:rPr>
        <w:t>hese sectors is presented here:</w:t>
      </w:r>
    </w:p>
    <w:p w:rsidR="00FB0D68" w:rsidRPr="00AB72F6" w:rsidRDefault="00FB0D68" w:rsidP="00AB72F6">
      <w:pPr>
        <w:spacing w:before="200" w:after="200" w:line="288" w:lineRule="auto"/>
        <w:rPr>
          <w:sz w:val="20"/>
          <w:szCs w:val="20"/>
        </w:rPr>
      </w:pPr>
      <w:bookmarkStart w:id="47" w:name="_Toc523307119"/>
      <w:r w:rsidRPr="00AB72F6">
        <w:rPr>
          <w:rStyle w:val="Heading2Char"/>
          <w:sz w:val="20"/>
          <w:szCs w:val="20"/>
        </w:rPr>
        <w:t>Transport:</w:t>
      </w:r>
      <w:bookmarkEnd w:id="47"/>
      <w:r w:rsidRPr="00AB72F6">
        <w:rPr>
          <w:sz w:val="20"/>
          <w:szCs w:val="20"/>
        </w:rPr>
        <w:t xml:space="preserve"> Strategies that aim to reduce emissions from transport appear to be best approached as a package of policy measures in order to realise the maximum health and social benefits as well as emissions reductions. This may include a combination of policies that: discourage car use to reduce congestion and improve air quality, as well as expand the infrastructure for, and encourage the use of, public and active transport op</w:t>
      </w:r>
      <w:r w:rsidR="00AB72F6">
        <w:rPr>
          <w:sz w:val="20"/>
          <w:szCs w:val="20"/>
        </w:rPr>
        <w:t xml:space="preserve">tions. </w:t>
      </w:r>
    </w:p>
    <w:p w:rsidR="00FB0D68" w:rsidRPr="00AB72F6" w:rsidRDefault="00FB0D68" w:rsidP="00AB72F6">
      <w:pPr>
        <w:spacing w:before="200" w:after="200" w:line="288" w:lineRule="auto"/>
        <w:rPr>
          <w:sz w:val="20"/>
          <w:szCs w:val="20"/>
        </w:rPr>
      </w:pPr>
      <w:bookmarkStart w:id="48" w:name="_Toc523307120"/>
      <w:r w:rsidRPr="00AB72F6">
        <w:rPr>
          <w:rStyle w:val="Heading2Char"/>
          <w:sz w:val="20"/>
          <w:szCs w:val="20"/>
        </w:rPr>
        <w:t>Buildings:</w:t>
      </w:r>
      <w:bookmarkEnd w:id="48"/>
      <w:r w:rsidRPr="00AB72F6">
        <w:rPr>
          <w:sz w:val="20"/>
          <w:szCs w:val="20"/>
        </w:rPr>
        <w:t xml:space="preserve"> Encouraging investment in energy efficiency measures for homes and buildings can deliver substantial and cost-effective emissions reductions, while promoting physical and psychological wellbeing and improving personal comfort, while also reducing energy costs and therefore economic pressures (itself a contributor to positive health and social outcomes).</w:t>
      </w:r>
      <w:r w:rsidR="00AB72F6">
        <w:rPr>
          <w:sz w:val="20"/>
          <w:szCs w:val="20"/>
        </w:rPr>
        <w:t xml:space="preserve">   </w:t>
      </w:r>
    </w:p>
    <w:p w:rsidR="00FB0D68" w:rsidRPr="00AB72F6" w:rsidRDefault="00FB0D68" w:rsidP="00AB72F6">
      <w:pPr>
        <w:spacing w:before="200" w:after="200" w:line="288" w:lineRule="auto"/>
        <w:rPr>
          <w:sz w:val="20"/>
          <w:szCs w:val="20"/>
        </w:rPr>
      </w:pPr>
      <w:bookmarkStart w:id="49" w:name="_Toc523307121"/>
      <w:r w:rsidRPr="00AB72F6">
        <w:rPr>
          <w:rStyle w:val="Heading2Char"/>
          <w:sz w:val="20"/>
          <w:szCs w:val="20"/>
        </w:rPr>
        <w:t>Energy:</w:t>
      </w:r>
      <w:bookmarkEnd w:id="49"/>
      <w:r w:rsidRPr="00AB72F6">
        <w:rPr>
          <w:sz w:val="20"/>
          <w:szCs w:val="20"/>
        </w:rPr>
        <w:t xml:space="preserve"> Strategies to encourage the purchase - and where possible, the generation - of renewable energy, along with promotion of fuel switching and energy efficiency in the City of Melbourne can reduce operating costs for businesses and services, contributing to economic productivity and job creation. </w:t>
      </w:r>
      <w:r w:rsidRPr="00AB72F6">
        <w:rPr>
          <w:bCs/>
          <w:sz w:val="20"/>
          <w:szCs w:val="20"/>
        </w:rPr>
        <w:t>With prices for solar energy continuing to decline, inclusion of solar power on the majority of buildings can assist in ensuring equitable access to electricity, as well as help maintain thermal comfort while ensuring ongoing affordability.</w:t>
      </w:r>
    </w:p>
    <w:p w:rsidR="00FB0D68" w:rsidRPr="00AB72F6" w:rsidRDefault="00FB0D68" w:rsidP="00AB72F6">
      <w:pPr>
        <w:spacing w:before="200" w:after="200" w:line="288" w:lineRule="auto"/>
        <w:rPr>
          <w:sz w:val="20"/>
          <w:szCs w:val="20"/>
        </w:rPr>
      </w:pPr>
      <w:bookmarkStart w:id="50" w:name="_Toc523307122"/>
      <w:r w:rsidRPr="00AB72F6">
        <w:rPr>
          <w:rStyle w:val="Heading2Char"/>
          <w:sz w:val="20"/>
          <w:szCs w:val="20"/>
        </w:rPr>
        <w:t>Food:</w:t>
      </w:r>
      <w:bookmarkEnd w:id="50"/>
      <w:r w:rsidRPr="00AB72F6">
        <w:rPr>
          <w:sz w:val="20"/>
          <w:szCs w:val="20"/>
        </w:rPr>
        <w:t xml:space="preserve"> There is sufficient evidence to include strategies to promote a low carbon diet into the City’s policy suite, with potential to address significant existing health burdens and healthcare costs in the population, particularly in relation to obesity, diabetes, and heart disease. The studies cited here contribute to the body of evidence on which to base the inclusion of environmental criteria into dietary guidelines.</w:t>
      </w:r>
    </w:p>
    <w:p w:rsidR="00FB0D68" w:rsidRPr="00AB72F6" w:rsidRDefault="00FB0D68" w:rsidP="00AB72F6">
      <w:pPr>
        <w:spacing w:before="200" w:after="200" w:line="288" w:lineRule="auto"/>
        <w:rPr>
          <w:sz w:val="20"/>
          <w:szCs w:val="20"/>
        </w:rPr>
      </w:pPr>
      <w:bookmarkStart w:id="51" w:name="_Toc523307123"/>
      <w:r w:rsidRPr="00AB72F6">
        <w:rPr>
          <w:rStyle w:val="Heading2Char"/>
          <w:sz w:val="20"/>
          <w:szCs w:val="20"/>
        </w:rPr>
        <w:t>Green infrastructure:</w:t>
      </w:r>
      <w:bookmarkEnd w:id="51"/>
      <w:r w:rsidRPr="00AB72F6">
        <w:rPr>
          <w:sz w:val="20"/>
          <w:szCs w:val="20"/>
        </w:rPr>
        <w:t xml:space="preserve"> Expanding the City’s green infrastructure offers the opportunity to reduce the urban heat island effect (and therefore heat stress), reduce energy consumption, improve air quality, improve physical, psychological and mental health and wellbeing, as well as contribute to enhanced social capital.</w:t>
      </w:r>
    </w:p>
    <w:p w:rsidR="00FB0D68" w:rsidRPr="00AB72F6" w:rsidRDefault="00FB0D68" w:rsidP="00AB72F6">
      <w:pPr>
        <w:spacing w:before="200" w:after="200" w:line="288" w:lineRule="auto"/>
        <w:rPr>
          <w:sz w:val="20"/>
          <w:szCs w:val="20"/>
        </w:rPr>
      </w:pPr>
      <w:bookmarkStart w:id="52" w:name="_Toc523307124"/>
      <w:r w:rsidRPr="00AB72F6">
        <w:rPr>
          <w:rStyle w:val="Heading2Char"/>
          <w:sz w:val="20"/>
          <w:szCs w:val="20"/>
        </w:rPr>
        <w:t>Healthcare:</w:t>
      </w:r>
      <w:bookmarkEnd w:id="52"/>
      <w:r w:rsidRPr="00AB72F6">
        <w:rPr>
          <w:sz w:val="20"/>
          <w:szCs w:val="20"/>
        </w:rPr>
        <w:t xml:space="preserve"> As a significant contributor to emissions, strategies to reduce emissions in the health sector must form a key element of the City of Melbourne net zero emissions strategy. Health professionals, once engaged, can be powerful agents for change in relation to climate mitigation and adaptation in the health sector, and should be brought into policy discussions early and often to obtain access to their expertise and enhance their capacity as positive agents of change.</w:t>
      </w:r>
    </w:p>
    <w:p w:rsidR="00FB0D68" w:rsidRDefault="00FB0D68" w:rsidP="00FB0D68">
      <w:pPr>
        <w:pStyle w:val="Heading1"/>
      </w:pPr>
      <w:bookmarkStart w:id="53" w:name="_Toc523307125"/>
      <w:r w:rsidRPr="00FB0D68">
        <w:t>Recommendations and Conclusion</w:t>
      </w:r>
      <w:bookmarkEnd w:id="53"/>
    </w:p>
    <w:p w:rsidR="00FB0D68" w:rsidRDefault="00FB0D68" w:rsidP="00FB0D68">
      <w:pPr>
        <w:pStyle w:val="Heading2"/>
      </w:pPr>
      <w:bookmarkStart w:id="54" w:name="_Toc523307126"/>
      <w:r>
        <w:t>Key recommendations:</w:t>
      </w:r>
      <w:bookmarkEnd w:id="54"/>
    </w:p>
    <w:p w:rsidR="00FB0D68" w:rsidRDefault="00FB0D68" w:rsidP="00AB72F6">
      <w:pPr>
        <w:pStyle w:val="ListParagraph"/>
        <w:numPr>
          <w:ilvl w:val="0"/>
          <w:numId w:val="23"/>
        </w:numPr>
        <w:spacing w:before="200" w:after="200"/>
        <w:ind w:left="1077" w:hanging="357"/>
        <w:contextualSpacing/>
      </w:pPr>
      <w:r w:rsidRPr="00987764">
        <w:t xml:space="preserve">The City of Melbourne is encouraged to use health as a communications vehicle to engage people more deeply in the City’s climate change mitigation and adaptation plans, and to use the </w:t>
      </w:r>
      <w:r>
        <w:t>climate-</w:t>
      </w:r>
      <w:r w:rsidRPr="00987764">
        <w:t xml:space="preserve">health co-benefits framing as a positive opportunity and trigger for action. </w:t>
      </w:r>
    </w:p>
    <w:p w:rsidR="00FB0D68" w:rsidRDefault="00FB0D68" w:rsidP="00AB72F6">
      <w:pPr>
        <w:pStyle w:val="ListParagraph"/>
        <w:numPr>
          <w:ilvl w:val="0"/>
          <w:numId w:val="23"/>
        </w:numPr>
        <w:spacing w:before="200" w:after="200"/>
        <w:ind w:left="1077" w:hanging="357"/>
        <w:contextualSpacing/>
      </w:pPr>
      <w:r w:rsidRPr="00987764">
        <w:t xml:space="preserve">Closer analysis of the health and climate benefits associated with measures to improve air quality and reduce emissions in the City of Melbourne should be undertaken as a priority, as the evidence suggests the savings associated with avoided ill-health and productivity gains may well outweigh the costs of implementing adaptation and mitigation strategies. </w:t>
      </w:r>
    </w:p>
    <w:p w:rsidR="00FB0D68" w:rsidRPr="00987764" w:rsidRDefault="00FB0D68" w:rsidP="00AB72F6">
      <w:pPr>
        <w:pStyle w:val="ListParagraph"/>
        <w:numPr>
          <w:ilvl w:val="0"/>
          <w:numId w:val="23"/>
        </w:numPr>
        <w:spacing w:before="200" w:after="200"/>
        <w:ind w:left="1077" w:hanging="357"/>
        <w:contextualSpacing/>
      </w:pPr>
      <w:r>
        <w:t>More stringent air quality guidelines deliver significant health and economic co-benefits. Given the demonstrable benefits of linking emissions reductions and health goals in relation to improved air quality, this should be a central focus in the city’s net zero emissions goal.</w:t>
      </w:r>
    </w:p>
    <w:p w:rsidR="00FB0D68" w:rsidRPr="00987764" w:rsidRDefault="00FB0D68" w:rsidP="00AB72F6">
      <w:pPr>
        <w:pStyle w:val="ListParagraph"/>
        <w:numPr>
          <w:ilvl w:val="0"/>
          <w:numId w:val="23"/>
        </w:numPr>
        <w:spacing w:before="200" w:after="200"/>
        <w:ind w:left="1077" w:hanging="357"/>
        <w:contextualSpacing/>
        <w:rPr>
          <w:bCs/>
        </w:rPr>
      </w:pPr>
      <w:r>
        <w:rPr>
          <w:bCs/>
        </w:rPr>
        <w:t xml:space="preserve">Investing in </w:t>
      </w:r>
      <w:r w:rsidRPr="00987764">
        <w:rPr>
          <w:bCs/>
        </w:rPr>
        <w:t>through strategies to improve the energy performance of buildings, through design of built infrastructure, and inclusion of green infrastructure requirements in urban design</w:t>
      </w:r>
      <w:r>
        <w:rPr>
          <w:bCs/>
        </w:rPr>
        <w:t xml:space="preserve"> offers</w:t>
      </w:r>
      <w:r w:rsidRPr="00987764">
        <w:rPr>
          <w:bCs/>
        </w:rPr>
        <w:t xml:space="preserve"> substantial opportunities to simultaneously achieve emissions reductions and promote public health and wellbeing, as well as social cohesion</w:t>
      </w:r>
      <w:r>
        <w:rPr>
          <w:bCs/>
        </w:rPr>
        <w:t>,</w:t>
      </w:r>
      <w:r w:rsidRPr="00987764">
        <w:rPr>
          <w:bCs/>
        </w:rPr>
        <w:t xml:space="preserve"> in the City of Melbourne</w:t>
      </w:r>
      <w:r w:rsidRPr="00987764">
        <w:rPr>
          <w:b/>
          <w:bCs/>
        </w:rPr>
        <w:t xml:space="preserve">.  </w:t>
      </w:r>
    </w:p>
    <w:p w:rsidR="00FB0D68" w:rsidRPr="007B673E" w:rsidRDefault="00FB0D68" w:rsidP="00AB72F6">
      <w:pPr>
        <w:pStyle w:val="ListParagraph"/>
        <w:numPr>
          <w:ilvl w:val="0"/>
          <w:numId w:val="23"/>
        </w:numPr>
        <w:spacing w:before="200" w:after="200"/>
        <w:ind w:left="1077" w:hanging="357"/>
        <w:contextualSpacing/>
      </w:pPr>
      <w:r>
        <w:t>Initiatives</w:t>
      </w:r>
      <w:r w:rsidRPr="007B673E">
        <w:t xml:space="preserve"> to encourage energy efficiency and </w:t>
      </w:r>
      <w:r>
        <w:t>d</w:t>
      </w:r>
      <w:r w:rsidRPr="007B673E">
        <w:t xml:space="preserve">ecarbonising the energy sector </w:t>
      </w:r>
      <w:r>
        <w:t xml:space="preserve">to facilitate clean and healthy electricity and transport options should be central to </w:t>
      </w:r>
      <w:r w:rsidRPr="007B673E">
        <w:t xml:space="preserve">the City of Melbourne </w:t>
      </w:r>
      <w:r>
        <w:t>net zero emissions strategy.</w:t>
      </w:r>
    </w:p>
    <w:p w:rsidR="00FB0D68" w:rsidRPr="00A01523" w:rsidRDefault="00FB0D68" w:rsidP="00AB72F6">
      <w:pPr>
        <w:pStyle w:val="ListParagraph"/>
        <w:numPr>
          <w:ilvl w:val="0"/>
          <w:numId w:val="23"/>
        </w:numPr>
        <w:spacing w:before="200" w:after="200"/>
        <w:ind w:left="1077" w:hanging="357"/>
        <w:contextualSpacing/>
      </w:pPr>
      <w:r w:rsidRPr="00A01523">
        <w:t xml:space="preserve">Programs to encourage the adoption of a low carbon diet and local urban food systems and food production, including the use of community gardens, </w:t>
      </w:r>
      <w:r>
        <w:t>should be part of the City of Melbourne net zero emissions strategy</w:t>
      </w:r>
      <w:r w:rsidRPr="00A01523">
        <w:t xml:space="preserve">. </w:t>
      </w:r>
    </w:p>
    <w:p w:rsidR="00FB0D68" w:rsidRPr="00A01523" w:rsidRDefault="00FB0D68" w:rsidP="00AB72F6">
      <w:pPr>
        <w:pStyle w:val="ListParagraph"/>
        <w:numPr>
          <w:ilvl w:val="0"/>
          <w:numId w:val="23"/>
        </w:numPr>
        <w:spacing w:before="200" w:after="200"/>
        <w:ind w:left="1077" w:hanging="357"/>
        <w:contextualSpacing/>
      </w:pPr>
      <w:r w:rsidRPr="00A01523">
        <w:t xml:space="preserve">Increasing green infrastructure in the City of Melbourne </w:t>
      </w:r>
      <w:r>
        <w:t>will help</w:t>
      </w:r>
      <w:r w:rsidRPr="00A01523">
        <w:t xml:space="preserve"> reduce emissions through carbon sequestration and reduced energy demand, while delivering important health benefits through improved air quality, reduced heat stress, as well as enhanced psychological and social wellbeing and resilience. </w:t>
      </w:r>
    </w:p>
    <w:p w:rsidR="00FB0D68" w:rsidRPr="007B673E" w:rsidRDefault="00FB0D68" w:rsidP="00AB72F6">
      <w:pPr>
        <w:pStyle w:val="ListParagraph"/>
        <w:numPr>
          <w:ilvl w:val="0"/>
          <w:numId w:val="23"/>
        </w:numPr>
        <w:spacing w:before="200" w:after="200"/>
        <w:ind w:left="1077" w:hanging="357"/>
        <w:contextualSpacing/>
      </w:pPr>
      <w:r>
        <w:t xml:space="preserve">As a major sector and large contributor to GHG, the health sector must be a core focus in City of Melbourne net zero emission strategy </w:t>
      </w:r>
      <w:r w:rsidRPr="007B673E">
        <w:t xml:space="preserve">will be key to ensuring healthcare facilities are on track to help deliver this goal. </w:t>
      </w:r>
    </w:p>
    <w:p w:rsidR="00FB0D68" w:rsidRPr="00FB0D68" w:rsidRDefault="00FB0D68" w:rsidP="00FB0D68">
      <w:pPr>
        <w:pStyle w:val="Heading2"/>
      </w:pPr>
      <w:bookmarkStart w:id="55" w:name="_Toc523307127"/>
      <w:r w:rsidRPr="00FB0D68">
        <w:t>Further considerations</w:t>
      </w:r>
      <w:bookmarkEnd w:id="55"/>
    </w:p>
    <w:p w:rsidR="00FB0D68" w:rsidRDefault="00FB0D68" w:rsidP="00FB0D68">
      <w:pPr>
        <w:pStyle w:val="Heading3"/>
      </w:pPr>
      <w:bookmarkStart w:id="56" w:name="_Toc523307128"/>
      <w:r>
        <w:t>Research</w:t>
      </w:r>
      <w:bookmarkEnd w:id="56"/>
    </w:p>
    <w:p w:rsidR="00FB0D68" w:rsidRPr="00293ADE" w:rsidRDefault="00FB0D68" w:rsidP="00982819">
      <w:pPr>
        <w:spacing w:before="200" w:after="200" w:line="288" w:lineRule="auto"/>
        <w:rPr>
          <w:sz w:val="20"/>
          <w:szCs w:val="20"/>
        </w:rPr>
      </w:pPr>
      <w:r w:rsidRPr="00293ADE">
        <w:rPr>
          <w:sz w:val="20"/>
          <w:szCs w:val="20"/>
        </w:rPr>
        <w:t>To date, there is considerable variation in approaches to evaluating the health co-benefits of mitigation strategies (</w:t>
      </w:r>
      <w:proofErr w:type="spellStart"/>
      <w:r w:rsidRPr="00293ADE">
        <w:rPr>
          <w:sz w:val="20"/>
          <w:szCs w:val="20"/>
        </w:rPr>
        <w:t>Remais</w:t>
      </w:r>
      <w:proofErr w:type="spellEnd"/>
      <w:r w:rsidRPr="00293ADE">
        <w:rPr>
          <w:sz w:val="20"/>
          <w:szCs w:val="20"/>
        </w:rPr>
        <w:t xml:space="preserve">, 2014). The majority of those studies find significant, near term, local health co-benefits that yield net cost savings (Chang, 2017). Most studies highlight the interaction of climate and health policy and the magnitude of potential outcomes rather than specific detailed estimates of health co-benefits for a particular jurisdiction (Chang, 2017).  </w:t>
      </w:r>
    </w:p>
    <w:p w:rsidR="00FB0D68" w:rsidRPr="00293ADE" w:rsidRDefault="00FB0D68" w:rsidP="00982819">
      <w:pPr>
        <w:spacing w:before="200" w:after="200" w:line="288" w:lineRule="auto"/>
        <w:rPr>
          <w:sz w:val="20"/>
          <w:szCs w:val="20"/>
        </w:rPr>
      </w:pPr>
      <w:r w:rsidRPr="00293ADE">
        <w:rPr>
          <w:sz w:val="20"/>
          <w:szCs w:val="20"/>
        </w:rPr>
        <w:t>There is sufficient evidence available in relation to health co-benefits associated with climate mitigation and adaptation action to guide the development and implementation of strategies with a dual health and climate goal in the City of Melbourne in the sectors described.</w:t>
      </w:r>
    </w:p>
    <w:p w:rsidR="00FB0D68" w:rsidRPr="00982819" w:rsidRDefault="00FB0D68" w:rsidP="00982819">
      <w:pPr>
        <w:spacing w:before="200" w:after="200" w:line="288" w:lineRule="auto"/>
        <w:rPr>
          <w:sz w:val="20"/>
          <w:szCs w:val="20"/>
        </w:rPr>
      </w:pPr>
      <w:r w:rsidRPr="00293ADE">
        <w:rPr>
          <w:sz w:val="20"/>
          <w:szCs w:val="20"/>
        </w:rPr>
        <w:t>A detailed assessment of health co-benefits available from a comprehensive range of net zero emissions strategies in the City of Melbourne should be undertaken to inform policy development. Detailed analysis and quantification of the cost and health benefits associated with a range of emissions reductions scenarios would help prioritise the adoption of measures to deliver health gains alongside emissions reductions. Policymakers are encouraged to work with researchers (and vice versa) to develop studies that produce quantifiable, policy-relevant analysis to guide decision-making (</w:t>
      </w:r>
      <w:proofErr w:type="spellStart"/>
      <w:r w:rsidRPr="00293ADE">
        <w:rPr>
          <w:sz w:val="20"/>
          <w:szCs w:val="20"/>
        </w:rPr>
        <w:t>Remais</w:t>
      </w:r>
      <w:proofErr w:type="spellEnd"/>
      <w:r w:rsidRPr="00293ADE">
        <w:rPr>
          <w:sz w:val="20"/>
          <w:szCs w:val="20"/>
        </w:rPr>
        <w:t>, 2014). This will require collaboration across disciplines and agencies to ensure health data and social impact is incorporated into scenario development and subsequent economic modelling. This can be challenging but is necessary if accurate assessments of the health costs of business-as-usual are to inform future policy scenarios. Collaboration with state government will be essential to support data colle</w:t>
      </w:r>
      <w:r w:rsidR="00982819">
        <w:rPr>
          <w:sz w:val="20"/>
          <w:szCs w:val="20"/>
        </w:rPr>
        <w:t xml:space="preserve">ction, collation and analysis. </w:t>
      </w:r>
    </w:p>
    <w:p w:rsidR="00FB0D68" w:rsidRDefault="00FB0D68" w:rsidP="00982819">
      <w:pPr>
        <w:pStyle w:val="Heading3"/>
      </w:pPr>
      <w:bookmarkStart w:id="57" w:name="_Toc523307129"/>
      <w:r>
        <w:t>Integrating mental health</w:t>
      </w:r>
      <w:bookmarkEnd w:id="57"/>
      <w:r>
        <w:t xml:space="preserve"> </w:t>
      </w:r>
    </w:p>
    <w:p w:rsidR="00FB0D68" w:rsidRPr="00982819" w:rsidRDefault="00FB0D68" w:rsidP="00982819">
      <w:pPr>
        <w:spacing w:before="200" w:after="200" w:line="288" w:lineRule="auto"/>
        <w:rPr>
          <w:sz w:val="20"/>
          <w:szCs w:val="20"/>
        </w:rPr>
      </w:pPr>
      <w:r w:rsidRPr="00982819">
        <w:rPr>
          <w:sz w:val="20"/>
          <w:szCs w:val="20"/>
        </w:rPr>
        <w:t>Specific attention needs to be paid to the mental health risks of unmitigated climate change as well as to the potential for mental health co-benefits associated with emissions reduction policies. While the latter can be substantial, they are also harder to measure, but if understood can provide a powerful rationale as well as motivation and support for action. The inclusion of qualitative surveys in evaluating health impacts in relation to emissions reductions strategies should be utilised to ensure those currently more intangible psychological benefits (like reduced social isolation from walking more, reduced exposure to traffic noise and fumes) are included in assessment of current harms and future co-benefits (de Oliveira, 2016).</w:t>
      </w:r>
    </w:p>
    <w:p w:rsidR="00FB0D68" w:rsidRPr="00982819" w:rsidRDefault="00FB0D68" w:rsidP="00982819">
      <w:pPr>
        <w:spacing w:before="200" w:after="200" w:line="288" w:lineRule="auto"/>
        <w:rPr>
          <w:sz w:val="20"/>
          <w:szCs w:val="20"/>
        </w:rPr>
      </w:pPr>
      <w:r w:rsidRPr="00982819">
        <w:rPr>
          <w:sz w:val="20"/>
          <w:szCs w:val="20"/>
        </w:rPr>
        <w:t>However, given the timescales for this type of research can be long, the substantial existing body of literature which provides clear insights into the possible directions for realising co-benefits for the local population should be utilised, and strategies based on those find</w:t>
      </w:r>
      <w:r w:rsidR="00982819">
        <w:rPr>
          <w:sz w:val="20"/>
          <w:szCs w:val="20"/>
        </w:rPr>
        <w:t>ings developed and implemented.</w:t>
      </w:r>
    </w:p>
    <w:p w:rsidR="00FB0D68" w:rsidRPr="00982819" w:rsidRDefault="00FB0D68" w:rsidP="00982819">
      <w:pPr>
        <w:pStyle w:val="Heading3"/>
      </w:pPr>
      <w:bookmarkStart w:id="58" w:name="_Toc523307130"/>
      <w:r>
        <w:t>Health Impact Assessment</w:t>
      </w:r>
      <w:bookmarkEnd w:id="58"/>
    </w:p>
    <w:p w:rsidR="00FB0D68" w:rsidRPr="00982819" w:rsidRDefault="00FB0D68" w:rsidP="00982819">
      <w:pPr>
        <w:spacing w:before="200" w:after="200" w:line="288" w:lineRule="auto"/>
        <w:rPr>
          <w:sz w:val="20"/>
          <w:szCs w:val="20"/>
        </w:rPr>
      </w:pPr>
      <w:r w:rsidRPr="00982819">
        <w:rPr>
          <w:sz w:val="20"/>
          <w:szCs w:val="20"/>
        </w:rPr>
        <w:t>The City of Melbourne should utilise Health Impact Assessments (HIA) (with accompanying social and environmental impacts assessment) as a tool for assessing health risks and benefits of all policy decisions. HIA can be used to inform policy decision in relation to health, transport, environment, agriculture, energy, waste, housing and planning (</w:t>
      </w:r>
      <w:proofErr w:type="spellStart"/>
      <w:r w:rsidRPr="00982819">
        <w:rPr>
          <w:sz w:val="20"/>
          <w:szCs w:val="20"/>
        </w:rPr>
        <w:t>EnHealth</w:t>
      </w:r>
      <w:proofErr w:type="spellEnd"/>
      <w:r w:rsidRPr="00982819">
        <w:rPr>
          <w:sz w:val="20"/>
          <w:szCs w:val="20"/>
        </w:rPr>
        <w:t>, 2017).</w:t>
      </w:r>
      <w:r w:rsidR="00982819">
        <w:rPr>
          <w:sz w:val="20"/>
          <w:szCs w:val="20"/>
        </w:rPr>
        <w:t xml:space="preserve"> </w:t>
      </w:r>
    </w:p>
    <w:p w:rsidR="00FB0D68" w:rsidRDefault="00FB0D68" w:rsidP="00FB0D68">
      <w:pPr>
        <w:pStyle w:val="Heading3"/>
      </w:pPr>
      <w:bookmarkStart w:id="59" w:name="_Toc523307131"/>
      <w:r>
        <w:t>Governance to support policy integration</w:t>
      </w:r>
      <w:bookmarkEnd w:id="59"/>
    </w:p>
    <w:p w:rsidR="00FB0D68" w:rsidRPr="00982819" w:rsidRDefault="00FB0D68" w:rsidP="00982819">
      <w:pPr>
        <w:spacing w:before="200" w:after="200" w:line="288" w:lineRule="auto"/>
        <w:rPr>
          <w:sz w:val="20"/>
          <w:szCs w:val="20"/>
        </w:rPr>
      </w:pPr>
      <w:r w:rsidRPr="00982819">
        <w:rPr>
          <w:sz w:val="20"/>
          <w:szCs w:val="20"/>
        </w:rPr>
        <w:t>In developing strategies to achieve net zero emissions in the City of Melbourne, it will be necessary to develop governance mechanisms that build the capacity of the city to integrate health in policy development processes related to transport, energy, urban planning, and buildings to ensure health risks and benefits are acknowledged (de Oliveira, 2016). The inclusion of multi-stakeholder networks in policy design can help ensure the measures chosen are effective, acceptable and fit for purpose (de Oliveira</w:t>
      </w:r>
      <w:r w:rsidR="00982819" w:rsidRPr="00982819">
        <w:rPr>
          <w:sz w:val="20"/>
          <w:szCs w:val="20"/>
        </w:rPr>
        <w:t>, 2016).</w:t>
      </w:r>
    </w:p>
    <w:p w:rsidR="00FB0D68" w:rsidRDefault="00FB0D68" w:rsidP="00982819">
      <w:pPr>
        <w:pStyle w:val="Heading3"/>
      </w:pPr>
      <w:bookmarkStart w:id="60" w:name="_Toc523307132"/>
      <w:r>
        <w:t>Assessing upstream emissions</w:t>
      </w:r>
      <w:bookmarkEnd w:id="60"/>
    </w:p>
    <w:p w:rsidR="00FB0D68" w:rsidRPr="00982819" w:rsidRDefault="00FB0D68" w:rsidP="00982819">
      <w:pPr>
        <w:spacing w:before="200" w:after="200" w:line="288" w:lineRule="auto"/>
        <w:rPr>
          <w:sz w:val="20"/>
          <w:szCs w:val="20"/>
        </w:rPr>
      </w:pPr>
      <w:r w:rsidRPr="00982819">
        <w:rPr>
          <w:sz w:val="20"/>
          <w:szCs w:val="20"/>
        </w:rPr>
        <w:t>In addition to reducing emissions that occur in the City of Melbourne, the net zero emissions strategy should also consider opportunities for reducing the region’s upstream emissions. Recent studies suggest upstream emissions from urban household consumption are of a similar magnitude to cities’ overall territorial emissions and that local policy leverage can have more significant impacts on upstream emissions than is typically assumed (</w:t>
      </w:r>
      <w:proofErr w:type="spellStart"/>
      <w:r w:rsidRPr="00982819">
        <w:rPr>
          <w:sz w:val="20"/>
          <w:szCs w:val="20"/>
        </w:rPr>
        <w:t>Pichler</w:t>
      </w:r>
      <w:proofErr w:type="spellEnd"/>
      <w:r w:rsidRPr="00982819">
        <w:rPr>
          <w:sz w:val="20"/>
          <w:szCs w:val="20"/>
        </w:rPr>
        <w:t xml:space="preserve">, 2017). </w:t>
      </w:r>
    </w:p>
    <w:p w:rsidR="00FB0D68" w:rsidRDefault="00FB0D68" w:rsidP="00FB0D68">
      <w:pPr>
        <w:pStyle w:val="Heading1"/>
      </w:pPr>
      <w:bookmarkStart w:id="61" w:name="_Toc523307133"/>
      <w:r w:rsidRPr="00FB0D68">
        <w:t>Conclusion</w:t>
      </w:r>
      <w:bookmarkEnd w:id="61"/>
    </w:p>
    <w:p w:rsidR="00FB0D68" w:rsidRPr="00FB0D68" w:rsidRDefault="00FB0D68" w:rsidP="00FB0D68">
      <w:pPr>
        <w:pStyle w:val="BodyText"/>
      </w:pPr>
      <w:r w:rsidRPr="00FB0D68">
        <w:t xml:space="preserve">While this review has considered a substantial body of literature (124 studies), it is not exhaustive and does not constitute a complete systematic review. It does however provide an overview of the body of evidence from recent (2008 - current) scientific literature on the about the health and social benefits associated with climate strategies. </w:t>
      </w:r>
    </w:p>
    <w:p w:rsidR="00FB0D68" w:rsidRPr="00FB0D68" w:rsidRDefault="00FB0D68" w:rsidP="00FB0D68">
      <w:pPr>
        <w:pStyle w:val="BodyText"/>
      </w:pPr>
      <w:r w:rsidRPr="00FB0D68">
        <w:t xml:space="preserve">In conclusion, the climate and health co-benefits literature is compelling and should be comprehensively utilised </w:t>
      </w:r>
      <w:r>
        <w:t xml:space="preserve">by the City of Melbourne </w:t>
      </w:r>
      <w:r w:rsidRPr="00FB0D68">
        <w:t xml:space="preserve">to help propel policy development and implementation to realise the often mutually reinforcing and complementary goals of positive health and wellbeing AND arresting global warming. </w:t>
      </w:r>
    </w:p>
    <w:p w:rsidR="00FB0D68" w:rsidRPr="00FB0D68" w:rsidRDefault="00FB0D68" w:rsidP="00FB0D68">
      <w:pPr>
        <w:pStyle w:val="BodyText"/>
      </w:pPr>
    </w:p>
    <w:p w:rsidR="00FB0D68" w:rsidRDefault="00FB0D68" w:rsidP="00FB0D68">
      <w:pPr>
        <w:pStyle w:val="Heading1"/>
      </w:pPr>
      <w:bookmarkStart w:id="62" w:name="_Toc523307134"/>
      <w:r w:rsidRPr="00FB0D68">
        <w:t>References</w:t>
      </w:r>
      <w:bookmarkEnd w:id="62"/>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AIHW (Australian institute of Health and Welfare), 2016.</w:t>
      </w:r>
      <w:proofErr w:type="gramEnd"/>
      <w:r w:rsidRPr="00982819">
        <w:rPr>
          <w:rFonts w:asciiTheme="minorHAnsi" w:hAnsiTheme="minorHAnsi" w:cstheme="minorHAnsi"/>
          <w:sz w:val="20"/>
          <w:szCs w:val="20"/>
        </w:rPr>
        <w:t xml:space="preserve"> Australian burden of disease study: impact and causes of illness and death in Australia 2011, AIHW, Canberra.</w:t>
      </w:r>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Alexandri</w:t>
      </w:r>
      <w:proofErr w:type="spellEnd"/>
      <w:r w:rsidRPr="00982819">
        <w:rPr>
          <w:rFonts w:asciiTheme="minorHAnsi" w:hAnsiTheme="minorHAnsi" w:cstheme="minorHAnsi"/>
          <w:sz w:val="20"/>
          <w:szCs w:val="20"/>
        </w:rPr>
        <w:t>, E. and Jones, P., 2008. Temperature decreases in an urban canyon due to green walls and green roofs in diverse climates. </w:t>
      </w:r>
      <w:proofErr w:type="gramStart"/>
      <w:r w:rsidRPr="00982819">
        <w:rPr>
          <w:rFonts w:asciiTheme="minorHAnsi" w:hAnsiTheme="minorHAnsi" w:cstheme="minorHAnsi"/>
          <w:i/>
          <w:iCs/>
          <w:sz w:val="20"/>
          <w:szCs w:val="20"/>
        </w:rPr>
        <w:t>Building and environment</w:t>
      </w:r>
      <w:r w:rsidRPr="00982819">
        <w:rPr>
          <w:rFonts w:asciiTheme="minorHAnsi" w:hAnsiTheme="minorHAnsi" w:cstheme="minorHAnsi"/>
          <w:sz w:val="20"/>
          <w:szCs w:val="20"/>
        </w:rPr>
        <w:t>, </w:t>
      </w:r>
      <w:r w:rsidRPr="00982819">
        <w:rPr>
          <w:rFonts w:asciiTheme="minorHAnsi" w:hAnsiTheme="minorHAnsi" w:cstheme="minorHAnsi"/>
          <w:i/>
          <w:iCs/>
          <w:sz w:val="20"/>
          <w:szCs w:val="20"/>
        </w:rPr>
        <w:t>43</w:t>
      </w:r>
      <w:r w:rsidR="00982819">
        <w:rPr>
          <w:rFonts w:asciiTheme="minorHAnsi" w:hAnsiTheme="minorHAnsi" w:cstheme="minorHAnsi"/>
          <w:sz w:val="20"/>
          <w:szCs w:val="20"/>
        </w:rPr>
        <w:t>(4), pp.480-493.</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Aleksandrowicz</w:t>
      </w:r>
      <w:proofErr w:type="spellEnd"/>
      <w:r w:rsidRPr="00982819">
        <w:rPr>
          <w:rFonts w:asciiTheme="minorHAnsi" w:hAnsiTheme="minorHAnsi" w:cstheme="minorHAnsi"/>
          <w:sz w:val="20"/>
          <w:szCs w:val="20"/>
        </w:rPr>
        <w:t>, L., Green, R., Joy, E.J., Smith, P. and Haines, A., 2016. The impacts of dietary change on greenhouse gas emissions, land use, water use, and health: a systematic review. </w:t>
      </w:r>
      <w:proofErr w:type="spellStart"/>
      <w:proofErr w:type="gramStart"/>
      <w:r w:rsidRPr="00982819">
        <w:rPr>
          <w:rFonts w:asciiTheme="minorHAnsi" w:hAnsiTheme="minorHAnsi" w:cstheme="minorHAnsi"/>
          <w:i/>
          <w:iCs/>
          <w:sz w:val="20"/>
          <w:szCs w:val="20"/>
        </w:rPr>
        <w:t>PloS</w:t>
      </w:r>
      <w:proofErr w:type="spellEnd"/>
      <w:r w:rsidRPr="00982819">
        <w:rPr>
          <w:rFonts w:asciiTheme="minorHAnsi" w:hAnsiTheme="minorHAnsi" w:cstheme="minorHAnsi"/>
          <w:i/>
          <w:iCs/>
          <w:sz w:val="20"/>
          <w:szCs w:val="20"/>
        </w:rPr>
        <w:t xml:space="preserve"> one</w:t>
      </w:r>
      <w:r w:rsidRPr="00982819">
        <w:rPr>
          <w:rFonts w:asciiTheme="minorHAnsi" w:hAnsiTheme="minorHAnsi" w:cstheme="minorHAnsi"/>
          <w:sz w:val="20"/>
          <w:szCs w:val="20"/>
        </w:rPr>
        <w:t>, </w:t>
      </w:r>
      <w:r w:rsidRPr="00982819">
        <w:rPr>
          <w:rFonts w:asciiTheme="minorHAnsi" w:hAnsiTheme="minorHAnsi" w:cstheme="minorHAnsi"/>
          <w:i/>
          <w:iCs/>
          <w:sz w:val="20"/>
          <w:szCs w:val="20"/>
        </w:rPr>
        <w:t>11</w:t>
      </w:r>
      <w:r w:rsidR="00982819">
        <w:rPr>
          <w:rFonts w:asciiTheme="minorHAnsi" w:hAnsiTheme="minorHAnsi" w:cstheme="minorHAnsi"/>
          <w:sz w:val="20"/>
          <w:szCs w:val="20"/>
        </w:rPr>
        <w:t>(11), p.e0165797.</w:t>
      </w:r>
      <w:proofErr w:type="gramEnd"/>
    </w:p>
    <w:p w:rsidR="00FB0D68" w:rsidRPr="00982819" w:rsidRDefault="00FB0D68" w:rsidP="00982819">
      <w:pPr>
        <w:spacing w:before="200" w:after="200" w:line="288" w:lineRule="auto"/>
        <w:rPr>
          <w:rFonts w:asciiTheme="minorHAnsi" w:hAnsiTheme="minorHAnsi" w:cstheme="minorHAnsi"/>
          <w:b/>
          <w:bCs/>
          <w:sz w:val="20"/>
          <w:szCs w:val="20"/>
        </w:rPr>
      </w:pPr>
      <w:proofErr w:type="gramStart"/>
      <w:r w:rsidRPr="00982819">
        <w:rPr>
          <w:rFonts w:asciiTheme="minorHAnsi" w:hAnsiTheme="minorHAnsi" w:cstheme="minorHAnsi"/>
          <w:sz w:val="20"/>
          <w:szCs w:val="20"/>
        </w:rPr>
        <w:t>Australian Conservation Foundation, 2018.</w:t>
      </w:r>
      <w:proofErr w:type="gramEnd"/>
      <w:r w:rsidRPr="00982819">
        <w:rPr>
          <w:rFonts w:asciiTheme="minorHAnsi" w:hAnsiTheme="minorHAnsi" w:cstheme="minorHAnsi"/>
          <w:sz w:val="20"/>
          <w:szCs w:val="20"/>
        </w:rPr>
        <w:t xml:space="preserve"> </w:t>
      </w:r>
      <w:r w:rsidRPr="00982819">
        <w:rPr>
          <w:rFonts w:asciiTheme="minorHAnsi" w:hAnsiTheme="minorHAnsi" w:cstheme="minorHAnsi"/>
          <w:bCs/>
          <w:sz w:val="20"/>
          <w:szCs w:val="20"/>
        </w:rPr>
        <w:t xml:space="preserve">Think global, act local on climate change. </w:t>
      </w:r>
      <w:r w:rsidRPr="00982819">
        <w:rPr>
          <w:rFonts w:asciiTheme="minorHAnsi" w:hAnsiTheme="minorHAnsi" w:cstheme="minorHAnsi"/>
          <w:sz w:val="20"/>
          <w:szCs w:val="20"/>
        </w:rPr>
        <w:t xml:space="preserve">Available at: </w:t>
      </w:r>
      <w:hyperlink r:id="rId17" w:history="1">
        <w:r w:rsidRPr="00982819">
          <w:rPr>
            <w:rStyle w:val="Hyperlink"/>
            <w:rFonts w:asciiTheme="minorHAnsi" w:hAnsiTheme="minorHAnsi" w:cstheme="minorHAnsi"/>
            <w:sz w:val="20"/>
            <w:szCs w:val="20"/>
          </w:rPr>
          <w:t>https://www.acf.org.au/think_global_act_local_on_climate_change</w:t>
        </w:r>
      </w:hyperlink>
      <w:r w:rsidRPr="00982819">
        <w:rPr>
          <w:rFonts w:asciiTheme="minorHAnsi" w:hAnsiTheme="minorHAnsi" w:cstheme="minorHAnsi"/>
          <w:sz w:val="20"/>
          <w:szCs w:val="20"/>
        </w:rPr>
        <w:t xml:space="preserve"> Accessed 7 June 2018.</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Australian Council of Social Services (ACOSS), </w:t>
      </w:r>
      <w:proofErr w:type="gramStart"/>
      <w:r w:rsidRPr="00982819">
        <w:rPr>
          <w:rFonts w:asciiTheme="minorHAnsi" w:hAnsiTheme="minorHAnsi" w:cstheme="minorHAnsi"/>
          <w:sz w:val="20"/>
          <w:szCs w:val="20"/>
        </w:rPr>
        <w:t>The</w:t>
      </w:r>
      <w:proofErr w:type="gramEnd"/>
      <w:r w:rsidRPr="00982819">
        <w:rPr>
          <w:rFonts w:asciiTheme="minorHAnsi" w:hAnsiTheme="minorHAnsi" w:cstheme="minorHAnsi"/>
          <w:sz w:val="20"/>
          <w:szCs w:val="20"/>
        </w:rPr>
        <w:t xml:space="preserve"> Climate Institute, Brotherhood of St Lawrence, 2017. </w:t>
      </w:r>
      <w:proofErr w:type="gramStart"/>
      <w:r w:rsidRPr="00982819">
        <w:rPr>
          <w:rFonts w:asciiTheme="minorHAnsi" w:hAnsiTheme="minorHAnsi" w:cstheme="minorHAnsi"/>
          <w:sz w:val="20"/>
          <w:szCs w:val="20"/>
        </w:rPr>
        <w:t>Empowering disadvantaged households to access affordable, clean energy.</w:t>
      </w:r>
      <w:proofErr w:type="gramEnd"/>
      <w:r w:rsidRPr="00982819">
        <w:rPr>
          <w:rFonts w:asciiTheme="minorHAnsi" w:hAnsiTheme="minorHAnsi" w:cstheme="minorHAnsi"/>
          <w:sz w:val="20"/>
          <w:szCs w:val="20"/>
        </w:rPr>
        <w:t xml:space="preserve"> Available at: https://www.acoss.org.au/wp-content/uploads/2017/07/ACOSS_BSL_TCI_Empowering-households_27-July-2017.pdf</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Australian Bureau of Statistics, 2016.</w:t>
      </w:r>
      <w:proofErr w:type="gramEnd"/>
      <w:r w:rsidRPr="00982819">
        <w:rPr>
          <w:rFonts w:asciiTheme="minorHAnsi" w:hAnsiTheme="minorHAnsi" w:cstheme="minorHAnsi"/>
          <w:sz w:val="20"/>
          <w:szCs w:val="20"/>
        </w:rPr>
        <w:t xml:space="preserve"> Australian Health Survey: Consumption of Food Groups from the Australian Dietary Guidelines, 2011-12. Available at: </w:t>
      </w:r>
      <w:hyperlink r:id="rId18" w:history="1">
        <w:r w:rsidRPr="00982819">
          <w:rPr>
            <w:rStyle w:val="Hyperlink"/>
            <w:rFonts w:asciiTheme="minorHAnsi" w:hAnsiTheme="minorHAnsi" w:cstheme="minorHAnsi"/>
            <w:sz w:val="20"/>
            <w:szCs w:val="20"/>
          </w:rPr>
          <w:t>http://www.abs.gov.au/ausstats/abs@.nsf/Lookup/by%20Subject/4364.0.55.012~2011-12~Main%20Features~Lean%20meats%20and%20alternatives~13</w:t>
        </w:r>
      </w:hyperlink>
      <w:r w:rsidR="00982819">
        <w:rPr>
          <w:rFonts w:asciiTheme="minorHAnsi" w:hAnsiTheme="minorHAnsi" w:cstheme="minorHAnsi"/>
          <w:sz w:val="20"/>
          <w:szCs w:val="20"/>
        </w:rPr>
        <w:t xml:space="preserve"> Accessed 2 June 2018.</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Bain, P.G., </w:t>
      </w:r>
      <w:proofErr w:type="spellStart"/>
      <w:r w:rsidRPr="00982819">
        <w:rPr>
          <w:rFonts w:asciiTheme="minorHAnsi" w:hAnsiTheme="minorHAnsi" w:cstheme="minorHAnsi"/>
          <w:sz w:val="20"/>
          <w:szCs w:val="20"/>
        </w:rPr>
        <w:t>Milfont</w:t>
      </w:r>
      <w:proofErr w:type="spellEnd"/>
      <w:r w:rsidRPr="00982819">
        <w:rPr>
          <w:rFonts w:asciiTheme="minorHAnsi" w:hAnsiTheme="minorHAnsi" w:cstheme="minorHAnsi"/>
          <w:sz w:val="20"/>
          <w:szCs w:val="20"/>
        </w:rPr>
        <w:t xml:space="preserve">, T.L., Kashima, Y., </w:t>
      </w:r>
      <w:proofErr w:type="spellStart"/>
      <w:r w:rsidRPr="00982819">
        <w:rPr>
          <w:rFonts w:asciiTheme="minorHAnsi" w:hAnsiTheme="minorHAnsi" w:cstheme="minorHAnsi"/>
          <w:sz w:val="20"/>
          <w:szCs w:val="20"/>
        </w:rPr>
        <w:t>Bilewicz</w:t>
      </w:r>
      <w:proofErr w:type="spellEnd"/>
      <w:r w:rsidRPr="00982819">
        <w:rPr>
          <w:rFonts w:asciiTheme="minorHAnsi" w:hAnsiTheme="minorHAnsi" w:cstheme="minorHAnsi"/>
          <w:sz w:val="20"/>
          <w:szCs w:val="20"/>
        </w:rPr>
        <w:t xml:space="preserve">, M., </w:t>
      </w:r>
      <w:proofErr w:type="spellStart"/>
      <w:r w:rsidRPr="00982819">
        <w:rPr>
          <w:rFonts w:asciiTheme="minorHAnsi" w:hAnsiTheme="minorHAnsi" w:cstheme="minorHAnsi"/>
          <w:sz w:val="20"/>
          <w:szCs w:val="20"/>
        </w:rPr>
        <w:t>Doron</w:t>
      </w:r>
      <w:proofErr w:type="spellEnd"/>
      <w:r w:rsidRPr="00982819">
        <w:rPr>
          <w:rFonts w:asciiTheme="minorHAnsi" w:hAnsiTheme="minorHAnsi" w:cstheme="minorHAnsi"/>
          <w:sz w:val="20"/>
          <w:szCs w:val="20"/>
        </w:rPr>
        <w:t xml:space="preserve">, G., </w:t>
      </w:r>
      <w:proofErr w:type="spellStart"/>
      <w:r w:rsidRPr="00982819">
        <w:rPr>
          <w:rFonts w:asciiTheme="minorHAnsi" w:hAnsiTheme="minorHAnsi" w:cstheme="minorHAnsi"/>
          <w:sz w:val="20"/>
          <w:szCs w:val="20"/>
        </w:rPr>
        <w:t>Garðarsdóttir</w:t>
      </w:r>
      <w:proofErr w:type="spellEnd"/>
      <w:r w:rsidRPr="00982819">
        <w:rPr>
          <w:rFonts w:asciiTheme="minorHAnsi" w:hAnsiTheme="minorHAnsi" w:cstheme="minorHAnsi"/>
          <w:sz w:val="20"/>
          <w:szCs w:val="20"/>
        </w:rPr>
        <w:t xml:space="preserve">, R.B., Gouveia, V.V., Guan, Y., Johansson, L.O., </w:t>
      </w:r>
      <w:proofErr w:type="spellStart"/>
      <w:r w:rsidRPr="00982819">
        <w:rPr>
          <w:rFonts w:asciiTheme="minorHAnsi" w:hAnsiTheme="minorHAnsi" w:cstheme="minorHAnsi"/>
          <w:sz w:val="20"/>
          <w:szCs w:val="20"/>
        </w:rPr>
        <w:t>Pasquali</w:t>
      </w:r>
      <w:proofErr w:type="spellEnd"/>
      <w:r w:rsidRPr="00982819">
        <w:rPr>
          <w:rFonts w:asciiTheme="minorHAnsi" w:hAnsiTheme="minorHAnsi" w:cstheme="minorHAnsi"/>
          <w:sz w:val="20"/>
          <w:szCs w:val="20"/>
        </w:rPr>
        <w:t>, C. and Corral-</w:t>
      </w:r>
      <w:proofErr w:type="spellStart"/>
      <w:r w:rsidRPr="00982819">
        <w:rPr>
          <w:rFonts w:asciiTheme="minorHAnsi" w:hAnsiTheme="minorHAnsi" w:cstheme="minorHAnsi"/>
          <w:sz w:val="20"/>
          <w:szCs w:val="20"/>
        </w:rPr>
        <w:t>Verdugo</w:t>
      </w:r>
      <w:proofErr w:type="spellEnd"/>
      <w:r w:rsidRPr="00982819">
        <w:rPr>
          <w:rFonts w:asciiTheme="minorHAnsi" w:hAnsiTheme="minorHAnsi" w:cstheme="minorHAnsi"/>
          <w:sz w:val="20"/>
          <w:szCs w:val="20"/>
        </w:rPr>
        <w:t>, V., 2016.</w:t>
      </w:r>
      <w:proofErr w:type="gramEnd"/>
      <w:r w:rsidRPr="00982819">
        <w:rPr>
          <w:rFonts w:asciiTheme="minorHAnsi" w:hAnsiTheme="minorHAnsi" w:cstheme="minorHAnsi"/>
          <w:sz w:val="20"/>
          <w:szCs w:val="20"/>
        </w:rPr>
        <w:t xml:space="preserve"> Co-benefits of addressing climate change can motivate action around the world. </w:t>
      </w:r>
      <w:r w:rsidRPr="00982819">
        <w:rPr>
          <w:rFonts w:asciiTheme="minorHAnsi" w:hAnsiTheme="minorHAnsi" w:cstheme="minorHAnsi"/>
          <w:i/>
          <w:iCs/>
          <w:sz w:val="20"/>
          <w:szCs w:val="20"/>
        </w:rPr>
        <w:t>Nature Climate Change</w:t>
      </w:r>
      <w:r w:rsidRPr="00982819">
        <w:rPr>
          <w:rFonts w:asciiTheme="minorHAnsi" w:hAnsiTheme="minorHAnsi" w:cstheme="minorHAnsi"/>
          <w:sz w:val="20"/>
          <w:szCs w:val="20"/>
        </w:rPr>
        <w:t>, </w:t>
      </w:r>
      <w:r w:rsidRPr="00982819">
        <w:rPr>
          <w:rFonts w:asciiTheme="minorHAnsi" w:hAnsiTheme="minorHAnsi" w:cstheme="minorHAnsi"/>
          <w:i/>
          <w:iCs/>
          <w:sz w:val="20"/>
          <w:szCs w:val="20"/>
        </w:rPr>
        <w:t>6</w:t>
      </w:r>
      <w:r w:rsidR="00982819">
        <w:rPr>
          <w:rFonts w:asciiTheme="minorHAnsi" w:hAnsiTheme="minorHAnsi" w:cstheme="minorHAnsi"/>
          <w:sz w:val="20"/>
          <w:szCs w:val="20"/>
        </w:rPr>
        <w:t>(2), p.154.</w:t>
      </w:r>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Balbus</w:t>
      </w:r>
      <w:proofErr w:type="spellEnd"/>
      <w:r w:rsidRPr="00982819">
        <w:rPr>
          <w:rFonts w:asciiTheme="minorHAnsi" w:hAnsiTheme="minorHAnsi" w:cstheme="minorHAnsi"/>
          <w:sz w:val="20"/>
          <w:szCs w:val="20"/>
        </w:rPr>
        <w:t xml:space="preserve">, J.M., Greenblatt, J.B., Chari, R., Millstein, D. and </w:t>
      </w:r>
      <w:proofErr w:type="spellStart"/>
      <w:r w:rsidRPr="00982819">
        <w:rPr>
          <w:rFonts w:asciiTheme="minorHAnsi" w:hAnsiTheme="minorHAnsi" w:cstheme="minorHAnsi"/>
          <w:sz w:val="20"/>
          <w:szCs w:val="20"/>
        </w:rPr>
        <w:t>Ebi</w:t>
      </w:r>
      <w:proofErr w:type="spellEnd"/>
      <w:r w:rsidRPr="00982819">
        <w:rPr>
          <w:rFonts w:asciiTheme="minorHAnsi" w:hAnsiTheme="minorHAnsi" w:cstheme="minorHAnsi"/>
          <w:sz w:val="20"/>
          <w:szCs w:val="20"/>
        </w:rPr>
        <w:t>, K.L., 2014. A wedge-based approach to estimating health co-benefits of climate change mitigation activities in the United States. </w:t>
      </w:r>
      <w:r w:rsidRPr="00982819">
        <w:rPr>
          <w:rFonts w:asciiTheme="minorHAnsi" w:hAnsiTheme="minorHAnsi" w:cstheme="minorHAnsi"/>
          <w:i/>
          <w:iCs/>
          <w:sz w:val="20"/>
          <w:szCs w:val="20"/>
        </w:rPr>
        <w:t>Climatic change</w:t>
      </w:r>
      <w:r w:rsidRPr="00982819">
        <w:rPr>
          <w:rFonts w:asciiTheme="minorHAnsi" w:hAnsiTheme="minorHAnsi" w:cstheme="minorHAnsi"/>
          <w:sz w:val="20"/>
          <w:szCs w:val="20"/>
        </w:rPr>
        <w:t>, </w:t>
      </w:r>
      <w:r w:rsidRPr="00982819">
        <w:rPr>
          <w:rFonts w:asciiTheme="minorHAnsi" w:hAnsiTheme="minorHAnsi" w:cstheme="minorHAnsi"/>
          <w:i/>
          <w:iCs/>
          <w:sz w:val="20"/>
          <w:szCs w:val="20"/>
        </w:rPr>
        <w:t>127</w:t>
      </w:r>
      <w:r w:rsidR="00982819">
        <w:rPr>
          <w:rFonts w:asciiTheme="minorHAnsi" w:hAnsiTheme="minorHAnsi" w:cstheme="minorHAnsi"/>
          <w:sz w:val="20"/>
          <w:szCs w:val="20"/>
        </w:rPr>
        <w:t>(2), pp.199-210.</w:t>
      </w:r>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Banwell</w:t>
      </w:r>
      <w:proofErr w:type="spellEnd"/>
      <w:r w:rsidRPr="00982819">
        <w:rPr>
          <w:rFonts w:asciiTheme="minorHAnsi" w:hAnsiTheme="minorHAnsi" w:cstheme="minorHAnsi"/>
          <w:sz w:val="20"/>
          <w:szCs w:val="20"/>
        </w:rPr>
        <w:t xml:space="preserve">, N.; Rutherford, S.; Mackey, B.; Street, R.; Chu, C. </w:t>
      </w:r>
      <w:r w:rsidRPr="00982819">
        <w:rPr>
          <w:rFonts w:asciiTheme="minorHAnsi" w:hAnsiTheme="minorHAnsi" w:cstheme="minorHAnsi"/>
          <w:bCs/>
          <w:sz w:val="20"/>
          <w:szCs w:val="20"/>
        </w:rPr>
        <w:t>2018.</w:t>
      </w:r>
      <w:proofErr w:type="gramEnd"/>
      <w:r w:rsidRPr="00982819">
        <w:rPr>
          <w:rFonts w:asciiTheme="minorHAnsi" w:hAnsiTheme="minorHAnsi" w:cstheme="minorHAnsi"/>
          <w:bCs/>
          <w:sz w:val="20"/>
          <w:szCs w:val="20"/>
        </w:rPr>
        <w:t xml:space="preserve"> </w:t>
      </w:r>
      <w:r w:rsidRPr="00982819">
        <w:rPr>
          <w:rFonts w:asciiTheme="minorHAnsi" w:hAnsiTheme="minorHAnsi" w:cstheme="minorHAnsi"/>
          <w:sz w:val="20"/>
          <w:szCs w:val="20"/>
        </w:rPr>
        <w:t>Commonalities between Disaster and Climate Change Risks for Health: A Theoretical Framework. </w:t>
      </w:r>
      <w:r w:rsidRPr="00982819">
        <w:rPr>
          <w:rFonts w:asciiTheme="minorHAnsi" w:hAnsiTheme="minorHAnsi" w:cstheme="minorHAnsi"/>
          <w:i/>
          <w:iCs/>
          <w:sz w:val="20"/>
          <w:szCs w:val="20"/>
        </w:rPr>
        <w:t xml:space="preserve">Int. J. Environ. </w:t>
      </w:r>
      <w:proofErr w:type="gramStart"/>
      <w:r w:rsidRPr="00982819">
        <w:rPr>
          <w:rFonts w:asciiTheme="minorHAnsi" w:hAnsiTheme="minorHAnsi" w:cstheme="minorHAnsi"/>
          <w:i/>
          <w:iCs/>
          <w:sz w:val="20"/>
          <w:szCs w:val="20"/>
        </w:rPr>
        <w:t>Res. Public Health</w:t>
      </w:r>
      <w:r w:rsidRPr="00982819">
        <w:rPr>
          <w:rFonts w:asciiTheme="minorHAnsi" w:hAnsiTheme="minorHAnsi" w:cstheme="minorHAnsi"/>
          <w:sz w:val="20"/>
          <w:szCs w:val="20"/>
        </w:rPr>
        <w:t>, </w:t>
      </w:r>
      <w:r w:rsidRPr="00982819">
        <w:rPr>
          <w:rFonts w:asciiTheme="minorHAnsi" w:hAnsiTheme="minorHAnsi" w:cstheme="minorHAnsi"/>
          <w:i/>
          <w:iCs/>
          <w:sz w:val="20"/>
          <w:szCs w:val="20"/>
        </w:rPr>
        <w:t>15</w:t>
      </w:r>
      <w:r w:rsidR="00982819">
        <w:rPr>
          <w:rFonts w:asciiTheme="minorHAnsi" w:hAnsiTheme="minorHAnsi" w:cstheme="minorHAnsi"/>
          <w:sz w:val="20"/>
          <w:szCs w:val="20"/>
        </w:rPr>
        <w:t>, 538.</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Black, MT, </w:t>
      </w:r>
      <w:proofErr w:type="spellStart"/>
      <w:r w:rsidRPr="00982819">
        <w:rPr>
          <w:rFonts w:asciiTheme="minorHAnsi" w:hAnsiTheme="minorHAnsi" w:cstheme="minorHAnsi"/>
          <w:sz w:val="20"/>
          <w:szCs w:val="20"/>
        </w:rPr>
        <w:t>Karoly</w:t>
      </w:r>
      <w:proofErr w:type="spellEnd"/>
      <w:r w:rsidRPr="00982819">
        <w:rPr>
          <w:rFonts w:asciiTheme="minorHAnsi" w:hAnsiTheme="minorHAnsi" w:cstheme="minorHAnsi"/>
          <w:sz w:val="20"/>
          <w:szCs w:val="20"/>
        </w:rPr>
        <w:t>, DJ &amp; King, AD., 2015.</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i/>
          <w:iCs/>
          <w:sz w:val="20"/>
          <w:szCs w:val="20"/>
        </w:rPr>
        <w:t>’The contribution of anthropogenic forcing to the Adelaide and Melbourne heatwaves of January 2014</w:t>
      </w:r>
      <w:r w:rsidRPr="00982819">
        <w:rPr>
          <w:rFonts w:asciiTheme="minorHAnsi" w:hAnsiTheme="minorHAnsi" w:cstheme="minorHAnsi"/>
          <w:sz w:val="20"/>
          <w:szCs w:val="20"/>
        </w:rPr>
        <w:t>.</w:t>
      </w:r>
      <w:r w:rsidRPr="00982819">
        <w:rPr>
          <w:rFonts w:asciiTheme="minorHAnsi" w:hAnsiTheme="minorHAnsi" w:cstheme="minorHAnsi"/>
          <w:i/>
          <w:iCs/>
          <w:sz w:val="20"/>
          <w:szCs w:val="20"/>
        </w:rPr>
        <w:t>’</w:t>
      </w:r>
      <w:proofErr w:type="gramEnd"/>
      <w:r w:rsidRPr="00982819">
        <w:rPr>
          <w:rFonts w:asciiTheme="minorHAnsi" w:hAnsiTheme="minorHAnsi" w:cstheme="minorHAnsi"/>
          <w:i/>
          <w:iCs/>
          <w:sz w:val="20"/>
          <w:szCs w:val="20"/>
        </w:rPr>
        <w:t xml:space="preserve"> </w:t>
      </w:r>
      <w:proofErr w:type="gramStart"/>
      <w:r w:rsidRPr="00982819">
        <w:rPr>
          <w:rFonts w:asciiTheme="minorHAnsi" w:hAnsiTheme="minorHAnsi" w:cstheme="minorHAnsi"/>
          <w:sz w:val="20"/>
          <w:szCs w:val="20"/>
        </w:rPr>
        <w:t>In Explaining Extreme Events of 2014 from a Climate Perspective.</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Bulletin of the American Meteorologica</w:t>
      </w:r>
      <w:r w:rsidR="00982819">
        <w:rPr>
          <w:rFonts w:asciiTheme="minorHAnsi" w:hAnsiTheme="minorHAnsi" w:cstheme="minorHAnsi"/>
          <w:sz w:val="20"/>
          <w:szCs w:val="20"/>
        </w:rPr>
        <w:t>l Society.</w:t>
      </w:r>
      <w:proofErr w:type="gramEnd"/>
      <w:r w:rsidR="00982819">
        <w:rPr>
          <w:rFonts w:asciiTheme="minorHAnsi" w:hAnsiTheme="minorHAnsi" w:cstheme="minorHAnsi"/>
          <w:sz w:val="20"/>
          <w:szCs w:val="20"/>
        </w:rPr>
        <w:t xml:space="preserve"> </w:t>
      </w:r>
      <w:proofErr w:type="gramStart"/>
      <w:r w:rsidR="00982819">
        <w:rPr>
          <w:rFonts w:asciiTheme="minorHAnsi" w:hAnsiTheme="minorHAnsi" w:cstheme="minorHAnsi"/>
          <w:sz w:val="20"/>
          <w:szCs w:val="20"/>
        </w:rPr>
        <w:t>96 (12), S144–S148.</w:t>
      </w:r>
      <w:proofErr w:type="gramEnd"/>
      <w:r w:rsidR="00982819">
        <w:rPr>
          <w:rFonts w:asciiTheme="minorHAnsi" w:hAnsiTheme="minorHAnsi" w:cstheme="minorHAnsi"/>
          <w:sz w:val="20"/>
          <w:szCs w:val="20"/>
        </w:rPr>
        <w:t xml:space="preserve"> </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Bowen, K J and Parry, M. 2015. </w:t>
      </w:r>
      <w:r w:rsidRPr="00982819">
        <w:rPr>
          <w:rFonts w:asciiTheme="minorHAnsi" w:hAnsiTheme="minorHAnsi" w:cstheme="minorHAnsi"/>
          <w:i/>
          <w:iCs/>
          <w:sz w:val="20"/>
          <w:szCs w:val="20"/>
        </w:rPr>
        <w:t>Green infrastructure and its tri-benefits: health, environment and economic</w:t>
      </w:r>
      <w:r w:rsidR="00982819">
        <w:rPr>
          <w:rFonts w:asciiTheme="minorHAnsi" w:hAnsiTheme="minorHAnsi" w:cstheme="minorHAnsi"/>
          <w:sz w:val="20"/>
          <w:szCs w:val="20"/>
        </w:rPr>
        <w:t xml:space="preserve">. </w:t>
      </w:r>
      <w:proofErr w:type="gramStart"/>
      <w:r w:rsidR="00982819">
        <w:rPr>
          <w:rFonts w:asciiTheme="minorHAnsi" w:hAnsiTheme="minorHAnsi" w:cstheme="minorHAnsi"/>
          <w:sz w:val="20"/>
          <w:szCs w:val="20"/>
        </w:rPr>
        <w:t>City of Melbourne.</w:t>
      </w:r>
      <w:proofErr w:type="gramEnd"/>
      <w:r w:rsidR="00982819">
        <w:rPr>
          <w:rFonts w:asciiTheme="minorHAnsi" w:hAnsiTheme="minorHAnsi" w:cstheme="minorHAnsi"/>
          <w:sz w:val="20"/>
          <w:szCs w:val="20"/>
        </w:rPr>
        <w:t xml:space="preserve"> </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Bowen, K.J. and Lynch, Y., 2017. The public health benefits of green infrastructure: the potential of economic framing for enhanced decision-making. </w:t>
      </w:r>
      <w:proofErr w:type="gramStart"/>
      <w:r w:rsidRPr="00982819">
        <w:rPr>
          <w:rFonts w:asciiTheme="minorHAnsi" w:hAnsiTheme="minorHAnsi" w:cstheme="minorHAnsi"/>
          <w:i/>
          <w:iCs/>
          <w:sz w:val="20"/>
          <w:szCs w:val="20"/>
        </w:rPr>
        <w:t>Current Opinion in Environmental Sustainability</w:t>
      </w:r>
      <w:r w:rsidR="00982819">
        <w:rPr>
          <w:rFonts w:asciiTheme="minorHAnsi" w:hAnsiTheme="minorHAnsi" w:cstheme="minorHAnsi"/>
          <w:sz w:val="20"/>
          <w:szCs w:val="20"/>
        </w:rPr>
        <w:t>.</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Buonocore</w:t>
      </w:r>
      <w:proofErr w:type="spellEnd"/>
      <w:r w:rsidRPr="00982819">
        <w:rPr>
          <w:rFonts w:asciiTheme="minorHAnsi" w:hAnsiTheme="minorHAnsi" w:cstheme="minorHAnsi"/>
          <w:sz w:val="20"/>
          <w:szCs w:val="20"/>
        </w:rPr>
        <w:t xml:space="preserve">, J.J., </w:t>
      </w:r>
      <w:proofErr w:type="spellStart"/>
      <w:r w:rsidRPr="00982819">
        <w:rPr>
          <w:rFonts w:asciiTheme="minorHAnsi" w:hAnsiTheme="minorHAnsi" w:cstheme="minorHAnsi"/>
          <w:sz w:val="20"/>
          <w:szCs w:val="20"/>
        </w:rPr>
        <w:t>Luckow</w:t>
      </w:r>
      <w:proofErr w:type="spellEnd"/>
      <w:r w:rsidRPr="00982819">
        <w:rPr>
          <w:rFonts w:asciiTheme="minorHAnsi" w:hAnsiTheme="minorHAnsi" w:cstheme="minorHAnsi"/>
          <w:sz w:val="20"/>
          <w:szCs w:val="20"/>
        </w:rPr>
        <w:t xml:space="preserve">, P., Norris, G., Spengler, J.D., </w:t>
      </w:r>
      <w:proofErr w:type="spellStart"/>
      <w:r w:rsidRPr="00982819">
        <w:rPr>
          <w:rFonts w:asciiTheme="minorHAnsi" w:hAnsiTheme="minorHAnsi" w:cstheme="minorHAnsi"/>
          <w:sz w:val="20"/>
          <w:szCs w:val="20"/>
        </w:rPr>
        <w:t>Biewald</w:t>
      </w:r>
      <w:proofErr w:type="spellEnd"/>
      <w:r w:rsidRPr="00982819">
        <w:rPr>
          <w:rFonts w:asciiTheme="minorHAnsi" w:hAnsiTheme="minorHAnsi" w:cstheme="minorHAnsi"/>
          <w:sz w:val="20"/>
          <w:szCs w:val="20"/>
        </w:rPr>
        <w:t xml:space="preserve">, B., Fisher, J. and Levy, J.I., 2016. </w:t>
      </w:r>
      <w:proofErr w:type="gramStart"/>
      <w:r w:rsidRPr="00982819">
        <w:rPr>
          <w:rFonts w:asciiTheme="minorHAnsi" w:hAnsiTheme="minorHAnsi" w:cstheme="minorHAnsi"/>
          <w:sz w:val="20"/>
          <w:szCs w:val="20"/>
        </w:rPr>
        <w:t>Health and climate benefits of different energy-efficiency and renewable energy choices.</w:t>
      </w:r>
      <w:proofErr w:type="gramEnd"/>
      <w:r w:rsidRPr="00982819">
        <w:rPr>
          <w:rFonts w:asciiTheme="minorHAnsi" w:hAnsiTheme="minorHAnsi" w:cstheme="minorHAnsi"/>
          <w:sz w:val="20"/>
          <w:szCs w:val="20"/>
        </w:rPr>
        <w:t> </w:t>
      </w:r>
      <w:r w:rsidRPr="00982819">
        <w:rPr>
          <w:rFonts w:asciiTheme="minorHAnsi" w:hAnsiTheme="minorHAnsi" w:cstheme="minorHAnsi"/>
          <w:i/>
          <w:iCs/>
          <w:sz w:val="20"/>
          <w:szCs w:val="20"/>
        </w:rPr>
        <w:t>Nature Climate Change</w:t>
      </w:r>
      <w:r w:rsidRPr="00982819">
        <w:rPr>
          <w:rFonts w:asciiTheme="minorHAnsi" w:hAnsiTheme="minorHAnsi" w:cstheme="minorHAnsi"/>
          <w:sz w:val="20"/>
          <w:szCs w:val="20"/>
        </w:rPr>
        <w:t>, </w:t>
      </w:r>
      <w:r w:rsidRPr="00982819">
        <w:rPr>
          <w:rFonts w:asciiTheme="minorHAnsi" w:hAnsiTheme="minorHAnsi" w:cstheme="minorHAnsi"/>
          <w:i/>
          <w:iCs/>
          <w:sz w:val="20"/>
          <w:szCs w:val="20"/>
        </w:rPr>
        <w:t>6</w:t>
      </w:r>
      <w:r w:rsidR="00982819">
        <w:rPr>
          <w:rFonts w:asciiTheme="minorHAnsi" w:hAnsiTheme="minorHAnsi" w:cstheme="minorHAnsi"/>
          <w:sz w:val="20"/>
          <w:szCs w:val="20"/>
        </w:rPr>
        <w:t>(1), p.100.</w:t>
      </w:r>
    </w:p>
    <w:p w:rsidR="00FB0D68" w:rsidRPr="00982819" w:rsidRDefault="00FB0D68" w:rsidP="00982819">
      <w:pPr>
        <w:spacing w:before="200" w:after="200" w:line="288" w:lineRule="auto"/>
        <w:rPr>
          <w:rFonts w:asciiTheme="minorHAnsi" w:hAnsiTheme="minorHAnsi" w:cstheme="minorHAnsi"/>
          <w:b/>
          <w:bCs/>
          <w:sz w:val="20"/>
          <w:szCs w:val="20"/>
        </w:rPr>
      </w:pPr>
      <w:proofErr w:type="gramStart"/>
      <w:r w:rsidRPr="00982819">
        <w:rPr>
          <w:rFonts w:asciiTheme="minorHAnsi" w:hAnsiTheme="minorHAnsi" w:cstheme="minorHAnsi"/>
          <w:sz w:val="20"/>
          <w:szCs w:val="20"/>
        </w:rPr>
        <w:t xml:space="preserve">California Department of Public Health, </w:t>
      </w:r>
      <w:r w:rsidRPr="00982819">
        <w:rPr>
          <w:rFonts w:asciiTheme="minorHAnsi" w:hAnsiTheme="minorHAnsi" w:cstheme="minorHAnsi"/>
          <w:bCs/>
          <w:iCs/>
          <w:sz w:val="20"/>
          <w:szCs w:val="20"/>
        </w:rPr>
        <w:t>Climate Change and Health Impacts.</w:t>
      </w:r>
      <w:proofErr w:type="gramEnd"/>
      <w:r w:rsidRPr="00982819">
        <w:rPr>
          <w:rFonts w:asciiTheme="minorHAnsi" w:hAnsiTheme="minorHAnsi" w:cstheme="minorHAnsi"/>
          <w:bCs/>
          <w:iCs/>
          <w:sz w:val="20"/>
          <w:szCs w:val="20"/>
        </w:rPr>
        <w:t xml:space="preserve"> Available at: </w:t>
      </w:r>
      <w:hyperlink r:id="rId19" w:history="1">
        <w:r w:rsidRPr="00982819">
          <w:rPr>
            <w:rStyle w:val="Hyperlink"/>
            <w:rFonts w:asciiTheme="minorHAnsi" w:hAnsiTheme="minorHAnsi" w:cstheme="minorHAnsi"/>
            <w:bCs/>
            <w:iCs/>
            <w:sz w:val="20"/>
            <w:szCs w:val="20"/>
          </w:rPr>
          <w:t>https://www.cdph.ca.gov/Programs/OHE/Pages/CCHEP.aspx Accessed 13 June 2018</w:t>
        </w:r>
      </w:hyperlink>
      <w:r w:rsidRPr="00982819">
        <w:rPr>
          <w:rFonts w:asciiTheme="minorHAnsi" w:hAnsiTheme="minorHAnsi" w:cstheme="minorHAnsi"/>
          <w:bCs/>
          <w:iCs/>
          <w:sz w:val="20"/>
          <w:szCs w:val="20"/>
        </w:rPr>
        <w:t xml:space="preserve">. </w:t>
      </w:r>
    </w:p>
    <w:p w:rsidR="00FB0D68" w:rsidRPr="00982819" w:rsidRDefault="00FB0D68" w:rsidP="00982819">
      <w:pPr>
        <w:spacing w:before="200" w:after="200" w:line="288" w:lineRule="auto"/>
        <w:rPr>
          <w:rFonts w:asciiTheme="minorHAnsi" w:hAnsiTheme="minorHAnsi" w:cstheme="minorHAnsi"/>
          <w:sz w:val="20"/>
          <w:szCs w:val="20"/>
        </w:rPr>
      </w:pPr>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Carthey</w:t>
      </w:r>
      <w:proofErr w:type="spellEnd"/>
      <w:r w:rsidRPr="00982819">
        <w:rPr>
          <w:rFonts w:asciiTheme="minorHAnsi" w:hAnsiTheme="minorHAnsi" w:cstheme="minorHAnsi"/>
          <w:sz w:val="20"/>
          <w:szCs w:val="20"/>
        </w:rPr>
        <w:t xml:space="preserve"> J, Chandra V, </w:t>
      </w:r>
      <w:proofErr w:type="spellStart"/>
      <w:r w:rsidRPr="00982819">
        <w:rPr>
          <w:rFonts w:asciiTheme="minorHAnsi" w:hAnsiTheme="minorHAnsi" w:cstheme="minorHAnsi"/>
          <w:sz w:val="20"/>
          <w:szCs w:val="20"/>
        </w:rPr>
        <w:t>Loosemore</w:t>
      </w:r>
      <w:proofErr w:type="spellEnd"/>
      <w:r w:rsidRPr="00982819">
        <w:rPr>
          <w:rFonts w:asciiTheme="minorHAnsi" w:hAnsiTheme="minorHAnsi" w:cstheme="minorHAnsi"/>
          <w:sz w:val="20"/>
          <w:szCs w:val="20"/>
        </w:rPr>
        <w:t xml:space="preserve"> M., 2009. </w:t>
      </w:r>
      <w:proofErr w:type="gramStart"/>
      <w:r w:rsidRPr="00982819">
        <w:rPr>
          <w:rFonts w:asciiTheme="minorHAnsi" w:hAnsiTheme="minorHAnsi" w:cstheme="minorHAnsi"/>
          <w:sz w:val="20"/>
          <w:szCs w:val="20"/>
        </w:rPr>
        <w:t>Adapting Australian health facilities to cope with climate-related extreme weather events.</w:t>
      </w:r>
      <w:proofErr w:type="gramEnd"/>
      <w:r w:rsidRPr="00982819">
        <w:rPr>
          <w:rFonts w:asciiTheme="minorHAnsi" w:hAnsiTheme="minorHAnsi" w:cstheme="minorHAnsi"/>
          <w:sz w:val="20"/>
          <w:szCs w:val="20"/>
        </w:rPr>
        <w:t xml:space="preserve"> J </w:t>
      </w:r>
      <w:proofErr w:type="spellStart"/>
      <w:r w:rsidRPr="00982819">
        <w:rPr>
          <w:rFonts w:asciiTheme="minorHAnsi" w:hAnsiTheme="minorHAnsi" w:cstheme="minorHAnsi"/>
          <w:sz w:val="20"/>
          <w:szCs w:val="20"/>
        </w:rPr>
        <w:t>Facil</w:t>
      </w:r>
      <w:proofErr w:type="spell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Manage.7(</w:t>
      </w:r>
      <w:proofErr w:type="gramEnd"/>
      <w:r w:rsidRPr="00982819">
        <w:rPr>
          <w:rFonts w:asciiTheme="minorHAnsi" w:hAnsiTheme="minorHAnsi" w:cstheme="minorHAnsi"/>
          <w:sz w:val="20"/>
          <w:szCs w:val="20"/>
        </w:rPr>
        <w:t>1), pp.36–51</w:t>
      </w:r>
      <w:r w:rsidR="00982819">
        <w:rPr>
          <w:rFonts w:asciiTheme="minorHAnsi" w:hAnsiTheme="minorHAnsi" w:cstheme="minorHAnsi"/>
          <w:sz w:val="20"/>
          <w:szCs w:val="20"/>
        </w:rPr>
        <w:t>.</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Chapman, R., Howden-Chapman, P., </w:t>
      </w:r>
      <w:proofErr w:type="spellStart"/>
      <w:r w:rsidRPr="00982819">
        <w:rPr>
          <w:rFonts w:asciiTheme="minorHAnsi" w:hAnsiTheme="minorHAnsi" w:cstheme="minorHAnsi"/>
          <w:sz w:val="20"/>
          <w:szCs w:val="20"/>
        </w:rPr>
        <w:t>Viggers</w:t>
      </w:r>
      <w:proofErr w:type="spellEnd"/>
      <w:r w:rsidRPr="00982819">
        <w:rPr>
          <w:rFonts w:asciiTheme="minorHAnsi" w:hAnsiTheme="minorHAnsi" w:cstheme="minorHAnsi"/>
          <w:sz w:val="20"/>
          <w:szCs w:val="20"/>
        </w:rPr>
        <w:t>, H., O’Dea, D. and Kennedy, M., 2009.</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Retrofitting houses with insulation: a cost–benefit analysis of a randomised community trial.</w:t>
      </w:r>
      <w:proofErr w:type="gramEnd"/>
      <w:r w:rsidRPr="00982819">
        <w:rPr>
          <w:rFonts w:asciiTheme="minorHAnsi" w:hAnsiTheme="minorHAnsi" w:cstheme="minorHAnsi"/>
          <w:sz w:val="20"/>
          <w:szCs w:val="20"/>
        </w:rPr>
        <w:t> </w:t>
      </w:r>
      <w:proofErr w:type="gramStart"/>
      <w:r w:rsidRPr="00982819">
        <w:rPr>
          <w:rFonts w:asciiTheme="minorHAnsi" w:hAnsiTheme="minorHAnsi" w:cstheme="minorHAnsi"/>
          <w:i/>
          <w:iCs/>
          <w:sz w:val="20"/>
          <w:szCs w:val="20"/>
        </w:rPr>
        <w:t>Journal of Epidemiology &amp; Community Health</w:t>
      </w:r>
      <w:r w:rsidRPr="00982819">
        <w:rPr>
          <w:rFonts w:asciiTheme="minorHAnsi" w:hAnsiTheme="minorHAnsi" w:cstheme="minorHAnsi"/>
          <w:sz w:val="20"/>
          <w:szCs w:val="20"/>
        </w:rPr>
        <w:t>, </w:t>
      </w:r>
      <w:r w:rsidRPr="00982819">
        <w:rPr>
          <w:rFonts w:asciiTheme="minorHAnsi" w:hAnsiTheme="minorHAnsi" w:cstheme="minorHAnsi"/>
          <w:i/>
          <w:iCs/>
          <w:sz w:val="20"/>
          <w:szCs w:val="20"/>
        </w:rPr>
        <w:t>63</w:t>
      </w:r>
      <w:r w:rsidR="00982819">
        <w:rPr>
          <w:rFonts w:asciiTheme="minorHAnsi" w:hAnsiTheme="minorHAnsi" w:cstheme="minorHAnsi"/>
          <w:sz w:val="20"/>
          <w:szCs w:val="20"/>
        </w:rPr>
        <w:t>(4), pp.271-277.</w:t>
      </w:r>
      <w:proofErr w:type="gramEnd"/>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Cheng, J.J. and Berry, P., 2013. Health co-benefits and risks of public health adaptation strategies to climate change: a review of current literature. </w:t>
      </w:r>
      <w:proofErr w:type="gramStart"/>
      <w:r w:rsidRPr="00982819">
        <w:rPr>
          <w:rFonts w:asciiTheme="minorHAnsi" w:hAnsiTheme="minorHAnsi" w:cstheme="minorHAnsi"/>
          <w:i/>
          <w:iCs/>
          <w:sz w:val="20"/>
          <w:szCs w:val="20"/>
        </w:rPr>
        <w:t>International journal of public health</w:t>
      </w:r>
      <w:r w:rsidRPr="00982819">
        <w:rPr>
          <w:rFonts w:asciiTheme="minorHAnsi" w:hAnsiTheme="minorHAnsi" w:cstheme="minorHAnsi"/>
          <w:sz w:val="20"/>
          <w:szCs w:val="20"/>
        </w:rPr>
        <w:t>, </w:t>
      </w:r>
      <w:r w:rsidRPr="00982819">
        <w:rPr>
          <w:rFonts w:asciiTheme="minorHAnsi" w:hAnsiTheme="minorHAnsi" w:cstheme="minorHAnsi"/>
          <w:i/>
          <w:iCs/>
          <w:sz w:val="20"/>
          <w:szCs w:val="20"/>
        </w:rPr>
        <w:t>58</w:t>
      </w:r>
      <w:r w:rsidR="00982819">
        <w:rPr>
          <w:rFonts w:asciiTheme="minorHAnsi" w:hAnsiTheme="minorHAnsi" w:cstheme="minorHAnsi"/>
          <w:sz w:val="20"/>
          <w:szCs w:val="20"/>
        </w:rPr>
        <w:t>(2), pp.305-311.</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Climate and Health Alliance, Global Green and Healthy Hospitals Pacific Region.</w:t>
      </w:r>
      <w:proofErr w:type="gramEnd"/>
      <w:r w:rsidRPr="00982819">
        <w:rPr>
          <w:rFonts w:asciiTheme="minorHAnsi" w:hAnsiTheme="minorHAnsi" w:cstheme="minorHAnsi"/>
          <w:sz w:val="20"/>
          <w:szCs w:val="20"/>
        </w:rPr>
        <w:t xml:space="preserve"> Available at: </w:t>
      </w:r>
      <w:hyperlink r:id="rId20" w:history="1">
        <w:r w:rsidRPr="00982819">
          <w:rPr>
            <w:rStyle w:val="Hyperlink"/>
            <w:rFonts w:asciiTheme="minorHAnsi" w:hAnsiTheme="minorHAnsi" w:cstheme="minorHAnsi"/>
            <w:sz w:val="20"/>
            <w:szCs w:val="20"/>
          </w:rPr>
          <w:t>http://www.caha.org.au/globalgreen_healthyhospitals</w:t>
        </w:r>
      </w:hyperlink>
      <w:r w:rsidR="00982819">
        <w:rPr>
          <w:rFonts w:asciiTheme="minorHAnsi" w:hAnsiTheme="minorHAnsi" w:cstheme="minorHAnsi"/>
          <w:sz w:val="20"/>
          <w:szCs w:val="20"/>
        </w:rPr>
        <w:t xml:space="preserve"> Accessed 18 May 2018.</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Climate Change Authority, </w:t>
      </w:r>
      <w:r w:rsidRPr="00982819">
        <w:rPr>
          <w:rFonts w:asciiTheme="minorHAnsi" w:hAnsiTheme="minorHAnsi" w:cstheme="minorHAnsi"/>
          <w:bCs/>
          <w:sz w:val="20"/>
          <w:szCs w:val="20"/>
        </w:rPr>
        <w:t>Opportunities to reduce light vehicle emissions in Australia. Available at:</w:t>
      </w:r>
    </w:p>
    <w:p w:rsidR="00FB0D68" w:rsidRPr="00982819" w:rsidRDefault="00132566" w:rsidP="00982819">
      <w:pPr>
        <w:spacing w:before="200" w:after="200" w:line="288" w:lineRule="auto"/>
        <w:rPr>
          <w:rFonts w:asciiTheme="minorHAnsi" w:hAnsiTheme="minorHAnsi" w:cstheme="minorHAnsi"/>
          <w:sz w:val="20"/>
          <w:szCs w:val="20"/>
        </w:rPr>
      </w:pPr>
      <w:hyperlink r:id="rId21" w:history="1">
        <w:r w:rsidR="00FB0D68" w:rsidRPr="00982819">
          <w:rPr>
            <w:rStyle w:val="Hyperlink"/>
            <w:rFonts w:asciiTheme="minorHAnsi" w:hAnsiTheme="minorHAnsi" w:cstheme="minorHAnsi"/>
            <w:sz w:val="20"/>
            <w:szCs w:val="20"/>
          </w:rPr>
          <w:t>http://www.climatechangeauthority.gov.au/reviews/light-vehicle-emissions-standards-australia/opportunities-reduce-light-vehicle-emissions</w:t>
        </w:r>
      </w:hyperlink>
      <w:r w:rsidR="00982819">
        <w:rPr>
          <w:rFonts w:asciiTheme="minorHAnsi" w:hAnsiTheme="minorHAnsi" w:cstheme="minorHAnsi"/>
          <w:sz w:val="20"/>
          <w:szCs w:val="20"/>
        </w:rPr>
        <w:t xml:space="preserve"> Accessed 4 June 2018.</w:t>
      </w:r>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Creutzig</w:t>
      </w:r>
      <w:proofErr w:type="spellEnd"/>
      <w:r w:rsidRPr="00982819">
        <w:rPr>
          <w:rFonts w:asciiTheme="minorHAnsi" w:hAnsiTheme="minorHAnsi" w:cstheme="minorHAnsi"/>
          <w:sz w:val="20"/>
          <w:szCs w:val="20"/>
        </w:rPr>
        <w:t xml:space="preserve">, F., </w:t>
      </w:r>
      <w:proofErr w:type="spellStart"/>
      <w:r w:rsidRPr="00982819">
        <w:rPr>
          <w:rFonts w:asciiTheme="minorHAnsi" w:hAnsiTheme="minorHAnsi" w:cstheme="minorHAnsi"/>
          <w:sz w:val="20"/>
          <w:szCs w:val="20"/>
        </w:rPr>
        <w:t>Mühlhoff</w:t>
      </w:r>
      <w:proofErr w:type="spellEnd"/>
      <w:r w:rsidRPr="00982819">
        <w:rPr>
          <w:rFonts w:asciiTheme="minorHAnsi" w:hAnsiTheme="minorHAnsi" w:cstheme="minorHAnsi"/>
          <w:sz w:val="20"/>
          <w:szCs w:val="20"/>
        </w:rPr>
        <w:t xml:space="preserve">, R. and </w:t>
      </w:r>
      <w:proofErr w:type="spellStart"/>
      <w:r w:rsidRPr="00982819">
        <w:rPr>
          <w:rFonts w:asciiTheme="minorHAnsi" w:hAnsiTheme="minorHAnsi" w:cstheme="minorHAnsi"/>
          <w:sz w:val="20"/>
          <w:szCs w:val="20"/>
        </w:rPr>
        <w:t>Römer</w:t>
      </w:r>
      <w:proofErr w:type="spellEnd"/>
      <w:r w:rsidRPr="00982819">
        <w:rPr>
          <w:rFonts w:asciiTheme="minorHAnsi" w:hAnsiTheme="minorHAnsi" w:cstheme="minorHAnsi"/>
          <w:sz w:val="20"/>
          <w:szCs w:val="20"/>
        </w:rPr>
        <w:t>, J., 2012.</w:t>
      </w:r>
      <w:proofErr w:type="gramEnd"/>
      <w:r w:rsidRPr="00982819">
        <w:rPr>
          <w:rFonts w:asciiTheme="minorHAnsi" w:hAnsiTheme="minorHAnsi" w:cstheme="minorHAnsi"/>
          <w:sz w:val="20"/>
          <w:szCs w:val="20"/>
        </w:rPr>
        <w:t xml:space="preserve"> Decarbonizing urban transport in European cities: four cases show possibly high co-benefits. </w:t>
      </w:r>
      <w:r w:rsidRPr="00982819">
        <w:rPr>
          <w:rFonts w:asciiTheme="minorHAnsi" w:hAnsiTheme="minorHAnsi" w:cstheme="minorHAnsi"/>
          <w:i/>
          <w:iCs/>
          <w:sz w:val="20"/>
          <w:szCs w:val="20"/>
        </w:rPr>
        <w:t>Environmental Research Letters</w:t>
      </w:r>
      <w:r w:rsidRPr="00982819">
        <w:rPr>
          <w:rFonts w:asciiTheme="minorHAnsi" w:hAnsiTheme="minorHAnsi" w:cstheme="minorHAnsi"/>
          <w:sz w:val="20"/>
          <w:szCs w:val="20"/>
        </w:rPr>
        <w:t>, </w:t>
      </w:r>
      <w:r w:rsidRPr="00982819">
        <w:rPr>
          <w:rFonts w:asciiTheme="minorHAnsi" w:hAnsiTheme="minorHAnsi" w:cstheme="minorHAnsi"/>
          <w:i/>
          <w:iCs/>
          <w:sz w:val="20"/>
          <w:szCs w:val="20"/>
        </w:rPr>
        <w:t>7</w:t>
      </w:r>
      <w:r w:rsidR="00982819">
        <w:rPr>
          <w:rFonts w:asciiTheme="minorHAnsi" w:hAnsiTheme="minorHAnsi" w:cstheme="minorHAnsi"/>
          <w:sz w:val="20"/>
          <w:szCs w:val="20"/>
        </w:rPr>
        <w:t>(4), p.044042.</w:t>
      </w:r>
    </w:p>
    <w:p w:rsidR="00FB0D68" w:rsidRPr="00982819" w:rsidRDefault="00FB0D68" w:rsidP="00982819">
      <w:pPr>
        <w:spacing w:before="200" w:after="200" w:line="288" w:lineRule="auto"/>
        <w:rPr>
          <w:rFonts w:asciiTheme="minorHAnsi" w:hAnsiTheme="minorHAnsi" w:cstheme="minorHAnsi"/>
          <w:b/>
          <w:bCs/>
          <w:sz w:val="20"/>
          <w:szCs w:val="20"/>
        </w:rPr>
      </w:pPr>
      <w:r w:rsidRPr="00982819">
        <w:rPr>
          <w:rFonts w:asciiTheme="minorHAnsi" w:hAnsiTheme="minorHAnsi" w:cstheme="minorHAnsi"/>
          <w:sz w:val="20"/>
          <w:szCs w:val="20"/>
        </w:rPr>
        <w:t xml:space="preserve">Cunningham, M. 2017. </w:t>
      </w:r>
      <w:proofErr w:type="gramStart"/>
      <w:r w:rsidRPr="00982819">
        <w:rPr>
          <w:rFonts w:asciiTheme="minorHAnsi" w:hAnsiTheme="minorHAnsi" w:cstheme="minorHAnsi"/>
          <w:bCs/>
          <w:sz w:val="20"/>
          <w:szCs w:val="20"/>
        </w:rPr>
        <w:t xml:space="preserve">Air quality warning for Victorian asthma sufferers, </w:t>
      </w:r>
      <w:r w:rsidRPr="00982819">
        <w:rPr>
          <w:rFonts w:asciiTheme="minorHAnsi" w:hAnsiTheme="minorHAnsi" w:cstheme="minorHAnsi"/>
          <w:bCs/>
          <w:i/>
          <w:sz w:val="20"/>
          <w:szCs w:val="20"/>
        </w:rPr>
        <w:t>The Age</w:t>
      </w:r>
      <w:r w:rsidRPr="00982819">
        <w:rPr>
          <w:rFonts w:asciiTheme="minorHAnsi" w:hAnsiTheme="minorHAnsi" w:cstheme="minorHAnsi"/>
          <w:bCs/>
          <w:sz w:val="20"/>
          <w:szCs w:val="20"/>
        </w:rPr>
        <w:t>, 13 May.</w:t>
      </w:r>
      <w:proofErr w:type="gramEnd"/>
      <w:r w:rsidRPr="00982819">
        <w:rPr>
          <w:rFonts w:asciiTheme="minorHAnsi" w:hAnsiTheme="minorHAnsi" w:cstheme="minorHAnsi"/>
          <w:bCs/>
          <w:sz w:val="20"/>
          <w:szCs w:val="20"/>
        </w:rPr>
        <w:t xml:space="preserve"> Available at: https://www.theage.com.au/national/victoria/air-quality-warning-for-victorian-asthma-sufferers-20170512-gw3whe.html</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Curtis, S.; Fair, A.; Wistow, J.; Val, D.V.; Oven, K., 2017.</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Impact of extreme weather events and climate change for health and social care systems.</w:t>
      </w:r>
      <w:proofErr w:type="gramEnd"/>
      <w:r w:rsidRPr="00982819">
        <w:rPr>
          <w:rFonts w:asciiTheme="minorHAnsi" w:hAnsiTheme="minorHAnsi" w:cstheme="minorHAnsi"/>
          <w:sz w:val="20"/>
          <w:szCs w:val="20"/>
        </w:rPr>
        <w:t xml:space="preserve"> </w:t>
      </w:r>
      <w:r w:rsidRPr="00982819">
        <w:rPr>
          <w:rFonts w:asciiTheme="minorHAnsi" w:hAnsiTheme="minorHAnsi" w:cstheme="minorHAnsi"/>
          <w:i/>
          <w:iCs/>
          <w:sz w:val="20"/>
          <w:szCs w:val="20"/>
        </w:rPr>
        <w:t xml:space="preserve">Environ. </w:t>
      </w:r>
      <w:proofErr w:type="gramStart"/>
      <w:r w:rsidRPr="00982819">
        <w:rPr>
          <w:rFonts w:asciiTheme="minorHAnsi" w:hAnsiTheme="minorHAnsi" w:cstheme="minorHAnsi"/>
          <w:i/>
          <w:iCs/>
          <w:sz w:val="20"/>
          <w:szCs w:val="20"/>
        </w:rPr>
        <w:t>Health</w:t>
      </w:r>
      <w:r w:rsidRPr="00982819">
        <w:rPr>
          <w:rFonts w:asciiTheme="minorHAnsi" w:hAnsiTheme="minorHAnsi" w:cstheme="minorHAnsi"/>
          <w:sz w:val="20"/>
          <w:szCs w:val="20"/>
        </w:rPr>
        <w:t xml:space="preserve">, </w:t>
      </w:r>
      <w:r w:rsidRPr="00982819">
        <w:rPr>
          <w:rFonts w:asciiTheme="minorHAnsi" w:hAnsiTheme="minorHAnsi" w:cstheme="minorHAnsi"/>
          <w:i/>
          <w:iCs/>
          <w:sz w:val="20"/>
          <w:szCs w:val="20"/>
        </w:rPr>
        <w:t>16</w:t>
      </w:r>
      <w:r w:rsidR="00982819">
        <w:rPr>
          <w:rFonts w:asciiTheme="minorHAnsi" w:hAnsiTheme="minorHAnsi" w:cstheme="minorHAnsi"/>
          <w:sz w:val="20"/>
          <w:szCs w:val="20"/>
        </w:rPr>
        <w:t>, 128.</w:t>
      </w:r>
      <w:proofErr w:type="gramEnd"/>
      <w:r w:rsidR="00982819">
        <w:rPr>
          <w:rFonts w:asciiTheme="minorHAnsi" w:hAnsiTheme="minorHAnsi" w:cstheme="minorHAnsi"/>
          <w:sz w:val="20"/>
          <w:szCs w:val="20"/>
        </w:rPr>
        <w:t xml:space="preserve"> </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Daley M, </w:t>
      </w:r>
      <w:proofErr w:type="spellStart"/>
      <w:r w:rsidRPr="00982819">
        <w:rPr>
          <w:rFonts w:asciiTheme="minorHAnsi" w:hAnsiTheme="minorHAnsi" w:cstheme="minorHAnsi"/>
          <w:sz w:val="20"/>
          <w:szCs w:val="20"/>
        </w:rPr>
        <w:t>Rissel</w:t>
      </w:r>
      <w:proofErr w:type="spellEnd"/>
      <w:r w:rsidRPr="00982819">
        <w:rPr>
          <w:rFonts w:asciiTheme="minorHAnsi" w:hAnsiTheme="minorHAnsi" w:cstheme="minorHAnsi"/>
          <w:sz w:val="20"/>
          <w:szCs w:val="20"/>
        </w:rPr>
        <w:t xml:space="preserve"> C, Lloyd B. All dressed up and nowhere to go? 2007. A qualitative research study of the barriers and enablers to cycling in inner Sydney. </w:t>
      </w:r>
      <w:r w:rsidRPr="00982819">
        <w:rPr>
          <w:rFonts w:asciiTheme="minorHAnsi" w:hAnsiTheme="minorHAnsi" w:cstheme="minorHAnsi"/>
          <w:i/>
          <w:iCs/>
          <w:sz w:val="20"/>
          <w:szCs w:val="20"/>
        </w:rPr>
        <w:t>Road and Transport Research</w:t>
      </w:r>
      <w:r w:rsidR="00982819">
        <w:rPr>
          <w:rFonts w:asciiTheme="minorHAnsi" w:hAnsiTheme="minorHAnsi" w:cstheme="minorHAnsi"/>
          <w:sz w:val="20"/>
          <w:szCs w:val="20"/>
        </w:rPr>
        <w:t xml:space="preserve">; 16(4): 42–52. </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D’Amato, G., </w:t>
      </w:r>
      <w:proofErr w:type="spellStart"/>
      <w:r w:rsidRPr="00982819">
        <w:rPr>
          <w:rFonts w:asciiTheme="minorHAnsi" w:hAnsiTheme="minorHAnsi" w:cstheme="minorHAnsi"/>
          <w:sz w:val="20"/>
          <w:szCs w:val="20"/>
        </w:rPr>
        <w:t>Baena-Cagnani</w:t>
      </w:r>
      <w:proofErr w:type="spellEnd"/>
      <w:r w:rsidRPr="00982819">
        <w:rPr>
          <w:rFonts w:asciiTheme="minorHAnsi" w:hAnsiTheme="minorHAnsi" w:cstheme="minorHAnsi"/>
          <w:sz w:val="20"/>
          <w:szCs w:val="20"/>
        </w:rPr>
        <w:t xml:space="preserve">, C.E., </w:t>
      </w:r>
      <w:proofErr w:type="spellStart"/>
      <w:r w:rsidRPr="00982819">
        <w:rPr>
          <w:rFonts w:asciiTheme="minorHAnsi" w:hAnsiTheme="minorHAnsi" w:cstheme="minorHAnsi"/>
          <w:sz w:val="20"/>
          <w:szCs w:val="20"/>
        </w:rPr>
        <w:t>Cecchi</w:t>
      </w:r>
      <w:proofErr w:type="spellEnd"/>
      <w:r w:rsidRPr="00982819">
        <w:rPr>
          <w:rFonts w:asciiTheme="minorHAnsi" w:hAnsiTheme="minorHAnsi" w:cstheme="minorHAnsi"/>
          <w:sz w:val="20"/>
          <w:szCs w:val="20"/>
        </w:rPr>
        <w:t xml:space="preserve">, L., </w:t>
      </w:r>
      <w:proofErr w:type="spellStart"/>
      <w:r w:rsidRPr="00982819">
        <w:rPr>
          <w:rFonts w:asciiTheme="minorHAnsi" w:hAnsiTheme="minorHAnsi" w:cstheme="minorHAnsi"/>
          <w:sz w:val="20"/>
          <w:szCs w:val="20"/>
        </w:rPr>
        <w:t>Annesi-Maesano</w:t>
      </w:r>
      <w:proofErr w:type="spellEnd"/>
      <w:r w:rsidRPr="00982819">
        <w:rPr>
          <w:rFonts w:asciiTheme="minorHAnsi" w:hAnsiTheme="minorHAnsi" w:cstheme="minorHAnsi"/>
          <w:sz w:val="20"/>
          <w:szCs w:val="20"/>
        </w:rPr>
        <w:t xml:space="preserve">, I., </w:t>
      </w:r>
      <w:proofErr w:type="spellStart"/>
      <w:r w:rsidRPr="00982819">
        <w:rPr>
          <w:rFonts w:asciiTheme="minorHAnsi" w:hAnsiTheme="minorHAnsi" w:cstheme="minorHAnsi"/>
          <w:sz w:val="20"/>
          <w:szCs w:val="20"/>
        </w:rPr>
        <w:t>Nunes</w:t>
      </w:r>
      <w:proofErr w:type="spellEnd"/>
      <w:r w:rsidRPr="00982819">
        <w:rPr>
          <w:rFonts w:asciiTheme="minorHAnsi" w:hAnsiTheme="minorHAnsi" w:cstheme="minorHAnsi"/>
          <w:sz w:val="20"/>
          <w:szCs w:val="20"/>
        </w:rPr>
        <w:t xml:space="preserve">, C., </w:t>
      </w:r>
      <w:proofErr w:type="spellStart"/>
      <w:r w:rsidRPr="00982819">
        <w:rPr>
          <w:rFonts w:asciiTheme="minorHAnsi" w:hAnsiTheme="minorHAnsi" w:cstheme="minorHAnsi"/>
          <w:sz w:val="20"/>
          <w:szCs w:val="20"/>
        </w:rPr>
        <w:t>Ansotegui</w:t>
      </w:r>
      <w:proofErr w:type="spellEnd"/>
      <w:r w:rsidRPr="00982819">
        <w:rPr>
          <w:rFonts w:asciiTheme="minorHAnsi" w:hAnsiTheme="minorHAnsi" w:cstheme="minorHAnsi"/>
          <w:sz w:val="20"/>
          <w:szCs w:val="20"/>
        </w:rPr>
        <w:t xml:space="preserve">, I., D’Amato, M., </w:t>
      </w:r>
      <w:proofErr w:type="spellStart"/>
      <w:r w:rsidRPr="00982819">
        <w:rPr>
          <w:rFonts w:asciiTheme="minorHAnsi" w:hAnsiTheme="minorHAnsi" w:cstheme="minorHAnsi"/>
          <w:sz w:val="20"/>
          <w:szCs w:val="20"/>
        </w:rPr>
        <w:t>Liccardi</w:t>
      </w:r>
      <w:proofErr w:type="spellEnd"/>
      <w:r w:rsidRPr="00982819">
        <w:rPr>
          <w:rFonts w:asciiTheme="minorHAnsi" w:hAnsiTheme="minorHAnsi" w:cstheme="minorHAnsi"/>
          <w:sz w:val="20"/>
          <w:szCs w:val="20"/>
        </w:rPr>
        <w:t xml:space="preserve">, G., Sofia, M. and </w:t>
      </w:r>
      <w:proofErr w:type="spellStart"/>
      <w:r w:rsidRPr="00982819">
        <w:rPr>
          <w:rFonts w:asciiTheme="minorHAnsi" w:hAnsiTheme="minorHAnsi" w:cstheme="minorHAnsi"/>
          <w:sz w:val="20"/>
          <w:szCs w:val="20"/>
        </w:rPr>
        <w:t>Canonica</w:t>
      </w:r>
      <w:proofErr w:type="spellEnd"/>
      <w:r w:rsidRPr="00982819">
        <w:rPr>
          <w:rFonts w:asciiTheme="minorHAnsi" w:hAnsiTheme="minorHAnsi" w:cstheme="minorHAnsi"/>
          <w:sz w:val="20"/>
          <w:szCs w:val="20"/>
        </w:rPr>
        <w:t>, W.G., 2013.</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Climate change, air pollution and extreme events leading to increasing prevalence of allergic respiratory diseases.</w:t>
      </w:r>
      <w:proofErr w:type="gramEnd"/>
      <w:r w:rsidRPr="00982819">
        <w:rPr>
          <w:rFonts w:asciiTheme="minorHAnsi" w:hAnsiTheme="minorHAnsi" w:cstheme="minorHAnsi"/>
          <w:sz w:val="20"/>
          <w:szCs w:val="20"/>
        </w:rPr>
        <w:t> </w:t>
      </w:r>
      <w:proofErr w:type="gramStart"/>
      <w:r w:rsidRPr="00982819">
        <w:rPr>
          <w:rFonts w:asciiTheme="minorHAnsi" w:hAnsiTheme="minorHAnsi" w:cstheme="minorHAnsi"/>
          <w:i/>
          <w:iCs/>
          <w:sz w:val="20"/>
          <w:szCs w:val="20"/>
        </w:rPr>
        <w:t>Multidisciplinary respiratory medicine</w:t>
      </w:r>
      <w:r w:rsidRPr="00982819">
        <w:rPr>
          <w:rFonts w:asciiTheme="minorHAnsi" w:hAnsiTheme="minorHAnsi" w:cstheme="minorHAnsi"/>
          <w:sz w:val="20"/>
          <w:szCs w:val="20"/>
        </w:rPr>
        <w:t>, </w:t>
      </w:r>
      <w:r w:rsidRPr="00982819">
        <w:rPr>
          <w:rFonts w:asciiTheme="minorHAnsi" w:hAnsiTheme="minorHAnsi" w:cstheme="minorHAnsi"/>
          <w:i/>
          <w:iCs/>
          <w:sz w:val="20"/>
          <w:szCs w:val="20"/>
        </w:rPr>
        <w:t>8</w:t>
      </w:r>
      <w:r w:rsidR="00982819">
        <w:rPr>
          <w:rFonts w:asciiTheme="minorHAnsi" w:hAnsiTheme="minorHAnsi" w:cstheme="minorHAnsi"/>
          <w:sz w:val="20"/>
          <w:szCs w:val="20"/>
        </w:rPr>
        <w:t>(1), p.12.</w:t>
      </w:r>
      <w:proofErr w:type="gramEnd"/>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Dean, A. and Green, D., 2018. Climate change, air pollution and human health in Sydney, Australia: A review of the literature. </w:t>
      </w:r>
      <w:r w:rsidRPr="00982819">
        <w:rPr>
          <w:rFonts w:asciiTheme="minorHAnsi" w:hAnsiTheme="minorHAnsi" w:cstheme="minorHAnsi"/>
          <w:i/>
          <w:iCs/>
          <w:sz w:val="20"/>
          <w:szCs w:val="20"/>
        </w:rPr>
        <w:t>Environmental Research Letters</w:t>
      </w:r>
      <w:r w:rsidRPr="00982819">
        <w:rPr>
          <w:rFonts w:asciiTheme="minorHAnsi" w:hAnsiTheme="minorHAnsi" w:cstheme="minorHAnsi"/>
          <w:sz w:val="20"/>
          <w:szCs w:val="20"/>
        </w:rPr>
        <w:t>, </w:t>
      </w:r>
      <w:r w:rsidRPr="00982819">
        <w:rPr>
          <w:rFonts w:asciiTheme="minorHAnsi" w:hAnsiTheme="minorHAnsi" w:cstheme="minorHAnsi"/>
          <w:i/>
          <w:iCs/>
          <w:sz w:val="20"/>
          <w:szCs w:val="20"/>
        </w:rPr>
        <w:t>13</w:t>
      </w:r>
      <w:r w:rsidR="00982819">
        <w:rPr>
          <w:rFonts w:asciiTheme="minorHAnsi" w:hAnsiTheme="minorHAnsi" w:cstheme="minorHAnsi"/>
          <w:sz w:val="20"/>
          <w:szCs w:val="20"/>
        </w:rPr>
        <w:t>(5), p.053003.</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Deloitte Access Economics, 2016.</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The economic cost of the social impact of natural disasters, Report for Australian Business Roundtable for Disaster Resilience &amp; Safer Communities.</w:t>
      </w:r>
      <w:proofErr w:type="gramEnd"/>
      <w:r w:rsidRPr="00982819">
        <w:rPr>
          <w:rFonts w:asciiTheme="minorHAnsi" w:hAnsiTheme="minorHAnsi" w:cstheme="minorHAnsi"/>
          <w:sz w:val="20"/>
          <w:szCs w:val="20"/>
        </w:rPr>
        <w:t xml:space="preserve"> Available at: </w:t>
      </w:r>
      <w:hyperlink r:id="rId22" w:history="1">
        <w:r w:rsidRPr="00982819">
          <w:rPr>
            <w:rStyle w:val="Hyperlink"/>
            <w:rFonts w:asciiTheme="minorHAnsi" w:hAnsiTheme="minorHAnsi" w:cstheme="minorHAnsi"/>
            <w:sz w:val="20"/>
            <w:szCs w:val="20"/>
          </w:rPr>
          <w:t>http://australianbusinessroundtable.com.au/our-research/social-costs-report</w:t>
        </w:r>
      </w:hyperlink>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Demuzere</w:t>
      </w:r>
      <w:proofErr w:type="spellEnd"/>
      <w:r w:rsidRPr="00982819">
        <w:rPr>
          <w:rFonts w:asciiTheme="minorHAnsi" w:hAnsiTheme="minorHAnsi" w:cstheme="minorHAnsi"/>
          <w:sz w:val="20"/>
          <w:szCs w:val="20"/>
        </w:rPr>
        <w:t xml:space="preserve">, M., </w:t>
      </w:r>
      <w:proofErr w:type="spellStart"/>
      <w:r w:rsidRPr="00982819">
        <w:rPr>
          <w:rFonts w:asciiTheme="minorHAnsi" w:hAnsiTheme="minorHAnsi" w:cstheme="minorHAnsi"/>
          <w:sz w:val="20"/>
          <w:szCs w:val="20"/>
        </w:rPr>
        <w:t>Orru</w:t>
      </w:r>
      <w:proofErr w:type="spellEnd"/>
      <w:r w:rsidRPr="00982819">
        <w:rPr>
          <w:rFonts w:asciiTheme="minorHAnsi" w:hAnsiTheme="minorHAnsi" w:cstheme="minorHAnsi"/>
          <w:sz w:val="20"/>
          <w:szCs w:val="20"/>
        </w:rPr>
        <w:t xml:space="preserve">, K., </w:t>
      </w:r>
      <w:proofErr w:type="spellStart"/>
      <w:r w:rsidRPr="00982819">
        <w:rPr>
          <w:rFonts w:asciiTheme="minorHAnsi" w:hAnsiTheme="minorHAnsi" w:cstheme="minorHAnsi"/>
          <w:sz w:val="20"/>
          <w:szCs w:val="20"/>
        </w:rPr>
        <w:t>Heidrich</w:t>
      </w:r>
      <w:proofErr w:type="spellEnd"/>
      <w:r w:rsidRPr="00982819">
        <w:rPr>
          <w:rFonts w:asciiTheme="minorHAnsi" w:hAnsiTheme="minorHAnsi" w:cstheme="minorHAnsi"/>
          <w:sz w:val="20"/>
          <w:szCs w:val="20"/>
        </w:rPr>
        <w:t xml:space="preserve">, O., </w:t>
      </w:r>
      <w:proofErr w:type="spellStart"/>
      <w:r w:rsidRPr="00982819">
        <w:rPr>
          <w:rFonts w:asciiTheme="minorHAnsi" w:hAnsiTheme="minorHAnsi" w:cstheme="minorHAnsi"/>
          <w:sz w:val="20"/>
          <w:szCs w:val="20"/>
        </w:rPr>
        <w:t>Olazabal</w:t>
      </w:r>
      <w:proofErr w:type="spellEnd"/>
      <w:r w:rsidRPr="00982819">
        <w:rPr>
          <w:rFonts w:asciiTheme="minorHAnsi" w:hAnsiTheme="minorHAnsi" w:cstheme="minorHAnsi"/>
          <w:sz w:val="20"/>
          <w:szCs w:val="20"/>
        </w:rPr>
        <w:t xml:space="preserve">, E., </w:t>
      </w:r>
      <w:proofErr w:type="spellStart"/>
      <w:r w:rsidRPr="00982819">
        <w:rPr>
          <w:rFonts w:asciiTheme="minorHAnsi" w:hAnsiTheme="minorHAnsi" w:cstheme="minorHAnsi"/>
          <w:sz w:val="20"/>
          <w:szCs w:val="20"/>
        </w:rPr>
        <w:t>Geneletti</w:t>
      </w:r>
      <w:proofErr w:type="spellEnd"/>
      <w:r w:rsidRPr="00982819">
        <w:rPr>
          <w:rFonts w:asciiTheme="minorHAnsi" w:hAnsiTheme="minorHAnsi" w:cstheme="minorHAnsi"/>
          <w:sz w:val="20"/>
          <w:szCs w:val="20"/>
        </w:rPr>
        <w:t xml:space="preserve">, D., </w:t>
      </w:r>
      <w:proofErr w:type="spellStart"/>
      <w:r w:rsidRPr="00982819">
        <w:rPr>
          <w:rFonts w:asciiTheme="minorHAnsi" w:hAnsiTheme="minorHAnsi" w:cstheme="minorHAnsi"/>
          <w:sz w:val="20"/>
          <w:szCs w:val="20"/>
        </w:rPr>
        <w:t>Orru</w:t>
      </w:r>
      <w:proofErr w:type="spellEnd"/>
      <w:r w:rsidRPr="00982819">
        <w:rPr>
          <w:rFonts w:asciiTheme="minorHAnsi" w:hAnsiTheme="minorHAnsi" w:cstheme="minorHAnsi"/>
          <w:sz w:val="20"/>
          <w:szCs w:val="20"/>
        </w:rPr>
        <w:t xml:space="preserve">, H., </w:t>
      </w:r>
      <w:proofErr w:type="spellStart"/>
      <w:r w:rsidRPr="00982819">
        <w:rPr>
          <w:rFonts w:asciiTheme="minorHAnsi" w:hAnsiTheme="minorHAnsi" w:cstheme="minorHAnsi"/>
          <w:sz w:val="20"/>
          <w:szCs w:val="20"/>
        </w:rPr>
        <w:t>Bhave</w:t>
      </w:r>
      <w:proofErr w:type="spellEnd"/>
      <w:r w:rsidRPr="00982819">
        <w:rPr>
          <w:rFonts w:asciiTheme="minorHAnsi" w:hAnsiTheme="minorHAnsi" w:cstheme="minorHAnsi"/>
          <w:sz w:val="20"/>
          <w:szCs w:val="20"/>
        </w:rPr>
        <w:t xml:space="preserve">, A.G., Mittal, N., </w:t>
      </w:r>
      <w:proofErr w:type="spellStart"/>
      <w:r w:rsidRPr="00982819">
        <w:rPr>
          <w:rFonts w:asciiTheme="minorHAnsi" w:hAnsiTheme="minorHAnsi" w:cstheme="minorHAnsi"/>
          <w:sz w:val="20"/>
          <w:szCs w:val="20"/>
        </w:rPr>
        <w:t>Feliu</w:t>
      </w:r>
      <w:proofErr w:type="spellEnd"/>
      <w:r w:rsidRPr="00982819">
        <w:rPr>
          <w:rFonts w:asciiTheme="minorHAnsi" w:hAnsiTheme="minorHAnsi" w:cstheme="minorHAnsi"/>
          <w:sz w:val="20"/>
          <w:szCs w:val="20"/>
        </w:rPr>
        <w:t xml:space="preserve">, E. and </w:t>
      </w:r>
      <w:proofErr w:type="spellStart"/>
      <w:r w:rsidRPr="00982819">
        <w:rPr>
          <w:rFonts w:asciiTheme="minorHAnsi" w:hAnsiTheme="minorHAnsi" w:cstheme="minorHAnsi"/>
          <w:sz w:val="20"/>
          <w:szCs w:val="20"/>
        </w:rPr>
        <w:t>Faehnle</w:t>
      </w:r>
      <w:proofErr w:type="spellEnd"/>
      <w:r w:rsidRPr="00982819">
        <w:rPr>
          <w:rFonts w:asciiTheme="minorHAnsi" w:hAnsiTheme="minorHAnsi" w:cstheme="minorHAnsi"/>
          <w:sz w:val="20"/>
          <w:szCs w:val="20"/>
        </w:rPr>
        <w:t>, M., 2014.</w:t>
      </w:r>
      <w:proofErr w:type="gramEnd"/>
      <w:r w:rsidRPr="00982819">
        <w:rPr>
          <w:rFonts w:asciiTheme="minorHAnsi" w:hAnsiTheme="minorHAnsi" w:cstheme="minorHAnsi"/>
          <w:sz w:val="20"/>
          <w:szCs w:val="20"/>
        </w:rPr>
        <w:t xml:space="preserve"> Mitigating and adapting to climate change: Multi-functional and multi-scale assessment of green urban infrastructure. </w:t>
      </w:r>
      <w:proofErr w:type="gramStart"/>
      <w:r w:rsidRPr="00982819">
        <w:rPr>
          <w:rFonts w:asciiTheme="minorHAnsi" w:hAnsiTheme="minorHAnsi" w:cstheme="minorHAnsi"/>
          <w:i/>
          <w:iCs/>
          <w:sz w:val="20"/>
          <w:szCs w:val="20"/>
        </w:rPr>
        <w:t>Journal of Environmental Management</w:t>
      </w:r>
      <w:r w:rsidRPr="00982819">
        <w:rPr>
          <w:rFonts w:asciiTheme="minorHAnsi" w:hAnsiTheme="minorHAnsi" w:cstheme="minorHAnsi"/>
          <w:sz w:val="20"/>
          <w:szCs w:val="20"/>
        </w:rPr>
        <w:t>, </w:t>
      </w:r>
      <w:r w:rsidRPr="00982819">
        <w:rPr>
          <w:rFonts w:asciiTheme="minorHAnsi" w:hAnsiTheme="minorHAnsi" w:cstheme="minorHAnsi"/>
          <w:i/>
          <w:iCs/>
          <w:sz w:val="20"/>
          <w:szCs w:val="20"/>
        </w:rPr>
        <w:t>146</w:t>
      </w:r>
      <w:r w:rsidR="00982819">
        <w:rPr>
          <w:rFonts w:asciiTheme="minorHAnsi" w:hAnsiTheme="minorHAnsi" w:cstheme="minorHAnsi"/>
          <w:sz w:val="20"/>
          <w:szCs w:val="20"/>
        </w:rPr>
        <w:t>, pp.107-115.</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de</w:t>
      </w:r>
      <w:proofErr w:type="gramEnd"/>
      <w:r w:rsidRPr="00982819">
        <w:rPr>
          <w:rFonts w:asciiTheme="minorHAnsi" w:hAnsiTheme="minorHAnsi" w:cstheme="minorHAnsi"/>
          <w:sz w:val="20"/>
          <w:szCs w:val="20"/>
        </w:rPr>
        <w:t xml:space="preserve"> Oliveira, J.A.P. and Doll, C.N., 2016. Governance and networks for health co-benefits of climate change mitigation: lessons from two Indian cities. </w:t>
      </w:r>
      <w:proofErr w:type="gramStart"/>
      <w:r w:rsidRPr="00982819">
        <w:rPr>
          <w:rFonts w:asciiTheme="minorHAnsi" w:hAnsiTheme="minorHAnsi" w:cstheme="minorHAnsi"/>
          <w:i/>
          <w:iCs/>
          <w:sz w:val="20"/>
          <w:szCs w:val="20"/>
        </w:rPr>
        <w:t>Environment international</w:t>
      </w:r>
      <w:r w:rsidRPr="00982819">
        <w:rPr>
          <w:rFonts w:asciiTheme="minorHAnsi" w:hAnsiTheme="minorHAnsi" w:cstheme="minorHAnsi"/>
          <w:sz w:val="20"/>
          <w:szCs w:val="20"/>
        </w:rPr>
        <w:t>, </w:t>
      </w:r>
      <w:r w:rsidRPr="00982819">
        <w:rPr>
          <w:rFonts w:asciiTheme="minorHAnsi" w:hAnsiTheme="minorHAnsi" w:cstheme="minorHAnsi"/>
          <w:i/>
          <w:iCs/>
          <w:sz w:val="20"/>
          <w:szCs w:val="20"/>
        </w:rPr>
        <w:t>97</w:t>
      </w:r>
      <w:r w:rsidR="00982819">
        <w:rPr>
          <w:rFonts w:asciiTheme="minorHAnsi" w:hAnsiTheme="minorHAnsi" w:cstheme="minorHAnsi"/>
          <w:sz w:val="20"/>
          <w:szCs w:val="20"/>
        </w:rPr>
        <w:t>, pp.146-154.</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Department of Environment and Conservation (NSW), 2004.</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Investing in our catchments: Water quality and river health.</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Doick</w:t>
      </w:r>
      <w:proofErr w:type="spellEnd"/>
      <w:r w:rsidRPr="00982819">
        <w:rPr>
          <w:rFonts w:asciiTheme="minorHAnsi" w:hAnsiTheme="minorHAnsi" w:cstheme="minorHAnsi"/>
          <w:sz w:val="20"/>
          <w:szCs w:val="20"/>
        </w:rPr>
        <w:t xml:space="preserve">, K.J., Peace, A. and Hutchings, T.R., 2014. </w:t>
      </w:r>
      <w:proofErr w:type="gramStart"/>
      <w:r w:rsidRPr="00982819">
        <w:rPr>
          <w:rFonts w:asciiTheme="minorHAnsi" w:hAnsiTheme="minorHAnsi" w:cstheme="minorHAnsi"/>
          <w:sz w:val="20"/>
          <w:szCs w:val="20"/>
        </w:rPr>
        <w:t>The role of one large greenspace in mitigating London's nocturnal urban heat island.</w:t>
      </w:r>
      <w:proofErr w:type="gramEnd"/>
      <w:r w:rsidRPr="00982819">
        <w:rPr>
          <w:rFonts w:asciiTheme="minorHAnsi" w:hAnsiTheme="minorHAnsi" w:cstheme="minorHAnsi"/>
          <w:sz w:val="20"/>
          <w:szCs w:val="20"/>
        </w:rPr>
        <w:t> </w:t>
      </w:r>
      <w:proofErr w:type="gramStart"/>
      <w:r w:rsidRPr="00982819">
        <w:rPr>
          <w:rFonts w:asciiTheme="minorHAnsi" w:hAnsiTheme="minorHAnsi" w:cstheme="minorHAnsi"/>
          <w:i/>
          <w:iCs/>
          <w:sz w:val="20"/>
          <w:szCs w:val="20"/>
        </w:rPr>
        <w:t>Science of the total environment</w:t>
      </w:r>
      <w:r w:rsidRPr="00982819">
        <w:rPr>
          <w:rFonts w:asciiTheme="minorHAnsi" w:hAnsiTheme="minorHAnsi" w:cstheme="minorHAnsi"/>
          <w:sz w:val="20"/>
          <w:szCs w:val="20"/>
        </w:rPr>
        <w:t>, </w:t>
      </w:r>
      <w:r w:rsidRPr="00982819">
        <w:rPr>
          <w:rFonts w:asciiTheme="minorHAnsi" w:hAnsiTheme="minorHAnsi" w:cstheme="minorHAnsi"/>
          <w:i/>
          <w:iCs/>
          <w:sz w:val="20"/>
          <w:szCs w:val="20"/>
        </w:rPr>
        <w:t>493</w:t>
      </w:r>
      <w:r w:rsidR="00982819">
        <w:rPr>
          <w:rFonts w:asciiTheme="minorHAnsi" w:hAnsiTheme="minorHAnsi" w:cstheme="minorHAnsi"/>
          <w:sz w:val="20"/>
          <w:szCs w:val="20"/>
        </w:rPr>
        <w:t>, pp.662-671.</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Eckelman</w:t>
      </w:r>
      <w:proofErr w:type="spellEnd"/>
      <w:r w:rsidRPr="00982819">
        <w:rPr>
          <w:rFonts w:asciiTheme="minorHAnsi" w:hAnsiTheme="minorHAnsi" w:cstheme="minorHAnsi"/>
          <w:sz w:val="20"/>
          <w:szCs w:val="20"/>
        </w:rPr>
        <w:t>, M.J. and Sherman, J., 2016. Environmental impacts of the US health care system and effects on public health. </w:t>
      </w:r>
      <w:proofErr w:type="spellStart"/>
      <w:r w:rsidRPr="00982819">
        <w:rPr>
          <w:rFonts w:asciiTheme="minorHAnsi" w:hAnsiTheme="minorHAnsi" w:cstheme="minorHAnsi"/>
          <w:i/>
          <w:iCs/>
          <w:sz w:val="20"/>
          <w:szCs w:val="20"/>
        </w:rPr>
        <w:t>PLoS</w:t>
      </w:r>
      <w:proofErr w:type="spellEnd"/>
      <w:r w:rsidRPr="00982819">
        <w:rPr>
          <w:rFonts w:asciiTheme="minorHAnsi" w:hAnsiTheme="minorHAnsi" w:cstheme="minorHAnsi"/>
          <w:i/>
          <w:iCs/>
          <w:sz w:val="20"/>
          <w:szCs w:val="20"/>
        </w:rPr>
        <w:t xml:space="preserve"> One</w:t>
      </w:r>
      <w:r w:rsidRPr="00982819">
        <w:rPr>
          <w:rFonts w:asciiTheme="minorHAnsi" w:hAnsiTheme="minorHAnsi" w:cstheme="minorHAnsi"/>
          <w:sz w:val="20"/>
          <w:szCs w:val="20"/>
        </w:rPr>
        <w:t>, </w:t>
      </w:r>
      <w:r w:rsidRPr="00982819">
        <w:rPr>
          <w:rFonts w:asciiTheme="minorHAnsi" w:hAnsiTheme="minorHAnsi" w:cstheme="minorHAnsi"/>
          <w:i/>
          <w:iCs/>
          <w:sz w:val="20"/>
          <w:szCs w:val="20"/>
        </w:rPr>
        <w:t>11</w:t>
      </w:r>
      <w:r w:rsidR="00982819">
        <w:rPr>
          <w:rFonts w:asciiTheme="minorHAnsi" w:hAnsiTheme="minorHAnsi" w:cstheme="minorHAnsi"/>
          <w:sz w:val="20"/>
          <w:szCs w:val="20"/>
        </w:rPr>
        <w:t>(6), p.e0157014.</w:t>
      </w:r>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enHealth</w:t>
      </w:r>
      <w:proofErr w:type="spellEnd"/>
      <w:proofErr w:type="gramEnd"/>
      <w:r w:rsidRPr="00982819">
        <w:rPr>
          <w:rFonts w:asciiTheme="minorHAnsi" w:hAnsiTheme="minorHAnsi" w:cstheme="minorHAnsi"/>
          <w:sz w:val="20"/>
          <w:szCs w:val="20"/>
        </w:rPr>
        <w:t xml:space="preserve"> 2017, Health Impact Assessment Guidelines, accessed 15 May 2018, </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&lt;http://www.health.gov.au/internet/main/publishing.nsf/content/A12B57E41EC9F326CA257BF0001F9E7D/$File/Health-Im</w:t>
      </w:r>
      <w:r w:rsidR="00982819">
        <w:rPr>
          <w:rFonts w:asciiTheme="minorHAnsi" w:hAnsiTheme="minorHAnsi" w:cstheme="minorHAnsi"/>
          <w:sz w:val="20"/>
          <w:szCs w:val="20"/>
        </w:rPr>
        <w:t>pact-Assessment-Guidelines.pdf&gt;</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Environmental Justice Australia, 2014.</w:t>
      </w:r>
      <w:proofErr w:type="gramEnd"/>
      <w:r w:rsidRPr="00982819">
        <w:rPr>
          <w:rFonts w:asciiTheme="minorHAnsi" w:hAnsiTheme="minorHAnsi" w:cstheme="minorHAnsi"/>
          <w:sz w:val="20"/>
          <w:szCs w:val="20"/>
        </w:rPr>
        <w:t xml:space="preserve"> Clearing the air: Why Australia urgently needs effective national air pollution laws. Available at: http://envirojustice.org.au/sites/default/files/files/Submissions%20and%20reports/Envirojustice_air_pollution_report_final.pdf</w:t>
      </w:r>
    </w:p>
    <w:p w:rsidR="00FB0D68" w:rsidRPr="00982819" w:rsidRDefault="00FB0D68" w:rsidP="00982819">
      <w:pPr>
        <w:spacing w:before="200" w:after="200" w:line="288" w:lineRule="auto"/>
        <w:rPr>
          <w:rFonts w:asciiTheme="minorHAnsi" w:hAnsiTheme="minorHAnsi" w:cstheme="minorHAnsi"/>
          <w:bCs/>
          <w:sz w:val="20"/>
          <w:szCs w:val="20"/>
        </w:rPr>
      </w:pPr>
      <w:proofErr w:type="gramStart"/>
      <w:r w:rsidRPr="00982819">
        <w:rPr>
          <w:rFonts w:asciiTheme="minorHAnsi" w:hAnsiTheme="minorHAnsi" w:cstheme="minorHAnsi"/>
          <w:sz w:val="20"/>
          <w:szCs w:val="20"/>
        </w:rPr>
        <w:t>Environmental Justice Australia, 2017.</w:t>
      </w:r>
      <w:proofErr w:type="gramEnd"/>
      <w:r w:rsidRPr="00982819">
        <w:rPr>
          <w:rFonts w:asciiTheme="minorHAnsi" w:hAnsiTheme="minorHAnsi" w:cstheme="minorHAnsi"/>
          <w:sz w:val="20"/>
          <w:szCs w:val="20"/>
        </w:rPr>
        <w:t xml:space="preserve"> Toxic and terminal: </w:t>
      </w:r>
      <w:r w:rsidRPr="00982819">
        <w:rPr>
          <w:rFonts w:asciiTheme="minorHAnsi" w:hAnsiTheme="minorHAnsi" w:cstheme="minorHAnsi"/>
          <w:bCs/>
          <w:sz w:val="20"/>
          <w:szCs w:val="20"/>
        </w:rPr>
        <w:t>How the regulation of coal-fired power stations fails Australian communities. Available at: http://www.envirojustice.org.au/powerstations/</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Food and Agriculture Organisation, 2010.</w:t>
      </w:r>
      <w:proofErr w:type="gramEnd"/>
      <w:r w:rsidRPr="00982819">
        <w:rPr>
          <w:rFonts w:asciiTheme="minorHAnsi" w:hAnsiTheme="minorHAnsi" w:cstheme="minorHAnsi"/>
          <w:sz w:val="20"/>
          <w:szCs w:val="20"/>
        </w:rPr>
        <w:t xml:space="preserve"> Sustainable diets and biodiversity: directions and solutions for policy, research and action. Proceedings of the International Scientific Symposium: Biodiversity and Sustainable Diets United Against Hunger, Rome</w:t>
      </w:r>
      <w:r w:rsidR="00982819">
        <w:rPr>
          <w:rFonts w:asciiTheme="minorHAnsi" w:hAnsiTheme="minorHAnsi" w:cstheme="minorHAnsi"/>
          <w:sz w:val="20"/>
          <w:szCs w:val="20"/>
        </w:rPr>
        <w:t xml:space="preserve">. </w:t>
      </w:r>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Friel</w:t>
      </w:r>
      <w:proofErr w:type="spellEnd"/>
      <w:r w:rsidRPr="00982819">
        <w:rPr>
          <w:rFonts w:asciiTheme="minorHAnsi" w:hAnsiTheme="minorHAnsi" w:cstheme="minorHAnsi"/>
          <w:sz w:val="20"/>
          <w:szCs w:val="20"/>
        </w:rPr>
        <w:t>, S., 2010.</w:t>
      </w:r>
      <w:proofErr w:type="gramEnd"/>
      <w:r w:rsidRPr="00982819">
        <w:rPr>
          <w:rFonts w:asciiTheme="minorHAnsi" w:hAnsiTheme="minorHAnsi" w:cstheme="minorHAnsi"/>
          <w:sz w:val="20"/>
          <w:szCs w:val="20"/>
        </w:rPr>
        <w:t xml:space="preserve"> Climate change, food insecurity and chronic diseases: sustainable and healthy policy opportunities for Australia. </w:t>
      </w:r>
      <w:proofErr w:type="gramStart"/>
      <w:r w:rsidRPr="00982819">
        <w:rPr>
          <w:rFonts w:asciiTheme="minorHAnsi" w:hAnsiTheme="minorHAnsi" w:cstheme="minorHAnsi"/>
          <w:i/>
          <w:iCs/>
          <w:sz w:val="20"/>
          <w:szCs w:val="20"/>
        </w:rPr>
        <w:t>New South Wales Public Health Bulletin</w:t>
      </w:r>
      <w:r w:rsidRPr="00982819">
        <w:rPr>
          <w:rFonts w:asciiTheme="minorHAnsi" w:hAnsiTheme="minorHAnsi" w:cstheme="minorHAnsi"/>
          <w:sz w:val="20"/>
          <w:szCs w:val="20"/>
        </w:rPr>
        <w:t>, </w:t>
      </w:r>
      <w:r w:rsidRPr="00982819">
        <w:rPr>
          <w:rFonts w:asciiTheme="minorHAnsi" w:hAnsiTheme="minorHAnsi" w:cstheme="minorHAnsi"/>
          <w:i/>
          <w:iCs/>
          <w:sz w:val="20"/>
          <w:szCs w:val="20"/>
        </w:rPr>
        <w:t>21</w:t>
      </w:r>
      <w:r w:rsidR="00982819">
        <w:rPr>
          <w:rFonts w:asciiTheme="minorHAnsi" w:hAnsiTheme="minorHAnsi" w:cstheme="minorHAnsi"/>
          <w:sz w:val="20"/>
          <w:szCs w:val="20"/>
        </w:rPr>
        <w:t>(6), pp.129-133.</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Friel</w:t>
      </w:r>
      <w:proofErr w:type="spellEnd"/>
      <w:r w:rsidRPr="00982819">
        <w:rPr>
          <w:rFonts w:asciiTheme="minorHAnsi" w:hAnsiTheme="minorHAnsi" w:cstheme="minorHAnsi"/>
          <w:sz w:val="20"/>
          <w:szCs w:val="20"/>
        </w:rPr>
        <w:t xml:space="preserve">, S., </w:t>
      </w:r>
      <w:proofErr w:type="spellStart"/>
      <w:r w:rsidRPr="00982819">
        <w:rPr>
          <w:rFonts w:asciiTheme="minorHAnsi" w:hAnsiTheme="minorHAnsi" w:cstheme="minorHAnsi"/>
          <w:sz w:val="20"/>
          <w:szCs w:val="20"/>
        </w:rPr>
        <w:t>Barosh</w:t>
      </w:r>
      <w:proofErr w:type="spellEnd"/>
      <w:r w:rsidRPr="00982819">
        <w:rPr>
          <w:rFonts w:asciiTheme="minorHAnsi" w:hAnsiTheme="minorHAnsi" w:cstheme="minorHAnsi"/>
          <w:sz w:val="20"/>
          <w:szCs w:val="20"/>
        </w:rPr>
        <w:t>, L.J. and Lawrence, M., 2014.</w:t>
      </w:r>
      <w:proofErr w:type="gramEnd"/>
      <w:r w:rsidRPr="00982819">
        <w:rPr>
          <w:rFonts w:asciiTheme="minorHAnsi" w:hAnsiTheme="minorHAnsi" w:cstheme="minorHAnsi"/>
          <w:sz w:val="20"/>
          <w:szCs w:val="20"/>
        </w:rPr>
        <w:t xml:space="preserve"> Towards healthy and sustainable food consumption: an Australian case study. </w:t>
      </w:r>
      <w:proofErr w:type="gramStart"/>
      <w:r w:rsidRPr="00982819">
        <w:rPr>
          <w:rFonts w:asciiTheme="minorHAnsi" w:hAnsiTheme="minorHAnsi" w:cstheme="minorHAnsi"/>
          <w:i/>
          <w:iCs/>
          <w:sz w:val="20"/>
          <w:szCs w:val="20"/>
        </w:rPr>
        <w:t>Public health nutrition</w:t>
      </w:r>
      <w:r w:rsidRPr="00982819">
        <w:rPr>
          <w:rFonts w:asciiTheme="minorHAnsi" w:hAnsiTheme="minorHAnsi" w:cstheme="minorHAnsi"/>
          <w:sz w:val="20"/>
          <w:szCs w:val="20"/>
        </w:rPr>
        <w:t>, </w:t>
      </w:r>
      <w:r w:rsidRPr="00982819">
        <w:rPr>
          <w:rFonts w:asciiTheme="minorHAnsi" w:hAnsiTheme="minorHAnsi" w:cstheme="minorHAnsi"/>
          <w:i/>
          <w:iCs/>
          <w:sz w:val="20"/>
          <w:szCs w:val="20"/>
        </w:rPr>
        <w:t>17</w:t>
      </w:r>
      <w:r w:rsidR="00982819">
        <w:rPr>
          <w:rFonts w:asciiTheme="minorHAnsi" w:hAnsiTheme="minorHAnsi" w:cstheme="minorHAnsi"/>
          <w:sz w:val="20"/>
          <w:szCs w:val="20"/>
        </w:rPr>
        <w:t>(5), pp.1156-1166.</w:t>
      </w:r>
      <w:proofErr w:type="gramEnd"/>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Global Green and Healthy Hospitals, Who we are, Available at: </w:t>
      </w:r>
      <w:hyperlink r:id="rId23" w:history="1">
        <w:r w:rsidRPr="00982819">
          <w:rPr>
            <w:rStyle w:val="Hyperlink"/>
            <w:rFonts w:asciiTheme="minorHAnsi" w:hAnsiTheme="minorHAnsi" w:cstheme="minorHAnsi"/>
            <w:sz w:val="20"/>
            <w:szCs w:val="20"/>
          </w:rPr>
          <w:t>https://www.greenhospitals.net/who-we-are/</w:t>
        </w:r>
      </w:hyperlink>
      <w:r w:rsidR="00982819">
        <w:rPr>
          <w:rFonts w:asciiTheme="minorHAnsi" w:hAnsiTheme="minorHAnsi" w:cstheme="minorHAnsi"/>
          <w:sz w:val="20"/>
          <w:szCs w:val="20"/>
        </w:rPr>
        <w:t xml:space="preserve"> Accessed 3 June 2018.</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Global Green and Healthy Hospitals, Action, Available at </w:t>
      </w:r>
      <w:hyperlink r:id="rId24" w:history="1">
        <w:r w:rsidRPr="00982819">
          <w:rPr>
            <w:rStyle w:val="Hyperlink"/>
            <w:rFonts w:asciiTheme="minorHAnsi" w:hAnsiTheme="minorHAnsi" w:cstheme="minorHAnsi"/>
            <w:sz w:val="20"/>
            <w:szCs w:val="20"/>
          </w:rPr>
          <w:t>https://www.greenhospitals.net/action/</w:t>
        </w:r>
      </w:hyperlink>
      <w:r w:rsidRPr="00982819">
        <w:rPr>
          <w:rFonts w:asciiTheme="minorHAnsi" w:hAnsiTheme="minorHAnsi" w:cstheme="minorHAnsi"/>
          <w:sz w:val="20"/>
          <w:szCs w:val="20"/>
        </w:rPr>
        <w:t xml:space="preserve"> Accessed 5 Jun</w:t>
      </w:r>
      <w:r w:rsidR="00982819">
        <w:rPr>
          <w:rFonts w:asciiTheme="minorHAnsi" w:hAnsiTheme="minorHAnsi" w:cstheme="minorHAnsi"/>
          <w:sz w:val="20"/>
          <w:szCs w:val="20"/>
        </w:rPr>
        <w:t>e 2018.</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Grabow</w:t>
      </w:r>
      <w:proofErr w:type="spellEnd"/>
      <w:r w:rsidRPr="00982819">
        <w:rPr>
          <w:rFonts w:asciiTheme="minorHAnsi" w:hAnsiTheme="minorHAnsi" w:cstheme="minorHAnsi"/>
          <w:sz w:val="20"/>
          <w:szCs w:val="20"/>
        </w:rPr>
        <w:t xml:space="preserve">, M.L., </w:t>
      </w:r>
      <w:proofErr w:type="spellStart"/>
      <w:r w:rsidRPr="00982819">
        <w:rPr>
          <w:rFonts w:asciiTheme="minorHAnsi" w:hAnsiTheme="minorHAnsi" w:cstheme="minorHAnsi"/>
          <w:sz w:val="20"/>
          <w:szCs w:val="20"/>
        </w:rPr>
        <w:t>Spak</w:t>
      </w:r>
      <w:proofErr w:type="spellEnd"/>
      <w:r w:rsidRPr="00982819">
        <w:rPr>
          <w:rFonts w:asciiTheme="minorHAnsi" w:hAnsiTheme="minorHAnsi" w:cstheme="minorHAnsi"/>
          <w:sz w:val="20"/>
          <w:szCs w:val="20"/>
        </w:rPr>
        <w:t xml:space="preserve">, S.N., Holloway, T., Stone Jr, B., </w:t>
      </w:r>
      <w:proofErr w:type="spellStart"/>
      <w:r w:rsidRPr="00982819">
        <w:rPr>
          <w:rFonts w:asciiTheme="minorHAnsi" w:hAnsiTheme="minorHAnsi" w:cstheme="minorHAnsi"/>
          <w:sz w:val="20"/>
          <w:szCs w:val="20"/>
        </w:rPr>
        <w:t>Mednick</w:t>
      </w:r>
      <w:proofErr w:type="spellEnd"/>
      <w:r w:rsidRPr="00982819">
        <w:rPr>
          <w:rFonts w:asciiTheme="minorHAnsi" w:hAnsiTheme="minorHAnsi" w:cstheme="minorHAnsi"/>
          <w:sz w:val="20"/>
          <w:szCs w:val="20"/>
        </w:rPr>
        <w:t xml:space="preserve">, A.C. and Patz, J.A., 2012. Air quality and exercise-related health benefits from reduced car travel in the </w:t>
      </w:r>
      <w:proofErr w:type="spellStart"/>
      <w:r w:rsidRPr="00982819">
        <w:rPr>
          <w:rFonts w:asciiTheme="minorHAnsi" w:hAnsiTheme="minorHAnsi" w:cstheme="minorHAnsi"/>
          <w:sz w:val="20"/>
          <w:szCs w:val="20"/>
        </w:rPr>
        <w:t>midwestern</w:t>
      </w:r>
      <w:proofErr w:type="spellEnd"/>
      <w:r w:rsidRPr="00982819">
        <w:rPr>
          <w:rFonts w:asciiTheme="minorHAnsi" w:hAnsiTheme="minorHAnsi" w:cstheme="minorHAnsi"/>
          <w:sz w:val="20"/>
          <w:szCs w:val="20"/>
        </w:rPr>
        <w:t xml:space="preserve"> United States. </w:t>
      </w:r>
      <w:proofErr w:type="gramStart"/>
      <w:r w:rsidRPr="00982819">
        <w:rPr>
          <w:rFonts w:asciiTheme="minorHAnsi" w:hAnsiTheme="minorHAnsi" w:cstheme="minorHAnsi"/>
          <w:i/>
          <w:iCs/>
          <w:sz w:val="20"/>
          <w:szCs w:val="20"/>
        </w:rPr>
        <w:t>Environmental health perspectives</w:t>
      </w:r>
      <w:r w:rsidRPr="00982819">
        <w:rPr>
          <w:rFonts w:asciiTheme="minorHAnsi" w:hAnsiTheme="minorHAnsi" w:cstheme="minorHAnsi"/>
          <w:sz w:val="20"/>
          <w:szCs w:val="20"/>
        </w:rPr>
        <w:t>, </w:t>
      </w:r>
      <w:r w:rsidRPr="00982819">
        <w:rPr>
          <w:rFonts w:asciiTheme="minorHAnsi" w:hAnsiTheme="minorHAnsi" w:cstheme="minorHAnsi"/>
          <w:i/>
          <w:iCs/>
          <w:sz w:val="20"/>
          <w:szCs w:val="20"/>
        </w:rPr>
        <w:t>120</w:t>
      </w:r>
      <w:r w:rsidR="00982819">
        <w:rPr>
          <w:rFonts w:asciiTheme="minorHAnsi" w:hAnsiTheme="minorHAnsi" w:cstheme="minorHAnsi"/>
          <w:sz w:val="20"/>
          <w:szCs w:val="20"/>
        </w:rPr>
        <w:t>(1), p.68.</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Gundersen</w:t>
      </w:r>
      <w:proofErr w:type="spellEnd"/>
      <w:r w:rsidRPr="00982819">
        <w:rPr>
          <w:rFonts w:asciiTheme="minorHAnsi" w:hAnsiTheme="minorHAnsi" w:cstheme="minorHAnsi"/>
          <w:sz w:val="20"/>
          <w:szCs w:val="20"/>
        </w:rPr>
        <w:t xml:space="preserve"> Health System, 2016 https://www.hospitalesporlasaludambiental.net/wp-content/uploads/2016/10/Leadership-and-Energy-Capturing-the-Wind’s-Energy-to-Create-Clean-Electricity-PGH-Gundersen-USA.pdf</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Haines, A., McMichael, A.J., Smith, K.R., Roberts, I., Woodcock, J., </w:t>
      </w:r>
      <w:proofErr w:type="spellStart"/>
      <w:r w:rsidRPr="00982819">
        <w:rPr>
          <w:rFonts w:asciiTheme="minorHAnsi" w:hAnsiTheme="minorHAnsi" w:cstheme="minorHAnsi"/>
          <w:sz w:val="20"/>
          <w:szCs w:val="20"/>
        </w:rPr>
        <w:t>Markandya</w:t>
      </w:r>
      <w:proofErr w:type="spellEnd"/>
      <w:r w:rsidRPr="00982819">
        <w:rPr>
          <w:rFonts w:asciiTheme="minorHAnsi" w:hAnsiTheme="minorHAnsi" w:cstheme="minorHAnsi"/>
          <w:sz w:val="20"/>
          <w:szCs w:val="20"/>
        </w:rPr>
        <w:t>, A., Armstrong, B.G., Campbell-</w:t>
      </w:r>
      <w:proofErr w:type="spellStart"/>
      <w:r w:rsidRPr="00982819">
        <w:rPr>
          <w:rFonts w:asciiTheme="minorHAnsi" w:hAnsiTheme="minorHAnsi" w:cstheme="minorHAnsi"/>
          <w:sz w:val="20"/>
          <w:szCs w:val="20"/>
        </w:rPr>
        <w:t>Lendrum</w:t>
      </w:r>
      <w:proofErr w:type="spellEnd"/>
      <w:r w:rsidRPr="00982819">
        <w:rPr>
          <w:rFonts w:asciiTheme="minorHAnsi" w:hAnsiTheme="minorHAnsi" w:cstheme="minorHAnsi"/>
          <w:sz w:val="20"/>
          <w:szCs w:val="20"/>
        </w:rPr>
        <w:t xml:space="preserve">, D., </w:t>
      </w:r>
      <w:proofErr w:type="spellStart"/>
      <w:r w:rsidRPr="00982819">
        <w:rPr>
          <w:rFonts w:asciiTheme="minorHAnsi" w:hAnsiTheme="minorHAnsi" w:cstheme="minorHAnsi"/>
          <w:sz w:val="20"/>
          <w:szCs w:val="20"/>
        </w:rPr>
        <w:t>Dangour</w:t>
      </w:r>
      <w:proofErr w:type="spellEnd"/>
      <w:r w:rsidRPr="00982819">
        <w:rPr>
          <w:rFonts w:asciiTheme="minorHAnsi" w:hAnsiTheme="minorHAnsi" w:cstheme="minorHAnsi"/>
          <w:sz w:val="20"/>
          <w:szCs w:val="20"/>
        </w:rPr>
        <w:t>, A.D., Davies, M. and Bruce, N., 2009.</w:t>
      </w:r>
      <w:proofErr w:type="gramEnd"/>
      <w:r w:rsidRPr="00982819">
        <w:rPr>
          <w:rFonts w:asciiTheme="minorHAnsi" w:hAnsiTheme="minorHAnsi" w:cstheme="minorHAnsi"/>
          <w:sz w:val="20"/>
          <w:szCs w:val="20"/>
        </w:rPr>
        <w:t xml:space="preserve"> Public health benefits of strategies to reduce greenhouse-gas emissions: overview and implications for policy makers. </w:t>
      </w:r>
      <w:proofErr w:type="gramStart"/>
      <w:r w:rsidRPr="00982819">
        <w:rPr>
          <w:rFonts w:asciiTheme="minorHAnsi" w:hAnsiTheme="minorHAnsi" w:cstheme="minorHAnsi"/>
          <w:i/>
          <w:iCs/>
          <w:sz w:val="20"/>
          <w:szCs w:val="20"/>
        </w:rPr>
        <w:t>The Lancet</w:t>
      </w:r>
      <w:r w:rsidRPr="00982819">
        <w:rPr>
          <w:rFonts w:asciiTheme="minorHAnsi" w:hAnsiTheme="minorHAnsi" w:cstheme="minorHAnsi"/>
          <w:sz w:val="20"/>
          <w:szCs w:val="20"/>
        </w:rPr>
        <w:t>, </w:t>
      </w:r>
      <w:r w:rsidRPr="00982819">
        <w:rPr>
          <w:rFonts w:asciiTheme="minorHAnsi" w:hAnsiTheme="minorHAnsi" w:cstheme="minorHAnsi"/>
          <w:i/>
          <w:iCs/>
          <w:sz w:val="20"/>
          <w:szCs w:val="20"/>
        </w:rPr>
        <w:t>374</w:t>
      </w:r>
      <w:r w:rsidRPr="00982819">
        <w:rPr>
          <w:rFonts w:asciiTheme="minorHAnsi" w:hAnsiTheme="minorHAnsi" w:cstheme="minorHAnsi"/>
          <w:sz w:val="20"/>
          <w:szCs w:val="20"/>
        </w:rPr>
        <w:t>(9707)</w:t>
      </w:r>
      <w:r w:rsidR="00982819">
        <w:rPr>
          <w:rFonts w:asciiTheme="minorHAnsi" w:hAnsiTheme="minorHAnsi" w:cstheme="minorHAnsi"/>
          <w:sz w:val="20"/>
          <w:szCs w:val="20"/>
        </w:rPr>
        <w:t>, pp.2104-2114.</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Hanjra</w:t>
      </w:r>
      <w:proofErr w:type="spellEnd"/>
      <w:r w:rsidRPr="00982819">
        <w:rPr>
          <w:rFonts w:asciiTheme="minorHAnsi" w:hAnsiTheme="minorHAnsi" w:cstheme="minorHAnsi"/>
          <w:sz w:val="20"/>
          <w:szCs w:val="20"/>
        </w:rPr>
        <w:t>, M.A. and Qureshi, M.E., 2010.</w:t>
      </w:r>
      <w:proofErr w:type="gramEnd"/>
      <w:r w:rsidRPr="00982819">
        <w:rPr>
          <w:rFonts w:asciiTheme="minorHAnsi" w:hAnsiTheme="minorHAnsi" w:cstheme="minorHAnsi"/>
          <w:sz w:val="20"/>
          <w:szCs w:val="20"/>
        </w:rPr>
        <w:t xml:space="preserve"> Global water crisis and future food security in an era of climate change. </w:t>
      </w:r>
      <w:proofErr w:type="gramStart"/>
      <w:r w:rsidRPr="00982819">
        <w:rPr>
          <w:rFonts w:asciiTheme="minorHAnsi" w:hAnsiTheme="minorHAnsi" w:cstheme="minorHAnsi"/>
          <w:sz w:val="20"/>
          <w:szCs w:val="20"/>
        </w:rPr>
        <w:t>Food Policy, 35(5), pp.365-377.</w:t>
      </w:r>
      <w:proofErr w:type="gramEnd"/>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Hall, GV, </w:t>
      </w:r>
      <w:proofErr w:type="spellStart"/>
      <w:r w:rsidRPr="00982819">
        <w:rPr>
          <w:rFonts w:asciiTheme="minorHAnsi" w:hAnsiTheme="minorHAnsi" w:cstheme="minorHAnsi"/>
          <w:sz w:val="20"/>
          <w:szCs w:val="20"/>
        </w:rPr>
        <w:t>Hanigan</w:t>
      </w:r>
      <w:proofErr w:type="spellEnd"/>
      <w:r w:rsidRPr="00982819">
        <w:rPr>
          <w:rFonts w:asciiTheme="minorHAnsi" w:hAnsiTheme="minorHAnsi" w:cstheme="minorHAnsi"/>
          <w:sz w:val="20"/>
          <w:szCs w:val="20"/>
        </w:rPr>
        <w:t xml:space="preserve">, IC, Dear KB, &amp; </w:t>
      </w:r>
      <w:proofErr w:type="spellStart"/>
      <w:r w:rsidRPr="00982819">
        <w:rPr>
          <w:rFonts w:asciiTheme="minorHAnsi" w:hAnsiTheme="minorHAnsi" w:cstheme="minorHAnsi"/>
          <w:sz w:val="20"/>
          <w:szCs w:val="20"/>
        </w:rPr>
        <w:t>Vally</w:t>
      </w:r>
      <w:proofErr w:type="spellEnd"/>
      <w:r w:rsidRPr="00982819">
        <w:rPr>
          <w:rFonts w:asciiTheme="minorHAnsi" w:hAnsiTheme="minorHAnsi" w:cstheme="minorHAnsi"/>
          <w:sz w:val="20"/>
          <w:szCs w:val="20"/>
        </w:rPr>
        <w:t>, H</w:t>
      </w:r>
      <w:proofErr w:type="gramStart"/>
      <w:r w:rsidRPr="00982819">
        <w:rPr>
          <w:rFonts w:asciiTheme="minorHAnsi" w:hAnsiTheme="minorHAnsi" w:cstheme="minorHAnsi"/>
          <w:sz w:val="20"/>
          <w:szCs w:val="20"/>
        </w:rPr>
        <w:t>,.</w:t>
      </w:r>
      <w:proofErr w:type="gramEnd"/>
      <w:r w:rsidRPr="00982819">
        <w:rPr>
          <w:rFonts w:asciiTheme="minorHAnsi" w:hAnsiTheme="minorHAnsi" w:cstheme="minorHAnsi"/>
          <w:sz w:val="20"/>
          <w:szCs w:val="20"/>
        </w:rPr>
        <w:t xml:space="preserve"> 2011. </w:t>
      </w:r>
      <w:r w:rsidRPr="00982819">
        <w:rPr>
          <w:rFonts w:asciiTheme="minorHAnsi" w:hAnsiTheme="minorHAnsi" w:cstheme="minorHAnsi"/>
          <w:i/>
          <w:iCs/>
          <w:sz w:val="20"/>
          <w:szCs w:val="20"/>
        </w:rPr>
        <w:t xml:space="preserve">‘The influence of weather on community gastroenteritis in Australia’ </w:t>
      </w:r>
      <w:proofErr w:type="spellStart"/>
      <w:r w:rsidRPr="00982819">
        <w:rPr>
          <w:rFonts w:asciiTheme="minorHAnsi" w:hAnsiTheme="minorHAnsi" w:cstheme="minorHAnsi"/>
          <w:sz w:val="20"/>
          <w:szCs w:val="20"/>
        </w:rPr>
        <w:t>Epidemiol</w:t>
      </w:r>
      <w:proofErr w:type="spell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Infect.,</w:t>
      </w:r>
      <w:proofErr w:type="gramEnd"/>
      <w:r w:rsidRPr="00982819">
        <w:rPr>
          <w:rFonts w:asciiTheme="minorHAnsi" w:hAnsiTheme="minorHAnsi" w:cstheme="minorHAnsi"/>
          <w:sz w:val="20"/>
          <w:szCs w:val="20"/>
        </w:rPr>
        <w:t xml:space="preserve"> 139, pp.927–936. </w:t>
      </w:r>
      <w:proofErr w:type="gramStart"/>
      <w:r w:rsidRPr="00982819">
        <w:rPr>
          <w:rFonts w:asciiTheme="minorHAnsi" w:hAnsiTheme="minorHAnsi" w:cstheme="minorHAnsi"/>
          <w:sz w:val="20"/>
          <w:szCs w:val="20"/>
        </w:rPr>
        <w:t>d</w:t>
      </w:r>
      <w:r w:rsidR="00982819">
        <w:rPr>
          <w:rFonts w:asciiTheme="minorHAnsi" w:hAnsiTheme="minorHAnsi" w:cstheme="minorHAnsi"/>
          <w:sz w:val="20"/>
          <w:szCs w:val="20"/>
        </w:rPr>
        <w:t>oi:</w:t>
      </w:r>
      <w:proofErr w:type="gramEnd"/>
      <w:r w:rsidR="00982819">
        <w:rPr>
          <w:rFonts w:asciiTheme="minorHAnsi" w:hAnsiTheme="minorHAnsi" w:cstheme="minorHAnsi"/>
          <w:sz w:val="20"/>
          <w:szCs w:val="20"/>
        </w:rPr>
        <w:t xml:space="preserve">10.1017/ S0950268810001901. </w:t>
      </w:r>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Hanigan</w:t>
      </w:r>
      <w:proofErr w:type="spellEnd"/>
      <w:r w:rsidRPr="00982819">
        <w:rPr>
          <w:rFonts w:asciiTheme="minorHAnsi" w:hAnsiTheme="minorHAnsi" w:cstheme="minorHAnsi"/>
          <w:sz w:val="20"/>
          <w:szCs w:val="20"/>
        </w:rPr>
        <w:t xml:space="preserve">, IC, Butler, CD, </w:t>
      </w:r>
      <w:proofErr w:type="spellStart"/>
      <w:r w:rsidRPr="00982819">
        <w:rPr>
          <w:rFonts w:asciiTheme="minorHAnsi" w:hAnsiTheme="minorHAnsi" w:cstheme="minorHAnsi"/>
          <w:sz w:val="20"/>
          <w:szCs w:val="20"/>
        </w:rPr>
        <w:t>Kokic</w:t>
      </w:r>
      <w:proofErr w:type="spellEnd"/>
      <w:r w:rsidRPr="00982819">
        <w:rPr>
          <w:rFonts w:asciiTheme="minorHAnsi" w:hAnsiTheme="minorHAnsi" w:cstheme="minorHAnsi"/>
          <w:sz w:val="20"/>
          <w:szCs w:val="20"/>
        </w:rPr>
        <w:t>, PN, &amp; Hutchinson, MF</w:t>
      </w:r>
      <w:proofErr w:type="gramStart"/>
      <w:r w:rsidRPr="00982819">
        <w:rPr>
          <w:rFonts w:asciiTheme="minorHAnsi" w:hAnsiTheme="minorHAnsi" w:cstheme="minorHAnsi"/>
          <w:sz w:val="20"/>
          <w:szCs w:val="20"/>
        </w:rPr>
        <w:t>,.</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 xml:space="preserve">2012, </w:t>
      </w:r>
      <w:r w:rsidRPr="00982819">
        <w:rPr>
          <w:rFonts w:asciiTheme="minorHAnsi" w:hAnsiTheme="minorHAnsi" w:cstheme="minorHAnsi"/>
          <w:i/>
          <w:iCs/>
          <w:sz w:val="20"/>
          <w:szCs w:val="20"/>
        </w:rPr>
        <w:t>‘Suicide and drought in New South Wales, Australia, 1970– 2007</w:t>
      </w:r>
      <w:r w:rsidRPr="00982819">
        <w:rPr>
          <w:rFonts w:asciiTheme="minorHAnsi" w:hAnsiTheme="minorHAnsi" w:cstheme="minorHAnsi"/>
          <w:sz w:val="20"/>
          <w:szCs w:val="20"/>
        </w:rPr>
        <w:t>,</w:t>
      </w:r>
      <w:r w:rsidRPr="00982819">
        <w:rPr>
          <w:rFonts w:asciiTheme="minorHAnsi" w:hAnsiTheme="minorHAnsi" w:cstheme="minorHAnsi"/>
          <w:i/>
          <w:iCs/>
          <w:sz w:val="20"/>
          <w:szCs w:val="20"/>
        </w:rPr>
        <w:t xml:space="preserve">’ </w:t>
      </w:r>
      <w:r w:rsidRPr="00982819">
        <w:rPr>
          <w:rFonts w:asciiTheme="minorHAnsi" w:hAnsiTheme="minorHAnsi" w:cstheme="minorHAnsi"/>
          <w:sz w:val="20"/>
          <w:szCs w:val="20"/>
        </w:rPr>
        <w:t>Proceedings of the Royal Academy of Sciences, 35, 13950–13955.</w:t>
      </w:r>
      <w:proofErr w:type="gramEnd"/>
      <w:r w:rsidR="00982819">
        <w:rPr>
          <w:rFonts w:asciiTheme="minorHAnsi" w:hAnsiTheme="minorHAnsi" w:cstheme="minorHAnsi"/>
          <w:sz w:val="20"/>
          <w:szCs w:val="20"/>
        </w:rPr>
        <w:t xml:space="preserve"> </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Hanna, E.G., </w:t>
      </w:r>
      <w:proofErr w:type="spellStart"/>
      <w:r w:rsidRPr="00982819">
        <w:rPr>
          <w:rFonts w:asciiTheme="minorHAnsi" w:hAnsiTheme="minorHAnsi" w:cstheme="minorHAnsi"/>
          <w:sz w:val="20"/>
          <w:szCs w:val="20"/>
        </w:rPr>
        <w:t>Kjellstrom</w:t>
      </w:r>
      <w:proofErr w:type="spellEnd"/>
      <w:r w:rsidRPr="00982819">
        <w:rPr>
          <w:rFonts w:asciiTheme="minorHAnsi" w:hAnsiTheme="minorHAnsi" w:cstheme="minorHAnsi"/>
          <w:sz w:val="20"/>
          <w:szCs w:val="20"/>
        </w:rPr>
        <w:t>, T., Bennett, C. and Dear, K., 2011.</w:t>
      </w:r>
      <w:proofErr w:type="gramEnd"/>
      <w:r w:rsidRPr="00982819">
        <w:rPr>
          <w:rFonts w:asciiTheme="minorHAnsi" w:hAnsiTheme="minorHAnsi" w:cstheme="minorHAnsi"/>
          <w:sz w:val="20"/>
          <w:szCs w:val="20"/>
        </w:rPr>
        <w:t xml:space="preserve"> Climate change and rising heat: population health implications for working people in Australia. </w:t>
      </w:r>
      <w:r w:rsidRPr="00982819">
        <w:rPr>
          <w:rFonts w:asciiTheme="minorHAnsi" w:hAnsiTheme="minorHAnsi" w:cstheme="minorHAnsi"/>
          <w:i/>
          <w:iCs/>
          <w:sz w:val="20"/>
          <w:szCs w:val="20"/>
        </w:rPr>
        <w:t>Asia Pacific Journal of Public Health</w:t>
      </w:r>
      <w:r w:rsidRPr="00982819">
        <w:rPr>
          <w:rFonts w:asciiTheme="minorHAnsi" w:hAnsiTheme="minorHAnsi" w:cstheme="minorHAnsi"/>
          <w:sz w:val="20"/>
          <w:szCs w:val="20"/>
        </w:rPr>
        <w:t>, </w:t>
      </w:r>
      <w:r w:rsidRPr="00982819">
        <w:rPr>
          <w:rFonts w:asciiTheme="minorHAnsi" w:hAnsiTheme="minorHAnsi" w:cstheme="minorHAnsi"/>
          <w:i/>
          <w:iCs/>
          <w:sz w:val="20"/>
          <w:szCs w:val="20"/>
        </w:rPr>
        <w:t>23</w:t>
      </w:r>
      <w:r w:rsidR="00982819">
        <w:rPr>
          <w:rFonts w:asciiTheme="minorHAnsi" w:hAnsiTheme="minorHAnsi" w:cstheme="minorHAnsi"/>
          <w:sz w:val="20"/>
          <w:szCs w:val="20"/>
        </w:rPr>
        <w:t>(2_suppl), pp.14S-26S.</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Hansen, A. et al, </w:t>
      </w:r>
      <w:hyperlink r:id="rId25" w:history="1">
        <w:r w:rsidRPr="00982819">
          <w:rPr>
            <w:rStyle w:val="Hyperlink"/>
            <w:rFonts w:asciiTheme="minorHAnsi" w:hAnsiTheme="minorHAnsi" w:cstheme="minorHAnsi"/>
            <w:sz w:val="20"/>
            <w:szCs w:val="20"/>
          </w:rPr>
          <w:t>The Effect of Heat Waves on Mental Health in a Temperate Australian City</w:t>
        </w:r>
      </w:hyperlink>
      <w:r w:rsidRPr="00982819">
        <w:rPr>
          <w:rFonts w:asciiTheme="minorHAnsi" w:hAnsiTheme="minorHAnsi" w:cstheme="minorHAnsi"/>
          <w:sz w:val="20"/>
          <w:szCs w:val="20"/>
        </w:rPr>
        <w:t xml:space="preserve"> Environ Health </w:t>
      </w:r>
      <w:proofErr w:type="spellStart"/>
      <w:r w:rsidRPr="00982819">
        <w:rPr>
          <w:rFonts w:asciiTheme="minorHAnsi" w:hAnsiTheme="minorHAnsi" w:cstheme="minorHAnsi"/>
          <w:sz w:val="20"/>
          <w:szCs w:val="20"/>
        </w:rPr>
        <w:t>Perspect</w:t>
      </w:r>
      <w:proofErr w:type="spellEnd"/>
      <w:r w:rsidRPr="00982819">
        <w:rPr>
          <w:rFonts w:asciiTheme="minorHAnsi" w:hAnsiTheme="minorHAnsi" w:cstheme="minorHAnsi"/>
          <w:sz w:val="20"/>
          <w:szCs w:val="20"/>
        </w:rPr>
        <w:t>. 2008 Oct; 116(10): 1369–1375.  Published online 2008</w:t>
      </w:r>
      <w:r w:rsidR="00982819">
        <w:rPr>
          <w:rFonts w:asciiTheme="minorHAnsi" w:hAnsiTheme="minorHAnsi" w:cstheme="minorHAnsi"/>
          <w:sz w:val="20"/>
          <w:szCs w:val="20"/>
        </w:rPr>
        <w:t xml:space="preserve"> Jun 30. </w:t>
      </w:r>
      <w:proofErr w:type="spellStart"/>
      <w:proofErr w:type="gramStart"/>
      <w:r w:rsidR="00982819">
        <w:rPr>
          <w:rFonts w:asciiTheme="minorHAnsi" w:hAnsiTheme="minorHAnsi" w:cstheme="minorHAnsi"/>
          <w:sz w:val="20"/>
          <w:szCs w:val="20"/>
        </w:rPr>
        <w:t>doi</w:t>
      </w:r>
      <w:proofErr w:type="spellEnd"/>
      <w:proofErr w:type="gramEnd"/>
      <w:r w:rsidR="00982819">
        <w:rPr>
          <w:rFonts w:asciiTheme="minorHAnsi" w:hAnsiTheme="minorHAnsi" w:cstheme="minorHAnsi"/>
          <w:sz w:val="20"/>
          <w:szCs w:val="20"/>
        </w:rPr>
        <w:t>: 10.1289/ehp.11339</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Health Promotion Service, 2009.</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Cycling around the University of Sydney and Royal Prince Alfred Hospital.</w:t>
      </w:r>
      <w:proofErr w:type="gramEnd"/>
      <w:r w:rsidRPr="00982819">
        <w:rPr>
          <w:rFonts w:asciiTheme="minorHAnsi" w:hAnsiTheme="minorHAnsi" w:cstheme="minorHAnsi"/>
          <w:sz w:val="20"/>
          <w:szCs w:val="20"/>
        </w:rPr>
        <w:t xml:space="preserve"> Camperdown: Sydney South West Area Health Service. Available from: http://www.cs.nsw.gov.au/pophealth/healthpro/physical/pdf/ RPAH_SydUni_cyclemap.pdf </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Hsiang, S.M., Burke, M. and Miguel, E., 2013. </w:t>
      </w:r>
      <w:proofErr w:type="gramStart"/>
      <w:r w:rsidRPr="00982819">
        <w:rPr>
          <w:rFonts w:asciiTheme="minorHAnsi" w:hAnsiTheme="minorHAnsi" w:cstheme="minorHAnsi"/>
          <w:sz w:val="20"/>
          <w:szCs w:val="20"/>
        </w:rPr>
        <w:t>Quantifying the influence of climate on human conflict.</w:t>
      </w:r>
      <w:proofErr w:type="gramEnd"/>
      <w:r w:rsidRPr="00982819">
        <w:rPr>
          <w:rFonts w:asciiTheme="minorHAnsi" w:hAnsiTheme="minorHAnsi" w:cstheme="minorHAnsi"/>
          <w:sz w:val="20"/>
          <w:szCs w:val="20"/>
        </w:rPr>
        <w:t> </w:t>
      </w:r>
      <w:proofErr w:type="gramStart"/>
      <w:r w:rsidRPr="00982819">
        <w:rPr>
          <w:rFonts w:asciiTheme="minorHAnsi" w:hAnsiTheme="minorHAnsi" w:cstheme="minorHAnsi"/>
          <w:i/>
          <w:iCs/>
          <w:sz w:val="20"/>
          <w:szCs w:val="20"/>
        </w:rPr>
        <w:t>Science</w:t>
      </w:r>
      <w:r w:rsidRPr="00982819">
        <w:rPr>
          <w:rFonts w:asciiTheme="minorHAnsi" w:hAnsiTheme="minorHAnsi" w:cstheme="minorHAnsi"/>
          <w:sz w:val="20"/>
          <w:szCs w:val="20"/>
        </w:rPr>
        <w:t>, </w:t>
      </w:r>
      <w:r w:rsidRPr="00982819">
        <w:rPr>
          <w:rFonts w:asciiTheme="minorHAnsi" w:hAnsiTheme="minorHAnsi" w:cstheme="minorHAnsi"/>
          <w:i/>
          <w:iCs/>
          <w:sz w:val="20"/>
          <w:szCs w:val="20"/>
        </w:rPr>
        <w:t>341</w:t>
      </w:r>
      <w:r w:rsidR="00982819">
        <w:rPr>
          <w:rFonts w:asciiTheme="minorHAnsi" w:hAnsiTheme="minorHAnsi" w:cstheme="minorHAnsi"/>
          <w:sz w:val="20"/>
          <w:szCs w:val="20"/>
        </w:rPr>
        <w:t>(6151), p.1235367.</w:t>
      </w:r>
      <w:proofErr w:type="gramEnd"/>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Hughes, L, Hanna, E, &amp; Fenwick, J., 2016. </w:t>
      </w:r>
      <w:proofErr w:type="gramStart"/>
      <w:r w:rsidRPr="00982819">
        <w:rPr>
          <w:rFonts w:asciiTheme="minorHAnsi" w:hAnsiTheme="minorHAnsi" w:cstheme="minorHAnsi"/>
          <w:i/>
          <w:iCs/>
          <w:sz w:val="20"/>
          <w:szCs w:val="20"/>
        </w:rPr>
        <w:t xml:space="preserve">‘The Silent Killer: Climate change and the health impacts of extreme heat’ </w:t>
      </w:r>
      <w:r w:rsidRPr="00982819">
        <w:rPr>
          <w:rFonts w:asciiTheme="minorHAnsi" w:hAnsiTheme="minorHAnsi" w:cstheme="minorHAnsi"/>
          <w:sz w:val="20"/>
          <w:szCs w:val="20"/>
        </w:rPr>
        <w:t>Climate Council of Australia.</w:t>
      </w:r>
      <w:proofErr w:type="gramEnd"/>
      <w:r w:rsidRPr="00982819">
        <w:rPr>
          <w:rFonts w:asciiTheme="minorHAnsi" w:hAnsiTheme="minorHAnsi" w:cstheme="minorHAnsi"/>
          <w:sz w:val="20"/>
          <w:szCs w:val="20"/>
        </w:rPr>
        <w:t xml:space="preserve"> 2016:</w:t>
      </w:r>
      <w:r w:rsidR="00982819">
        <w:rPr>
          <w:rFonts w:asciiTheme="minorHAnsi" w:hAnsiTheme="minorHAnsi" w:cstheme="minorHAnsi"/>
          <w:sz w:val="20"/>
          <w:szCs w:val="20"/>
        </w:rPr>
        <w:t xml:space="preserve"> Climate Council of Australia. </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International Agency for Research on Cancer (IARC - WHO), 2013.</w:t>
      </w:r>
      <w:proofErr w:type="gramEnd"/>
      <w:r w:rsidRPr="00982819">
        <w:rPr>
          <w:rFonts w:asciiTheme="minorHAnsi" w:hAnsiTheme="minorHAnsi" w:cstheme="minorHAnsi"/>
          <w:sz w:val="20"/>
          <w:szCs w:val="20"/>
        </w:rPr>
        <w:t xml:space="preserve"> “IARC: Outdoor air pollution a leading environmental cause of cancer deaths”, </w:t>
      </w:r>
      <w:r w:rsidRPr="00982819">
        <w:rPr>
          <w:rFonts w:asciiTheme="minorHAnsi" w:hAnsiTheme="minorHAnsi" w:cstheme="minorHAnsi"/>
          <w:i/>
          <w:iCs/>
          <w:sz w:val="20"/>
          <w:szCs w:val="20"/>
        </w:rPr>
        <w:t>Media release</w:t>
      </w:r>
      <w:r w:rsidRPr="00982819">
        <w:rPr>
          <w:rFonts w:asciiTheme="minorHAnsi" w:hAnsiTheme="minorHAnsi" w:cstheme="minorHAnsi"/>
          <w:sz w:val="20"/>
          <w:szCs w:val="20"/>
        </w:rPr>
        <w:t>, 17 October 2013, available at http://www.iarc.fr/en/media-ce</w:t>
      </w:r>
      <w:r w:rsidR="00982819">
        <w:rPr>
          <w:rFonts w:asciiTheme="minorHAnsi" w:hAnsiTheme="minorHAnsi" w:cstheme="minorHAnsi"/>
          <w:sz w:val="20"/>
          <w:szCs w:val="20"/>
        </w:rPr>
        <w:t xml:space="preserve">ntre/iarcnews/pdf/ pr221_E.pdf </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IPCC, </w:t>
      </w:r>
      <w:r w:rsidRPr="00982819">
        <w:rPr>
          <w:rFonts w:asciiTheme="minorHAnsi" w:hAnsiTheme="minorHAnsi" w:cstheme="minorHAnsi"/>
          <w:bCs/>
          <w:sz w:val="20"/>
          <w:szCs w:val="20"/>
        </w:rPr>
        <w:t xml:space="preserve">Climate Change, 2014: Mitigation of Climate Change. </w:t>
      </w:r>
      <w:proofErr w:type="gramStart"/>
      <w:r w:rsidRPr="00982819">
        <w:rPr>
          <w:rFonts w:asciiTheme="minorHAnsi" w:hAnsiTheme="minorHAnsi" w:cstheme="minorHAnsi"/>
          <w:bCs/>
          <w:sz w:val="20"/>
          <w:szCs w:val="20"/>
        </w:rPr>
        <w:t>Contribution of Working Group III to the Fifth Assessment Report of the Intergovernmental Panel on Climate Change</w:t>
      </w:r>
      <w:r w:rsidRPr="00982819">
        <w:rPr>
          <w:rFonts w:asciiTheme="minorHAnsi" w:hAnsiTheme="minorHAnsi" w:cstheme="minorHAnsi"/>
          <w:sz w:val="20"/>
          <w:szCs w:val="20"/>
        </w:rPr>
        <w:t xml:space="preserve"> Cambridge Un</w:t>
      </w:r>
      <w:r w:rsidR="00982819">
        <w:rPr>
          <w:rFonts w:asciiTheme="minorHAnsi" w:hAnsiTheme="minorHAnsi" w:cstheme="minorHAnsi"/>
          <w:sz w:val="20"/>
          <w:szCs w:val="20"/>
        </w:rPr>
        <w:t>iversity Press, Cambridge.</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Jarrett, J., Woodcock, J., Griffiths, U.K., Chalabi, Z., Edwards, P., Roberts, I. and Haines, A., 2012.</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Effect of increasing active travel in urban England and Wales on costs to the National Health Service.</w:t>
      </w:r>
      <w:proofErr w:type="gramEnd"/>
      <w:r w:rsidRPr="00982819">
        <w:rPr>
          <w:rFonts w:asciiTheme="minorHAnsi" w:hAnsiTheme="minorHAnsi" w:cstheme="minorHAnsi"/>
          <w:sz w:val="20"/>
          <w:szCs w:val="20"/>
        </w:rPr>
        <w:t> </w:t>
      </w:r>
      <w:proofErr w:type="gramStart"/>
      <w:r w:rsidRPr="00982819">
        <w:rPr>
          <w:rFonts w:asciiTheme="minorHAnsi" w:hAnsiTheme="minorHAnsi" w:cstheme="minorHAnsi"/>
          <w:i/>
          <w:iCs/>
          <w:sz w:val="20"/>
          <w:szCs w:val="20"/>
        </w:rPr>
        <w:t>The Lancet</w:t>
      </w:r>
      <w:r w:rsidRPr="00982819">
        <w:rPr>
          <w:rFonts w:asciiTheme="minorHAnsi" w:hAnsiTheme="minorHAnsi" w:cstheme="minorHAnsi"/>
          <w:sz w:val="20"/>
          <w:szCs w:val="20"/>
        </w:rPr>
        <w:t>, </w:t>
      </w:r>
      <w:r w:rsidRPr="00982819">
        <w:rPr>
          <w:rFonts w:asciiTheme="minorHAnsi" w:hAnsiTheme="minorHAnsi" w:cstheme="minorHAnsi"/>
          <w:i/>
          <w:iCs/>
          <w:sz w:val="20"/>
          <w:szCs w:val="20"/>
        </w:rPr>
        <w:t>379</w:t>
      </w:r>
      <w:r w:rsidR="00982819">
        <w:rPr>
          <w:rFonts w:asciiTheme="minorHAnsi" w:hAnsiTheme="minorHAnsi" w:cstheme="minorHAnsi"/>
          <w:sz w:val="20"/>
          <w:szCs w:val="20"/>
        </w:rPr>
        <w:t>(9832), pp.2198-2205.</w:t>
      </w:r>
      <w:proofErr w:type="gramEnd"/>
    </w:p>
    <w:p w:rsidR="003C6A91" w:rsidRPr="00982819" w:rsidRDefault="003C6A91"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Johansson, C., Burman, L. and Forsberg, B., 2009. The effects of congestions tax on air quality and health. </w:t>
      </w:r>
      <w:proofErr w:type="gramStart"/>
      <w:r w:rsidRPr="00982819">
        <w:rPr>
          <w:rFonts w:asciiTheme="minorHAnsi" w:hAnsiTheme="minorHAnsi" w:cstheme="minorHAnsi"/>
          <w:i/>
          <w:iCs/>
          <w:sz w:val="20"/>
          <w:szCs w:val="20"/>
        </w:rPr>
        <w:t>Atmospheric Environment</w:t>
      </w:r>
      <w:r w:rsidRPr="00982819">
        <w:rPr>
          <w:rFonts w:asciiTheme="minorHAnsi" w:hAnsiTheme="minorHAnsi" w:cstheme="minorHAnsi"/>
          <w:sz w:val="20"/>
          <w:szCs w:val="20"/>
        </w:rPr>
        <w:t>, </w:t>
      </w:r>
      <w:r w:rsidRPr="00982819">
        <w:rPr>
          <w:rFonts w:asciiTheme="minorHAnsi" w:hAnsiTheme="minorHAnsi" w:cstheme="minorHAnsi"/>
          <w:i/>
          <w:iCs/>
          <w:sz w:val="20"/>
          <w:szCs w:val="20"/>
        </w:rPr>
        <w:t>43</w:t>
      </w:r>
      <w:r w:rsidRPr="00982819">
        <w:rPr>
          <w:rFonts w:asciiTheme="minorHAnsi" w:hAnsiTheme="minorHAnsi" w:cstheme="minorHAnsi"/>
          <w:sz w:val="20"/>
          <w:szCs w:val="20"/>
        </w:rPr>
        <w:t>(31), pp.4843-4854.</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Kjellstrom</w:t>
      </w:r>
      <w:proofErr w:type="spellEnd"/>
      <w:r w:rsidRPr="00982819">
        <w:rPr>
          <w:rFonts w:asciiTheme="minorHAnsi" w:hAnsiTheme="minorHAnsi" w:cstheme="minorHAnsi"/>
          <w:sz w:val="20"/>
          <w:szCs w:val="20"/>
        </w:rPr>
        <w:t>, T. and Weaver, H.J., 2009.</w:t>
      </w:r>
      <w:proofErr w:type="gramEnd"/>
      <w:r w:rsidRPr="00982819">
        <w:rPr>
          <w:rFonts w:asciiTheme="minorHAnsi" w:hAnsiTheme="minorHAnsi" w:cstheme="minorHAnsi"/>
          <w:sz w:val="20"/>
          <w:szCs w:val="20"/>
        </w:rPr>
        <w:t xml:space="preserve"> Climate change and health: impacts, vulnerability, adaptation and mitigation. </w:t>
      </w:r>
      <w:proofErr w:type="gramStart"/>
      <w:r w:rsidRPr="00982819">
        <w:rPr>
          <w:rFonts w:asciiTheme="minorHAnsi" w:hAnsiTheme="minorHAnsi" w:cstheme="minorHAnsi"/>
          <w:i/>
          <w:iCs/>
          <w:sz w:val="20"/>
          <w:szCs w:val="20"/>
        </w:rPr>
        <w:t>New South Wales Public Health Bulletin</w:t>
      </w:r>
      <w:r w:rsidRPr="00982819">
        <w:rPr>
          <w:rFonts w:asciiTheme="minorHAnsi" w:hAnsiTheme="minorHAnsi" w:cstheme="minorHAnsi"/>
          <w:sz w:val="20"/>
          <w:szCs w:val="20"/>
        </w:rPr>
        <w:t>, </w:t>
      </w:r>
      <w:r w:rsidRPr="00982819">
        <w:rPr>
          <w:rFonts w:asciiTheme="minorHAnsi" w:hAnsiTheme="minorHAnsi" w:cstheme="minorHAnsi"/>
          <w:i/>
          <w:iCs/>
          <w:sz w:val="20"/>
          <w:szCs w:val="20"/>
        </w:rPr>
        <w:t>20</w:t>
      </w:r>
      <w:r w:rsidR="00982819">
        <w:rPr>
          <w:rFonts w:asciiTheme="minorHAnsi" w:hAnsiTheme="minorHAnsi" w:cstheme="minorHAnsi"/>
          <w:sz w:val="20"/>
          <w:szCs w:val="20"/>
        </w:rPr>
        <w:t>(2), pp.5-9.</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Kjellstrom</w:t>
      </w:r>
      <w:proofErr w:type="spellEnd"/>
      <w:r w:rsidRPr="00982819">
        <w:rPr>
          <w:rFonts w:asciiTheme="minorHAnsi" w:hAnsiTheme="minorHAnsi" w:cstheme="minorHAnsi"/>
          <w:sz w:val="20"/>
          <w:szCs w:val="20"/>
        </w:rPr>
        <w:t>, T. and McMichael, A.J., 2013.</w:t>
      </w:r>
      <w:proofErr w:type="gramEnd"/>
      <w:r w:rsidRPr="00982819">
        <w:rPr>
          <w:rFonts w:asciiTheme="minorHAnsi" w:hAnsiTheme="minorHAnsi" w:cstheme="minorHAnsi"/>
          <w:sz w:val="20"/>
          <w:szCs w:val="20"/>
        </w:rPr>
        <w:t xml:space="preserve"> Climate change threats to population health and well-being: the imperative of protective solutions that will last. </w:t>
      </w:r>
      <w:proofErr w:type="gramStart"/>
      <w:r w:rsidRPr="00982819">
        <w:rPr>
          <w:rFonts w:asciiTheme="minorHAnsi" w:hAnsiTheme="minorHAnsi" w:cstheme="minorHAnsi"/>
          <w:i/>
          <w:iCs/>
          <w:sz w:val="20"/>
          <w:szCs w:val="20"/>
        </w:rPr>
        <w:t>Global health action</w:t>
      </w:r>
      <w:r w:rsidRPr="00982819">
        <w:rPr>
          <w:rFonts w:asciiTheme="minorHAnsi" w:hAnsiTheme="minorHAnsi" w:cstheme="minorHAnsi"/>
          <w:sz w:val="20"/>
          <w:szCs w:val="20"/>
        </w:rPr>
        <w:t>, </w:t>
      </w:r>
      <w:r w:rsidRPr="00982819">
        <w:rPr>
          <w:rFonts w:asciiTheme="minorHAnsi" w:hAnsiTheme="minorHAnsi" w:cstheme="minorHAnsi"/>
          <w:i/>
          <w:iCs/>
          <w:sz w:val="20"/>
          <w:szCs w:val="20"/>
        </w:rPr>
        <w:t>6</w:t>
      </w:r>
      <w:r w:rsidR="00982819">
        <w:rPr>
          <w:rFonts w:asciiTheme="minorHAnsi" w:hAnsiTheme="minorHAnsi" w:cstheme="minorHAnsi"/>
          <w:sz w:val="20"/>
          <w:szCs w:val="20"/>
        </w:rPr>
        <w:t>(1), p.20816.</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Kjellstrom</w:t>
      </w:r>
      <w:proofErr w:type="spellEnd"/>
      <w:r w:rsidRPr="00982819">
        <w:rPr>
          <w:rFonts w:asciiTheme="minorHAnsi" w:hAnsiTheme="minorHAnsi" w:cstheme="minorHAnsi"/>
          <w:sz w:val="20"/>
          <w:szCs w:val="20"/>
        </w:rPr>
        <w:t xml:space="preserve">, T, Briggs, D, Freyberg, C, Lemke, B, Otto, M, &amp; Hyatt, O., 2016. </w:t>
      </w:r>
      <w:r w:rsidRPr="00982819">
        <w:rPr>
          <w:rFonts w:asciiTheme="minorHAnsi" w:hAnsiTheme="minorHAnsi" w:cstheme="minorHAnsi"/>
          <w:i/>
          <w:iCs/>
          <w:sz w:val="20"/>
          <w:szCs w:val="20"/>
        </w:rPr>
        <w:t xml:space="preserve">‘Heat, human performance, and occupational health: A key issue for the assessment of global climate change impacts’ </w:t>
      </w:r>
      <w:r w:rsidRPr="00982819">
        <w:rPr>
          <w:rFonts w:asciiTheme="minorHAnsi" w:hAnsiTheme="minorHAnsi" w:cstheme="minorHAnsi"/>
          <w:sz w:val="20"/>
          <w:szCs w:val="20"/>
        </w:rPr>
        <w:t>Annual Review</w:t>
      </w:r>
      <w:r w:rsidR="00982819">
        <w:rPr>
          <w:rFonts w:asciiTheme="minorHAnsi" w:hAnsiTheme="minorHAnsi" w:cstheme="minorHAnsi"/>
          <w:sz w:val="20"/>
          <w:szCs w:val="20"/>
        </w:rPr>
        <w:t xml:space="preserve"> of Public Health, 37, 97–112. </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Klein, A., 2017. Workers warm up big cities on weekdays. </w:t>
      </w:r>
      <w:proofErr w:type="gramStart"/>
      <w:r w:rsidRPr="00982819">
        <w:rPr>
          <w:rFonts w:asciiTheme="minorHAnsi" w:hAnsiTheme="minorHAnsi" w:cstheme="minorHAnsi"/>
          <w:i/>
          <w:sz w:val="20"/>
          <w:szCs w:val="20"/>
        </w:rPr>
        <w:t>New Scientist</w:t>
      </w:r>
      <w:r w:rsidRPr="00982819">
        <w:rPr>
          <w:rFonts w:asciiTheme="minorHAnsi" w:hAnsiTheme="minorHAnsi" w:cstheme="minorHAnsi"/>
          <w:sz w:val="20"/>
          <w:szCs w:val="20"/>
        </w:rPr>
        <w:t>.</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i/>
          <w:sz w:val="20"/>
          <w:szCs w:val="20"/>
        </w:rPr>
        <w:t>233(3110)</w:t>
      </w:r>
      <w:r w:rsidRPr="00982819">
        <w:rPr>
          <w:rStyle w:val="apple-converted-space"/>
          <w:rFonts w:asciiTheme="minorHAnsi" w:hAnsiTheme="minorHAnsi" w:cstheme="minorHAnsi"/>
          <w:sz w:val="20"/>
          <w:szCs w:val="20"/>
        </w:rPr>
        <w:t> </w:t>
      </w:r>
      <w:r w:rsidR="00982819">
        <w:rPr>
          <w:rFonts w:asciiTheme="minorHAnsi" w:hAnsiTheme="minorHAnsi" w:cstheme="minorHAnsi"/>
          <w:sz w:val="20"/>
          <w:szCs w:val="20"/>
        </w:rPr>
        <w:t>28 January, p.11.</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Koowerup</w:t>
      </w:r>
      <w:proofErr w:type="spellEnd"/>
      <w:r w:rsidRPr="00982819">
        <w:rPr>
          <w:rFonts w:asciiTheme="minorHAnsi" w:hAnsiTheme="minorHAnsi" w:cstheme="minorHAnsi"/>
          <w:sz w:val="20"/>
          <w:szCs w:val="20"/>
        </w:rPr>
        <w:t xml:space="preserve"> Regional Health Service, 2017.</w:t>
      </w:r>
      <w:proofErr w:type="gramEnd"/>
      <w:r w:rsidRPr="00982819">
        <w:rPr>
          <w:rFonts w:asciiTheme="minorHAnsi" w:hAnsiTheme="minorHAnsi" w:cstheme="minorHAnsi"/>
          <w:sz w:val="20"/>
          <w:szCs w:val="20"/>
        </w:rPr>
        <w:t xml:space="preserve"> 2020 Challenge Climate Champion Case Study - Resiliency - Kooweerup Regional Health Service (KRHS).  Available at: https://www.greenhospitals.net/wp-content/uploads/2017/09/2020-Challenge-Climate-Champion-Case-Study-Resiliency-Australia.pdf</w:t>
      </w:r>
    </w:p>
    <w:p w:rsidR="00FB0D68" w:rsidRPr="00982819" w:rsidRDefault="00132566" w:rsidP="00982819">
      <w:pPr>
        <w:spacing w:before="200" w:after="200" w:line="288" w:lineRule="auto"/>
        <w:rPr>
          <w:rFonts w:asciiTheme="minorHAnsi" w:hAnsiTheme="minorHAnsi" w:cstheme="minorHAnsi"/>
          <w:sz w:val="20"/>
          <w:szCs w:val="20"/>
        </w:rPr>
      </w:pPr>
      <w:hyperlink r:id="rId26" w:tooltip="Show author details" w:history="1">
        <w:r w:rsidR="00FB0D68" w:rsidRPr="00982819">
          <w:rPr>
            <w:rStyle w:val="Hyperlink"/>
            <w:rFonts w:asciiTheme="minorHAnsi" w:hAnsiTheme="minorHAnsi" w:cstheme="minorHAnsi"/>
            <w:color w:val="000000" w:themeColor="text1"/>
            <w:sz w:val="20"/>
            <w:szCs w:val="20"/>
            <w:u w:val="none"/>
          </w:rPr>
          <w:t>Kwan S.C.</w:t>
        </w:r>
      </w:hyperlink>
      <w:r w:rsidR="00FB0D68" w:rsidRPr="00982819">
        <w:rPr>
          <w:rFonts w:asciiTheme="minorHAnsi" w:hAnsiTheme="minorHAnsi" w:cstheme="minorHAnsi"/>
          <w:sz w:val="20"/>
          <w:szCs w:val="20"/>
        </w:rPr>
        <w:t>, </w:t>
      </w:r>
      <w:proofErr w:type="spellStart"/>
      <w:r w:rsidR="00FB0D68" w:rsidRPr="00982819">
        <w:rPr>
          <w:rStyle w:val="Hyperlink"/>
          <w:rFonts w:asciiTheme="minorHAnsi" w:hAnsiTheme="minorHAnsi" w:cstheme="minorHAnsi"/>
          <w:color w:val="000000" w:themeColor="text1"/>
          <w:sz w:val="20"/>
          <w:szCs w:val="20"/>
          <w:u w:val="none"/>
        </w:rPr>
        <w:fldChar w:fldCharType="begin"/>
      </w:r>
      <w:r w:rsidR="00FB0D68" w:rsidRPr="00982819">
        <w:rPr>
          <w:rStyle w:val="Hyperlink"/>
          <w:rFonts w:asciiTheme="minorHAnsi" w:hAnsiTheme="minorHAnsi" w:cstheme="minorHAnsi"/>
          <w:color w:val="000000" w:themeColor="text1"/>
          <w:sz w:val="20"/>
          <w:szCs w:val="20"/>
          <w:u w:val="none"/>
        </w:rPr>
        <w:instrText xml:space="preserve"> HYPERLINK "https://www-scopus-com.ezproxy.lib.rmit.edu.au/authid/detail.uri?origin=resultslist&amp;authorId=6602456173&amp;zone=" \o "Show author details" </w:instrText>
      </w:r>
      <w:r w:rsidR="00FB0D68" w:rsidRPr="00982819">
        <w:rPr>
          <w:rStyle w:val="Hyperlink"/>
          <w:rFonts w:asciiTheme="minorHAnsi" w:hAnsiTheme="minorHAnsi" w:cstheme="minorHAnsi"/>
          <w:color w:val="000000" w:themeColor="text1"/>
          <w:sz w:val="20"/>
          <w:szCs w:val="20"/>
          <w:u w:val="none"/>
        </w:rPr>
        <w:fldChar w:fldCharType="separate"/>
      </w:r>
      <w:r w:rsidR="00FB0D68" w:rsidRPr="00982819">
        <w:rPr>
          <w:rStyle w:val="Hyperlink"/>
          <w:rFonts w:asciiTheme="minorHAnsi" w:hAnsiTheme="minorHAnsi" w:cstheme="minorHAnsi"/>
          <w:color w:val="000000" w:themeColor="text1"/>
          <w:sz w:val="20"/>
          <w:szCs w:val="20"/>
          <w:u w:val="none"/>
        </w:rPr>
        <w:t>Hashim</w:t>
      </w:r>
      <w:proofErr w:type="spellEnd"/>
      <w:r w:rsidR="00FB0D68" w:rsidRPr="00982819">
        <w:rPr>
          <w:rStyle w:val="Hyperlink"/>
          <w:rFonts w:asciiTheme="minorHAnsi" w:hAnsiTheme="minorHAnsi" w:cstheme="minorHAnsi"/>
          <w:color w:val="000000" w:themeColor="text1"/>
          <w:sz w:val="20"/>
          <w:szCs w:val="20"/>
          <w:u w:val="none"/>
        </w:rPr>
        <w:t xml:space="preserve"> J.H.</w:t>
      </w:r>
      <w:r w:rsidR="00FB0D68" w:rsidRPr="00982819">
        <w:rPr>
          <w:rStyle w:val="Hyperlink"/>
          <w:rFonts w:asciiTheme="minorHAnsi" w:hAnsiTheme="minorHAnsi" w:cstheme="minorHAnsi"/>
          <w:color w:val="000000" w:themeColor="text1"/>
          <w:sz w:val="20"/>
          <w:szCs w:val="20"/>
          <w:u w:val="none"/>
        </w:rPr>
        <w:fldChar w:fldCharType="end"/>
      </w:r>
      <w:r w:rsidR="00FB0D68" w:rsidRPr="00982819">
        <w:rPr>
          <w:rFonts w:asciiTheme="minorHAnsi" w:hAnsiTheme="minorHAnsi" w:cstheme="minorHAnsi"/>
          <w:sz w:val="20"/>
          <w:szCs w:val="20"/>
        </w:rPr>
        <w:t xml:space="preserve">, 2016. </w:t>
      </w:r>
      <w:proofErr w:type="gramStart"/>
      <w:r w:rsidR="00FB0D68" w:rsidRPr="00982819">
        <w:rPr>
          <w:rStyle w:val="Hyperlink"/>
          <w:rFonts w:asciiTheme="minorHAnsi" w:hAnsiTheme="minorHAnsi" w:cstheme="minorHAnsi"/>
          <w:color w:val="000000" w:themeColor="text1"/>
          <w:sz w:val="20"/>
          <w:szCs w:val="20"/>
          <w:u w:val="none"/>
        </w:rPr>
        <w:t>A review on co-benefits of mass public transportation in climate change mitigation.</w:t>
      </w:r>
      <w:proofErr w:type="gramEnd"/>
      <w:r w:rsidR="00FB0D68" w:rsidRPr="00982819">
        <w:rPr>
          <w:rFonts w:asciiTheme="minorHAnsi" w:hAnsiTheme="minorHAnsi" w:cstheme="minorHAnsi"/>
          <w:sz w:val="20"/>
          <w:szCs w:val="20"/>
        </w:rPr>
        <w:t xml:space="preserve"> Sustainable Cities and Society, 22, pp. 11-18.</w:t>
      </w:r>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Landauer</w:t>
      </w:r>
      <w:proofErr w:type="spellEnd"/>
      <w:r w:rsidRPr="00982819">
        <w:rPr>
          <w:rFonts w:asciiTheme="minorHAnsi" w:hAnsiTheme="minorHAnsi" w:cstheme="minorHAnsi"/>
          <w:sz w:val="20"/>
          <w:szCs w:val="20"/>
        </w:rPr>
        <w:t xml:space="preserve">, M., </w:t>
      </w:r>
      <w:proofErr w:type="spellStart"/>
      <w:r w:rsidRPr="00982819">
        <w:rPr>
          <w:rFonts w:asciiTheme="minorHAnsi" w:hAnsiTheme="minorHAnsi" w:cstheme="minorHAnsi"/>
          <w:sz w:val="20"/>
          <w:szCs w:val="20"/>
        </w:rPr>
        <w:t>Juhola</w:t>
      </w:r>
      <w:proofErr w:type="spellEnd"/>
      <w:r w:rsidRPr="00982819">
        <w:rPr>
          <w:rFonts w:asciiTheme="minorHAnsi" w:hAnsiTheme="minorHAnsi" w:cstheme="minorHAnsi"/>
          <w:sz w:val="20"/>
          <w:szCs w:val="20"/>
        </w:rPr>
        <w:t xml:space="preserve">, S. and </w:t>
      </w:r>
      <w:proofErr w:type="spellStart"/>
      <w:r w:rsidRPr="00982819">
        <w:rPr>
          <w:rFonts w:asciiTheme="minorHAnsi" w:hAnsiTheme="minorHAnsi" w:cstheme="minorHAnsi"/>
          <w:sz w:val="20"/>
          <w:szCs w:val="20"/>
        </w:rPr>
        <w:t>Söderholm</w:t>
      </w:r>
      <w:proofErr w:type="spellEnd"/>
      <w:r w:rsidRPr="00982819">
        <w:rPr>
          <w:rFonts w:asciiTheme="minorHAnsi" w:hAnsiTheme="minorHAnsi" w:cstheme="minorHAnsi"/>
          <w:sz w:val="20"/>
          <w:szCs w:val="20"/>
        </w:rPr>
        <w:t>, M., 2015.</w:t>
      </w:r>
      <w:proofErr w:type="gramEnd"/>
      <w:r w:rsidRPr="00982819">
        <w:rPr>
          <w:rFonts w:asciiTheme="minorHAnsi" w:hAnsiTheme="minorHAnsi" w:cstheme="minorHAnsi"/>
          <w:sz w:val="20"/>
          <w:szCs w:val="20"/>
        </w:rPr>
        <w:t xml:space="preserve"> Inter-relationships between adaptation and mitigation: a systematic literature review. </w:t>
      </w:r>
      <w:r w:rsidRPr="00982819">
        <w:rPr>
          <w:rFonts w:asciiTheme="minorHAnsi" w:hAnsiTheme="minorHAnsi" w:cstheme="minorHAnsi"/>
          <w:i/>
          <w:iCs/>
          <w:sz w:val="20"/>
          <w:szCs w:val="20"/>
        </w:rPr>
        <w:t>Climatic change</w:t>
      </w:r>
      <w:r w:rsidRPr="00982819">
        <w:rPr>
          <w:rFonts w:asciiTheme="minorHAnsi" w:hAnsiTheme="minorHAnsi" w:cstheme="minorHAnsi"/>
          <w:sz w:val="20"/>
          <w:szCs w:val="20"/>
        </w:rPr>
        <w:t>, </w:t>
      </w:r>
      <w:r w:rsidRPr="00982819">
        <w:rPr>
          <w:rFonts w:asciiTheme="minorHAnsi" w:hAnsiTheme="minorHAnsi" w:cstheme="minorHAnsi"/>
          <w:i/>
          <w:iCs/>
          <w:sz w:val="20"/>
          <w:szCs w:val="20"/>
        </w:rPr>
        <w:t>131</w:t>
      </w:r>
      <w:r w:rsidR="00982819">
        <w:rPr>
          <w:rFonts w:asciiTheme="minorHAnsi" w:hAnsiTheme="minorHAnsi" w:cstheme="minorHAnsi"/>
          <w:sz w:val="20"/>
          <w:szCs w:val="20"/>
        </w:rPr>
        <w:t>(4), pp.505-517.</w:t>
      </w:r>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Larouche</w:t>
      </w:r>
      <w:proofErr w:type="spellEnd"/>
      <w:r w:rsidRPr="00982819">
        <w:rPr>
          <w:rFonts w:asciiTheme="minorHAnsi" w:hAnsiTheme="minorHAnsi" w:cstheme="minorHAnsi"/>
          <w:sz w:val="20"/>
          <w:szCs w:val="20"/>
        </w:rPr>
        <w:t xml:space="preserve">, R., 2012. The environmental and population health benefits of active transport: A review. </w:t>
      </w:r>
      <w:proofErr w:type="gramStart"/>
      <w:r w:rsidRPr="00982819">
        <w:rPr>
          <w:rFonts w:asciiTheme="minorHAnsi" w:hAnsiTheme="minorHAnsi" w:cstheme="minorHAnsi"/>
          <w:sz w:val="20"/>
          <w:szCs w:val="20"/>
        </w:rPr>
        <w:t>In </w:t>
      </w:r>
      <w:r w:rsidRPr="00982819">
        <w:rPr>
          <w:rFonts w:asciiTheme="minorHAnsi" w:hAnsiTheme="minorHAnsi" w:cstheme="minorHAnsi"/>
          <w:i/>
          <w:iCs/>
          <w:sz w:val="20"/>
          <w:szCs w:val="20"/>
        </w:rPr>
        <w:t>Greenhouse Gases-Emission, Measurement and Management</w:t>
      </w:r>
      <w:r w:rsidR="00982819">
        <w:rPr>
          <w:rFonts w:asciiTheme="minorHAnsi" w:hAnsiTheme="minorHAnsi" w:cstheme="minorHAnsi"/>
          <w:sz w:val="20"/>
          <w:szCs w:val="20"/>
        </w:rPr>
        <w:t>.</w:t>
      </w:r>
      <w:proofErr w:type="gramEnd"/>
      <w:r w:rsidR="00982819">
        <w:rPr>
          <w:rFonts w:asciiTheme="minorHAnsi" w:hAnsiTheme="minorHAnsi" w:cstheme="minorHAnsi"/>
          <w:sz w:val="20"/>
          <w:szCs w:val="20"/>
        </w:rPr>
        <w:t xml:space="preserve"> </w:t>
      </w:r>
      <w:proofErr w:type="spellStart"/>
      <w:proofErr w:type="gramStart"/>
      <w:r w:rsidR="00982819">
        <w:rPr>
          <w:rFonts w:asciiTheme="minorHAnsi" w:hAnsiTheme="minorHAnsi" w:cstheme="minorHAnsi"/>
          <w:sz w:val="20"/>
          <w:szCs w:val="20"/>
        </w:rPr>
        <w:t>InTech</w:t>
      </w:r>
      <w:proofErr w:type="spellEnd"/>
      <w:r w:rsidR="00982819">
        <w:rPr>
          <w:rFonts w:asciiTheme="minorHAnsi" w:hAnsiTheme="minorHAnsi" w:cstheme="minorHAnsi"/>
          <w:sz w:val="20"/>
          <w:szCs w:val="20"/>
        </w:rPr>
        <w:t>.</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Levy, J.I., </w:t>
      </w:r>
      <w:proofErr w:type="spellStart"/>
      <w:r w:rsidRPr="00982819">
        <w:rPr>
          <w:rFonts w:asciiTheme="minorHAnsi" w:hAnsiTheme="minorHAnsi" w:cstheme="minorHAnsi"/>
          <w:sz w:val="20"/>
          <w:szCs w:val="20"/>
        </w:rPr>
        <w:t>Nishioka</w:t>
      </w:r>
      <w:proofErr w:type="spellEnd"/>
      <w:r w:rsidRPr="00982819">
        <w:rPr>
          <w:rFonts w:asciiTheme="minorHAnsi" w:hAnsiTheme="minorHAnsi" w:cstheme="minorHAnsi"/>
          <w:sz w:val="20"/>
          <w:szCs w:val="20"/>
        </w:rPr>
        <w:t>, Y. and Spengler, J.D., 2003.</w:t>
      </w:r>
      <w:proofErr w:type="gramEnd"/>
      <w:r w:rsidRPr="00982819">
        <w:rPr>
          <w:rFonts w:asciiTheme="minorHAnsi" w:hAnsiTheme="minorHAnsi" w:cstheme="minorHAnsi"/>
          <w:sz w:val="20"/>
          <w:szCs w:val="20"/>
        </w:rPr>
        <w:t xml:space="preserve"> The public health benefits of insulation retrofits in existing housing in the United States. </w:t>
      </w:r>
      <w:r w:rsidRPr="00982819">
        <w:rPr>
          <w:rFonts w:asciiTheme="minorHAnsi" w:hAnsiTheme="minorHAnsi" w:cstheme="minorHAnsi"/>
          <w:i/>
          <w:iCs/>
          <w:sz w:val="20"/>
          <w:szCs w:val="20"/>
        </w:rPr>
        <w:t>Environmental Health</w:t>
      </w:r>
      <w:r w:rsidRPr="00982819">
        <w:rPr>
          <w:rFonts w:asciiTheme="minorHAnsi" w:hAnsiTheme="minorHAnsi" w:cstheme="minorHAnsi"/>
          <w:sz w:val="20"/>
          <w:szCs w:val="20"/>
        </w:rPr>
        <w:t>, </w:t>
      </w:r>
      <w:r w:rsidRPr="00982819">
        <w:rPr>
          <w:rFonts w:asciiTheme="minorHAnsi" w:hAnsiTheme="minorHAnsi" w:cstheme="minorHAnsi"/>
          <w:i/>
          <w:iCs/>
          <w:sz w:val="20"/>
          <w:szCs w:val="20"/>
        </w:rPr>
        <w:t>2</w:t>
      </w:r>
      <w:r w:rsidR="00982819">
        <w:rPr>
          <w:rFonts w:asciiTheme="minorHAnsi" w:hAnsiTheme="minorHAnsi" w:cstheme="minorHAnsi"/>
          <w:sz w:val="20"/>
          <w:szCs w:val="20"/>
        </w:rPr>
        <w:t>(1), p.4.</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Lewis, SC, &amp; </w:t>
      </w:r>
      <w:proofErr w:type="spellStart"/>
      <w:r w:rsidRPr="00982819">
        <w:rPr>
          <w:rFonts w:asciiTheme="minorHAnsi" w:hAnsiTheme="minorHAnsi" w:cstheme="minorHAnsi"/>
          <w:sz w:val="20"/>
          <w:szCs w:val="20"/>
        </w:rPr>
        <w:t>Karoly</w:t>
      </w:r>
      <w:proofErr w:type="spellEnd"/>
      <w:r w:rsidRPr="00982819">
        <w:rPr>
          <w:rFonts w:asciiTheme="minorHAnsi" w:hAnsiTheme="minorHAnsi" w:cstheme="minorHAnsi"/>
          <w:sz w:val="20"/>
          <w:szCs w:val="20"/>
        </w:rPr>
        <w:t>, DJ</w:t>
      </w:r>
      <w:proofErr w:type="gramStart"/>
      <w:r w:rsidRPr="00982819">
        <w:rPr>
          <w:rFonts w:asciiTheme="minorHAnsi" w:hAnsiTheme="minorHAnsi" w:cstheme="minorHAnsi"/>
          <w:sz w:val="20"/>
          <w:szCs w:val="20"/>
        </w:rPr>
        <w:t>,.</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 xml:space="preserve">2014, </w:t>
      </w:r>
      <w:r w:rsidRPr="00982819">
        <w:rPr>
          <w:rFonts w:asciiTheme="minorHAnsi" w:hAnsiTheme="minorHAnsi" w:cstheme="minorHAnsi"/>
          <w:i/>
          <w:iCs/>
          <w:sz w:val="20"/>
          <w:szCs w:val="20"/>
        </w:rPr>
        <w:t>‘The role of anthropogenic forcing in the record 2013 Australia-wide annual and spring temperatures’.</w:t>
      </w:r>
      <w:proofErr w:type="gramEnd"/>
      <w:r w:rsidRPr="00982819">
        <w:rPr>
          <w:rFonts w:asciiTheme="minorHAnsi" w:hAnsiTheme="minorHAnsi" w:cstheme="minorHAnsi"/>
          <w:i/>
          <w:iCs/>
          <w:sz w:val="20"/>
          <w:szCs w:val="20"/>
        </w:rPr>
        <w:t xml:space="preserve"> </w:t>
      </w:r>
      <w:proofErr w:type="gramStart"/>
      <w:r w:rsidRPr="00982819">
        <w:rPr>
          <w:rFonts w:asciiTheme="minorHAnsi" w:hAnsiTheme="minorHAnsi" w:cstheme="minorHAnsi"/>
          <w:sz w:val="20"/>
          <w:szCs w:val="20"/>
        </w:rPr>
        <w:t>In Explaining Extremes of 2013 from a climate perspective.</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Bulletin of the American Meteorolo</w:t>
      </w:r>
      <w:r w:rsidR="00982819">
        <w:rPr>
          <w:rFonts w:asciiTheme="minorHAnsi" w:hAnsiTheme="minorHAnsi" w:cstheme="minorHAnsi"/>
          <w:sz w:val="20"/>
          <w:szCs w:val="20"/>
        </w:rPr>
        <w:t>gical Society.</w:t>
      </w:r>
      <w:proofErr w:type="gramEnd"/>
      <w:r w:rsidR="00982819">
        <w:rPr>
          <w:rFonts w:asciiTheme="minorHAnsi" w:hAnsiTheme="minorHAnsi" w:cstheme="minorHAnsi"/>
          <w:sz w:val="20"/>
          <w:szCs w:val="20"/>
        </w:rPr>
        <w:t xml:space="preserve"> 95 (9), S31–S34 </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Lindsay, G., Macmillan, A. and Woodward, A., 2011. </w:t>
      </w:r>
      <w:proofErr w:type="gramStart"/>
      <w:r w:rsidRPr="00982819">
        <w:rPr>
          <w:rFonts w:asciiTheme="minorHAnsi" w:hAnsiTheme="minorHAnsi" w:cstheme="minorHAnsi"/>
          <w:sz w:val="20"/>
          <w:szCs w:val="20"/>
        </w:rPr>
        <w:t>Moving urban trips from cars to bicycles: impact on health and emissions.</w:t>
      </w:r>
      <w:proofErr w:type="gramEnd"/>
      <w:r w:rsidRPr="00982819">
        <w:rPr>
          <w:rFonts w:asciiTheme="minorHAnsi" w:hAnsiTheme="minorHAnsi" w:cstheme="minorHAnsi"/>
          <w:sz w:val="20"/>
          <w:szCs w:val="20"/>
        </w:rPr>
        <w:t> </w:t>
      </w:r>
      <w:proofErr w:type="gramStart"/>
      <w:r w:rsidRPr="00982819">
        <w:rPr>
          <w:rFonts w:asciiTheme="minorHAnsi" w:hAnsiTheme="minorHAnsi" w:cstheme="minorHAnsi"/>
          <w:i/>
          <w:iCs/>
          <w:sz w:val="20"/>
          <w:szCs w:val="20"/>
        </w:rPr>
        <w:t>Australian and New Zealand journal of public health</w:t>
      </w:r>
      <w:r w:rsidRPr="00982819">
        <w:rPr>
          <w:rFonts w:asciiTheme="minorHAnsi" w:hAnsiTheme="minorHAnsi" w:cstheme="minorHAnsi"/>
          <w:sz w:val="20"/>
          <w:szCs w:val="20"/>
        </w:rPr>
        <w:t>, </w:t>
      </w:r>
      <w:r w:rsidRPr="00982819">
        <w:rPr>
          <w:rFonts w:asciiTheme="minorHAnsi" w:hAnsiTheme="minorHAnsi" w:cstheme="minorHAnsi"/>
          <w:i/>
          <w:iCs/>
          <w:sz w:val="20"/>
          <w:szCs w:val="20"/>
        </w:rPr>
        <w:t>35</w:t>
      </w:r>
      <w:r w:rsidR="00982819">
        <w:rPr>
          <w:rFonts w:asciiTheme="minorHAnsi" w:hAnsiTheme="minorHAnsi" w:cstheme="minorHAnsi"/>
          <w:sz w:val="20"/>
          <w:szCs w:val="20"/>
        </w:rPr>
        <w:t>(1), p.54.</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Mayrhofer</w:t>
      </w:r>
      <w:proofErr w:type="spellEnd"/>
      <w:r w:rsidRPr="00982819">
        <w:rPr>
          <w:rFonts w:asciiTheme="minorHAnsi" w:hAnsiTheme="minorHAnsi" w:cstheme="minorHAnsi"/>
          <w:sz w:val="20"/>
          <w:szCs w:val="20"/>
        </w:rPr>
        <w:t xml:space="preserve">, J., 2016. </w:t>
      </w:r>
      <w:proofErr w:type="gramStart"/>
      <w:r w:rsidRPr="00982819">
        <w:rPr>
          <w:rFonts w:asciiTheme="minorHAnsi" w:hAnsiTheme="minorHAnsi" w:cstheme="minorHAnsi"/>
          <w:sz w:val="20"/>
          <w:szCs w:val="20"/>
        </w:rPr>
        <w:t>The science and politics of co-benefits in climate policy, Environmental Science &amp; Policy 57, pp. 22–30.</w:t>
      </w:r>
      <w:proofErr w:type="gramEnd"/>
      <w:r w:rsidR="00982819">
        <w:rPr>
          <w:rFonts w:asciiTheme="minorHAnsi" w:hAnsiTheme="minorHAnsi" w:cstheme="minorHAnsi"/>
          <w:sz w:val="20"/>
          <w:szCs w:val="20"/>
        </w:rPr>
        <w:t xml:space="preserve"> </w:t>
      </w:r>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Macdiarmid</w:t>
      </w:r>
      <w:proofErr w:type="spellEnd"/>
      <w:r w:rsidRPr="00982819">
        <w:rPr>
          <w:rFonts w:asciiTheme="minorHAnsi" w:hAnsiTheme="minorHAnsi" w:cstheme="minorHAnsi"/>
          <w:sz w:val="20"/>
          <w:szCs w:val="20"/>
        </w:rPr>
        <w:t xml:space="preserve">, J.I., Kyle, J., Horgan, G.W., </w:t>
      </w:r>
      <w:proofErr w:type="spellStart"/>
      <w:r w:rsidRPr="00982819">
        <w:rPr>
          <w:rFonts w:asciiTheme="minorHAnsi" w:hAnsiTheme="minorHAnsi" w:cstheme="minorHAnsi"/>
          <w:sz w:val="20"/>
          <w:szCs w:val="20"/>
        </w:rPr>
        <w:t>Loe</w:t>
      </w:r>
      <w:proofErr w:type="spellEnd"/>
      <w:r w:rsidRPr="00982819">
        <w:rPr>
          <w:rFonts w:asciiTheme="minorHAnsi" w:hAnsiTheme="minorHAnsi" w:cstheme="minorHAnsi"/>
          <w:sz w:val="20"/>
          <w:szCs w:val="20"/>
        </w:rPr>
        <w:t>, J., Fyfe, C., Johnstone, A. and McNeill, G., 2012. Sustainable diets for the future: can we contribute to reducing greenhouse gas emissions by eating a healthy diet</w:t>
      </w:r>
      <w:proofErr w:type="gramStart"/>
      <w:r w:rsidRPr="00982819">
        <w:rPr>
          <w:rFonts w:asciiTheme="minorHAnsi" w:hAnsiTheme="minorHAnsi" w:cstheme="minorHAnsi"/>
          <w:sz w:val="20"/>
          <w:szCs w:val="20"/>
        </w:rPr>
        <w:t>?.</w:t>
      </w:r>
      <w:proofErr w:type="gramEnd"/>
      <w:r w:rsidRPr="00982819">
        <w:rPr>
          <w:rFonts w:asciiTheme="minorHAnsi" w:hAnsiTheme="minorHAnsi" w:cstheme="minorHAnsi"/>
          <w:sz w:val="20"/>
          <w:szCs w:val="20"/>
        </w:rPr>
        <w:t> </w:t>
      </w:r>
      <w:proofErr w:type="gramStart"/>
      <w:r w:rsidRPr="00982819">
        <w:rPr>
          <w:rFonts w:asciiTheme="minorHAnsi" w:hAnsiTheme="minorHAnsi" w:cstheme="minorHAnsi"/>
          <w:i/>
          <w:iCs/>
          <w:sz w:val="20"/>
          <w:szCs w:val="20"/>
        </w:rPr>
        <w:t>The American journal of clinical nutrition</w:t>
      </w:r>
      <w:r w:rsidRPr="00982819">
        <w:rPr>
          <w:rFonts w:asciiTheme="minorHAnsi" w:hAnsiTheme="minorHAnsi" w:cstheme="minorHAnsi"/>
          <w:sz w:val="20"/>
          <w:szCs w:val="20"/>
        </w:rPr>
        <w:t>, </w:t>
      </w:r>
      <w:r w:rsidRPr="00982819">
        <w:rPr>
          <w:rFonts w:asciiTheme="minorHAnsi" w:hAnsiTheme="minorHAnsi" w:cstheme="minorHAnsi"/>
          <w:i/>
          <w:iCs/>
          <w:sz w:val="20"/>
          <w:szCs w:val="20"/>
        </w:rPr>
        <w:t>96</w:t>
      </w:r>
      <w:r w:rsidR="00982819">
        <w:rPr>
          <w:rFonts w:asciiTheme="minorHAnsi" w:hAnsiTheme="minorHAnsi" w:cstheme="minorHAnsi"/>
          <w:sz w:val="20"/>
          <w:szCs w:val="20"/>
        </w:rPr>
        <w:t>(3), pp.632-639.</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Maibach</w:t>
      </w:r>
      <w:proofErr w:type="spellEnd"/>
      <w:r w:rsidRPr="00982819">
        <w:rPr>
          <w:rFonts w:asciiTheme="minorHAnsi" w:hAnsiTheme="minorHAnsi" w:cstheme="minorHAnsi"/>
          <w:sz w:val="20"/>
          <w:szCs w:val="20"/>
        </w:rPr>
        <w:t xml:space="preserve">, E.W., </w:t>
      </w:r>
      <w:proofErr w:type="spellStart"/>
      <w:r w:rsidRPr="00982819">
        <w:rPr>
          <w:rFonts w:asciiTheme="minorHAnsi" w:hAnsiTheme="minorHAnsi" w:cstheme="minorHAnsi"/>
          <w:sz w:val="20"/>
          <w:szCs w:val="20"/>
        </w:rPr>
        <w:t>Nisbet</w:t>
      </w:r>
      <w:proofErr w:type="spellEnd"/>
      <w:r w:rsidRPr="00982819">
        <w:rPr>
          <w:rFonts w:asciiTheme="minorHAnsi" w:hAnsiTheme="minorHAnsi" w:cstheme="minorHAnsi"/>
          <w:sz w:val="20"/>
          <w:szCs w:val="20"/>
        </w:rPr>
        <w:t xml:space="preserve">, M., Baldwin, P., </w:t>
      </w:r>
      <w:proofErr w:type="spellStart"/>
      <w:r w:rsidRPr="00982819">
        <w:rPr>
          <w:rFonts w:asciiTheme="minorHAnsi" w:hAnsiTheme="minorHAnsi" w:cstheme="minorHAnsi"/>
          <w:sz w:val="20"/>
          <w:szCs w:val="20"/>
        </w:rPr>
        <w:t>Akerlof</w:t>
      </w:r>
      <w:proofErr w:type="spellEnd"/>
      <w:r w:rsidRPr="00982819">
        <w:rPr>
          <w:rFonts w:asciiTheme="minorHAnsi" w:hAnsiTheme="minorHAnsi" w:cstheme="minorHAnsi"/>
          <w:sz w:val="20"/>
          <w:szCs w:val="20"/>
        </w:rPr>
        <w:t xml:space="preserve">, K. and </w:t>
      </w:r>
      <w:proofErr w:type="spellStart"/>
      <w:r w:rsidRPr="00982819">
        <w:rPr>
          <w:rFonts w:asciiTheme="minorHAnsi" w:hAnsiTheme="minorHAnsi" w:cstheme="minorHAnsi"/>
          <w:sz w:val="20"/>
          <w:szCs w:val="20"/>
        </w:rPr>
        <w:t>Diao</w:t>
      </w:r>
      <w:proofErr w:type="spellEnd"/>
      <w:r w:rsidRPr="00982819">
        <w:rPr>
          <w:rFonts w:asciiTheme="minorHAnsi" w:hAnsiTheme="minorHAnsi" w:cstheme="minorHAnsi"/>
          <w:sz w:val="20"/>
          <w:szCs w:val="20"/>
        </w:rPr>
        <w:t>, G., 2010.</w:t>
      </w:r>
      <w:proofErr w:type="gramEnd"/>
      <w:r w:rsidRPr="00982819">
        <w:rPr>
          <w:rFonts w:asciiTheme="minorHAnsi" w:hAnsiTheme="minorHAnsi" w:cstheme="minorHAnsi"/>
          <w:sz w:val="20"/>
          <w:szCs w:val="20"/>
        </w:rPr>
        <w:t xml:space="preserve"> Reframing climate change as a public health issue: an exploratory study of public reactions. </w:t>
      </w:r>
      <w:proofErr w:type="gramStart"/>
      <w:r w:rsidRPr="00982819">
        <w:rPr>
          <w:rFonts w:asciiTheme="minorHAnsi" w:hAnsiTheme="minorHAnsi" w:cstheme="minorHAnsi"/>
          <w:i/>
          <w:iCs/>
          <w:sz w:val="20"/>
          <w:szCs w:val="20"/>
        </w:rPr>
        <w:t>BMC public health</w:t>
      </w:r>
      <w:r w:rsidRPr="00982819">
        <w:rPr>
          <w:rFonts w:asciiTheme="minorHAnsi" w:hAnsiTheme="minorHAnsi" w:cstheme="minorHAnsi"/>
          <w:sz w:val="20"/>
          <w:szCs w:val="20"/>
        </w:rPr>
        <w:t>, </w:t>
      </w:r>
      <w:r w:rsidRPr="00982819">
        <w:rPr>
          <w:rFonts w:asciiTheme="minorHAnsi" w:hAnsiTheme="minorHAnsi" w:cstheme="minorHAnsi"/>
          <w:i/>
          <w:iCs/>
          <w:sz w:val="20"/>
          <w:szCs w:val="20"/>
        </w:rPr>
        <w:t>10</w:t>
      </w:r>
      <w:r w:rsidR="00982819">
        <w:rPr>
          <w:rFonts w:asciiTheme="minorHAnsi" w:hAnsiTheme="minorHAnsi" w:cstheme="minorHAnsi"/>
          <w:sz w:val="20"/>
          <w:szCs w:val="20"/>
        </w:rPr>
        <w:t>(1), p.299.</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Malik, A., </w:t>
      </w:r>
      <w:proofErr w:type="spellStart"/>
      <w:r w:rsidRPr="00982819">
        <w:rPr>
          <w:rFonts w:asciiTheme="minorHAnsi" w:hAnsiTheme="minorHAnsi" w:cstheme="minorHAnsi"/>
          <w:sz w:val="20"/>
          <w:szCs w:val="20"/>
        </w:rPr>
        <w:t>Lenzen</w:t>
      </w:r>
      <w:proofErr w:type="spellEnd"/>
      <w:r w:rsidRPr="00982819">
        <w:rPr>
          <w:rFonts w:asciiTheme="minorHAnsi" w:hAnsiTheme="minorHAnsi" w:cstheme="minorHAnsi"/>
          <w:sz w:val="20"/>
          <w:szCs w:val="20"/>
        </w:rPr>
        <w:t xml:space="preserve">, M., McAlister, S. and </w:t>
      </w:r>
      <w:proofErr w:type="spellStart"/>
      <w:r w:rsidRPr="00982819">
        <w:rPr>
          <w:rFonts w:asciiTheme="minorHAnsi" w:hAnsiTheme="minorHAnsi" w:cstheme="minorHAnsi"/>
          <w:sz w:val="20"/>
          <w:szCs w:val="20"/>
        </w:rPr>
        <w:t>McGain</w:t>
      </w:r>
      <w:proofErr w:type="spellEnd"/>
      <w:r w:rsidRPr="00982819">
        <w:rPr>
          <w:rFonts w:asciiTheme="minorHAnsi" w:hAnsiTheme="minorHAnsi" w:cstheme="minorHAnsi"/>
          <w:sz w:val="20"/>
          <w:szCs w:val="20"/>
        </w:rPr>
        <w:t>, F., 2018.</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The carbon footprint of Australian health care.</w:t>
      </w:r>
      <w:proofErr w:type="gramEnd"/>
      <w:r w:rsidRPr="00982819">
        <w:rPr>
          <w:rFonts w:asciiTheme="minorHAnsi" w:hAnsiTheme="minorHAnsi" w:cstheme="minorHAnsi"/>
          <w:sz w:val="20"/>
          <w:szCs w:val="20"/>
        </w:rPr>
        <w:t> </w:t>
      </w:r>
      <w:proofErr w:type="gramStart"/>
      <w:r w:rsidRPr="00982819">
        <w:rPr>
          <w:rFonts w:asciiTheme="minorHAnsi" w:hAnsiTheme="minorHAnsi" w:cstheme="minorHAnsi"/>
          <w:i/>
          <w:iCs/>
          <w:sz w:val="20"/>
          <w:szCs w:val="20"/>
        </w:rPr>
        <w:t>The Lancet Planetary Health</w:t>
      </w:r>
      <w:r w:rsidRPr="00982819">
        <w:rPr>
          <w:rFonts w:asciiTheme="minorHAnsi" w:hAnsiTheme="minorHAnsi" w:cstheme="minorHAnsi"/>
          <w:sz w:val="20"/>
          <w:szCs w:val="20"/>
        </w:rPr>
        <w:t>, </w:t>
      </w:r>
      <w:r w:rsidRPr="00982819">
        <w:rPr>
          <w:rFonts w:asciiTheme="minorHAnsi" w:hAnsiTheme="minorHAnsi" w:cstheme="minorHAnsi"/>
          <w:i/>
          <w:iCs/>
          <w:sz w:val="20"/>
          <w:szCs w:val="20"/>
        </w:rPr>
        <w:t>2</w:t>
      </w:r>
      <w:r w:rsidR="00982819">
        <w:rPr>
          <w:rFonts w:asciiTheme="minorHAnsi" w:hAnsiTheme="minorHAnsi" w:cstheme="minorHAnsi"/>
          <w:sz w:val="20"/>
          <w:szCs w:val="20"/>
        </w:rPr>
        <w:t>(1), pp.e27-e35.</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Mallon, K., Hamilton, E., Black, M. and </w:t>
      </w:r>
      <w:proofErr w:type="spellStart"/>
      <w:r w:rsidRPr="00982819">
        <w:rPr>
          <w:rFonts w:asciiTheme="minorHAnsi" w:hAnsiTheme="minorHAnsi" w:cstheme="minorHAnsi"/>
          <w:sz w:val="20"/>
          <w:szCs w:val="20"/>
        </w:rPr>
        <w:t>Beem</w:t>
      </w:r>
      <w:proofErr w:type="spellEnd"/>
      <w:r w:rsidRPr="00982819">
        <w:rPr>
          <w:rFonts w:asciiTheme="minorHAnsi" w:hAnsiTheme="minorHAnsi" w:cstheme="minorHAnsi"/>
          <w:sz w:val="20"/>
          <w:szCs w:val="20"/>
        </w:rPr>
        <w:t>, B., 2013.</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Adapting the community sector for climate extremes.</w:t>
      </w:r>
      <w:proofErr w:type="gramEnd"/>
      <w:r w:rsidRPr="00982819">
        <w:rPr>
          <w:rFonts w:asciiTheme="minorHAnsi" w:hAnsiTheme="minorHAnsi" w:cstheme="minorHAnsi"/>
          <w:sz w:val="20"/>
          <w:szCs w:val="20"/>
        </w:rPr>
        <w:t> </w:t>
      </w:r>
      <w:r w:rsidRPr="00982819">
        <w:rPr>
          <w:rFonts w:asciiTheme="minorHAnsi" w:hAnsiTheme="minorHAnsi" w:cstheme="minorHAnsi"/>
          <w:i/>
          <w:iCs/>
          <w:sz w:val="20"/>
          <w:szCs w:val="20"/>
        </w:rPr>
        <w:t>National Climate Change Adaption Research Facility, Gold Coast</w:t>
      </w:r>
      <w:r w:rsidR="00982819">
        <w:rPr>
          <w:rFonts w:asciiTheme="minorHAnsi" w:hAnsiTheme="minorHAnsi" w:cstheme="minorHAnsi"/>
          <w:sz w:val="20"/>
          <w:szCs w:val="20"/>
        </w:rPr>
        <w:t>.</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McKinley, G., </w:t>
      </w:r>
      <w:proofErr w:type="spellStart"/>
      <w:r w:rsidRPr="00982819">
        <w:rPr>
          <w:rFonts w:asciiTheme="minorHAnsi" w:hAnsiTheme="minorHAnsi" w:cstheme="minorHAnsi"/>
          <w:sz w:val="20"/>
          <w:szCs w:val="20"/>
        </w:rPr>
        <w:t>Zuk</w:t>
      </w:r>
      <w:proofErr w:type="spellEnd"/>
      <w:r w:rsidRPr="00982819">
        <w:rPr>
          <w:rFonts w:asciiTheme="minorHAnsi" w:hAnsiTheme="minorHAnsi" w:cstheme="minorHAnsi"/>
          <w:sz w:val="20"/>
          <w:szCs w:val="20"/>
        </w:rPr>
        <w:t xml:space="preserve">, M., </w:t>
      </w:r>
      <w:proofErr w:type="spellStart"/>
      <w:r w:rsidRPr="00982819">
        <w:rPr>
          <w:rFonts w:asciiTheme="minorHAnsi" w:hAnsiTheme="minorHAnsi" w:cstheme="minorHAnsi"/>
          <w:sz w:val="20"/>
          <w:szCs w:val="20"/>
        </w:rPr>
        <w:t>Höjer</w:t>
      </w:r>
      <w:proofErr w:type="spellEnd"/>
      <w:r w:rsidRPr="00982819">
        <w:rPr>
          <w:rFonts w:asciiTheme="minorHAnsi" w:hAnsiTheme="minorHAnsi" w:cstheme="minorHAnsi"/>
          <w:sz w:val="20"/>
          <w:szCs w:val="20"/>
        </w:rPr>
        <w:t xml:space="preserve">, M., Avalos, M., González, I., </w:t>
      </w:r>
      <w:proofErr w:type="spellStart"/>
      <w:r w:rsidRPr="00982819">
        <w:rPr>
          <w:rFonts w:asciiTheme="minorHAnsi" w:hAnsiTheme="minorHAnsi" w:cstheme="minorHAnsi"/>
          <w:sz w:val="20"/>
          <w:szCs w:val="20"/>
        </w:rPr>
        <w:t>Iniestra</w:t>
      </w:r>
      <w:proofErr w:type="spellEnd"/>
      <w:r w:rsidRPr="00982819">
        <w:rPr>
          <w:rFonts w:asciiTheme="minorHAnsi" w:hAnsiTheme="minorHAnsi" w:cstheme="minorHAnsi"/>
          <w:sz w:val="20"/>
          <w:szCs w:val="20"/>
        </w:rPr>
        <w:t xml:space="preserve">, R., Laguna, I., </w:t>
      </w:r>
      <w:proofErr w:type="spellStart"/>
      <w:r w:rsidRPr="00982819">
        <w:rPr>
          <w:rFonts w:asciiTheme="minorHAnsi" w:hAnsiTheme="minorHAnsi" w:cstheme="minorHAnsi"/>
          <w:sz w:val="20"/>
          <w:szCs w:val="20"/>
        </w:rPr>
        <w:t>Martínez</w:t>
      </w:r>
      <w:proofErr w:type="spellEnd"/>
      <w:r w:rsidRPr="00982819">
        <w:rPr>
          <w:rFonts w:asciiTheme="minorHAnsi" w:hAnsiTheme="minorHAnsi" w:cstheme="minorHAnsi"/>
          <w:sz w:val="20"/>
          <w:szCs w:val="20"/>
        </w:rPr>
        <w:t xml:space="preserve">, M.A., </w:t>
      </w:r>
      <w:proofErr w:type="spellStart"/>
      <w:r w:rsidRPr="00982819">
        <w:rPr>
          <w:rFonts w:asciiTheme="minorHAnsi" w:hAnsiTheme="minorHAnsi" w:cstheme="minorHAnsi"/>
          <w:sz w:val="20"/>
          <w:szCs w:val="20"/>
        </w:rPr>
        <w:t>Osnaya</w:t>
      </w:r>
      <w:proofErr w:type="spellEnd"/>
      <w:r w:rsidRPr="00982819">
        <w:rPr>
          <w:rFonts w:asciiTheme="minorHAnsi" w:hAnsiTheme="minorHAnsi" w:cstheme="minorHAnsi"/>
          <w:sz w:val="20"/>
          <w:szCs w:val="20"/>
        </w:rPr>
        <w:t xml:space="preserve">, P., </w:t>
      </w:r>
      <w:proofErr w:type="spellStart"/>
      <w:r w:rsidRPr="00982819">
        <w:rPr>
          <w:rFonts w:asciiTheme="minorHAnsi" w:hAnsiTheme="minorHAnsi" w:cstheme="minorHAnsi"/>
          <w:sz w:val="20"/>
          <w:szCs w:val="20"/>
        </w:rPr>
        <w:t>Reynales</w:t>
      </w:r>
      <w:proofErr w:type="spellEnd"/>
      <w:r w:rsidRPr="00982819">
        <w:rPr>
          <w:rFonts w:asciiTheme="minorHAnsi" w:hAnsiTheme="minorHAnsi" w:cstheme="minorHAnsi"/>
          <w:sz w:val="20"/>
          <w:szCs w:val="20"/>
        </w:rPr>
        <w:t>, L.M. and Valdés, R., 2005.</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Quantification of local and global benefits from air pollution control in Mexico City.</w:t>
      </w:r>
      <w:proofErr w:type="gramEnd"/>
      <w:r w:rsidRPr="00982819">
        <w:rPr>
          <w:rFonts w:asciiTheme="minorHAnsi" w:hAnsiTheme="minorHAnsi" w:cstheme="minorHAnsi"/>
          <w:sz w:val="20"/>
          <w:szCs w:val="20"/>
        </w:rPr>
        <w:t xml:space="preserve"> </w:t>
      </w:r>
      <w:r w:rsidRPr="00982819">
        <w:rPr>
          <w:rFonts w:asciiTheme="minorHAnsi" w:hAnsiTheme="minorHAnsi" w:cstheme="minorHAnsi"/>
          <w:i/>
          <w:sz w:val="20"/>
          <w:szCs w:val="20"/>
        </w:rPr>
        <w:t xml:space="preserve">Environ </w:t>
      </w:r>
      <w:proofErr w:type="spellStart"/>
      <w:r w:rsidRPr="00982819">
        <w:rPr>
          <w:rFonts w:asciiTheme="minorHAnsi" w:hAnsiTheme="minorHAnsi" w:cstheme="minorHAnsi"/>
          <w:i/>
          <w:sz w:val="20"/>
          <w:szCs w:val="20"/>
        </w:rPr>
        <w:t>Sci</w:t>
      </w:r>
      <w:proofErr w:type="spellEnd"/>
      <w:r w:rsidRPr="00982819">
        <w:rPr>
          <w:rFonts w:asciiTheme="minorHAnsi" w:hAnsiTheme="minorHAnsi" w:cstheme="minorHAnsi"/>
          <w:i/>
          <w:sz w:val="20"/>
          <w:szCs w:val="20"/>
        </w:rPr>
        <w:t xml:space="preserve"> Technol. 39</w:t>
      </w:r>
      <w:r w:rsidRPr="00982819">
        <w:rPr>
          <w:rFonts w:asciiTheme="minorHAnsi" w:hAnsiTheme="minorHAnsi" w:cstheme="minorHAnsi"/>
          <w:sz w:val="20"/>
          <w:szCs w:val="20"/>
        </w:rPr>
        <w:t>(7) pp.1954-61.</w:t>
      </w:r>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MacNeill</w:t>
      </w:r>
      <w:proofErr w:type="spellEnd"/>
      <w:r w:rsidRPr="00982819">
        <w:rPr>
          <w:rFonts w:asciiTheme="minorHAnsi" w:hAnsiTheme="minorHAnsi" w:cstheme="minorHAnsi"/>
          <w:sz w:val="20"/>
          <w:szCs w:val="20"/>
        </w:rPr>
        <w:t xml:space="preserve">, A.J., </w:t>
      </w:r>
      <w:proofErr w:type="spellStart"/>
      <w:r w:rsidRPr="00982819">
        <w:rPr>
          <w:rFonts w:asciiTheme="minorHAnsi" w:hAnsiTheme="minorHAnsi" w:cstheme="minorHAnsi"/>
          <w:sz w:val="20"/>
          <w:szCs w:val="20"/>
        </w:rPr>
        <w:t>Lillywhite</w:t>
      </w:r>
      <w:proofErr w:type="spellEnd"/>
      <w:r w:rsidRPr="00982819">
        <w:rPr>
          <w:rFonts w:asciiTheme="minorHAnsi" w:hAnsiTheme="minorHAnsi" w:cstheme="minorHAnsi"/>
          <w:sz w:val="20"/>
          <w:szCs w:val="20"/>
        </w:rPr>
        <w:t xml:space="preserve">, R. and Brown, C.J., 2017. The impact of surgery on global climate: a carbon </w:t>
      </w:r>
      <w:proofErr w:type="spellStart"/>
      <w:r w:rsidRPr="00982819">
        <w:rPr>
          <w:rFonts w:asciiTheme="minorHAnsi" w:hAnsiTheme="minorHAnsi" w:cstheme="minorHAnsi"/>
          <w:sz w:val="20"/>
          <w:szCs w:val="20"/>
        </w:rPr>
        <w:t>footprinting</w:t>
      </w:r>
      <w:proofErr w:type="spellEnd"/>
      <w:r w:rsidRPr="00982819">
        <w:rPr>
          <w:rFonts w:asciiTheme="minorHAnsi" w:hAnsiTheme="minorHAnsi" w:cstheme="minorHAnsi"/>
          <w:sz w:val="20"/>
          <w:szCs w:val="20"/>
        </w:rPr>
        <w:t xml:space="preserve"> study of operating theatres in three health systems. </w:t>
      </w:r>
      <w:proofErr w:type="gramStart"/>
      <w:r w:rsidRPr="00982819">
        <w:rPr>
          <w:rFonts w:asciiTheme="minorHAnsi" w:hAnsiTheme="minorHAnsi" w:cstheme="minorHAnsi"/>
          <w:i/>
          <w:iCs/>
          <w:sz w:val="20"/>
          <w:szCs w:val="20"/>
        </w:rPr>
        <w:t>The Lancet Planetary Health</w:t>
      </w:r>
      <w:r w:rsidRPr="00982819">
        <w:rPr>
          <w:rFonts w:asciiTheme="minorHAnsi" w:hAnsiTheme="minorHAnsi" w:cstheme="minorHAnsi"/>
          <w:sz w:val="20"/>
          <w:szCs w:val="20"/>
        </w:rPr>
        <w:t>, </w:t>
      </w:r>
      <w:r w:rsidRPr="00982819">
        <w:rPr>
          <w:rFonts w:asciiTheme="minorHAnsi" w:hAnsiTheme="minorHAnsi" w:cstheme="minorHAnsi"/>
          <w:i/>
          <w:iCs/>
          <w:sz w:val="20"/>
          <w:szCs w:val="20"/>
        </w:rPr>
        <w:t>1</w:t>
      </w:r>
      <w:r w:rsidR="00982819">
        <w:rPr>
          <w:rFonts w:asciiTheme="minorHAnsi" w:hAnsiTheme="minorHAnsi" w:cstheme="minorHAnsi"/>
          <w:sz w:val="20"/>
          <w:szCs w:val="20"/>
        </w:rPr>
        <w:t>(9), pp.e381-e388.</w:t>
      </w:r>
      <w:proofErr w:type="gramEnd"/>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McMichael, A.J. and Lindgren, E., 2011. Climate change: present and future risks to health, and necessary responses. </w:t>
      </w:r>
      <w:proofErr w:type="gramStart"/>
      <w:r w:rsidRPr="00982819">
        <w:rPr>
          <w:rFonts w:asciiTheme="minorHAnsi" w:hAnsiTheme="minorHAnsi" w:cstheme="minorHAnsi"/>
          <w:i/>
          <w:iCs/>
          <w:sz w:val="20"/>
          <w:szCs w:val="20"/>
        </w:rPr>
        <w:t>Journal of internal medicine</w:t>
      </w:r>
      <w:r w:rsidRPr="00982819">
        <w:rPr>
          <w:rFonts w:asciiTheme="minorHAnsi" w:hAnsiTheme="minorHAnsi" w:cstheme="minorHAnsi"/>
          <w:sz w:val="20"/>
          <w:szCs w:val="20"/>
        </w:rPr>
        <w:t>, </w:t>
      </w:r>
      <w:r w:rsidRPr="00982819">
        <w:rPr>
          <w:rFonts w:asciiTheme="minorHAnsi" w:hAnsiTheme="minorHAnsi" w:cstheme="minorHAnsi"/>
          <w:i/>
          <w:iCs/>
          <w:sz w:val="20"/>
          <w:szCs w:val="20"/>
        </w:rPr>
        <w:t>270</w:t>
      </w:r>
      <w:r w:rsidR="00982819">
        <w:rPr>
          <w:rFonts w:asciiTheme="minorHAnsi" w:hAnsiTheme="minorHAnsi" w:cstheme="minorHAnsi"/>
          <w:sz w:val="20"/>
          <w:szCs w:val="20"/>
        </w:rPr>
        <w:t>(5), pp.401-413.</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Milner, J., Davies, M. and Wilkinson, P., 2012.</w:t>
      </w:r>
      <w:proofErr w:type="gramEnd"/>
      <w:r w:rsidRPr="00982819">
        <w:rPr>
          <w:rFonts w:asciiTheme="minorHAnsi" w:hAnsiTheme="minorHAnsi" w:cstheme="minorHAnsi"/>
          <w:sz w:val="20"/>
          <w:szCs w:val="20"/>
        </w:rPr>
        <w:t xml:space="preserve"> Urban energy, carbon management (low carbon cities) and co-benefits for human health. </w:t>
      </w:r>
      <w:proofErr w:type="gramStart"/>
      <w:r w:rsidRPr="00982819">
        <w:rPr>
          <w:rFonts w:asciiTheme="minorHAnsi" w:hAnsiTheme="minorHAnsi" w:cstheme="minorHAnsi"/>
          <w:i/>
          <w:iCs/>
          <w:sz w:val="20"/>
          <w:szCs w:val="20"/>
        </w:rPr>
        <w:t>Current Opinion in Environmental Sustainability</w:t>
      </w:r>
      <w:r w:rsidRPr="00982819">
        <w:rPr>
          <w:rFonts w:asciiTheme="minorHAnsi" w:hAnsiTheme="minorHAnsi" w:cstheme="minorHAnsi"/>
          <w:sz w:val="20"/>
          <w:szCs w:val="20"/>
        </w:rPr>
        <w:t>, </w:t>
      </w:r>
      <w:r w:rsidRPr="00982819">
        <w:rPr>
          <w:rFonts w:asciiTheme="minorHAnsi" w:hAnsiTheme="minorHAnsi" w:cstheme="minorHAnsi"/>
          <w:i/>
          <w:iCs/>
          <w:sz w:val="20"/>
          <w:szCs w:val="20"/>
        </w:rPr>
        <w:t>4</w:t>
      </w:r>
      <w:r w:rsidR="00982819">
        <w:rPr>
          <w:rFonts w:asciiTheme="minorHAnsi" w:hAnsiTheme="minorHAnsi" w:cstheme="minorHAnsi"/>
          <w:sz w:val="20"/>
          <w:szCs w:val="20"/>
        </w:rPr>
        <w:t>(4), pp.398-404.</w:t>
      </w:r>
      <w:proofErr w:type="gramEnd"/>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Myers, T.A., </w:t>
      </w:r>
      <w:proofErr w:type="spellStart"/>
      <w:r w:rsidRPr="00982819">
        <w:rPr>
          <w:rFonts w:asciiTheme="minorHAnsi" w:hAnsiTheme="minorHAnsi" w:cstheme="minorHAnsi"/>
          <w:sz w:val="20"/>
          <w:szCs w:val="20"/>
        </w:rPr>
        <w:t>Nisbet</w:t>
      </w:r>
      <w:proofErr w:type="spellEnd"/>
      <w:r w:rsidRPr="00982819">
        <w:rPr>
          <w:rFonts w:asciiTheme="minorHAnsi" w:hAnsiTheme="minorHAnsi" w:cstheme="minorHAnsi"/>
          <w:sz w:val="20"/>
          <w:szCs w:val="20"/>
        </w:rPr>
        <w:t xml:space="preserve">, M.C., </w:t>
      </w:r>
      <w:proofErr w:type="spellStart"/>
      <w:r w:rsidRPr="00982819">
        <w:rPr>
          <w:rFonts w:asciiTheme="minorHAnsi" w:hAnsiTheme="minorHAnsi" w:cstheme="minorHAnsi"/>
          <w:sz w:val="20"/>
          <w:szCs w:val="20"/>
        </w:rPr>
        <w:t>Maibach</w:t>
      </w:r>
      <w:proofErr w:type="spellEnd"/>
      <w:r w:rsidRPr="00982819">
        <w:rPr>
          <w:rFonts w:asciiTheme="minorHAnsi" w:hAnsiTheme="minorHAnsi" w:cstheme="minorHAnsi"/>
          <w:sz w:val="20"/>
          <w:szCs w:val="20"/>
        </w:rPr>
        <w:t xml:space="preserve">, E.W. and </w:t>
      </w:r>
      <w:proofErr w:type="spellStart"/>
      <w:r w:rsidRPr="00982819">
        <w:rPr>
          <w:rFonts w:asciiTheme="minorHAnsi" w:hAnsiTheme="minorHAnsi" w:cstheme="minorHAnsi"/>
          <w:sz w:val="20"/>
          <w:szCs w:val="20"/>
        </w:rPr>
        <w:t>Leiserowitz</w:t>
      </w:r>
      <w:proofErr w:type="spellEnd"/>
      <w:r w:rsidRPr="00982819">
        <w:rPr>
          <w:rFonts w:asciiTheme="minorHAnsi" w:hAnsiTheme="minorHAnsi" w:cstheme="minorHAnsi"/>
          <w:sz w:val="20"/>
          <w:szCs w:val="20"/>
        </w:rPr>
        <w:t>, A.A., 2012. A public health frame arouses hopeful emotions about climate change. </w:t>
      </w:r>
      <w:proofErr w:type="gramStart"/>
      <w:r w:rsidRPr="00982819">
        <w:rPr>
          <w:rFonts w:asciiTheme="minorHAnsi" w:hAnsiTheme="minorHAnsi" w:cstheme="minorHAnsi"/>
          <w:i/>
          <w:iCs/>
          <w:sz w:val="20"/>
          <w:szCs w:val="20"/>
        </w:rPr>
        <w:t>Climatic change</w:t>
      </w:r>
      <w:r w:rsidRPr="00982819">
        <w:rPr>
          <w:rFonts w:asciiTheme="minorHAnsi" w:hAnsiTheme="minorHAnsi" w:cstheme="minorHAnsi"/>
          <w:sz w:val="20"/>
          <w:szCs w:val="20"/>
        </w:rPr>
        <w:t>, </w:t>
      </w:r>
      <w:r w:rsidRPr="00982819">
        <w:rPr>
          <w:rFonts w:asciiTheme="minorHAnsi" w:hAnsiTheme="minorHAnsi" w:cstheme="minorHAnsi"/>
          <w:i/>
          <w:iCs/>
          <w:sz w:val="20"/>
          <w:szCs w:val="20"/>
        </w:rPr>
        <w:t>113</w:t>
      </w:r>
      <w:r w:rsidR="00982819">
        <w:rPr>
          <w:rFonts w:asciiTheme="minorHAnsi" w:hAnsiTheme="minorHAnsi" w:cstheme="minorHAnsi"/>
          <w:sz w:val="20"/>
          <w:szCs w:val="20"/>
        </w:rPr>
        <w:t>(3-4), pp.1105-1112.</w:t>
      </w:r>
      <w:proofErr w:type="gramEnd"/>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Naylor, C. and Appleby, J., 2012. </w:t>
      </w:r>
      <w:r w:rsidRPr="00982819">
        <w:rPr>
          <w:rFonts w:asciiTheme="minorHAnsi" w:hAnsiTheme="minorHAnsi" w:cstheme="minorHAnsi"/>
          <w:i/>
          <w:iCs/>
          <w:sz w:val="20"/>
          <w:szCs w:val="20"/>
        </w:rPr>
        <w:t>Sustainable health and social care: connecting environmental and financial performance</w:t>
      </w:r>
      <w:r w:rsidR="00982819">
        <w:rPr>
          <w:rFonts w:asciiTheme="minorHAnsi" w:hAnsiTheme="minorHAnsi" w:cstheme="minorHAnsi"/>
          <w:sz w:val="20"/>
          <w:szCs w:val="20"/>
        </w:rPr>
        <w:t xml:space="preserve">. </w:t>
      </w:r>
      <w:proofErr w:type="gramStart"/>
      <w:r w:rsidR="00982819">
        <w:rPr>
          <w:rFonts w:asciiTheme="minorHAnsi" w:hAnsiTheme="minorHAnsi" w:cstheme="minorHAnsi"/>
          <w:sz w:val="20"/>
          <w:szCs w:val="20"/>
        </w:rPr>
        <w:t>King's Fund.</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Nemet</w:t>
      </w:r>
      <w:proofErr w:type="spellEnd"/>
      <w:r w:rsidRPr="00982819">
        <w:rPr>
          <w:rFonts w:asciiTheme="minorHAnsi" w:hAnsiTheme="minorHAnsi" w:cstheme="minorHAnsi"/>
          <w:sz w:val="20"/>
          <w:szCs w:val="20"/>
        </w:rPr>
        <w:t>, G.F., Holloway, T. and Meier, P., 2010.</w:t>
      </w:r>
      <w:proofErr w:type="gramEnd"/>
      <w:r w:rsidRPr="00982819">
        <w:rPr>
          <w:rFonts w:asciiTheme="minorHAnsi" w:hAnsiTheme="minorHAnsi" w:cstheme="minorHAnsi"/>
          <w:sz w:val="20"/>
          <w:szCs w:val="20"/>
        </w:rPr>
        <w:t xml:space="preserve"> Implications of incorporating air-quality co-benefits into climate change policymaking. </w:t>
      </w:r>
      <w:r w:rsidRPr="00982819">
        <w:rPr>
          <w:rFonts w:asciiTheme="minorHAnsi" w:hAnsiTheme="minorHAnsi" w:cstheme="minorHAnsi"/>
          <w:i/>
          <w:iCs/>
          <w:sz w:val="20"/>
          <w:szCs w:val="20"/>
        </w:rPr>
        <w:t>Environmental Research Letters</w:t>
      </w:r>
      <w:r w:rsidRPr="00982819">
        <w:rPr>
          <w:rFonts w:asciiTheme="minorHAnsi" w:hAnsiTheme="minorHAnsi" w:cstheme="minorHAnsi"/>
          <w:sz w:val="20"/>
          <w:szCs w:val="20"/>
        </w:rPr>
        <w:t>, </w:t>
      </w:r>
      <w:r w:rsidRPr="00982819">
        <w:rPr>
          <w:rFonts w:asciiTheme="minorHAnsi" w:hAnsiTheme="minorHAnsi" w:cstheme="minorHAnsi"/>
          <w:i/>
          <w:iCs/>
          <w:sz w:val="20"/>
          <w:szCs w:val="20"/>
        </w:rPr>
        <w:t>5</w:t>
      </w:r>
      <w:r w:rsidRPr="00982819">
        <w:rPr>
          <w:rFonts w:asciiTheme="minorHAnsi" w:hAnsiTheme="minorHAnsi" w:cstheme="minorHAnsi"/>
          <w:sz w:val="20"/>
          <w:szCs w:val="20"/>
        </w:rPr>
        <w:t>(1), p.014007.</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NHS Sustainable Development Unit., 2008, updated 2009, 2016. </w:t>
      </w:r>
      <w:proofErr w:type="gramStart"/>
      <w:r w:rsidRPr="00982819">
        <w:rPr>
          <w:rFonts w:asciiTheme="minorHAnsi" w:hAnsiTheme="minorHAnsi" w:cstheme="minorHAnsi"/>
          <w:sz w:val="20"/>
          <w:szCs w:val="20"/>
        </w:rPr>
        <w:t xml:space="preserve">NHS England carbon emissions carbon </w:t>
      </w:r>
      <w:proofErr w:type="spellStart"/>
      <w:r w:rsidRPr="00982819">
        <w:rPr>
          <w:rFonts w:asciiTheme="minorHAnsi" w:hAnsiTheme="minorHAnsi" w:cstheme="minorHAnsi"/>
          <w:sz w:val="20"/>
          <w:szCs w:val="20"/>
        </w:rPr>
        <w:t>footprinting</w:t>
      </w:r>
      <w:proofErr w:type="spellEnd"/>
      <w:r w:rsidRPr="00982819">
        <w:rPr>
          <w:rFonts w:asciiTheme="minorHAnsi" w:hAnsiTheme="minorHAnsi" w:cstheme="minorHAnsi"/>
          <w:sz w:val="20"/>
          <w:szCs w:val="20"/>
        </w:rPr>
        <w:t xml:space="preserve"> report.</w:t>
      </w:r>
      <w:proofErr w:type="gramEnd"/>
      <w:r w:rsidRPr="00982819">
        <w:rPr>
          <w:rFonts w:asciiTheme="minorHAnsi" w:hAnsiTheme="minorHAnsi" w:cstheme="minorHAnsi"/>
          <w:sz w:val="20"/>
          <w:szCs w:val="20"/>
        </w:rPr>
        <w:t xml:space="preserve"> Available at: http://www.sdu.nhs.uk/documents/publications/1263313924_ jgyW_nhs_england_carbon_emiss</w:t>
      </w:r>
      <w:r w:rsidR="00982819">
        <w:rPr>
          <w:rFonts w:asciiTheme="minorHAnsi" w:hAnsiTheme="minorHAnsi" w:cstheme="minorHAnsi"/>
          <w:sz w:val="20"/>
          <w:szCs w:val="20"/>
        </w:rPr>
        <w:t xml:space="preserve">ions_carbon_footprinting_r.pdf </w:t>
      </w:r>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Nisbet</w:t>
      </w:r>
      <w:proofErr w:type="spellEnd"/>
      <w:r w:rsidRPr="00982819">
        <w:rPr>
          <w:rFonts w:asciiTheme="minorHAnsi" w:hAnsiTheme="minorHAnsi" w:cstheme="minorHAnsi"/>
          <w:sz w:val="20"/>
          <w:szCs w:val="20"/>
        </w:rPr>
        <w:t>, M.C., 2009. Communicating climate change: Why frames matter for public engagement. </w:t>
      </w:r>
      <w:r w:rsidRPr="00982819">
        <w:rPr>
          <w:rFonts w:asciiTheme="minorHAnsi" w:hAnsiTheme="minorHAnsi" w:cstheme="minorHAnsi"/>
          <w:i/>
          <w:iCs/>
          <w:sz w:val="20"/>
          <w:szCs w:val="20"/>
        </w:rPr>
        <w:t>Environment: Science and policy for sustainable development</w:t>
      </w:r>
      <w:r w:rsidRPr="00982819">
        <w:rPr>
          <w:rFonts w:asciiTheme="minorHAnsi" w:hAnsiTheme="minorHAnsi" w:cstheme="minorHAnsi"/>
          <w:sz w:val="20"/>
          <w:szCs w:val="20"/>
        </w:rPr>
        <w:t>, </w:t>
      </w:r>
      <w:r w:rsidRPr="00982819">
        <w:rPr>
          <w:rFonts w:asciiTheme="minorHAnsi" w:hAnsiTheme="minorHAnsi" w:cstheme="minorHAnsi"/>
          <w:i/>
          <w:iCs/>
          <w:sz w:val="20"/>
          <w:szCs w:val="20"/>
        </w:rPr>
        <w:t>51</w:t>
      </w:r>
      <w:r w:rsidR="00982819">
        <w:rPr>
          <w:rFonts w:asciiTheme="minorHAnsi" w:hAnsiTheme="minorHAnsi" w:cstheme="minorHAnsi"/>
          <w:sz w:val="20"/>
          <w:szCs w:val="20"/>
        </w:rPr>
        <w:t>(2), pp.12-23.</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Norton, B.A., Coutts, A.M., </w:t>
      </w:r>
      <w:proofErr w:type="spellStart"/>
      <w:r w:rsidRPr="00982819">
        <w:rPr>
          <w:rFonts w:asciiTheme="minorHAnsi" w:hAnsiTheme="minorHAnsi" w:cstheme="minorHAnsi"/>
          <w:sz w:val="20"/>
          <w:szCs w:val="20"/>
        </w:rPr>
        <w:t>Livesley</w:t>
      </w:r>
      <w:proofErr w:type="spellEnd"/>
      <w:r w:rsidRPr="00982819">
        <w:rPr>
          <w:rFonts w:asciiTheme="minorHAnsi" w:hAnsiTheme="minorHAnsi" w:cstheme="minorHAnsi"/>
          <w:sz w:val="20"/>
          <w:szCs w:val="20"/>
        </w:rPr>
        <w:t>, S.J., Harris, R.J., Hunter, A.M. and Williams, N.S., 2015.</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Planning for cooler cities: A framework to prioritise green infrastructure to mitigate high temperatures in urban landscapes.</w:t>
      </w:r>
      <w:proofErr w:type="gramEnd"/>
      <w:r w:rsidRPr="00982819">
        <w:rPr>
          <w:rFonts w:asciiTheme="minorHAnsi" w:hAnsiTheme="minorHAnsi" w:cstheme="minorHAnsi"/>
          <w:sz w:val="20"/>
          <w:szCs w:val="20"/>
        </w:rPr>
        <w:t> </w:t>
      </w:r>
      <w:proofErr w:type="gramStart"/>
      <w:r w:rsidRPr="00982819">
        <w:rPr>
          <w:rFonts w:asciiTheme="minorHAnsi" w:hAnsiTheme="minorHAnsi" w:cstheme="minorHAnsi"/>
          <w:i/>
          <w:iCs/>
          <w:sz w:val="20"/>
          <w:szCs w:val="20"/>
        </w:rPr>
        <w:t>Landscape and Urban Planning</w:t>
      </w:r>
      <w:r w:rsidRPr="00982819">
        <w:rPr>
          <w:rFonts w:asciiTheme="minorHAnsi" w:hAnsiTheme="minorHAnsi" w:cstheme="minorHAnsi"/>
          <w:sz w:val="20"/>
          <w:szCs w:val="20"/>
        </w:rPr>
        <w:t>, </w:t>
      </w:r>
      <w:r w:rsidRPr="00982819">
        <w:rPr>
          <w:rFonts w:asciiTheme="minorHAnsi" w:hAnsiTheme="minorHAnsi" w:cstheme="minorHAnsi"/>
          <w:i/>
          <w:iCs/>
          <w:sz w:val="20"/>
          <w:szCs w:val="20"/>
        </w:rPr>
        <w:t>134</w:t>
      </w:r>
      <w:r w:rsidR="00982819">
        <w:rPr>
          <w:rFonts w:asciiTheme="minorHAnsi" w:hAnsiTheme="minorHAnsi" w:cstheme="minorHAnsi"/>
          <w:sz w:val="20"/>
          <w:szCs w:val="20"/>
        </w:rPr>
        <w:t>, pp.127-138.</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Organisation for Economic Cooperation and Development (OECD), 2014.</w:t>
      </w:r>
      <w:proofErr w:type="gramEnd"/>
      <w:r w:rsidRPr="00982819">
        <w:rPr>
          <w:rFonts w:asciiTheme="minorHAnsi" w:hAnsiTheme="minorHAnsi" w:cstheme="minorHAnsi"/>
          <w:sz w:val="20"/>
          <w:szCs w:val="20"/>
        </w:rPr>
        <w:t xml:space="preserve"> The Cost of Air Pollution: Health Impacts of Road Transport. Available at: </w:t>
      </w:r>
      <w:hyperlink r:id="rId27" w:history="1">
        <w:r w:rsidRPr="00982819">
          <w:rPr>
            <w:rStyle w:val="Hyperlink"/>
            <w:rFonts w:asciiTheme="minorHAnsi" w:hAnsiTheme="minorHAnsi" w:cstheme="minorHAnsi"/>
            <w:sz w:val="20"/>
            <w:szCs w:val="20"/>
          </w:rPr>
          <w:t>http://www.oecd.org/env/the-cost-of-air-pollution-9789264210448-en.htm</w:t>
        </w:r>
      </w:hyperlink>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Okvat</w:t>
      </w:r>
      <w:proofErr w:type="spellEnd"/>
      <w:r w:rsidRPr="00982819">
        <w:rPr>
          <w:rFonts w:asciiTheme="minorHAnsi" w:hAnsiTheme="minorHAnsi" w:cstheme="minorHAnsi"/>
          <w:sz w:val="20"/>
          <w:szCs w:val="20"/>
        </w:rPr>
        <w:t xml:space="preserve">, H.A. and </w:t>
      </w:r>
      <w:proofErr w:type="spellStart"/>
      <w:r w:rsidRPr="00982819">
        <w:rPr>
          <w:rFonts w:asciiTheme="minorHAnsi" w:hAnsiTheme="minorHAnsi" w:cstheme="minorHAnsi"/>
          <w:sz w:val="20"/>
          <w:szCs w:val="20"/>
        </w:rPr>
        <w:t>Zautra</w:t>
      </w:r>
      <w:proofErr w:type="spellEnd"/>
      <w:r w:rsidRPr="00982819">
        <w:rPr>
          <w:rFonts w:asciiTheme="minorHAnsi" w:hAnsiTheme="minorHAnsi" w:cstheme="minorHAnsi"/>
          <w:sz w:val="20"/>
          <w:szCs w:val="20"/>
        </w:rPr>
        <w:t>, A.J., 2011. Community gardening: A parsimonious path to individual, community, and environmental resilience. </w:t>
      </w:r>
      <w:proofErr w:type="gramStart"/>
      <w:r w:rsidRPr="00982819">
        <w:rPr>
          <w:rFonts w:asciiTheme="minorHAnsi" w:hAnsiTheme="minorHAnsi" w:cstheme="minorHAnsi"/>
          <w:i/>
          <w:iCs/>
          <w:sz w:val="20"/>
          <w:szCs w:val="20"/>
        </w:rPr>
        <w:t>American journal of community psychology</w:t>
      </w:r>
      <w:r w:rsidRPr="00982819">
        <w:rPr>
          <w:rFonts w:asciiTheme="minorHAnsi" w:hAnsiTheme="minorHAnsi" w:cstheme="minorHAnsi"/>
          <w:sz w:val="20"/>
          <w:szCs w:val="20"/>
        </w:rPr>
        <w:t>, </w:t>
      </w:r>
      <w:r w:rsidRPr="00982819">
        <w:rPr>
          <w:rFonts w:asciiTheme="minorHAnsi" w:hAnsiTheme="minorHAnsi" w:cstheme="minorHAnsi"/>
          <w:i/>
          <w:iCs/>
          <w:sz w:val="20"/>
          <w:szCs w:val="20"/>
        </w:rPr>
        <w:t>47</w:t>
      </w:r>
      <w:r w:rsidR="00982819">
        <w:rPr>
          <w:rFonts w:asciiTheme="minorHAnsi" w:hAnsiTheme="minorHAnsi" w:cstheme="minorHAnsi"/>
          <w:sz w:val="20"/>
          <w:szCs w:val="20"/>
        </w:rPr>
        <w:t>(3-4), pp.374-387.</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Paranjothy</w:t>
      </w:r>
      <w:proofErr w:type="spellEnd"/>
      <w:r w:rsidRPr="00982819">
        <w:rPr>
          <w:rFonts w:asciiTheme="minorHAnsi" w:hAnsiTheme="minorHAnsi" w:cstheme="minorHAnsi"/>
          <w:sz w:val="20"/>
          <w:szCs w:val="20"/>
        </w:rPr>
        <w:t xml:space="preserve">, S., </w:t>
      </w:r>
      <w:proofErr w:type="spellStart"/>
      <w:r w:rsidRPr="00982819">
        <w:rPr>
          <w:rFonts w:asciiTheme="minorHAnsi" w:hAnsiTheme="minorHAnsi" w:cstheme="minorHAnsi"/>
          <w:sz w:val="20"/>
          <w:szCs w:val="20"/>
        </w:rPr>
        <w:t>Gallacher</w:t>
      </w:r>
      <w:proofErr w:type="spellEnd"/>
      <w:r w:rsidRPr="00982819">
        <w:rPr>
          <w:rFonts w:asciiTheme="minorHAnsi" w:hAnsiTheme="minorHAnsi" w:cstheme="minorHAnsi"/>
          <w:sz w:val="20"/>
          <w:szCs w:val="20"/>
        </w:rPr>
        <w:t xml:space="preserve">, J., </w:t>
      </w:r>
      <w:proofErr w:type="spellStart"/>
      <w:r w:rsidRPr="00982819">
        <w:rPr>
          <w:rFonts w:asciiTheme="minorHAnsi" w:hAnsiTheme="minorHAnsi" w:cstheme="minorHAnsi"/>
          <w:sz w:val="20"/>
          <w:szCs w:val="20"/>
        </w:rPr>
        <w:t>Amlôt</w:t>
      </w:r>
      <w:proofErr w:type="spellEnd"/>
      <w:r w:rsidRPr="00982819">
        <w:rPr>
          <w:rFonts w:asciiTheme="minorHAnsi" w:hAnsiTheme="minorHAnsi" w:cstheme="minorHAnsi"/>
          <w:sz w:val="20"/>
          <w:szCs w:val="20"/>
        </w:rPr>
        <w:t xml:space="preserve">, R., Rubin, G.J., Page, L., Baxter, T., Wight, J., </w:t>
      </w:r>
      <w:proofErr w:type="spellStart"/>
      <w:r w:rsidRPr="00982819">
        <w:rPr>
          <w:rFonts w:asciiTheme="minorHAnsi" w:hAnsiTheme="minorHAnsi" w:cstheme="minorHAnsi"/>
          <w:sz w:val="20"/>
          <w:szCs w:val="20"/>
        </w:rPr>
        <w:t>Kirrage</w:t>
      </w:r>
      <w:proofErr w:type="spellEnd"/>
      <w:r w:rsidRPr="00982819">
        <w:rPr>
          <w:rFonts w:asciiTheme="minorHAnsi" w:hAnsiTheme="minorHAnsi" w:cstheme="minorHAnsi"/>
          <w:sz w:val="20"/>
          <w:szCs w:val="20"/>
        </w:rPr>
        <w:t xml:space="preserve">, D., </w:t>
      </w:r>
      <w:proofErr w:type="spellStart"/>
      <w:r w:rsidRPr="00982819">
        <w:rPr>
          <w:rFonts w:asciiTheme="minorHAnsi" w:hAnsiTheme="minorHAnsi" w:cstheme="minorHAnsi"/>
          <w:sz w:val="20"/>
          <w:szCs w:val="20"/>
        </w:rPr>
        <w:t>McNaught</w:t>
      </w:r>
      <w:proofErr w:type="spellEnd"/>
      <w:r w:rsidRPr="00982819">
        <w:rPr>
          <w:rFonts w:asciiTheme="minorHAnsi" w:hAnsiTheme="minorHAnsi" w:cstheme="minorHAnsi"/>
          <w:sz w:val="20"/>
          <w:szCs w:val="20"/>
        </w:rPr>
        <w:t>, R. and Palmer, S.R., 2011.</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Psychosocial impact of the summer 2007 floods in England.</w:t>
      </w:r>
      <w:proofErr w:type="gramEnd"/>
      <w:r w:rsidRPr="00982819">
        <w:rPr>
          <w:rFonts w:asciiTheme="minorHAnsi" w:hAnsiTheme="minorHAnsi" w:cstheme="minorHAnsi"/>
          <w:sz w:val="20"/>
          <w:szCs w:val="20"/>
        </w:rPr>
        <w:t> </w:t>
      </w:r>
      <w:proofErr w:type="gramStart"/>
      <w:r w:rsidRPr="00982819">
        <w:rPr>
          <w:rFonts w:asciiTheme="minorHAnsi" w:hAnsiTheme="minorHAnsi" w:cstheme="minorHAnsi"/>
          <w:i/>
          <w:iCs/>
          <w:sz w:val="20"/>
          <w:szCs w:val="20"/>
        </w:rPr>
        <w:t>BMC public health</w:t>
      </w:r>
      <w:r w:rsidRPr="00982819">
        <w:rPr>
          <w:rFonts w:asciiTheme="minorHAnsi" w:hAnsiTheme="minorHAnsi" w:cstheme="minorHAnsi"/>
          <w:sz w:val="20"/>
          <w:szCs w:val="20"/>
        </w:rPr>
        <w:t>, </w:t>
      </w:r>
      <w:r w:rsidRPr="00982819">
        <w:rPr>
          <w:rFonts w:asciiTheme="minorHAnsi" w:hAnsiTheme="minorHAnsi" w:cstheme="minorHAnsi"/>
          <w:i/>
          <w:iCs/>
          <w:sz w:val="20"/>
          <w:szCs w:val="20"/>
        </w:rPr>
        <w:t>11</w:t>
      </w:r>
      <w:r w:rsidR="00982819">
        <w:rPr>
          <w:rFonts w:asciiTheme="minorHAnsi" w:hAnsiTheme="minorHAnsi" w:cstheme="minorHAnsi"/>
          <w:sz w:val="20"/>
          <w:szCs w:val="20"/>
        </w:rPr>
        <w:t>(1), p.145.</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Pencheon</w:t>
      </w:r>
      <w:proofErr w:type="spellEnd"/>
      <w:r w:rsidRPr="00982819">
        <w:rPr>
          <w:rFonts w:asciiTheme="minorHAnsi" w:hAnsiTheme="minorHAnsi" w:cstheme="minorHAnsi"/>
          <w:sz w:val="20"/>
          <w:szCs w:val="20"/>
        </w:rPr>
        <w:t xml:space="preserve">, D., 2009. Health services and climate change: what can be done? </w:t>
      </w:r>
      <w:proofErr w:type="gramStart"/>
      <w:r w:rsidRPr="00982819">
        <w:rPr>
          <w:rFonts w:asciiTheme="minorHAnsi" w:hAnsiTheme="minorHAnsi" w:cstheme="minorHAnsi"/>
          <w:i/>
          <w:sz w:val="20"/>
          <w:szCs w:val="20"/>
        </w:rPr>
        <w:t>Journal of Health Services Research and Policy</w:t>
      </w:r>
      <w:r w:rsidRPr="00982819">
        <w:rPr>
          <w:rFonts w:asciiTheme="minorHAnsi" w:hAnsiTheme="minorHAnsi" w:cstheme="minorHAnsi"/>
          <w:sz w:val="20"/>
          <w:szCs w:val="20"/>
        </w:rPr>
        <w:t>, Vol 14(1), pp.2-4).</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Petrovic</w:t>
      </w:r>
      <w:proofErr w:type="spellEnd"/>
      <w:r w:rsidRPr="00982819">
        <w:rPr>
          <w:rFonts w:asciiTheme="minorHAnsi" w:hAnsiTheme="minorHAnsi" w:cstheme="minorHAnsi"/>
          <w:sz w:val="20"/>
          <w:szCs w:val="20"/>
        </w:rPr>
        <w:t xml:space="preserve">, N., </w:t>
      </w:r>
      <w:proofErr w:type="spellStart"/>
      <w:r w:rsidRPr="00982819">
        <w:rPr>
          <w:rFonts w:asciiTheme="minorHAnsi" w:hAnsiTheme="minorHAnsi" w:cstheme="minorHAnsi"/>
          <w:sz w:val="20"/>
          <w:szCs w:val="20"/>
        </w:rPr>
        <w:t>Madrigano</w:t>
      </w:r>
      <w:proofErr w:type="spellEnd"/>
      <w:r w:rsidRPr="00982819">
        <w:rPr>
          <w:rFonts w:asciiTheme="minorHAnsi" w:hAnsiTheme="minorHAnsi" w:cstheme="minorHAnsi"/>
          <w:sz w:val="20"/>
          <w:szCs w:val="20"/>
        </w:rPr>
        <w:t xml:space="preserve">, J. and </w:t>
      </w:r>
      <w:proofErr w:type="spellStart"/>
      <w:r w:rsidRPr="00982819">
        <w:rPr>
          <w:rFonts w:asciiTheme="minorHAnsi" w:hAnsiTheme="minorHAnsi" w:cstheme="minorHAnsi"/>
          <w:sz w:val="20"/>
          <w:szCs w:val="20"/>
        </w:rPr>
        <w:t>Zaval</w:t>
      </w:r>
      <w:proofErr w:type="spellEnd"/>
      <w:r w:rsidRPr="00982819">
        <w:rPr>
          <w:rFonts w:asciiTheme="minorHAnsi" w:hAnsiTheme="minorHAnsi" w:cstheme="minorHAnsi"/>
          <w:sz w:val="20"/>
          <w:szCs w:val="20"/>
        </w:rPr>
        <w:t>, L., 2014. Motivating mitigation: when health matters more than climate change. </w:t>
      </w:r>
      <w:proofErr w:type="gramStart"/>
      <w:r w:rsidRPr="00982819">
        <w:rPr>
          <w:rFonts w:asciiTheme="minorHAnsi" w:hAnsiTheme="minorHAnsi" w:cstheme="minorHAnsi"/>
          <w:i/>
          <w:iCs/>
          <w:sz w:val="20"/>
          <w:szCs w:val="20"/>
        </w:rPr>
        <w:t>Climatic Change</w:t>
      </w:r>
      <w:r w:rsidRPr="00982819">
        <w:rPr>
          <w:rFonts w:asciiTheme="minorHAnsi" w:hAnsiTheme="minorHAnsi" w:cstheme="minorHAnsi"/>
          <w:sz w:val="20"/>
          <w:szCs w:val="20"/>
        </w:rPr>
        <w:t>, </w:t>
      </w:r>
      <w:r w:rsidRPr="00982819">
        <w:rPr>
          <w:rFonts w:asciiTheme="minorHAnsi" w:hAnsiTheme="minorHAnsi" w:cstheme="minorHAnsi"/>
          <w:i/>
          <w:iCs/>
          <w:sz w:val="20"/>
          <w:szCs w:val="20"/>
        </w:rPr>
        <w:t>126</w:t>
      </w:r>
      <w:r w:rsidR="00982819">
        <w:rPr>
          <w:rFonts w:asciiTheme="minorHAnsi" w:hAnsiTheme="minorHAnsi" w:cstheme="minorHAnsi"/>
          <w:sz w:val="20"/>
          <w:szCs w:val="20"/>
        </w:rPr>
        <w:t>(1-2), pp.245-254.</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Public Health Association of Australia, 2014.</w:t>
      </w:r>
      <w:proofErr w:type="gramEnd"/>
      <w:r w:rsidRPr="00982819">
        <w:rPr>
          <w:rFonts w:asciiTheme="minorHAnsi" w:hAnsiTheme="minorHAnsi" w:cstheme="minorHAnsi"/>
          <w:sz w:val="20"/>
          <w:szCs w:val="20"/>
        </w:rPr>
        <w:t xml:space="preserve"> Safe Climate Policy, Available at: </w:t>
      </w:r>
      <w:hyperlink r:id="rId28" w:history="1">
        <w:r w:rsidRPr="00982819">
          <w:rPr>
            <w:rStyle w:val="Hyperlink"/>
            <w:rFonts w:asciiTheme="minorHAnsi" w:hAnsiTheme="minorHAnsi" w:cstheme="minorHAnsi"/>
            <w:sz w:val="20"/>
            <w:szCs w:val="20"/>
          </w:rPr>
          <w:t>https://www.phaa.net.au/documents/item/255</w:t>
        </w:r>
      </w:hyperlink>
      <w:r w:rsidRPr="00982819">
        <w:rPr>
          <w:rFonts w:asciiTheme="minorHAnsi" w:hAnsiTheme="minorHAnsi" w:cstheme="minorHAnsi"/>
          <w:sz w:val="20"/>
          <w:szCs w:val="20"/>
        </w:rPr>
        <w:t xml:space="preserve"> Accessed 28 May 2018.</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Quam, V., G M, </w:t>
      </w:r>
      <w:proofErr w:type="spellStart"/>
      <w:r w:rsidRPr="00982819">
        <w:rPr>
          <w:rFonts w:asciiTheme="minorHAnsi" w:hAnsiTheme="minorHAnsi" w:cstheme="minorHAnsi"/>
          <w:sz w:val="20"/>
          <w:szCs w:val="20"/>
        </w:rPr>
        <w:t>Rocklöv</w:t>
      </w:r>
      <w:proofErr w:type="spellEnd"/>
      <w:r w:rsidRPr="00982819">
        <w:rPr>
          <w:rFonts w:asciiTheme="minorHAnsi" w:hAnsiTheme="minorHAnsi" w:cstheme="minorHAnsi"/>
          <w:sz w:val="20"/>
          <w:szCs w:val="20"/>
        </w:rPr>
        <w:t xml:space="preserve">, J, Quam, MBM, &amp; Lucas, </w:t>
      </w:r>
      <w:proofErr w:type="gramStart"/>
      <w:r w:rsidRPr="00982819">
        <w:rPr>
          <w:rFonts w:asciiTheme="minorHAnsi" w:hAnsiTheme="minorHAnsi" w:cstheme="minorHAnsi"/>
          <w:sz w:val="20"/>
          <w:szCs w:val="20"/>
        </w:rPr>
        <w:t>RAI.,</w:t>
      </w:r>
      <w:proofErr w:type="gramEnd"/>
      <w:r w:rsidRPr="00982819">
        <w:rPr>
          <w:rFonts w:asciiTheme="minorHAnsi" w:hAnsiTheme="minorHAnsi" w:cstheme="minorHAnsi"/>
          <w:sz w:val="20"/>
          <w:szCs w:val="20"/>
        </w:rPr>
        <w:t xml:space="preserve"> 2017. Assessing Greenhouse Gas Emissions and Health Co-Benefits: A Structured Review of Lifestyle-Related Climate Change Mitigation Strategies. </w:t>
      </w:r>
      <w:proofErr w:type="gramStart"/>
      <w:r w:rsidRPr="00982819">
        <w:rPr>
          <w:rFonts w:asciiTheme="minorHAnsi" w:hAnsiTheme="minorHAnsi" w:cstheme="minorHAnsi"/>
          <w:i/>
          <w:iCs/>
          <w:sz w:val="20"/>
          <w:szCs w:val="20"/>
        </w:rPr>
        <w:t>International Journal of Environmental Research and Public Health.,</w:t>
      </w:r>
      <w:r w:rsidRPr="00982819">
        <w:rPr>
          <w:rFonts w:asciiTheme="minorHAnsi" w:hAnsiTheme="minorHAnsi" w:cstheme="minorHAnsi"/>
          <w:sz w:val="20"/>
          <w:szCs w:val="20"/>
        </w:rPr>
        <w:t> </w:t>
      </w:r>
      <w:r w:rsidRPr="00982819">
        <w:rPr>
          <w:rFonts w:asciiTheme="minorHAnsi" w:hAnsiTheme="minorHAnsi" w:cstheme="minorHAnsi"/>
          <w:i/>
          <w:iCs/>
          <w:sz w:val="20"/>
          <w:szCs w:val="20"/>
        </w:rPr>
        <w:t>14</w:t>
      </w:r>
      <w:r w:rsidRPr="00982819">
        <w:rPr>
          <w:rFonts w:asciiTheme="minorHAnsi" w:hAnsiTheme="minorHAnsi" w:cstheme="minorHAnsi"/>
          <w:sz w:val="20"/>
          <w:szCs w:val="20"/>
        </w:rPr>
        <w:t>(5), International journal of environmental research and public health.</w:t>
      </w:r>
      <w:proofErr w:type="gramEnd"/>
      <w:r w:rsidRPr="00982819">
        <w:rPr>
          <w:rFonts w:asciiTheme="minorHAnsi" w:hAnsiTheme="minorHAnsi" w:cstheme="minorHAnsi"/>
          <w:sz w:val="20"/>
          <w:szCs w:val="20"/>
        </w:rPr>
        <w:t xml:space="preserve"> </w:t>
      </w:r>
      <w:r w:rsidR="00982819">
        <w:rPr>
          <w:rFonts w:asciiTheme="minorHAnsi" w:hAnsiTheme="minorHAnsi" w:cstheme="minorHAnsi"/>
          <w:sz w:val="20"/>
          <w:szCs w:val="20"/>
        </w:rPr>
        <w:t xml:space="preserve">2017, </w:t>
      </w:r>
      <w:proofErr w:type="gramStart"/>
      <w:r w:rsidR="00982819">
        <w:rPr>
          <w:rFonts w:asciiTheme="minorHAnsi" w:hAnsiTheme="minorHAnsi" w:cstheme="minorHAnsi"/>
          <w:sz w:val="20"/>
          <w:szCs w:val="20"/>
        </w:rPr>
        <w:t>Vol.14(</w:t>
      </w:r>
      <w:proofErr w:type="gramEnd"/>
      <w:r w:rsidR="00982819">
        <w:rPr>
          <w:rFonts w:asciiTheme="minorHAnsi" w:hAnsiTheme="minorHAnsi" w:cstheme="minorHAnsi"/>
          <w:sz w:val="20"/>
          <w:szCs w:val="20"/>
        </w:rPr>
        <w:t>5).</w:t>
      </w:r>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Remais</w:t>
      </w:r>
      <w:proofErr w:type="spellEnd"/>
      <w:r w:rsidRPr="00982819">
        <w:rPr>
          <w:rFonts w:asciiTheme="minorHAnsi" w:hAnsiTheme="minorHAnsi" w:cstheme="minorHAnsi"/>
          <w:sz w:val="20"/>
          <w:szCs w:val="20"/>
        </w:rPr>
        <w:t xml:space="preserve">, J. et al. 2017, Estimating the Health Effects of Greenhouse Gas Mitigation Strategies: Addressing Parametric, Model, and Valuation Challenges, Environ Health </w:t>
      </w:r>
      <w:proofErr w:type="spellStart"/>
      <w:r w:rsidRPr="00982819">
        <w:rPr>
          <w:rFonts w:asciiTheme="minorHAnsi" w:hAnsiTheme="minorHAnsi" w:cstheme="minorHAnsi"/>
          <w:sz w:val="20"/>
          <w:szCs w:val="20"/>
        </w:rPr>
        <w:t>Perspect</w:t>
      </w:r>
      <w:proofErr w:type="spellEnd"/>
      <w:r w:rsidRPr="00982819">
        <w:rPr>
          <w:rFonts w:asciiTheme="minorHAnsi" w:hAnsiTheme="minorHAnsi" w:cstheme="minorHAnsi"/>
          <w:sz w:val="20"/>
          <w:szCs w:val="20"/>
        </w:rPr>
        <w:t>. 2014 May; 122(5): 447–455.</w:t>
      </w:r>
      <w:r w:rsidR="00982819">
        <w:rPr>
          <w:rFonts w:asciiTheme="minorHAnsi" w:hAnsiTheme="minorHAnsi" w:cstheme="minorHAnsi"/>
          <w:sz w:val="20"/>
          <w:szCs w:val="20"/>
        </w:rPr>
        <w:t xml:space="preserve">  </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Roy, R. and </w:t>
      </w:r>
      <w:proofErr w:type="spellStart"/>
      <w:r w:rsidRPr="00982819">
        <w:rPr>
          <w:rFonts w:asciiTheme="minorHAnsi" w:hAnsiTheme="minorHAnsi" w:cstheme="minorHAnsi"/>
          <w:sz w:val="20"/>
          <w:szCs w:val="20"/>
        </w:rPr>
        <w:t>Braathen</w:t>
      </w:r>
      <w:proofErr w:type="spellEnd"/>
      <w:r w:rsidRPr="00982819">
        <w:rPr>
          <w:rFonts w:asciiTheme="minorHAnsi" w:hAnsiTheme="minorHAnsi" w:cstheme="minorHAnsi"/>
          <w:sz w:val="20"/>
          <w:szCs w:val="20"/>
        </w:rPr>
        <w:t>, N. 2017.</w:t>
      </w:r>
      <w:proofErr w:type="gramEnd"/>
      <w:r w:rsidRPr="00982819">
        <w:rPr>
          <w:rFonts w:asciiTheme="minorHAnsi" w:hAnsiTheme="minorHAnsi" w:cstheme="minorHAnsi"/>
          <w:sz w:val="20"/>
          <w:szCs w:val="20"/>
        </w:rPr>
        <w:t xml:space="preserve"> The Rising Cost of Ambient Air Pollution thus far in the 21st Century: Results from the BRIICS and the OECD Countries, </w:t>
      </w:r>
      <w:r w:rsidRPr="00982819">
        <w:rPr>
          <w:rFonts w:asciiTheme="minorHAnsi" w:hAnsiTheme="minorHAnsi" w:cstheme="minorHAnsi"/>
          <w:i/>
          <w:iCs/>
          <w:sz w:val="20"/>
          <w:szCs w:val="20"/>
        </w:rPr>
        <w:t>OECD Environment Working Papers</w:t>
      </w:r>
      <w:r w:rsidRPr="00982819">
        <w:rPr>
          <w:rFonts w:asciiTheme="minorHAnsi" w:hAnsiTheme="minorHAnsi" w:cstheme="minorHAnsi"/>
          <w:sz w:val="20"/>
          <w:szCs w:val="20"/>
        </w:rPr>
        <w:t xml:space="preserve">, No. 124, OECD Publishing, Paris. </w:t>
      </w:r>
      <w:proofErr w:type="gramStart"/>
      <w:r w:rsidRPr="00982819">
        <w:rPr>
          <w:rFonts w:asciiTheme="minorHAnsi" w:hAnsiTheme="minorHAnsi" w:cstheme="minorHAnsi"/>
          <w:sz w:val="20"/>
          <w:szCs w:val="20"/>
        </w:rPr>
        <w:t>Available at http://dx.doi.org/10.1787/d1b2b844-en Accessed 5 June 2018.</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Royal Melbourne Hospital, 2017.</w:t>
      </w:r>
      <w:proofErr w:type="gramEnd"/>
      <w:r w:rsidRPr="00982819">
        <w:rPr>
          <w:rFonts w:asciiTheme="minorHAnsi" w:hAnsiTheme="minorHAnsi" w:cstheme="minorHAnsi"/>
          <w:sz w:val="20"/>
          <w:szCs w:val="20"/>
        </w:rPr>
        <w:t xml:space="preserve"> Case Study: Reducing Waste from Operating Theatres. Available at: https://www.hospitalesporlasaludambiental.net/wp-content/uploads/2018/02/Reducing-Waste-from-Operating-Theatres-Australia.pdf</w:t>
      </w:r>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Santamouris</w:t>
      </w:r>
      <w:proofErr w:type="spellEnd"/>
      <w:r w:rsidRPr="00982819">
        <w:rPr>
          <w:rFonts w:asciiTheme="minorHAnsi" w:hAnsiTheme="minorHAnsi" w:cstheme="minorHAnsi"/>
          <w:sz w:val="20"/>
          <w:szCs w:val="20"/>
        </w:rPr>
        <w:t>, M., 2014.</w:t>
      </w:r>
      <w:proofErr w:type="gramEnd"/>
      <w:r w:rsidRPr="00982819">
        <w:rPr>
          <w:rFonts w:asciiTheme="minorHAnsi" w:hAnsiTheme="minorHAnsi" w:cstheme="minorHAnsi"/>
          <w:sz w:val="20"/>
          <w:szCs w:val="20"/>
        </w:rPr>
        <w:t xml:space="preserve"> Cooling the cities–a review of reflective and green roof mitigation technologies to fight heat island and improve comfort in urban environments. </w:t>
      </w:r>
      <w:proofErr w:type="gramStart"/>
      <w:r w:rsidRPr="00982819">
        <w:rPr>
          <w:rFonts w:asciiTheme="minorHAnsi" w:hAnsiTheme="minorHAnsi" w:cstheme="minorHAnsi"/>
          <w:i/>
          <w:iCs/>
          <w:sz w:val="20"/>
          <w:szCs w:val="20"/>
        </w:rPr>
        <w:t>Solar energy</w:t>
      </w:r>
      <w:r w:rsidRPr="00982819">
        <w:rPr>
          <w:rFonts w:asciiTheme="minorHAnsi" w:hAnsiTheme="minorHAnsi" w:cstheme="minorHAnsi"/>
          <w:sz w:val="20"/>
          <w:szCs w:val="20"/>
        </w:rPr>
        <w:t>, </w:t>
      </w:r>
      <w:r w:rsidRPr="00982819">
        <w:rPr>
          <w:rFonts w:asciiTheme="minorHAnsi" w:hAnsiTheme="minorHAnsi" w:cstheme="minorHAnsi"/>
          <w:i/>
          <w:iCs/>
          <w:sz w:val="20"/>
          <w:szCs w:val="20"/>
        </w:rPr>
        <w:t>103</w:t>
      </w:r>
      <w:r w:rsidR="00982819">
        <w:rPr>
          <w:rFonts w:asciiTheme="minorHAnsi" w:hAnsiTheme="minorHAnsi" w:cstheme="minorHAnsi"/>
          <w:sz w:val="20"/>
          <w:szCs w:val="20"/>
        </w:rPr>
        <w:t>, pp.682-703.</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Scarborough, P., </w:t>
      </w:r>
      <w:proofErr w:type="spellStart"/>
      <w:r w:rsidRPr="00982819">
        <w:rPr>
          <w:rFonts w:asciiTheme="minorHAnsi" w:hAnsiTheme="minorHAnsi" w:cstheme="minorHAnsi"/>
          <w:sz w:val="20"/>
          <w:szCs w:val="20"/>
        </w:rPr>
        <w:t>Allender</w:t>
      </w:r>
      <w:proofErr w:type="spellEnd"/>
      <w:r w:rsidRPr="00982819">
        <w:rPr>
          <w:rFonts w:asciiTheme="minorHAnsi" w:hAnsiTheme="minorHAnsi" w:cstheme="minorHAnsi"/>
          <w:sz w:val="20"/>
          <w:szCs w:val="20"/>
        </w:rPr>
        <w:t xml:space="preserve">, S., Clarke, D., </w:t>
      </w:r>
      <w:proofErr w:type="spellStart"/>
      <w:r w:rsidRPr="00982819">
        <w:rPr>
          <w:rFonts w:asciiTheme="minorHAnsi" w:hAnsiTheme="minorHAnsi" w:cstheme="minorHAnsi"/>
          <w:sz w:val="20"/>
          <w:szCs w:val="20"/>
        </w:rPr>
        <w:t>Wickramasinghe</w:t>
      </w:r>
      <w:proofErr w:type="spellEnd"/>
      <w:r w:rsidRPr="00982819">
        <w:rPr>
          <w:rFonts w:asciiTheme="minorHAnsi" w:hAnsiTheme="minorHAnsi" w:cstheme="minorHAnsi"/>
          <w:sz w:val="20"/>
          <w:szCs w:val="20"/>
        </w:rPr>
        <w:t>, K. and Rayner, M., 2012.</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Modelling the health impact of environmentally sustainable dietary scenarios in the UK.</w:t>
      </w:r>
      <w:proofErr w:type="gramEnd"/>
      <w:r w:rsidRPr="00982819">
        <w:rPr>
          <w:rFonts w:asciiTheme="minorHAnsi" w:hAnsiTheme="minorHAnsi" w:cstheme="minorHAnsi"/>
          <w:sz w:val="20"/>
          <w:szCs w:val="20"/>
        </w:rPr>
        <w:t> </w:t>
      </w:r>
      <w:proofErr w:type="gramStart"/>
      <w:r w:rsidRPr="00982819">
        <w:rPr>
          <w:rFonts w:asciiTheme="minorHAnsi" w:hAnsiTheme="minorHAnsi" w:cstheme="minorHAnsi"/>
          <w:i/>
          <w:iCs/>
          <w:sz w:val="20"/>
          <w:szCs w:val="20"/>
        </w:rPr>
        <w:t>European journal of clinical nutrition</w:t>
      </w:r>
      <w:r w:rsidRPr="00982819">
        <w:rPr>
          <w:rFonts w:asciiTheme="minorHAnsi" w:hAnsiTheme="minorHAnsi" w:cstheme="minorHAnsi"/>
          <w:sz w:val="20"/>
          <w:szCs w:val="20"/>
        </w:rPr>
        <w:t>, </w:t>
      </w:r>
      <w:r w:rsidRPr="00982819">
        <w:rPr>
          <w:rFonts w:asciiTheme="minorHAnsi" w:hAnsiTheme="minorHAnsi" w:cstheme="minorHAnsi"/>
          <w:i/>
          <w:iCs/>
          <w:sz w:val="20"/>
          <w:szCs w:val="20"/>
        </w:rPr>
        <w:t>66</w:t>
      </w:r>
      <w:r w:rsidR="00982819">
        <w:rPr>
          <w:rFonts w:asciiTheme="minorHAnsi" w:hAnsiTheme="minorHAnsi" w:cstheme="minorHAnsi"/>
          <w:sz w:val="20"/>
          <w:szCs w:val="20"/>
        </w:rPr>
        <w:t>(6), p.710.</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Schwerdtle</w:t>
      </w:r>
      <w:proofErr w:type="spellEnd"/>
      <w:r w:rsidRPr="00982819">
        <w:rPr>
          <w:rFonts w:asciiTheme="minorHAnsi" w:hAnsiTheme="minorHAnsi" w:cstheme="minorHAnsi"/>
          <w:sz w:val="20"/>
          <w:szCs w:val="20"/>
        </w:rPr>
        <w:t>, P., Bowen, K. and McMichael, C., 2018. The health impacts of climate-related migration. </w:t>
      </w:r>
      <w:proofErr w:type="gramStart"/>
      <w:r w:rsidRPr="00982819">
        <w:rPr>
          <w:rFonts w:asciiTheme="minorHAnsi" w:hAnsiTheme="minorHAnsi" w:cstheme="minorHAnsi"/>
          <w:i/>
          <w:iCs/>
          <w:sz w:val="20"/>
          <w:szCs w:val="20"/>
        </w:rPr>
        <w:t>BMC medicine</w:t>
      </w:r>
      <w:r w:rsidRPr="00982819">
        <w:rPr>
          <w:rFonts w:asciiTheme="minorHAnsi" w:hAnsiTheme="minorHAnsi" w:cstheme="minorHAnsi"/>
          <w:sz w:val="20"/>
          <w:szCs w:val="20"/>
        </w:rPr>
        <w:t>, </w:t>
      </w:r>
      <w:r w:rsidRPr="00982819">
        <w:rPr>
          <w:rFonts w:asciiTheme="minorHAnsi" w:hAnsiTheme="minorHAnsi" w:cstheme="minorHAnsi"/>
          <w:i/>
          <w:iCs/>
          <w:sz w:val="20"/>
          <w:szCs w:val="20"/>
        </w:rPr>
        <w:t>16</w:t>
      </w:r>
      <w:r w:rsidR="00982819">
        <w:rPr>
          <w:rFonts w:asciiTheme="minorHAnsi" w:hAnsiTheme="minorHAnsi" w:cstheme="minorHAnsi"/>
          <w:sz w:val="20"/>
          <w:szCs w:val="20"/>
        </w:rPr>
        <w:t>(1), p.1.</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Sherman, J. and </w:t>
      </w:r>
      <w:proofErr w:type="spellStart"/>
      <w:r w:rsidRPr="00982819">
        <w:rPr>
          <w:rFonts w:asciiTheme="minorHAnsi" w:hAnsiTheme="minorHAnsi" w:cstheme="minorHAnsi"/>
          <w:sz w:val="20"/>
          <w:szCs w:val="20"/>
        </w:rPr>
        <w:t>McGain</w:t>
      </w:r>
      <w:proofErr w:type="spellEnd"/>
      <w:r w:rsidRPr="00982819">
        <w:rPr>
          <w:rFonts w:asciiTheme="minorHAnsi" w:hAnsiTheme="minorHAnsi" w:cstheme="minorHAnsi"/>
          <w:sz w:val="20"/>
          <w:szCs w:val="20"/>
        </w:rPr>
        <w:t>, F., 2016.</w:t>
      </w:r>
      <w:proofErr w:type="gramEnd"/>
      <w:r w:rsidRPr="00982819">
        <w:rPr>
          <w:rFonts w:asciiTheme="minorHAnsi" w:hAnsiTheme="minorHAnsi" w:cstheme="minorHAnsi"/>
          <w:sz w:val="20"/>
          <w:szCs w:val="20"/>
        </w:rPr>
        <w:t xml:space="preserve"> Environmental sustainability in </w:t>
      </w:r>
      <w:proofErr w:type="spellStart"/>
      <w:r w:rsidRPr="00982819">
        <w:rPr>
          <w:rFonts w:asciiTheme="minorHAnsi" w:hAnsiTheme="minorHAnsi" w:cstheme="minorHAnsi"/>
          <w:sz w:val="20"/>
          <w:szCs w:val="20"/>
        </w:rPr>
        <w:t>anesthesia</w:t>
      </w:r>
      <w:proofErr w:type="spellEnd"/>
      <w:r w:rsidRPr="00982819">
        <w:rPr>
          <w:rFonts w:asciiTheme="minorHAnsi" w:hAnsiTheme="minorHAnsi" w:cstheme="minorHAnsi"/>
          <w:sz w:val="20"/>
          <w:szCs w:val="20"/>
        </w:rPr>
        <w:t>: pollution prevention and patient safety. </w:t>
      </w:r>
      <w:r w:rsidRPr="00982819">
        <w:rPr>
          <w:rFonts w:asciiTheme="minorHAnsi" w:hAnsiTheme="minorHAnsi" w:cstheme="minorHAnsi"/>
          <w:i/>
          <w:iCs/>
          <w:sz w:val="20"/>
          <w:szCs w:val="20"/>
        </w:rPr>
        <w:t xml:space="preserve">Advances in </w:t>
      </w:r>
      <w:proofErr w:type="spellStart"/>
      <w:r w:rsidRPr="00982819">
        <w:rPr>
          <w:rFonts w:asciiTheme="minorHAnsi" w:hAnsiTheme="minorHAnsi" w:cstheme="minorHAnsi"/>
          <w:i/>
          <w:iCs/>
          <w:sz w:val="20"/>
          <w:szCs w:val="20"/>
        </w:rPr>
        <w:t>Anesthesia</w:t>
      </w:r>
      <w:proofErr w:type="spellEnd"/>
      <w:r w:rsidRPr="00982819">
        <w:rPr>
          <w:rFonts w:asciiTheme="minorHAnsi" w:hAnsiTheme="minorHAnsi" w:cstheme="minorHAnsi"/>
          <w:sz w:val="20"/>
          <w:szCs w:val="20"/>
        </w:rPr>
        <w:t>, </w:t>
      </w:r>
      <w:r w:rsidRPr="00982819">
        <w:rPr>
          <w:rFonts w:asciiTheme="minorHAnsi" w:hAnsiTheme="minorHAnsi" w:cstheme="minorHAnsi"/>
          <w:i/>
          <w:iCs/>
          <w:sz w:val="20"/>
          <w:szCs w:val="20"/>
        </w:rPr>
        <w:t>34</w:t>
      </w:r>
      <w:r w:rsidR="00982819">
        <w:rPr>
          <w:rFonts w:asciiTheme="minorHAnsi" w:hAnsiTheme="minorHAnsi" w:cstheme="minorHAnsi"/>
          <w:sz w:val="20"/>
          <w:szCs w:val="20"/>
        </w:rPr>
        <w:t>(1), pp.47-61.</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Singh, S., Hanna, E.G. and </w:t>
      </w:r>
      <w:proofErr w:type="spellStart"/>
      <w:r w:rsidRPr="00982819">
        <w:rPr>
          <w:rFonts w:asciiTheme="minorHAnsi" w:hAnsiTheme="minorHAnsi" w:cstheme="minorHAnsi"/>
          <w:sz w:val="20"/>
          <w:szCs w:val="20"/>
        </w:rPr>
        <w:t>Kjellstrom</w:t>
      </w:r>
      <w:proofErr w:type="spellEnd"/>
      <w:r w:rsidRPr="00982819">
        <w:rPr>
          <w:rFonts w:asciiTheme="minorHAnsi" w:hAnsiTheme="minorHAnsi" w:cstheme="minorHAnsi"/>
          <w:sz w:val="20"/>
          <w:szCs w:val="20"/>
        </w:rPr>
        <w:t>, T., 2013.</w:t>
      </w:r>
      <w:proofErr w:type="gramEnd"/>
      <w:r w:rsidRPr="00982819">
        <w:rPr>
          <w:rFonts w:asciiTheme="minorHAnsi" w:hAnsiTheme="minorHAnsi" w:cstheme="minorHAnsi"/>
          <w:sz w:val="20"/>
          <w:szCs w:val="20"/>
        </w:rPr>
        <w:t xml:space="preserve"> Working in Australia's heat: Health promotion concerns for health and productivity. </w:t>
      </w:r>
      <w:proofErr w:type="gramStart"/>
      <w:r w:rsidRPr="00982819">
        <w:rPr>
          <w:rFonts w:asciiTheme="minorHAnsi" w:hAnsiTheme="minorHAnsi" w:cstheme="minorHAnsi"/>
          <w:i/>
          <w:iCs/>
          <w:sz w:val="20"/>
          <w:szCs w:val="20"/>
        </w:rPr>
        <w:t>Health promotion international</w:t>
      </w:r>
      <w:r w:rsidRPr="00982819">
        <w:rPr>
          <w:rFonts w:asciiTheme="minorHAnsi" w:hAnsiTheme="minorHAnsi" w:cstheme="minorHAnsi"/>
          <w:sz w:val="20"/>
          <w:szCs w:val="20"/>
        </w:rPr>
        <w:t>, </w:t>
      </w:r>
      <w:r w:rsidRPr="00982819">
        <w:rPr>
          <w:rFonts w:asciiTheme="minorHAnsi" w:hAnsiTheme="minorHAnsi" w:cstheme="minorHAnsi"/>
          <w:i/>
          <w:iCs/>
          <w:sz w:val="20"/>
          <w:szCs w:val="20"/>
        </w:rPr>
        <w:t>30</w:t>
      </w:r>
      <w:r w:rsidR="00982819">
        <w:rPr>
          <w:rFonts w:asciiTheme="minorHAnsi" w:hAnsiTheme="minorHAnsi" w:cstheme="minorHAnsi"/>
          <w:sz w:val="20"/>
          <w:szCs w:val="20"/>
        </w:rPr>
        <w:t>(2), pp.239-250.</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Smith, K. et al Energy and Human Health </w:t>
      </w:r>
      <w:proofErr w:type="spellStart"/>
      <w:r w:rsidRPr="00982819">
        <w:rPr>
          <w:rFonts w:asciiTheme="minorHAnsi" w:hAnsiTheme="minorHAnsi" w:cstheme="minorHAnsi"/>
          <w:sz w:val="20"/>
          <w:szCs w:val="20"/>
        </w:rPr>
        <w:t>Annu</w:t>
      </w:r>
      <w:proofErr w:type="spellEnd"/>
      <w:r w:rsidRPr="00982819">
        <w:rPr>
          <w:rFonts w:asciiTheme="minorHAnsi" w:hAnsiTheme="minorHAnsi" w:cstheme="minorHAnsi"/>
          <w:sz w:val="20"/>
          <w:szCs w:val="20"/>
        </w:rPr>
        <w:t>.</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Rev.</w:t>
      </w:r>
      <w:r w:rsidR="00982819">
        <w:rPr>
          <w:rFonts w:asciiTheme="minorHAnsi" w:hAnsiTheme="minorHAnsi" w:cstheme="minorHAnsi"/>
          <w:sz w:val="20"/>
          <w:szCs w:val="20"/>
        </w:rPr>
        <w:t xml:space="preserve"> Public Health 2013.</w:t>
      </w:r>
      <w:proofErr w:type="gramEnd"/>
      <w:r w:rsidR="00982819">
        <w:rPr>
          <w:rFonts w:asciiTheme="minorHAnsi" w:hAnsiTheme="minorHAnsi" w:cstheme="minorHAnsi"/>
          <w:sz w:val="20"/>
          <w:szCs w:val="20"/>
        </w:rPr>
        <w:t xml:space="preserve"> 34:159–88 </w:t>
      </w:r>
    </w:p>
    <w:p w:rsidR="00FB0D68" w:rsidRPr="00982819" w:rsidRDefault="00FB0D68" w:rsidP="00982819">
      <w:pPr>
        <w:spacing w:before="200" w:after="200" w:line="288" w:lineRule="auto"/>
        <w:rPr>
          <w:rFonts w:asciiTheme="minorHAnsi" w:hAnsiTheme="minorHAnsi" w:cstheme="minorHAnsi"/>
          <w:bCs/>
          <w:sz w:val="20"/>
          <w:szCs w:val="20"/>
        </w:rPr>
      </w:pPr>
      <w:r w:rsidRPr="00982819">
        <w:rPr>
          <w:rFonts w:asciiTheme="minorHAnsi" w:hAnsiTheme="minorHAnsi" w:cstheme="minorHAnsi"/>
          <w:bCs/>
          <w:sz w:val="20"/>
          <w:szCs w:val="20"/>
        </w:rPr>
        <w:t>Smith, K.R., A. Woodward, D. Campbell-</w:t>
      </w:r>
      <w:proofErr w:type="spellStart"/>
      <w:r w:rsidRPr="00982819">
        <w:rPr>
          <w:rFonts w:asciiTheme="minorHAnsi" w:hAnsiTheme="minorHAnsi" w:cstheme="minorHAnsi"/>
          <w:bCs/>
          <w:sz w:val="20"/>
          <w:szCs w:val="20"/>
        </w:rPr>
        <w:t>Lendrum</w:t>
      </w:r>
      <w:proofErr w:type="spellEnd"/>
      <w:r w:rsidRPr="00982819">
        <w:rPr>
          <w:rFonts w:asciiTheme="minorHAnsi" w:hAnsiTheme="minorHAnsi" w:cstheme="minorHAnsi"/>
          <w:bCs/>
          <w:sz w:val="20"/>
          <w:szCs w:val="20"/>
        </w:rPr>
        <w:t xml:space="preserve">, D.D. </w:t>
      </w:r>
      <w:proofErr w:type="spellStart"/>
      <w:r w:rsidRPr="00982819">
        <w:rPr>
          <w:rFonts w:asciiTheme="minorHAnsi" w:hAnsiTheme="minorHAnsi" w:cstheme="minorHAnsi"/>
          <w:bCs/>
          <w:sz w:val="20"/>
          <w:szCs w:val="20"/>
        </w:rPr>
        <w:t>Chadee</w:t>
      </w:r>
      <w:proofErr w:type="spellEnd"/>
      <w:r w:rsidRPr="00982819">
        <w:rPr>
          <w:rFonts w:asciiTheme="minorHAnsi" w:hAnsiTheme="minorHAnsi" w:cstheme="minorHAnsi"/>
          <w:bCs/>
          <w:sz w:val="20"/>
          <w:szCs w:val="20"/>
        </w:rPr>
        <w:t xml:space="preserve">, Y. Honda, Q. Liu, J.M. </w:t>
      </w:r>
      <w:proofErr w:type="spellStart"/>
      <w:r w:rsidRPr="00982819">
        <w:rPr>
          <w:rFonts w:asciiTheme="minorHAnsi" w:hAnsiTheme="minorHAnsi" w:cstheme="minorHAnsi"/>
          <w:bCs/>
          <w:sz w:val="20"/>
          <w:szCs w:val="20"/>
        </w:rPr>
        <w:t>Olwoch</w:t>
      </w:r>
      <w:proofErr w:type="spellEnd"/>
      <w:r w:rsidRPr="00982819">
        <w:rPr>
          <w:rFonts w:asciiTheme="minorHAnsi" w:hAnsiTheme="minorHAnsi" w:cstheme="minorHAnsi"/>
          <w:bCs/>
          <w:sz w:val="20"/>
          <w:szCs w:val="20"/>
        </w:rPr>
        <w:t xml:space="preserve">, B. </w:t>
      </w:r>
      <w:proofErr w:type="spellStart"/>
      <w:r w:rsidRPr="00982819">
        <w:rPr>
          <w:rFonts w:asciiTheme="minorHAnsi" w:hAnsiTheme="minorHAnsi" w:cstheme="minorHAnsi"/>
          <w:bCs/>
          <w:sz w:val="20"/>
          <w:szCs w:val="20"/>
        </w:rPr>
        <w:t>Revich</w:t>
      </w:r>
      <w:proofErr w:type="spellEnd"/>
      <w:r w:rsidRPr="00982819">
        <w:rPr>
          <w:rFonts w:asciiTheme="minorHAnsi" w:hAnsiTheme="minorHAnsi" w:cstheme="minorHAnsi"/>
          <w:bCs/>
          <w:sz w:val="20"/>
          <w:szCs w:val="20"/>
        </w:rPr>
        <w:t xml:space="preserve">, and R. </w:t>
      </w:r>
      <w:proofErr w:type="spellStart"/>
      <w:r w:rsidRPr="00982819">
        <w:rPr>
          <w:rFonts w:asciiTheme="minorHAnsi" w:hAnsiTheme="minorHAnsi" w:cstheme="minorHAnsi"/>
          <w:bCs/>
          <w:sz w:val="20"/>
          <w:szCs w:val="20"/>
        </w:rPr>
        <w:t>Sauerborn</w:t>
      </w:r>
      <w:proofErr w:type="spellEnd"/>
      <w:r w:rsidRPr="00982819">
        <w:rPr>
          <w:rFonts w:asciiTheme="minorHAnsi" w:hAnsiTheme="minorHAnsi" w:cstheme="minorHAnsi"/>
          <w:bCs/>
          <w:sz w:val="20"/>
          <w:szCs w:val="20"/>
        </w:rPr>
        <w:t xml:space="preserve">, 2014: Human health: impacts, adaptation, and co-benefits. In: </w:t>
      </w:r>
      <w:r w:rsidRPr="00982819">
        <w:rPr>
          <w:rFonts w:asciiTheme="minorHAnsi" w:hAnsiTheme="minorHAnsi" w:cstheme="minorHAnsi"/>
          <w:bCs/>
          <w:i/>
          <w:iCs/>
          <w:sz w:val="20"/>
          <w:szCs w:val="20"/>
        </w:rPr>
        <w:t xml:space="preserve">Climate Change 2014: Impacts, Adaptation, and Vulnerability. Part A: Global and Sectoral Aspects. Contribution of Working Group II to the Fifth Assessment Report of the Intergovernmental Panel on Climate Change </w:t>
      </w:r>
      <w:r w:rsidRPr="00982819">
        <w:rPr>
          <w:rFonts w:asciiTheme="minorHAnsi" w:hAnsiTheme="minorHAnsi" w:cstheme="minorHAnsi"/>
          <w:bCs/>
          <w:sz w:val="20"/>
          <w:szCs w:val="20"/>
        </w:rPr>
        <w:t xml:space="preserve">[Field, C.B., V.R. Barros, D.J. </w:t>
      </w:r>
      <w:proofErr w:type="spellStart"/>
      <w:r w:rsidRPr="00982819">
        <w:rPr>
          <w:rFonts w:asciiTheme="minorHAnsi" w:hAnsiTheme="minorHAnsi" w:cstheme="minorHAnsi"/>
          <w:bCs/>
          <w:sz w:val="20"/>
          <w:szCs w:val="20"/>
        </w:rPr>
        <w:t>Dokken</w:t>
      </w:r>
      <w:proofErr w:type="spellEnd"/>
      <w:r w:rsidRPr="00982819">
        <w:rPr>
          <w:rFonts w:asciiTheme="minorHAnsi" w:hAnsiTheme="minorHAnsi" w:cstheme="minorHAnsi"/>
          <w:bCs/>
          <w:sz w:val="20"/>
          <w:szCs w:val="20"/>
        </w:rPr>
        <w:t xml:space="preserve">, K.J. Mach, M.D. </w:t>
      </w:r>
      <w:proofErr w:type="spellStart"/>
      <w:r w:rsidRPr="00982819">
        <w:rPr>
          <w:rFonts w:asciiTheme="minorHAnsi" w:hAnsiTheme="minorHAnsi" w:cstheme="minorHAnsi"/>
          <w:bCs/>
          <w:sz w:val="20"/>
          <w:szCs w:val="20"/>
        </w:rPr>
        <w:t>Mastrandrea</w:t>
      </w:r>
      <w:proofErr w:type="spellEnd"/>
      <w:r w:rsidRPr="00982819">
        <w:rPr>
          <w:rFonts w:asciiTheme="minorHAnsi" w:hAnsiTheme="minorHAnsi" w:cstheme="minorHAnsi"/>
          <w:bCs/>
          <w:sz w:val="20"/>
          <w:szCs w:val="20"/>
        </w:rPr>
        <w:t xml:space="preserve">, T.E. </w:t>
      </w:r>
      <w:proofErr w:type="spellStart"/>
      <w:r w:rsidRPr="00982819">
        <w:rPr>
          <w:rFonts w:asciiTheme="minorHAnsi" w:hAnsiTheme="minorHAnsi" w:cstheme="minorHAnsi"/>
          <w:bCs/>
          <w:sz w:val="20"/>
          <w:szCs w:val="20"/>
        </w:rPr>
        <w:t>Bilir</w:t>
      </w:r>
      <w:proofErr w:type="spellEnd"/>
      <w:r w:rsidRPr="00982819">
        <w:rPr>
          <w:rFonts w:asciiTheme="minorHAnsi" w:hAnsiTheme="minorHAnsi" w:cstheme="minorHAnsi"/>
          <w:bCs/>
          <w:sz w:val="20"/>
          <w:szCs w:val="20"/>
        </w:rPr>
        <w:t xml:space="preserve">, M. Chatterjee, K.L. </w:t>
      </w:r>
      <w:proofErr w:type="spellStart"/>
      <w:r w:rsidRPr="00982819">
        <w:rPr>
          <w:rFonts w:asciiTheme="minorHAnsi" w:hAnsiTheme="minorHAnsi" w:cstheme="minorHAnsi"/>
          <w:bCs/>
          <w:sz w:val="20"/>
          <w:szCs w:val="20"/>
        </w:rPr>
        <w:t>Ebi</w:t>
      </w:r>
      <w:proofErr w:type="spellEnd"/>
      <w:r w:rsidRPr="00982819">
        <w:rPr>
          <w:rFonts w:asciiTheme="minorHAnsi" w:hAnsiTheme="minorHAnsi" w:cstheme="minorHAnsi"/>
          <w:bCs/>
          <w:sz w:val="20"/>
          <w:szCs w:val="20"/>
        </w:rPr>
        <w:t xml:space="preserve">, Y.O. Estrada, R.C. Genova, B. </w:t>
      </w:r>
      <w:proofErr w:type="spellStart"/>
      <w:r w:rsidRPr="00982819">
        <w:rPr>
          <w:rFonts w:asciiTheme="minorHAnsi" w:hAnsiTheme="minorHAnsi" w:cstheme="minorHAnsi"/>
          <w:bCs/>
          <w:sz w:val="20"/>
          <w:szCs w:val="20"/>
        </w:rPr>
        <w:t>Girma</w:t>
      </w:r>
      <w:proofErr w:type="spellEnd"/>
      <w:r w:rsidRPr="00982819">
        <w:rPr>
          <w:rFonts w:asciiTheme="minorHAnsi" w:hAnsiTheme="minorHAnsi" w:cstheme="minorHAnsi"/>
          <w:bCs/>
          <w:sz w:val="20"/>
          <w:szCs w:val="20"/>
        </w:rPr>
        <w:t xml:space="preserve">, E.S. </w:t>
      </w:r>
      <w:proofErr w:type="spellStart"/>
      <w:r w:rsidRPr="00982819">
        <w:rPr>
          <w:rFonts w:asciiTheme="minorHAnsi" w:hAnsiTheme="minorHAnsi" w:cstheme="minorHAnsi"/>
          <w:bCs/>
          <w:sz w:val="20"/>
          <w:szCs w:val="20"/>
        </w:rPr>
        <w:t>Kissel</w:t>
      </w:r>
      <w:proofErr w:type="spellEnd"/>
      <w:r w:rsidRPr="00982819">
        <w:rPr>
          <w:rFonts w:asciiTheme="minorHAnsi" w:hAnsiTheme="minorHAnsi" w:cstheme="minorHAnsi"/>
          <w:bCs/>
          <w:sz w:val="20"/>
          <w:szCs w:val="20"/>
        </w:rPr>
        <w:t xml:space="preserve">, A.N. Levy, S. MacCracken, P.R. </w:t>
      </w:r>
      <w:proofErr w:type="spellStart"/>
      <w:r w:rsidRPr="00982819">
        <w:rPr>
          <w:rFonts w:asciiTheme="minorHAnsi" w:hAnsiTheme="minorHAnsi" w:cstheme="minorHAnsi"/>
          <w:bCs/>
          <w:sz w:val="20"/>
          <w:szCs w:val="20"/>
        </w:rPr>
        <w:t>Mastrandrea</w:t>
      </w:r>
      <w:proofErr w:type="spellEnd"/>
      <w:r w:rsidRPr="00982819">
        <w:rPr>
          <w:rFonts w:asciiTheme="minorHAnsi" w:hAnsiTheme="minorHAnsi" w:cstheme="minorHAnsi"/>
          <w:bCs/>
          <w:sz w:val="20"/>
          <w:szCs w:val="20"/>
        </w:rPr>
        <w:t>, and L.L. White (eds.)]. Cambridge University Press, Cambridge, United Kingdom and N</w:t>
      </w:r>
      <w:r w:rsidR="00982819">
        <w:rPr>
          <w:rFonts w:asciiTheme="minorHAnsi" w:hAnsiTheme="minorHAnsi" w:cstheme="minorHAnsi"/>
          <w:bCs/>
          <w:sz w:val="20"/>
          <w:szCs w:val="20"/>
        </w:rPr>
        <w:t xml:space="preserve">ew York, NY, USA, pp. 709-754. </w:t>
      </w:r>
    </w:p>
    <w:p w:rsidR="00BD1C46" w:rsidRPr="00982819" w:rsidRDefault="00BD1C46" w:rsidP="00982819">
      <w:pPr>
        <w:spacing w:before="200" w:after="200" w:line="288" w:lineRule="auto"/>
        <w:rPr>
          <w:rFonts w:asciiTheme="minorHAnsi" w:hAnsiTheme="minorHAnsi" w:cstheme="minorHAnsi"/>
          <w:color w:val="000000" w:themeColor="text1"/>
          <w:sz w:val="20"/>
          <w:szCs w:val="20"/>
          <w:lang w:eastAsia="en-AU"/>
        </w:rPr>
      </w:pPr>
      <w:r w:rsidRPr="00982819">
        <w:rPr>
          <w:rFonts w:asciiTheme="minorHAnsi" w:hAnsiTheme="minorHAnsi" w:cstheme="minorHAnsi"/>
          <w:color w:val="000000" w:themeColor="text1"/>
          <w:sz w:val="20"/>
          <w:szCs w:val="20"/>
          <w:lang w:eastAsia="en-AU"/>
        </w:rPr>
        <w:t xml:space="preserve">South, E.C., </w:t>
      </w:r>
      <w:proofErr w:type="spellStart"/>
      <w:r w:rsidRPr="00982819">
        <w:rPr>
          <w:rFonts w:asciiTheme="minorHAnsi" w:hAnsiTheme="minorHAnsi" w:cstheme="minorHAnsi"/>
          <w:color w:val="000000" w:themeColor="text1"/>
          <w:sz w:val="20"/>
          <w:szCs w:val="20"/>
          <w:lang w:eastAsia="en-AU"/>
        </w:rPr>
        <w:t>Hohl</w:t>
      </w:r>
      <w:proofErr w:type="spellEnd"/>
      <w:r w:rsidRPr="00982819">
        <w:rPr>
          <w:rFonts w:asciiTheme="minorHAnsi" w:hAnsiTheme="minorHAnsi" w:cstheme="minorHAnsi"/>
          <w:color w:val="000000" w:themeColor="text1"/>
          <w:sz w:val="20"/>
          <w:szCs w:val="20"/>
          <w:lang w:eastAsia="en-AU"/>
        </w:rPr>
        <w:t xml:space="preserve">, B.C., Kondo, M.C., MacDonald, J.M. and </w:t>
      </w:r>
      <w:proofErr w:type="spellStart"/>
      <w:r w:rsidRPr="00982819">
        <w:rPr>
          <w:rFonts w:asciiTheme="minorHAnsi" w:hAnsiTheme="minorHAnsi" w:cstheme="minorHAnsi"/>
          <w:color w:val="000000" w:themeColor="text1"/>
          <w:sz w:val="20"/>
          <w:szCs w:val="20"/>
          <w:lang w:eastAsia="en-AU"/>
        </w:rPr>
        <w:t>Branas</w:t>
      </w:r>
      <w:proofErr w:type="spellEnd"/>
      <w:r w:rsidRPr="00982819">
        <w:rPr>
          <w:rFonts w:asciiTheme="minorHAnsi" w:hAnsiTheme="minorHAnsi" w:cstheme="minorHAnsi"/>
          <w:color w:val="000000" w:themeColor="text1"/>
          <w:sz w:val="20"/>
          <w:szCs w:val="20"/>
          <w:lang w:eastAsia="en-AU"/>
        </w:rPr>
        <w:t>, C.C., 2018. Effect of Greening Vacant Land on Mental Health of Community-Dwelling Adults: A Cluster Randomized Trial. </w:t>
      </w:r>
      <w:r w:rsidRPr="00982819">
        <w:rPr>
          <w:rFonts w:asciiTheme="minorHAnsi" w:hAnsiTheme="minorHAnsi" w:cstheme="minorHAnsi"/>
          <w:i/>
          <w:iCs/>
          <w:color w:val="000000" w:themeColor="text1"/>
          <w:sz w:val="20"/>
          <w:szCs w:val="20"/>
          <w:lang w:eastAsia="en-AU"/>
        </w:rPr>
        <w:t>JAMA Network Open</w:t>
      </w:r>
      <w:r w:rsidRPr="00982819">
        <w:rPr>
          <w:rFonts w:asciiTheme="minorHAnsi" w:hAnsiTheme="minorHAnsi" w:cstheme="minorHAnsi"/>
          <w:color w:val="000000" w:themeColor="text1"/>
          <w:sz w:val="20"/>
          <w:szCs w:val="20"/>
          <w:lang w:eastAsia="en-AU"/>
        </w:rPr>
        <w:t>, </w:t>
      </w:r>
      <w:r w:rsidRPr="00982819">
        <w:rPr>
          <w:rFonts w:asciiTheme="minorHAnsi" w:hAnsiTheme="minorHAnsi" w:cstheme="minorHAnsi"/>
          <w:i/>
          <w:iCs/>
          <w:color w:val="000000" w:themeColor="text1"/>
          <w:sz w:val="20"/>
          <w:szCs w:val="20"/>
          <w:lang w:eastAsia="en-AU"/>
        </w:rPr>
        <w:t>1</w:t>
      </w:r>
      <w:r w:rsidR="00982819">
        <w:rPr>
          <w:rFonts w:asciiTheme="minorHAnsi" w:hAnsiTheme="minorHAnsi" w:cstheme="minorHAnsi"/>
          <w:color w:val="000000" w:themeColor="text1"/>
          <w:sz w:val="20"/>
          <w:szCs w:val="20"/>
          <w:lang w:eastAsia="en-AU"/>
        </w:rPr>
        <w:t>(3), pp.e180298-e180298.</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Southern Cross Care, 2016 https://www.greenhospitals.net/wp-content/uploads/2017/12/Souther-Cross-Care-Australia.pdf</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State Government of Victoria, 2009, </w:t>
      </w:r>
      <w:r w:rsidRPr="00982819">
        <w:rPr>
          <w:rFonts w:asciiTheme="minorHAnsi" w:hAnsiTheme="minorHAnsi" w:cstheme="minorHAnsi"/>
          <w:i/>
          <w:iCs/>
          <w:sz w:val="20"/>
          <w:szCs w:val="20"/>
        </w:rPr>
        <w:t>January 2009 heatwave in Victoria: An assessment of health impacts</w:t>
      </w:r>
      <w:r w:rsidRPr="00982819">
        <w:rPr>
          <w:rFonts w:asciiTheme="minorHAnsi" w:hAnsiTheme="minorHAnsi" w:cstheme="minorHAnsi"/>
          <w:sz w:val="20"/>
          <w:szCs w:val="20"/>
        </w:rPr>
        <w:t xml:space="preserve">. Department of Health and Human Services Victoria, Melbourne.  </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State Government of Victoria, 2014, </w:t>
      </w:r>
      <w:proofErr w:type="gramStart"/>
      <w:r w:rsidRPr="00982819">
        <w:rPr>
          <w:rFonts w:asciiTheme="minorHAnsi" w:hAnsiTheme="minorHAnsi" w:cstheme="minorHAnsi"/>
          <w:i/>
          <w:iCs/>
          <w:sz w:val="20"/>
          <w:szCs w:val="20"/>
        </w:rPr>
        <w:t>The</w:t>
      </w:r>
      <w:proofErr w:type="gramEnd"/>
      <w:r w:rsidRPr="00982819">
        <w:rPr>
          <w:rFonts w:asciiTheme="minorHAnsi" w:hAnsiTheme="minorHAnsi" w:cstheme="minorHAnsi"/>
          <w:i/>
          <w:iCs/>
          <w:sz w:val="20"/>
          <w:szCs w:val="20"/>
        </w:rPr>
        <w:t xml:space="preserve"> health impacts of the January 2014 heatwave in Victoria</w:t>
      </w:r>
      <w:r w:rsidRPr="00982819">
        <w:rPr>
          <w:rFonts w:asciiTheme="minorHAnsi" w:hAnsiTheme="minorHAnsi" w:cstheme="minorHAnsi"/>
          <w:sz w:val="20"/>
          <w:szCs w:val="20"/>
        </w:rPr>
        <w:t xml:space="preserve">. Department </w:t>
      </w:r>
      <w:r w:rsidR="00982819">
        <w:rPr>
          <w:rFonts w:asciiTheme="minorHAnsi" w:hAnsiTheme="minorHAnsi" w:cstheme="minorHAnsi"/>
          <w:sz w:val="20"/>
          <w:szCs w:val="20"/>
        </w:rPr>
        <w:t xml:space="preserve">of Health Victoria, Melbourne. </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State of Victoria, 2017a, </w:t>
      </w:r>
      <w:r w:rsidRPr="00982819">
        <w:rPr>
          <w:rFonts w:asciiTheme="minorHAnsi" w:hAnsiTheme="minorHAnsi" w:cstheme="minorHAnsi"/>
          <w:i/>
          <w:iCs/>
          <w:sz w:val="20"/>
          <w:szCs w:val="20"/>
        </w:rPr>
        <w:t>The November 2016 Victorian epidemic thunderstorm asthma event: an assessment</w:t>
      </w:r>
      <w:r w:rsidRPr="00982819">
        <w:rPr>
          <w:rFonts w:asciiTheme="minorHAnsi" w:hAnsiTheme="minorHAnsi" w:cstheme="minorHAnsi"/>
          <w:i/>
          <w:iCs/>
          <w:sz w:val="20"/>
          <w:szCs w:val="20"/>
        </w:rPr>
        <w:br/>
        <w:t>of the health impacts: The Chief Health Officer’s Report, 27 April 2017</w:t>
      </w:r>
      <w:r w:rsidRPr="00982819">
        <w:rPr>
          <w:rFonts w:asciiTheme="minorHAnsi" w:hAnsiTheme="minorHAnsi" w:cstheme="minorHAnsi"/>
          <w:sz w:val="20"/>
          <w:szCs w:val="20"/>
        </w:rPr>
        <w:t>. Department of Health and Human Serv</w:t>
      </w:r>
      <w:r w:rsidR="00982819">
        <w:rPr>
          <w:rFonts w:asciiTheme="minorHAnsi" w:hAnsiTheme="minorHAnsi" w:cstheme="minorHAnsi"/>
          <w:sz w:val="20"/>
          <w:szCs w:val="20"/>
        </w:rPr>
        <w:t xml:space="preserve">ices Victoria, Melbourne. </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State of Victoria, 2017b, </w:t>
      </w:r>
      <w:r w:rsidRPr="00982819">
        <w:rPr>
          <w:rFonts w:asciiTheme="minorHAnsi" w:hAnsiTheme="minorHAnsi" w:cstheme="minorHAnsi"/>
          <w:i/>
          <w:iCs/>
          <w:sz w:val="20"/>
          <w:szCs w:val="20"/>
        </w:rPr>
        <w:t>Review of the response to the thunderstorm asthma event of 21–22 November 2016: Final report</w:t>
      </w:r>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Inspector-General for Emergency Management, Melbourne.</w:t>
      </w:r>
      <w:proofErr w:type="gramEnd"/>
      <w:r w:rsidRPr="00982819">
        <w:rPr>
          <w:rFonts w:asciiTheme="minorHAnsi" w:hAnsiTheme="minorHAnsi" w:cstheme="minorHAnsi"/>
          <w:sz w:val="20"/>
          <w:szCs w:val="20"/>
        </w:rPr>
        <w:t xml:space="preserve"> </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Steffen, W, Hughes, L, Alexander, D &amp; Rice, M., 2017a, </w:t>
      </w:r>
      <w:r w:rsidRPr="00982819">
        <w:rPr>
          <w:rFonts w:asciiTheme="minorHAnsi" w:hAnsiTheme="minorHAnsi" w:cstheme="minorHAnsi"/>
          <w:i/>
          <w:iCs/>
          <w:sz w:val="20"/>
          <w:szCs w:val="20"/>
        </w:rPr>
        <w:t xml:space="preserve">‘Cranking </w:t>
      </w:r>
      <w:proofErr w:type="gramStart"/>
      <w:r w:rsidRPr="00982819">
        <w:rPr>
          <w:rFonts w:asciiTheme="minorHAnsi" w:hAnsiTheme="minorHAnsi" w:cstheme="minorHAnsi"/>
          <w:i/>
          <w:iCs/>
          <w:sz w:val="20"/>
          <w:szCs w:val="20"/>
        </w:rPr>
        <w:t>Up The</w:t>
      </w:r>
      <w:proofErr w:type="gramEnd"/>
      <w:r w:rsidRPr="00982819">
        <w:rPr>
          <w:rFonts w:asciiTheme="minorHAnsi" w:hAnsiTheme="minorHAnsi" w:cstheme="minorHAnsi"/>
          <w:i/>
          <w:iCs/>
          <w:sz w:val="20"/>
          <w:szCs w:val="20"/>
        </w:rPr>
        <w:t xml:space="preserve"> Intensity: Climate Change and Extreme Weather Events’, </w:t>
      </w:r>
      <w:r w:rsidRPr="00982819">
        <w:rPr>
          <w:rFonts w:asciiTheme="minorHAnsi" w:hAnsiTheme="minorHAnsi" w:cstheme="minorHAnsi"/>
          <w:sz w:val="20"/>
          <w:szCs w:val="20"/>
        </w:rPr>
        <w:t>Climate Council of Australia, Available at: https://www.climatecouncil.org.au/uploads/1b331044fb03fd0997c4a4946705606b.pdf</w:t>
      </w:r>
      <w:r w:rsidR="00982819">
        <w:rPr>
          <w:rFonts w:asciiTheme="minorHAnsi" w:hAnsiTheme="minorHAnsi" w:cstheme="minorHAnsi"/>
          <w:sz w:val="20"/>
          <w:szCs w:val="20"/>
        </w:rPr>
        <w:t xml:space="preserve"> </w:t>
      </w:r>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Tallis</w:t>
      </w:r>
      <w:proofErr w:type="spellEnd"/>
      <w:r w:rsidRPr="00982819">
        <w:rPr>
          <w:rFonts w:asciiTheme="minorHAnsi" w:hAnsiTheme="minorHAnsi" w:cstheme="minorHAnsi"/>
          <w:sz w:val="20"/>
          <w:szCs w:val="20"/>
        </w:rPr>
        <w:t xml:space="preserve">, M., Taylor, G., </w:t>
      </w:r>
      <w:proofErr w:type="spellStart"/>
      <w:r w:rsidRPr="00982819">
        <w:rPr>
          <w:rFonts w:asciiTheme="minorHAnsi" w:hAnsiTheme="minorHAnsi" w:cstheme="minorHAnsi"/>
          <w:sz w:val="20"/>
          <w:szCs w:val="20"/>
        </w:rPr>
        <w:t>Sinnett</w:t>
      </w:r>
      <w:proofErr w:type="spellEnd"/>
      <w:r w:rsidRPr="00982819">
        <w:rPr>
          <w:rFonts w:asciiTheme="minorHAnsi" w:hAnsiTheme="minorHAnsi" w:cstheme="minorHAnsi"/>
          <w:sz w:val="20"/>
          <w:szCs w:val="20"/>
        </w:rPr>
        <w:t>, D. and Freer-Smith, P., 2011.</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Estimating the removal of atmospheric particulate pollution by the urban tree canopy of London, under current and future environments.</w:t>
      </w:r>
      <w:proofErr w:type="gramEnd"/>
      <w:r w:rsidRPr="00982819">
        <w:rPr>
          <w:rFonts w:asciiTheme="minorHAnsi" w:hAnsiTheme="minorHAnsi" w:cstheme="minorHAnsi"/>
          <w:sz w:val="20"/>
          <w:szCs w:val="20"/>
        </w:rPr>
        <w:t> </w:t>
      </w:r>
      <w:proofErr w:type="gramStart"/>
      <w:r w:rsidRPr="00982819">
        <w:rPr>
          <w:rFonts w:asciiTheme="minorHAnsi" w:hAnsiTheme="minorHAnsi" w:cstheme="minorHAnsi"/>
          <w:i/>
          <w:iCs/>
          <w:sz w:val="20"/>
          <w:szCs w:val="20"/>
        </w:rPr>
        <w:t>Landscape and Urban Planning</w:t>
      </w:r>
      <w:r w:rsidRPr="00982819">
        <w:rPr>
          <w:rFonts w:asciiTheme="minorHAnsi" w:hAnsiTheme="minorHAnsi" w:cstheme="minorHAnsi"/>
          <w:sz w:val="20"/>
          <w:szCs w:val="20"/>
        </w:rPr>
        <w:t>, </w:t>
      </w:r>
      <w:r w:rsidRPr="00982819">
        <w:rPr>
          <w:rFonts w:asciiTheme="minorHAnsi" w:hAnsiTheme="minorHAnsi" w:cstheme="minorHAnsi"/>
          <w:i/>
          <w:iCs/>
          <w:sz w:val="20"/>
          <w:szCs w:val="20"/>
        </w:rPr>
        <w:t>103</w:t>
      </w:r>
      <w:r w:rsidRPr="00982819">
        <w:rPr>
          <w:rFonts w:asciiTheme="minorHAnsi" w:hAnsiTheme="minorHAnsi" w:cstheme="minorHAnsi"/>
          <w:sz w:val="20"/>
          <w:szCs w:val="20"/>
        </w:rPr>
        <w:t>(2), pp.129-138.</w:t>
      </w:r>
      <w:proofErr w:type="gramEnd"/>
    </w:p>
    <w:p w:rsidR="00FB0D68" w:rsidRPr="00982819" w:rsidRDefault="00FB0D68" w:rsidP="00982819">
      <w:pPr>
        <w:spacing w:before="200" w:after="200" w:line="288" w:lineRule="auto"/>
        <w:rPr>
          <w:rFonts w:asciiTheme="minorHAnsi" w:hAnsiTheme="minorHAnsi" w:cstheme="minorHAnsi"/>
          <w:sz w:val="20"/>
          <w:szCs w:val="20"/>
        </w:rPr>
      </w:pP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Telfer B, </w:t>
      </w:r>
      <w:proofErr w:type="spellStart"/>
      <w:r w:rsidRPr="00982819">
        <w:rPr>
          <w:rFonts w:asciiTheme="minorHAnsi" w:hAnsiTheme="minorHAnsi" w:cstheme="minorHAnsi"/>
          <w:sz w:val="20"/>
          <w:szCs w:val="20"/>
        </w:rPr>
        <w:t>Rissel</w:t>
      </w:r>
      <w:proofErr w:type="spellEnd"/>
      <w:r w:rsidRPr="00982819">
        <w:rPr>
          <w:rFonts w:asciiTheme="minorHAnsi" w:hAnsiTheme="minorHAnsi" w:cstheme="minorHAnsi"/>
          <w:sz w:val="20"/>
          <w:szCs w:val="20"/>
        </w:rPr>
        <w:t xml:space="preserve"> C, </w:t>
      </w:r>
      <w:proofErr w:type="spellStart"/>
      <w:r w:rsidRPr="00982819">
        <w:rPr>
          <w:rFonts w:asciiTheme="minorHAnsi" w:hAnsiTheme="minorHAnsi" w:cstheme="minorHAnsi"/>
          <w:sz w:val="20"/>
          <w:szCs w:val="20"/>
        </w:rPr>
        <w:t>Bindon</w:t>
      </w:r>
      <w:proofErr w:type="spellEnd"/>
      <w:r w:rsidRPr="00982819">
        <w:rPr>
          <w:rFonts w:asciiTheme="minorHAnsi" w:hAnsiTheme="minorHAnsi" w:cstheme="minorHAnsi"/>
          <w:sz w:val="20"/>
          <w:szCs w:val="20"/>
        </w:rPr>
        <w:t xml:space="preserve"> J, Bosch T., 2006.</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Encouraging cycling through a pilot cycling proficiency training program among adults in central Sydney.</w:t>
      </w:r>
      <w:proofErr w:type="gramEnd"/>
      <w:r w:rsidRPr="00982819">
        <w:rPr>
          <w:rFonts w:asciiTheme="minorHAnsi" w:hAnsiTheme="minorHAnsi" w:cstheme="minorHAnsi"/>
          <w:sz w:val="20"/>
          <w:szCs w:val="20"/>
        </w:rPr>
        <w:t xml:space="preserve"> </w:t>
      </w:r>
      <w:r w:rsidRPr="00982819">
        <w:rPr>
          <w:rFonts w:asciiTheme="minorHAnsi" w:hAnsiTheme="minorHAnsi" w:cstheme="minorHAnsi"/>
          <w:i/>
          <w:iCs/>
          <w:sz w:val="20"/>
          <w:szCs w:val="20"/>
        </w:rPr>
        <w:t xml:space="preserve">J </w:t>
      </w:r>
      <w:proofErr w:type="spellStart"/>
      <w:r w:rsidRPr="00982819">
        <w:rPr>
          <w:rFonts w:asciiTheme="minorHAnsi" w:hAnsiTheme="minorHAnsi" w:cstheme="minorHAnsi"/>
          <w:i/>
          <w:iCs/>
          <w:sz w:val="20"/>
          <w:szCs w:val="20"/>
        </w:rPr>
        <w:t>Sci</w:t>
      </w:r>
      <w:proofErr w:type="spellEnd"/>
      <w:r w:rsidRPr="00982819">
        <w:rPr>
          <w:rFonts w:asciiTheme="minorHAnsi" w:hAnsiTheme="minorHAnsi" w:cstheme="minorHAnsi"/>
          <w:i/>
          <w:iCs/>
          <w:sz w:val="20"/>
          <w:szCs w:val="20"/>
        </w:rPr>
        <w:t xml:space="preserve"> Med Sport</w:t>
      </w:r>
      <w:r w:rsidRPr="00982819">
        <w:rPr>
          <w:rFonts w:asciiTheme="minorHAnsi" w:hAnsiTheme="minorHAnsi" w:cstheme="minorHAnsi"/>
          <w:sz w:val="20"/>
          <w:szCs w:val="20"/>
        </w:rPr>
        <w:t>; 9(1–2): 151–6. d</w:t>
      </w:r>
      <w:r w:rsidR="00982819">
        <w:rPr>
          <w:rFonts w:asciiTheme="minorHAnsi" w:hAnsiTheme="minorHAnsi" w:cstheme="minorHAnsi"/>
          <w:sz w:val="20"/>
          <w:szCs w:val="20"/>
        </w:rPr>
        <w:t>oi:10.1016/j.jsams.2005.06.001.</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Thompson, T.M., Rausch, S., </w:t>
      </w:r>
      <w:proofErr w:type="spellStart"/>
      <w:r w:rsidRPr="00982819">
        <w:rPr>
          <w:rFonts w:asciiTheme="minorHAnsi" w:hAnsiTheme="minorHAnsi" w:cstheme="minorHAnsi"/>
          <w:sz w:val="20"/>
          <w:szCs w:val="20"/>
        </w:rPr>
        <w:t>Saari</w:t>
      </w:r>
      <w:proofErr w:type="spellEnd"/>
      <w:r w:rsidRPr="00982819">
        <w:rPr>
          <w:rFonts w:asciiTheme="minorHAnsi" w:hAnsiTheme="minorHAnsi" w:cstheme="minorHAnsi"/>
          <w:sz w:val="20"/>
          <w:szCs w:val="20"/>
        </w:rPr>
        <w:t xml:space="preserve">, R.K. and </w:t>
      </w:r>
      <w:proofErr w:type="spellStart"/>
      <w:r w:rsidRPr="00982819">
        <w:rPr>
          <w:rFonts w:asciiTheme="minorHAnsi" w:hAnsiTheme="minorHAnsi" w:cstheme="minorHAnsi"/>
          <w:sz w:val="20"/>
          <w:szCs w:val="20"/>
        </w:rPr>
        <w:t>Selin</w:t>
      </w:r>
      <w:proofErr w:type="spellEnd"/>
      <w:r w:rsidRPr="00982819">
        <w:rPr>
          <w:rFonts w:asciiTheme="minorHAnsi" w:hAnsiTheme="minorHAnsi" w:cstheme="minorHAnsi"/>
          <w:sz w:val="20"/>
          <w:szCs w:val="20"/>
        </w:rPr>
        <w:t>, N.E., 2014.</w:t>
      </w:r>
      <w:proofErr w:type="gramEnd"/>
      <w:r w:rsidRPr="00982819">
        <w:rPr>
          <w:rFonts w:asciiTheme="minorHAnsi" w:hAnsiTheme="minorHAnsi" w:cstheme="minorHAnsi"/>
          <w:sz w:val="20"/>
          <w:szCs w:val="20"/>
        </w:rPr>
        <w:t xml:space="preserve"> A systems approach to evaluating the air quality co-benefits of US carbon policies. </w:t>
      </w:r>
      <w:proofErr w:type="gramStart"/>
      <w:r w:rsidRPr="00982819">
        <w:rPr>
          <w:rFonts w:asciiTheme="minorHAnsi" w:hAnsiTheme="minorHAnsi" w:cstheme="minorHAnsi"/>
          <w:i/>
          <w:iCs/>
          <w:sz w:val="20"/>
          <w:szCs w:val="20"/>
        </w:rPr>
        <w:t>Nature Climate Change</w:t>
      </w:r>
      <w:r w:rsidRPr="00982819">
        <w:rPr>
          <w:rFonts w:asciiTheme="minorHAnsi" w:hAnsiTheme="minorHAnsi" w:cstheme="minorHAnsi"/>
          <w:sz w:val="20"/>
          <w:szCs w:val="20"/>
        </w:rPr>
        <w:t>, </w:t>
      </w:r>
      <w:r w:rsidRPr="00982819">
        <w:rPr>
          <w:rFonts w:asciiTheme="minorHAnsi" w:hAnsiTheme="minorHAnsi" w:cstheme="minorHAnsi"/>
          <w:i/>
          <w:iCs/>
          <w:sz w:val="20"/>
          <w:szCs w:val="20"/>
        </w:rPr>
        <w:t>4</w:t>
      </w:r>
      <w:r w:rsidR="00982819">
        <w:rPr>
          <w:rFonts w:asciiTheme="minorHAnsi" w:hAnsiTheme="minorHAnsi" w:cstheme="minorHAnsi"/>
          <w:sz w:val="20"/>
          <w:szCs w:val="20"/>
        </w:rPr>
        <w:t>(10), p.917.</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Tofa</w:t>
      </w:r>
      <w:proofErr w:type="spellEnd"/>
      <w:r w:rsidRPr="00982819">
        <w:rPr>
          <w:rFonts w:asciiTheme="minorHAnsi" w:hAnsiTheme="minorHAnsi" w:cstheme="minorHAnsi"/>
          <w:sz w:val="20"/>
          <w:szCs w:val="20"/>
        </w:rPr>
        <w:t xml:space="preserve">, M., </w:t>
      </w:r>
      <w:proofErr w:type="spellStart"/>
      <w:r w:rsidRPr="00982819">
        <w:rPr>
          <w:rFonts w:asciiTheme="minorHAnsi" w:hAnsiTheme="minorHAnsi" w:cstheme="minorHAnsi"/>
          <w:sz w:val="20"/>
          <w:szCs w:val="20"/>
        </w:rPr>
        <w:t>Beggs</w:t>
      </w:r>
      <w:proofErr w:type="spellEnd"/>
      <w:r w:rsidRPr="00982819">
        <w:rPr>
          <w:rFonts w:asciiTheme="minorHAnsi" w:hAnsiTheme="minorHAnsi" w:cstheme="minorHAnsi"/>
          <w:sz w:val="20"/>
          <w:szCs w:val="20"/>
        </w:rPr>
        <w:t xml:space="preserve">, P.J., &amp; Gissing, A. 2017, </w:t>
      </w:r>
      <w:r w:rsidRPr="00982819">
        <w:rPr>
          <w:rFonts w:asciiTheme="minorHAnsi" w:hAnsiTheme="minorHAnsi" w:cstheme="minorHAnsi"/>
          <w:i/>
          <w:iCs/>
          <w:sz w:val="20"/>
          <w:szCs w:val="20"/>
        </w:rPr>
        <w:t>Thunderstorm Asthma: Current knowledge, approaches to monitoring and forecasting, and options for mitigation and preparedness</w:t>
      </w:r>
      <w:r w:rsidRPr="00982819">
        <w:rPr>
          <w:rFonts w:asciiTheme="minorHAnsi" w:hAnsiTheme="minorHAnsi" w:cstheme="minorHAnsi"/>
          <w:sz w:val="20"/>
          <w:szCs w:val="20"/>
        </w:rPr>
        <w:t>, Report prepared for the Inspector-General for Emergency Management (IGEM); Vic</w:t>
      </w:r>
      <w:r w:rsidR="00982819">
        <w:rPr>
          <w:rFonts w:asciiTheme="minorHAnsi" w:hAnsiTheme="minorHAnsi" w:cstheme="minorHAnsi"/>
          <w:sz w:val="20"/>
          <w:szCs w:val="20"/>
        </w:rPr>
        <w:t xml:space="preserve">toria. Risk Frontiers, Sydney. </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Townsend, M. and </w:t>
      </w:r>
      <w:proofErr w:type="spellStart"/>
      <w:r w:rsidRPr="00982819">
        <w:rPr>
          <w:rFonts w:asciiTheme="minorHAnsi" w:hAnsiTheme="minorHAnsi" w:cstheme="minorHAnsi"/>
          <w:sz w:val="20"/>
          <w:szCs w:val="20"/>
        </w:rPr>
        <w:t>Weerasuriya</w:t>
      </w:r>
      <w:proofErr w:type="spellEnd"/>
      <w:r w:rsidRPr="00982819">
        <w:rPr>
          <w:rFonts w:asciiTheme="minorHAnsi" w:hAnsiTheme="minorHAnsi" w:cstheme="minorHAnsi"/>
          <w:sz w:val="20"/>
          <w:szCs w:val="20"/>
        </w:rPr>
        <w:t>, R., 2010.</w:t>
      </w:r>
      <w:proofErr w:type="gramEnd"/>
      <w:r w:rsidRPr="00982819">
        <w:rPr>
          <w:rFonts w:asciiTheme="minorHAnsi" w:hAnsiTheme="minorHAnsi" w:cstheme="minorHAnsi"/>
          <w:sz w:val="20"/>
          <w:szCs w:val="20"/>
        </w:rPr>
        <w:t xml:space="preserve"> Beyond blue to green: The benefits of contact with nature for mental health and well-being. </w:t>
      </w:r>
      <w:r w:rsidRPr="00982819">
        <w:rPr>
          <w:rFonts w:asciiTheme="minorHAnsi" w:hAnsiTheme="minorHAnsi" w:cstheme="minorHAnsi"/>
          <w:i/>
          <w:iCs/>
          <w:sz w:val="20"/>
          <w:szCs w:val="20"/>
        </w:rPr>
        <w:t>Melbourne, Australia: Beyond Blue Limited</w:t>
      </w:r>
      <w:r w:rsidR="00982819">
        <w:rPr>
          <w:rFonts w:asciiTheme="minorHAnsi" w:hAnsiTheme="minorHAnsi" w:cstheme="minorHAnsi"/>
          <w:sz w:val="20"/>
          <w:szCs w:val="20"/>
        </w:rPr>
        <w:t>.</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United States Environmental Protection Authority, 2017, </w:t>
      </w:r>
      <w:r w:rsidRPr="00982819">
        <w:rPr>
          <w:rFonts w:asciiTheme="minorHAnsi" w:hAnsiTheme="minorHAnsi" w:cstheme="minorHAnsi"/>
          <w:bCs/>
          <w:sz w:val="20"/>
          <w:szCs w:val="20"/>
        </w:rPr>
        <w:t>Health, Energy Efficiency and Climate Change</w:t>
      </w:r>
      <w:r w:rsidRPr="00982819">
        <w:rPr>
          <w:rFonts w:asciiTheme="minorHAnsi" w:hAnsiTheme="minorHAnsi" w:cstheme="minorHAnsi"/>
          <w:sz w:val="20"/>
          <w:szCs w:val="20"/>
        </w:rPr>
        <w:t xml:space="preserve">. Available at: </w:t>
      </w:r>
      <w:hyperlink r:id="rId29" w:history="1">
        <w:r w:rsidRPr="00982819">
          <w:rPr>
            <w:rStyle w:val="Hyperlink"/>
            <w:rFonts w:asciiTheme="minorHAnsi" w:hAnsiTheme="minorHAnsi" w:cstheme="minorHAnsi"/>
            <w:sz w:val="20"/>
            <w:szCs w:val="20"/>
          </w:rPr>
          <w:t>https://www.epa.gov/indoor-air-quality-iaq/health-energy-efficiency-and-climate-change</w:t>
        </w:r>
      </w:hyperlink>
      <w:r w:rsidRPr="00982819">
        <w:rPr>
          <w:rFonts w:asciiTheme="minorHAnsi" w:hAnsiTheme="minorHAnsi" w:cstheme="minorHAnsi"/>
          <w:sz w:val="20"/>
          <w:szCs w:val="20"/>
        </w:rPr>
        <w:t xml:space="preserve"> Accessed 3 June 2018. </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Uniting Care Community, 2016, Case Study: Community Energy Efficiency Program, Uniting Care Community and Blue Care, Australia.</w:t>
      </w:r>
      <w:proofErr w:type="gramEnd"/>
      <w:r w:rsidRPr="00982819">
        <w:rPr>
          <w:rFonts w:asciiTheme="minorHAnsi" w:hAnsiTheme="minorHAnsi" w:cstheme="minorHAnsi"/>
          <w:sz w:val="20"/>
          <w:szCs w:val="20"/>
        </w:rPr>
        <w:t xml:space="preserve"> Available at: https://www.greenhospitals.net/wp-content/uploads/2017/12/Community-Energy-Efficiency-Program-Uniting-Care-Queensland-Australia.pdf</w:t>
      </w:r>
    </w:p>
    <w:p w:rsidR="00FB0D68" w:rsidRPr="00982819" w:rsidRDefault="00FB0D68" w:rsidP="00982819">
      <w:pPr>
        <w:spacing w:before="200" w:after="200" w:line="288" w:lineRule="auto"/>
        <w:rPr>
          <w:rFonts w:asciiTheme="minorHAnsi" w:hAnsiTheme="minorHAnsi" w:cstheme="minorHAnsi"/>
          <w:sz w:val="20"/>
          <w:szCs w:val="20"/>
        </w:rPr>
      </w:pPr>
      <w:proofErr w:type="spellStart"/>
      <w:proofErr w:type="gramStart"/>
      <w:r w:rsidRPr="00982819">
        <w:rPr>
          <w:rFonts w:asciiTheme="minorHAnsi" w:hAnsiTheme="minorHAnsi" w:cstheme="minorHAnsi"/>
          <w:sz w:val="20"/>
          <w:szCs w:val="20"/>
        </w:rPr>
        <w:t>Ürge-Vorsatz</w:t>
      </w:r>
      <w:proofErr w:type="spellEnd"/>
      <w:r w:rsidRPr="00982819">
        <w:rPr>
          <w:rFonts w:asciiTheme="minorHAnsi" w:hAnsiTheme="minorHAnsi" w:cstheme="minorHAnsi"/>
          <w:sz w:val="20"/>
          <w:szCs w:val="20"/>
        </w:rPr>
        <w:t>, D. and Herrero, S.T., 2012.</w:t>
      </w:r>
      <w:proofErr w:type="gramEnd"/>
      <w:r w:rsidRPr="00982819">
        <w:rPr>
          <w:rFonts w:asciiTheme="minorHAnsi" w:hAnsiTheme="minorHAnsi" w:cstheme="minorHAnsi"/>
          <w:sz w:val="20"/>
          <w:szCs w:val="20"/>
        </w:rPr>
        <w:t xml:space="preserve"> Building synergies between climate change mitigation and energy poverty alleviation. </w:t>
      </w:r>
      <w:proofErr w:type="gramStart"/>
      <w:r w:rsidRPr="00982819">
        <w:rPr>
          <w:rFonts w:asciiTheme="minorHAnsi" w:hAnsiTheme="minorHAnsi" w:cstheme="minorHAnsi"/>
          <w:i/>
          <w:iCs/>
          <w:sz w:val="20"/>
          <w:szCs w:val="20"/>
        </w:rPr>
        <w:t>Energy policy</w:t>
      </w:r>
      <w:r w:rsidRPr="00982819">
        <w:rPr>
          <w:rFonts w:asciiTheme="minorHAnsi" w:hAnsiTheme="minorHAnsi" w:cstheme="minorHAnsi"/>
          <w:sz w:val="20"/>
          <w:szCs w:val="20"/>
        </w:rPr>
        <w:t>, </w:t>
      </w:r>
      <w:r w:rsidRPr="00982819">
        <w:rPr>
          <w:rFonts w:asciiTheme="minorHAnsi" w:hAnsiTheme="minorHAnsi" w:cstheme="minorHAnsi"/>
          <w:i/>
          <w:iCs/>
          <w:sz w:val="20"/>
          <w:szCs w:val="20"/>
        </w:rPr>
        <w:t>49</w:t>
      </w:r>
      <w:r w:rsidR="00982819">
        <w:rPr>
          <w:rFonts w:asciiTheme="minorHAnsi" w:hAnsiTheme="minorHAnsi" w:cstheme="minorHAnsi"/>
          <w:sz w:val="20"/>
          <w:szCs w:val="20"/>
        </w:rPr>
        <w:t>, pp.83-90.</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van</w:t>
      </w:r>
      <w:proofErr w:type="gramEnd"/>
      <w:r w:rsidRPr="00982819">
        <w:rPr>
          <w:rFonts w:asciiTheme="minorHAnsi" w:hAnsiTheme="minorHAnsi" w:cstheme="minorHAnsi"/>
          <w:sz w:val="20"/>
          <w:szCs w:val="20"/>
        </w:rPr>
        <w:t xml:space="preserve"> der Linden, S., </w:t>
      </w:r>
      <w:proofErr w:type="spellStart"/>
      <w:r w:rsidRPr="00982819">
        <w:rPr>
          <w:rFonts w:asciiTheme="minorHAnsi" w:hAnsiTheme="minorHAnsi" w:cstheme="minorHAnsi"/>
          <w:sz w:val="20"/>
          <w:szCs w:val="20"/>
        </w:rPr>
        <w:t>Maibach</w:t>
      </w:r>
      <w:proofErr w:type="spellEnd"/>
      <w:r w:rsidRPr="00982819">
        <w:rPr>
          <w:rFonts w:asciiTheme="minorHAnsi" w:hAnsiTheme="minorHAnsi" w:cstheme="minorHAnsi"/>
          <w:sz w:val="20"/>
          <w:szCs w:val="20"/>
        </w:rPr>
        <w:t xml:space="preserve">, E. and </w:t>
      </w:r>
      <w:proofErr w:type="spellStart"/>
      <w:r w:rsidRPr="00982819">
        <w:rPr>
          <w:rFonts w:asciiTheme="minorHAnsi" w:hAnsiTheme="minorHAnsi" w:cstheme="minorHAnsi"/>
          <w:sz w:val="20"/>
          <w:szCs w:val="20"/>
        </w:rPr>
        <w:t>Leiserowitz</w:t>
      </w:r>
      <w:proofErr w:type="spellEnd"/>
      <w:r w:rsidRPr="00982819">
        <w:rPr>
          <w:rFonts w:asciiTheme="minorHAnsi" w:hAnsiTheme="minorHAnsi" w:cstheme="minorHAnsi"/>
          <w:sz w:val="20"/>
          <w:szCs w:val="20"/>
        </w:rPr>
        <w:t xml:space="preserve">, A., 2015. </w:t>
      </w:r>
      <w:proofErr w:type="gramStart"/>
      <w:r w:rsidRPr="00982819">
        <w:rPr>
          <w:rFonts w:asciiTheme="minorHAnsi" w:hAnsiTheme="minorHAnsi" w:cstheme="minorHAnsi"/>
          <w:sz w:val="20"/>
          <w:szCs w:val="20"/>
        </w:rPr>
        <w:t>Improving public engagement with climate change: Five “best practice” insights from psychological science.</w:t>
      </w:r>
      <w:proofErr w:type="gramEnd"/>
      <w:r w:rsidRPr="00982819">
        <w:rPr>
          <w:rFonts w:asciiTheme="minorHAnsi" w:hAnsiTheme="minorHAnsi" w:cstheme="minorHAnsi"/>
          <w:sz w:val="20"/>
          <w:szCs w:val="20"/>
        </w:rPr>
        <w:t> </w:t>
      </w:r>
      <w:proofErr w:type="gramStart"/>
      <w:r w:rsidRPr="00982819">
        <w:rPr>
          <w:rFonts w:asciiTheme="minorHAnsi" w:hAnsiTheme="minorHAnsi" w:cstheme="minorHAnsi"/>
          <w:i/>
          <w:iCs/>
          <w:sz w:val="20"/>
          <w:szCs w:val="20"/>
        </w:rPr>
        <w:t>Perspectives on Psychological Science</w:t>
      </w:r>
      <w:r w:rsidRPr="00982819">
        <w:rPr>
          <w:rFonts w:asciiTheme="minorHAnsi" w:hAnsiTheme="minorHAnsi" w:cstheme="minorHAnsi"/>
          <w:sz w:val="20"/>
          <w:szCs w:val="20"/>
        </w:rPr>
        <w:t>, </w:t>
      </w:r>
      <w:r w:rsidRPr="00982819">
        <w:rPr>
          <w:rFonts w:asciiTheme="minorHAnsi" w:hAnsiTheme="minorHAnsi" w:cstheme="minorHAnsi"/>
          <w:i/>
          <w:iCs/>
          <w:sz w:val="20"/>
          <w:szCs w:val="20"/>
        </w:rPr>
        <w:t>10</w:t>
      </w:r>
      <w:r w:rsidR="00982819">
        <w:rPr>
          <w:rFonts w:asciiTheme="minorHAnsi" w:hAnsiTheme="minorHAnsi" w:cstheme="minorHAnsi"/>
          <w:sz w:val="20"/>
          <w:szCs w:val="20"/>
        </w:rPr>
        <w:t>(6), pp.758-763.</w:t>
      </w:r>
      <w:proofErr w:type="gramEnd"/>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Varghese, B.M., Hansen, A., Bi, P. and </w:t>
      </w:r>
      <w:proofErr w:type="spellStart"/>
      <w:r w:rsidRPr="00982819">
        <w:rPr>
          <w:rFonts w:asciiTheme="minorHAnsi" w:hAnsiTheme="minorHAnsi" w:cstheme="minorHAnsi"/>
          <w:sz w:val="20"/>
          <w:szCs w:val="20"/>
        </w:rPr>
        <w:t>Pisaniello</w:t>
      </w:r>
      <w:proofErr w:type="spellEnd"/>
      <w:r w:rsidRPr="00982819">
        <w:rPr>
          <w:rFonts w:asciiTheme="minorHAnsi" w:hAnsiTheme="minorHAnsi" w:cstheme="minorHAnsi"/>
          <w:sz w:val="20"/>
          <w:szCs w:val="20"/>
        </w:rPr>
        <w:t xml:space="preserve">, D., 2018. Are workers at risk of occupational injuries due to heat exposure? </w:t>
      </w:r>
      <w:proofErr w:type="gramStart"/>
      <w:r w:rsidRPr="00982819">
        <w:rPr>
          <w:rFonts w:asciiTheme="minorHAnsi" w:hAnsiTheme="minorHAnsi" w:cstheme="minorHAnsi"/>
          <w:sz w:val="20"/>
          <w:szCs w:val="20"/>
        </w:rPr>
        <w:t>A comprehensive literature review.</w:t>
      </w:r>
      <w:proofErr w:type="gramEnd"/>
      <w:r w:rsidRPr="00982819">
        <w:rPr>
          <w:rFonts w:asciiTheme="minorHAnsi" w:hAnsiTheme="minorHAnsi" w:cstheme="minorHAnsi"/>
          <w:sz w:val="20"/>
          <w:szCs w:val="20"/>
        </w:rPr>
        <w:t> </w:t>
      </w:r>
      <w:proofErr w:type="gramStart"/>
      <w:r w:rsidRPr="00982819">
        <w:rPr>
          <w:rFonts w:asciiTheme="minorHAnsi" w:hAnsiTheme="minorHAnsi" w:cstheme="minorHAnsi"/>
          <w:i/>
          <w:iCs/>
          <w:sz w:val="20"/>
          <w:szCs w:val="20"/>
        </w:rPr>
        <w:t>Safety Science</w:t>
      </w:r>
      <w:r w:rsidR="00982819">
        <w:rPr>
          <w:rFonts w:asciiTheme="minorHAnsi" w:hAnsiTheme="minorHAnsi" w:cstheme="minorHAnsi"/>
          <w:sz w:val="20"/>
          <w:szCs w:val="20"/>
        </w:rPr>
        <w:t>.</w:t>
      </w:r>
      <w:proofErr w:type="gramEnd"/>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Victorian Auditor General’s Office (VAGO), 2018. </w:t>
      </w:r>
      <w:proofErr w:type="gramStart"/>
      <w:r w:rsidRPr="00982819">
        <w:rPr>
          <w:rFonts w:asciiTheme="minorHAnsi" w:hAnsiTheme="minorHAnsi" w:cstheme="minorHAnsi"/>
          <w:sz w:val="20"/>
          <w:szCs w:val="20"/>
        </w:rPr>
        <w:t xml:space="preserve">Improving Victoria’s Air Quality, </w:t>
      </w:r>
      <w:r w:rsidRPr="00982819">
        <w:rPr>
          <w:rFonts w:asciiTheme="minorHAnsi" w:hAnsiTheme="minorHAnsi" w:cstheme="minorHAnsi"/>
          <w:bCs/>
          <w:sz w:val="20"/>
          <w:szCs w:val="20"/>
        </w:rPr>
        <w:t>Independent assurance report to Parliament</w:t>
      </w:r>
      <w:r w:rsidRPr="00982819">
        <w:rPr>
          <w:rFonts w:asciiTheme="minorHAnsi" w:hAnsiTheme="minorHAnsi" w:cstheme="minorHAnsi"/>
          <w:b/>
          <w:bCs/>
          <w:sz w:val="20"/>
          <w:szCs w:val="20"/>
        </w:rPr>
        <w:t xml:space="preserve">, </w:t>
      </w:r>
      <w:r w:rsidRPr="00982819">
        <w:rPr>
          <w:rFonts w:asciiTheme="minorHAnsi" w:hAnsiTheme="minorHAnsi" w:cstheme="minorHAnsi"/>
          <w:bCs/>
          <w:sz w:val="20"/>
          <w:szCs w:val="20"/>
        </w:rPr>
        <w:t>March.</w:t>
      </w:r>
      <w:proofErr w:type="gramEnd"/>
      <w:r w:rsidRPr="00982819">
        <w:rPr>
          <w:rFonts w:asciiTheme="minorHAnsi" w:hAnsiTheme="minorHAnsi" w:cstheme="minorHAnsi"/>
          <w:bCs/>
          <w:sz w:val="20"/>
          <w:szCs w:val="20"/>
        </w:rPr>
        <w:t xml:space="preserve"> Available at: https://www.audit.vic.gov.au/sites/default/files/2018-03/20180308-Improving-Air-Quality.pdf</w:t>
      </w:r>
    </w:p>
    <w:p w:rsidR="00FB0D68" w:rsidRPr="00982819" w:rsidRDefault="00FB0D68" w:rsidP="00982819">
      <w:pPr>
        <w:spacing w:before="200" w:after="200" w:line="288" w:lineRule="auto"/>
        <w:rPr>
          <w:rFonts w:asciiTheme="minorHAnsi" w:hAnsiTheme="minorHAnsi" w:cstheme="minorHAnsi"/>
          <w:b/>
          <w:bCs/>
          <w:sz w:val="20"/>
          <w:szCs w:val="20"/>
        </w:rPr>
      </w:pPr>
      <w:proofErr w:type="gramStart"/>
      <w:r w:rsidRPr="00982819">
        <w:rPr>
          <w:rFonts w:asciiTheme="minorHAnsi" w:hAnsiTheme="minorHAnsi" w:cstheme="minorHAnsi"/>
          <w:sz w:val="20"/>
          <w:szCs w:val="20"/>
        </w:rPr>
        <w:t>Voice, M 2015.</w:t>
      </w:r>
      <w:proofErr w:type="gramEnd"/>
      <w:r w:rsidRPr="00982819">
        <w:rPr>
          <w:rFonts w:asciiTheme="minorHAnsi" w:hAnsiTheme="minorHAnsi" w:cstheme="minorHAnsi"/>
          <w:sz w:val="20"/>
          <w:szCs w:val="20"/>
        </w:rPr>
        <w:t xml:space="preserve"> </w:t>
      </w:r>
      <w:r w:rsidRPr="00982819">
        <w:rPr>
          <w:rFonts w:asciiTheme="minorHAnsi" w:hAnsiTheme="minorHAnsi" w:cstheme="minorHAnsi"/>
          <w:bCs/>
          <w:sz w:val="20"/>
          <w:szCs w:val="20"/>
        </w:rPr>
        <w:t>Who’s been affected by Australia’s extreme heat? </w:t>
      </w:r>
      <w:proofErr w:type="gramStart"/>
      <w:r w:rsidRPr="00982819">
        <w:rPr>
          <w:rFonts w:asciiTheme="minorHAnsi" w:hAnsiTheme="minorHAnsi" w:cstheme="minorHAnsi"/>
          <w:bCs/>
          <w:sz w:val="20"/>
          <w:szCs w:val="20"/>
        </w:rPr>
        <w:t>Everyone.</w:t>
      </w:r>
      <w:proofErr w:type="gramEnd"/>
      <w:r w:rsidRPr="00982819">
        <w:rPr>
          <w:rFonts w:asciiTheme="minorHAnsi" w:hAnsiTheme="minorHAnsi" w:cstheme="minorHAnsi"/>
          <w:bCs/>
          <w:sz w:val="20"/>
          <w:szCs w:val="20"/>
        </w:rPr>
        <w:t xml:space="preserve"> The Conversation, 30 January. Available at: </w:t>
      </w:r>
      <w:hyperlink r:id="rId30" w:history="1">
        <w:r w:rsidRPr="00982819">
          <w:rPr>
            <w:rStyle w:val="Hyperlink"/>
            <w:rFonts w:asciiTheme="minorHAnsi" w:hAnsiTheme="minorHAnsi" w:cstheme="minorHAnsi"/>
            <w:bCs/>
            <w:sz w:val="20"/>
            <w:szCs w:val="20"/>
          </w:rPr>
          <w:t>https://theconversation.com/whos-been-affected-by-australias-extreme-heat-everyone-36116</w:t>
        </w:r>
      </w:hyperlink>
      <w:r w:rsidRPr="00982819">
        <w:rPr>
          <w:rFonts w:asciiTheme="minorHAnsi" w:hAnsiTheme="minorHAnsi" w:cstheme="minorHAnsi"/>
          <w:bCs/>
          <w:sz w:val="20"/>
          <w:szCs w:val="20"/>
        </w:rPr>
        <w:t xml:space="preserve"> Accessed 25 June 2018.</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 xml:space="preserve">Wales, N., </w:t>
      </w:r>
      <w:proofErr w:type="spellStart"/>
      <w:r w:rsidRPr="00982819">
        <w:rPr>
          <w:rFonts w:asciiTheme="minorHAnsi" w:hAnsiTheme="minorHAnsi" w:cstheme="minorHAnsi"/>
          <w:sz w:val="20"/>
          <w:szCs w:val="20"/>
        </w:rPr>
        <w:t>Khanjanasthiti</w:t>
      </w:r>
      <w:proofErr w:type="spellEnd"/>
      <w:r w:rsidRPr="00982819">
        <w:rPr>
          <w:rFonts w:asciiTheme="minorHAnsi" w:hAnsiTheme="minorHAnsi" w:cstheme="minorHAnsi"/>
          <w:sz w:val="20"/>
          <w:szCs w:val="20"/>
        </w:rPr>
        <w:t>, I., Savage, S. and Earl, G., 2012.</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Climate change resilience of Melbourne.</w:t>
      </w:r>
      <w:proofErr w:type="gramEnd"/>
      <w:r w:rsidRPr="00982819">
        <w:rPr>
          <w:rFonts w:asciiTheme="minorHAnsi" w:hAnsiTheme="minorHAnsi" w:cstheme="minorHAnsi"/>
          <w:sz w:val="20"/>
          <w:szCs w:val="20"/>
        </w:rPr>
        <w:t xml:space="preserve"> The Climate Institute, Sydney.</w:t>
      </w:r>
    </w:p>
    <w:p w:rsidR="00FB0D68" w:rsidRPr="00982819" w:rsidRDefault="00FB0D68" w:rsidP="00982819">
      <w:pPr>
        <w:spacing w:before="200" w:after="200" w:line="288" w:lineRule="auto"/>
        <w:rPr>
          <w:rFonts w:asciiTheme="minorHAnsi" w:hAnsiTheme="minorHAnsi" w:cstheme="minorHAnsi"/>
          <w:bCs/>
          <w:sz w:val="20"/>
          <w:szCs w:val="20"/>
        </w:rPr>
      </w:pPr>
      <w:proofErr w:type="gramStart"/>
      <w:r w:rsidRPr="00982819">
        <w:rPr>
          <w:rFonts w:asciiTheme="minorHAnsi" w:hAnsiTheme="minorHAnsi" w:cstheme="minorHAnsi"/>
          <w:sz w:val="20"/>
          <w:szCs w:val="20"/>
        </w:rPr>
        <w:t>Watts, N. et al. 2015.</w:t>
      </w:r>
      <w:proofErr w:type="gramEnd"/>
      <w:r w:rsidRPr="00982819">
        <w:rPr>
          <w:rFonts w:asciiTheme="minorHAnsi" w:hAnsiTheme="minorHAnsi" w:cstheme="minorHAnsi"/>
          <w:sz w:val="20"/>
          <w:szCs w:val="20"/>
        </w:rPr>
        <w:t xml:space="preserve"> Health</w:t>
      </w:r>
      <w:r w:rsidRPr="00982819">
        <w:rPr>
          <w:rFonts w:asciiTheme="minorHAnsi" w:hAnsiTheme="minorHAnsi" w:cstheme="minorHAnsi"/>
          <w:bCs/>
          <w:sz w:val="20"/>
          <w:szCs w:val="20"/>
        </w:rPr>
        <w:t xml:space="preserve"> and climate change: policy responses to protect public health, The Lancet Commission on Health and Climate, Vol 386 November 7.</w:t>
      </w:r>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Watts, N, et al., 2017.</w:t>
      </w:r>
      <w:proofErr w:type="gramEnd"/>
      <w:r w:rsidRPr="00982819">
        <w:rPr>
          <w:rFonts w:asciiTheme="minorHAnsi" w:hAnsiTheme="minorHAnsi" w:cstheme="minorHAnsi"/>
          <w:sz w:val="20"/>
          <w:szCs w:val="20"/>
        </w:rPr>
        <w:t xml:space="preserve"> </w:t>
      </w:r>
      <w:r w:rsidRPr="00982819">
        <w:rPr>
          <w:rFonts w:asciiTheme="minorHAnsi" w:hAnsiTheme="minorHAnsi" w:cstheme="minorHAnsi"/>
          <w:i/>
          <w:iCs/>
          <w:sz w:val="20"/>
          <w:szCs w:val="20"/>
        </w:rPr>
        <w:t>‘The Lancet Countdown: tracking progress on health and climate change</w:t>
      </w:r>
      <w:r w:rsidRPr="00982819">
        <w:rPr>
          <w:rFonts w:asciiTheme="minorHAnsi" w:hAnsiTheme="minorHAnsi" w:cstheme="minorHAnsi"/>
          <w:sz w:val="20"/>
          <w:szCs w:val="20"/>
        </w:rPr>
        <w:t>,</w:t>
      </w:r>
      <w:r w:rsidRPr="00982819">
        <w:rPr>
          <w:rFonts w:asciiTheme="minorHAnsi" w:hAnsiTheme="minorHAnsi" w:cstheme="minorHAnsi"/>
          <w:i/>
          <w:iCs/>
          <w:sz w:val="20"/>
          <w:szCs w:val="20"/>
        </w:rPr>
        <w:t xml:space="preserve">’ </w:t>
      </w:r>
      <w:r w:rsidRPr="00982819">
        <w:rPr>
          <w:rFonts w:asciiTheme="minorHAnsi" w:hAnsiTheme="minorHAnsi" w:cstheme="minorHAnsi"/>
          <w:sz w:val="20"/>
          <w:szCs w:val="20"/>
        </w:rPr>
        <w:t xml:space="preserve">Lancet, 389, 10074, pp. 1151–1164 </w:t>
      </w:r>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Workman, A., </w:t>
      </w:r>
      <w:proofErr w:type="spellStart"/>
      <w:r w:rsidRPr="00982819">
        <w:rPr>
          <w:rFonts w:asciiTheme="minorHAnsi" w:hAnsiTheme="minorHAnsi" w:cstheme="minorHAnsi"/>
          <w:sz w:val="20"/>
          <w:szCs w:val="20"/>
        </w:rPr>
        <w:t>Blashki</w:t>
      </w:r>
      <w:proofErr w:type="spellEnd"/>
      <w:r w:rsidRPr="00982819">
        <w:rPr>
          <w:rFonts w:asciiTheme="minorHAnsi" w:hAnsiTheme="minorHAnsi" w:cstheme="minorHAnsi"/>
          <w:sz w:val="20"/>
          <w:szCs w:val="20"/>
        </w:rPr>
        <w:t xml:space="preserve">, G., Bowen, K.J., </w:t>
      </w:r>
      <w:proofErr w:type="spellStart"/>
      <w:r w:rsidRPr="00982819">
        <w:rPr>
          <w:rFonts w:asciiTheme="minorHAnsi" w:hAnsiTheme="minorHAnsi" w:cstheme="minorHAnsi"/>
          <w:sz w:val="20"/>
          <w:szCs w:val="20"/>
        </w:rPr>
        <w:t>Karoly</w:t>
      </w:r>
      <w:proofErr w:type="spellEnd"/>
      <w:r w:rsidRPr="00982819">
        <w:rPr>
          <w:rFonts w:asciiTheme="minorHAnsi" w:hAnsiTheme="minorHAnsi" w:cstheme="minorHAnsi"/>
          <w:sz w:val="20"/>
          <w:szCs w:val="20"/>
        </w:rPr>
        <w:t>, D.J. and Wiseman, J., 2018. The Political Economy of Health Co-Benefits: Embedding Health in the Climate Change Agenda. </w:t>
      </w:r>
      <w:proofErr w:type="gramStart"/>
      <w:r w:rsidRPr="00982819">
        <w:rPr>
          <w:rFonts w:asciiTheme="minorHAnsi" w:hAnsiTheme="minorHAnsi" w:cstheme="minorHAnsi"/>
          <w:i/>
          <w:iCs/>
          <w:sz w:val="20"/>
          <w:szCs w:val="20"/>
        </w:rPr>
        <w:t>International journal of environmental research and public health</w:t>
      </w:r>
      <w:r w:rsidRPr="00982819">
        <w:rPr>
          <w:rFonts w:asciiTheme="minorHAnsi" w:hAnsiTheme="minorHAnsi" w:cstheme="minorHAnsi"/>
          <w:sz w:val="20"/>
          <w:szCs w:val="20"/>
        </w:rPr>
        <w:t>, </w:t>
      </w:r>
      <w:r w:rsidRPr="00982819">
        <w:rPr>
          <w:rFonts w:asciiTheme="minorHAnsi" w:hAnsiTheme="minorHAnsi" w:cstheme="minorHAnsi"/>
          <w:i/>
          <w:iCs/>
          <w:sz w:val="20"/>
          <w:szCs w:val="20"/>
        </w:rPr>
        <w:t>15</w:t>
      </w:r>
      <w:r w:rsidRPr="00982819">
        <w:rPr>
          <w:rFonts w:asciiTheme="minorHAnsi" w:hAnsiTheme="minorHAnsi" w:cstheme="minorHAnsi"/>
          <w:sz w:val="20"/>
          <w:szCs w:val="20"/>
        </w:rPr>
        <w:t>(4), p.674.</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World Health Organization (WHO), 2011.</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Health in the Green Economy, Co-benefits to health of climate change mitigation—housing sector.</w:t>
      </w:r>
      <w:proofErr w:type="gramEnd"/>
      <w:r w:rsidRPr="00982819">
        <w:rPr>
          <w:rFonts w:asciiTheme="minorHAnsi" w:hAnsiTheme="minorHAnsi" w:cstheme="minorHAnsi"/>
          <w:sz w:val="20"/>
          <w:szCs w:val="20"/>
        </w:rPr>
        <w:t> </w:t>
      </w:r>
      <w:proofErr w:type="gramStart"/>
      <w:r w:rsidRPr="00982819">
        <w:rPr>
          <w:rFonts w:asciiTheme="minorHAnsi" w:hAnsiTheme="minorHAnsi" w:cstheme="minorHAnsi"/>
          <w:iCs/>
          <w:sz w:val="20"/>
          <w:szCs w:val="20"/>
        </w:rPr>
        <w:t>World Health Organization</w:t>
      </w:r>
      <w:r w:rsidR="00982819">
        <w:rPr>
          <w:rFonts w:asciiTheme="minorHAnsi" w:hAnsiTheme="minorHAnsi" w:cstheme="minorHAnsi"/>
          <w:sz w:val="20"/>
          <w:szCs w:val="20"/>
        </w:rPr>
        <w:t>.</w:t>
      </w:r>
      <w:proofErr w:type="gramEnd"/>
    </w:p>
    <w:p w:rsidR="00FB0D68" w:rsidRPr="00982819" w:rsidRDefault="00FB0D68" w:rsidP="00982819">
      <w:pPr>
        <w:spacing w:before="200" w:after="200" w:line="288" w:lineRule="auto"/>
        <w:rPr>
          <w:rFonts w:asciiTheme="minorHAnsi" w:hAnsiTheme="minorHAnsi" w:cstheme="minorHAnsi"/>
          <w:sz w:val="20"/>
          <w:szCs w:val="20"/>
        </w:rPr>
      </w:pPr>
      <w:proofErr w:type="gramStart"/>
      <w:r w:rsidRPr="00982819">
        <w:rPr>
          <w:rFonts w:asciiTheme="minorHAnsi" w:hAnsiTheme="minorHAnsi" w:cstheme="minorHAnsi"/>
          <w:sz w:val="20"/>
          <w:szCs w:val="20"/>
        </w:rPr>
        <w:t>World Health Organization, 2018.</w:t>
      </w:r>
      <w:proofErr w:type="gramEnd"/>
      <w:r w:rsidRPr="00982819">
        <w:rPr>
          <w:rFonts w:asciiTheme="minorHAnsi" w:hAnsiTheme="minorHAnsi" w:cstheme="minorHAnsi"/>
          <w:sz w:val="20"/>
          <w:szCs w:val="20"/>
        </w:rPr>
        <w:t xml:space="preserve"> </w:t>
      </w:r>
      <w:proofErr w:type="gramStart"/>
      <w:r w:rsidRPr="00982819">
        <w:rPr>
          <w:rFonts w:asciiTheme="minorHAnsi" w:hAnsiTheme="minorHAnsi" w:cstheme="minorHAnsi"/>
          <w:sz w:val="20"/>
          <w:szCs w:val="20"/>
        </w:rPr>
        <w:t>WHO Ambient air pollution database.</w:t>
      </w:r>
      <w:proofErr w:type="gramEnd"/>
      <w:r w:rsidRPr="00982819">
        <w:rPr>
          <w:rFonts w:asciiTheme="minorHAnsi" w:hAnsiTheme="minorHAnsi" w:cstheme="minorHAnsi"/>
          <w:sz w:val="20"/>
          <w:szCs w:val="20"/>
        </w:rPr>
        <w:t xml:space="preserve"> Available at: </w:t>
      </w:r>
      <w:hyperlink r:id="rId31" w:history="1">
        <w:r w:rsidRPr="00982819">
          <w:rPr>
            <w:rStyle w:val="Hyperlink"/>
            <w:rFonts w:asciiTheme="minorHAnsi" w:hAnsiTheme="minorHAnsi" w:cstheme="minorHAnsi"/>
            <w:sz w:val="20"/>
            <w:szCs w:val="20"/>
          </w:rPr>
          <w:t>http://www.who.int/airpollution/en/</w:t>
        </w:r>
      </w:hyperlink>
      <w:r w:rsidR="00982819">
        <w:rPr>
          <w:rFonts w:asciiTheme="minorHAnsi" w:hAnsiTheme="minorHAnsi" w:cstheme="minorHAnsi"/>
          <w:sz w:val="20"/>
          <w:szCs w:val="20"/>
        </w:rPr>
        <w:t xml:space="preserve"> Accessed 8 June 2018.</w:t>
      </w:r>
    </w:p>
    <w:p w:rsidR="00FB0D68" w:rsidRPr="00982819" w:rsidRDefault="00FB0D68" w:rsidP="00982819">
      <w:pPr>
        <w:spacing w:before="200" w:after="200" w:line="288" w:lineRule="auto"/>
        <w:rPr>
          <w:rFonts w:asciiTheme="minorHAnsi" w:hAnsiTheme="minorHAnsi" w:cstheme="minorHAnsi"/>
          <w:sz w:val="20"/>
          <w:szCs w:val="20"/>
        </w:rPr>
      </w:pPr>
      <w:proofErr w:type="spellStart"/>
      <w:r w:rsidRPr="00982819">
        <w:rPr>
          <w:rFonts w:asciiTheme="minorHAnsi" w:hAnsiTheme="minorHAnsi" w:cstheme="minorHAnsi"/>
          <w:sz w:val="20"/>
          <w:szCs w:val="20"/>
        </w:rPr>
        <w:t>Wolkinger</w:t>
      </w:r>
      <w:proofErr w:type="spellEnd"/>
      <w:r w:rsidRPr="00982819">
        <w:rPr>
          <w:rFonts w:asciiTheme="minorHAnsi" w:hAnsiTheme="minorHAnsi" w:cstheme="minorHAnsi"/>
          <w:sz w:val="20"/>
          <w:szCs w:val="20"/>
        </w:rPr>
        <w:t xml:space="preserve">, B., Haas, W., </w:t>
      </w:r>
      <w:proofErr w:type="spellStart"/>
      <w:r w:rsidRPr="00982819">
        <w:rPr>
          <w:rFonts w:asciiTheme="minorHAnsi" w:hAnsiTheme="minorHAnsi" w:cstheme="minorHAnsi"/>
          <w:sz w:val="20"/>
          <w:szCs w:val="20"/>
        </w:rPr>
        <w:t>Bachner</w:t>
      </w:r>
      <w:proofErr w:type="spellEnd"/>
      <w:r w:rsidRPr="00982819">
        <w:rPr>
          <w:rFonts w:asciiTheme="minorHAnsi" w:hAnsiTheme="minorHAnsi" w:cstheme="minorHAnsi"/>
          <w:sz w:val="20"/>
          <w:szCs w:val="20"/>
        </w:rPr>
        <w:t xml:space="preserve">, G., Weisz, U., </w:t>
      </w:r>
      <w:proofErr w:type="spellStart"/>
      <w:r w:rsidRPr="00982819">
        <w:rPr>
          <w:rFonts w:asciiTheme="minorHAnsi" w:hAnsiTheme="minorHAnsi" w:cstheme="minorHAnsi"/>
          <w:sz w:val="20"/>
          <w:szCs w:val="20"/>
        </w:rPr>
        <w:t>Steininger</w:t>
      </w:r>
      <w:proofErr w:type="spellEnd"/>
      <w:r w:rsidRPr="00982819">
        <w:rPr>
          <w:rFonts w:asciiTheme="minorHAnsi" w:hAnsiTheme="minorHAnsi" w:cstheme="minorHAnsi"/>
          <w:sz w:val="20"/>
          <w:szCs w:val="20"/>
        </w:rPr>
        <w:t xml:space="preserve">, K., </w:t>
      </w:r>
      <w:proofErr w:type="spellStart"/>
      <w:r w:rsidRPr="00982819">
        <w:rPr>
          <w:rFonts w:asciiTheme="minorHAnsi" w:hAnsiTheme="minorHAnsi" w:cstheme="minorHAnsi"/>
          <w:sz w:val="20"/>
          <w:szCs w:val="20"/>
        </w:rPr>
        <w:t>Hutter</w:t>
      </w:r>
      <w:proofErr w:type="spellEnd"/>
      <w:r w:rsidRPr="00982819">
        <w:rPr>
          <w:rFonts w:asciiTheme="minorHAnsi" w:hAnsiTheme="minorHAnsi" w:cstheme="minorHAnsi"/>
          <w:sz w:val="20"/>
          <w:szCs w:val="20"/>
        </w:rPr>
        <w:t xml:space="preserve">, H.P., </w:t>
      </w:r>
      <w:proofErr w:type="spellStart"/>
      <w:r w:rsidRPr="00982819">
        <w:rPr>
          <w:rFonts w:asciiTheme="minorHAnsi" w:hAnsiTheme="minorHAnsi" w:cstheme="minorHAnsi"/>
          <w:sz w:val="20"/>
          <w:szCs w:val="20"/>
        </w:rPr>
        <w:t>Delcour</w:t>
      </w:r>
      <w:proofErr w:type="spellEnd"/>
      <w:r w:rsidRPr="00982819">
        <w:rPr>
          <w:rFonts w:asciiTheme="minorHAnsi" w:hAnsiTheme="minorHAnsi" w:cstheme="minorHAnsi"/>
          <w:sz w:val="20"/>
          <w:szCs w:val="20"/>
        </w:rPr>
        <w:t xml:space="preserve">, J., </w:t>
      </w:r>
      <w:proofErr w:type="spellStart"/>
      <w:r w:rsidRPr="00982819">
        <w:rPr>
          <w:rFonts w:asciiTheme="minorHAnsi" w:hAnsiTheme="minorHAnsi" w:cstheme="minorHAnsi"/>
          <w:sz w:val="20"/>
          <w:szCs w:val="20"/>
        </w:rPr>
        <w:t>Griebler</w:t>
      </w:r>
      <w:proofErr w:type="spellEnd"/>
      <w:r w:rsidRPr="00982819">
        <w:rPr>
          <w:rFonts w:asciiTheme="minorHAnsi" w:hAnsiTheme="minorHAnsi" w:cstheme="minorHAnsi"/>
          <w:sz w:val="20"/>
          <w:szCs w:val="20"/>
        </w:rPr>
        <w:t xml:space="preserve">, R., </w:t>
      </w:r>
      <w:proofErr w:type="spellStart"/>
      <w:r w:rsidRPr="00982819">
        <w:rPr>
          <w:rFonts w:asciiTheme="minorHAnsi" w:hAnsiTheme="minorHAnsi" w:cstheme="minorHAnsi"/>
          <w:sz w:val="20"/>
          <w:szCs w:val="20"/>
        </w:rPr>
        <w:t>Mittelbach</w:t>
      </w:r>
      <w:proofErr w:type="spellEnd"/>
      <w:r w:rsidRPr="00982819">
        <w:rPr>
          <w:rFonts w:asciiTheme="minorHAnsi" w:hAnsiTheme="minorHAnsi" w:cstheme="minorHAnsi"/>
          <w:sz w:val="20"/>
          <w:szCs w:val="20"/>
        </w:rPr>
        <w:t xml:space="preserve">, B., Maier, P. and </w:t>
      </w:r>
      <w:proofErr w:type="spellStart"/>
      <w:r w:rsidRPr="00982819">
        <w:rPr>
          <w:rFonts w:asciiTheme="minorHAnsi" w:hAnsiTheme="minorHAnsi" w:cstheme="minorHAnsi"/>
          <w:sz w:val="20"/>
          <w:szCs w:val="20"/>
        </w:rPr>
        <w:t>Reifeltshammer</w:t>
      </w:r>
      <w:proofErr w:type="spellEnd"/>
      <w:r w:rsidRPr="00982819">
        <w:rPr>
          <w:rFonts w:asciiTheme="minorHAnsi" w:hAnsiTheme="minorHAnsi" w:cstheme="minorHAnsi"/>
          <w:sz w:val="20"/>
          <w:szCs w:val="20"/>
        </w:rPr>
        <w:t xml:space="preserve">, R., 2018. </w:t>
      </w:r>
      <w:proofErr w:type="gramStart"/>
      <w:r w:rsidRPr="00982819">
        <w:rPr>
          <w:rFonts w:asciiTheme="minorHAnsi" w:hAnsiTheme="minorHAnsi" w:cstheme="minorHAnsi"/>
          <w:sz w:val="20"/>
          <w:szCs w:val="20"/>
        </w:rPr>
        <w:t>Evaluating Health Co-Benefits of Climate Change Mitigation in Urban Mobility.</w:t>
      </w:r>
      <w:proofErr w:type="gramEnd"/>
      <w:r w:rsidRPr="00982819">
        <w:rPr>
          <w:rFonts w:asciiTheme="minorHAnsi" w:hAnsiTheme="minorHAnsi" w:cstheme="minorHAnsi"/>
          <w:sz w:val="20"/>
          <w:szCs w:val="20"/>
        </w:rPr>
        <w:t> </w:t>
      </w:r>
      <w:proofErr w:type="gramStart"/>
      <w:r w:rsidRPr="00982819">
        <w:rPr>
          <w:rFonts w:asciiTheme="minorHAnsi" w:hAnsiTheme="minorHAnsi" w:cstheme="minorHAnsi"/>
          <w:i/>
          <w:iCs/>
          <w:sz w:val="20"/>
          <w:szCs w:val="20"/>
        </w:rPr>
        <w:t>International journal of environmental research and public health</w:t>
      </w:r>
      <w:r w:rsidRPr="00982819">
        <w:rPr>
          <w:rFonts w:asciiTheme="minorHAnsi" w:hAnsiTheme="minorHAnsi" w:cstheme="minorHAnsi"/>
          <w:sz w:val="20"/>
          <w:szCs w:val="20"/>
        </w:rPr>
        <w:t>, </w:t>
      </w:r>
      <w:r w:rsidRPr="00982819">
        <w:rPr>
          <w:rFonts w:asciiTheme="minorHAnsi" w:hAnsiTheme="minorHAnsi" w:cstheme="minorHAnsi"/>
          <w:i/>
          <w:iCs/>
          <w:sz w:val="20"/>
          <w:szCs w:val="20"/>
        </w:rPr>
        <w:t>15</w:t>
      </w:r>
      <w:r w:rsidRPr="00982819">
        <w:rPr>
          <w:rFonts w:asciiTheme="minorHAnsi" w:hAnsiTheme="minorHAnsi" w:cstheme="minorHAnsi"/>
          <w:sz w:val="20"/>
          <w:szCs w:val="20"/>
        </w:rPr>
        <w:t>(5).</w:t>
      </w:r>
      <w:proofErr w:type="gramEnd"/>
    </w:p>
    <w:p w:rsidR="00FB0D68" w:rsidRPr="00982819" w:rsidRDefault="00FB0D68" w:rsidP="00982819">
      <w:pPr>
        <w:spacing w:before="200" w:after="200" w:line="288" w:lineRule="auto"/>
        <w:rPr>
          <w:rFonts w:asciiTheme="minorHAnsi" w:hAnsiTheme="minorHAnsi" w:cstheme="minorHAnsi"/>
          <w:sz w:val="20"/>
          <w:szCs w:val="20"/>
        </w:rPr>
      </w:pPr>
      <w:r w:rsidRPr="00982819">
        <w:rPr>
          <w:rFonts w:asciiTheme="minorHAnsi" w:hAnsiTheme="minorHAnsi" w:cstheme="minorHAnsi"/>
          <w:sz w:val="20"/>
          <w:szCs w:val="20"/>
        </w:rPr>
        <w:t xml:space="preserve">Zhang, B., </w:t>
      </w:r>
      <w:proofErr w:type="gramStart"/>
      <w:r w:rsidRPr="00982819">
        <w:rPr>
          <w:rFonts w:asciiTheme="minorHAnsi" w:hAnsiTheme="minorHAnsi" w:cstheme="minorHAnsi"/>
          <w:sz w:val="20"/>
          <w:szCs w:val="20"/>
        </w:rPr>
        <w:t>Gao</w:t>
      </w:r>
      <w:proofErr w:type="gramEnd"/>
      <w:r w:rsidRPr="00982819">
        <w:rPr>
          <w:rFonts w:asciiTheme="minorHAnsi" w:hAnsiTheme="minorHAnsi" w:cstheme="minorHAnsi"/>
          <w:sz w:val="20"/>
          <w:szCs w:val="20"/>
        </w:rPr>
        <w:t>, J.X. and Yang, Y., 2014. The cooling effect of urban green spaces as a contribution to energy-saving and emission-reduction: A case study in Beijing, China. </w:t>
      </w:r>
      <w:proofErr w:type="gramStart"/>
      <w:r w:rsidRPr="00982819">
        <w:rPr>
          <w:rFonts w:asciiTheme="minorHAnsi" w:hAnsiTheme="minorHAnsi" w:cstheme="minorHAnsi"/>
          <w:i/>
          <w:iCs/>
          <w:sz w:val="20"/>
          <w:szCs w:val="20"/>
        </w:rPr>
        <w:t>Building and Environment</w:t>
      </w:r>
      <w:r w:rsidRPr="00982819">
        <w:rPr>
          <w:rFonts w:asciiTheme="minorHAnsi" w:hAnsiTheme="minorHAnsi" w:cstheme="minorHAnsi"/>
          <w:sz w:val="20"/>
          <w:szCs w:val="20"/>
        </w:rPr>
        <w:t>, </w:t>
      </w:r>
      <w:r w:rsidRPr="00982819">
        <w:rPr>
          <w:rFonts w:asciiTheme="minorHAnsi" w:hAnsiTheme="minorHAnsi" w:cstheme="minorHAnsi"/>
          <w:i/>
          <w:iCs/>
          <w:sz w:val="20"/>
          <w:szCs w:val="20"/>
        </w:rPr>
        <w:t>76</w:t>
      </w:r>
      <w:r w:rsidRPr="00982819">
        <w:rPr>
          <w:rFonts w:asciiTheme="minorHAnsi" w:hAnsiTheme="minorHAnsi" w:cstheme="minorHAnsi"/>
          <w:sz w:val="20"/>
          <w:szCs w:val="20"/>
        </w:rPr>
        <w:t>, pp.37-43.</w:t>
      </w:r>
      <w:proofErr w:type="gramEnd"/>
    </w:p>
    <w:p w:rsidR="00FB0D68" w:rsidRPr="00FB0D68" w:rsidRDefault="00FB0D68" w:rsidP="00FB0D68">
      <w:pPr>
        <w:pStyle w:val="BodyText"/>
      </w:pPr>
    </w:p>
    <w:p w:rsidR="00A82EF6" w:rsidRDefault="00626C96" w:rsidP="001A1712">
      <w:pPr>
        <w:pStyle w:val="Heading1"/>
        <w:numPr>
          <w:ilvl w:val="0"/>
          <w:numId w:val="0"/>
        </w:numPr>
      </w:pPr>
      <w:bookmarkStart w:id="63" w:name="_Toc523307135"/>
      <w:bookmarkEnd w:id="16"/>
      <w:bookmarkEnd w:id="17"/>
      <w:bookmarkEnd w:id="18"/>
      <w:r>
        <w:t>Appendix A</w:t>
      </w:r>
      <w:bookmarkEnd w:id="63"/>
    </w:p>
    <w:p w:rsidR="00626C96" w:rsidRPr="00982819" w:rsidRDefault="00626C96" w:rsidP="00982819">
      <w:pPr>
        <w:spacing w:before="200" w:after="200" w:line="288" w:lineRule="auto"/>
        <w:rPr>
          <w:sz w:val="20"/>
          <w:szCs w:val="20"/>
        </w:rPr>
      </w:pPr>
      <w:r w:rsidRPr="00982819">
        <w:rPr>
          <w:sz w:val="20"/>
          <w:szCs w:val="20"/>
        </w:rPr>
        <w:t>The following table provides examples of existing initiatives that deliver climate and health co-benefits:</w:t>
      </w:r>
    </w:p>
    <w:tbl>
      <w:tblPr>
        <w:tblStyle w:val="TableGrid"/>
        <w:tblW w:w="0" w:type="auto"/>
        <w:tblLook w:val="04A0" w:firstRow="1" w:lastRow="0" w:firstColumn="1" w:lastColumn="0" w:noHBand="0" w:noVBand="1"/>
      </w:tblPr>
      <w:tblGrid>
        <w:gridCol w:w="4505"/>
        <w:gridCol w:w="4505"/>
      </w:tblGrid>
      <w:tr w:rsidR="00626C96" w:rsidRPr="00982819" w:rsidTr="007156BD">
        <w:trPr>
          <w:cnfStyle w:val="100000000000" w:firstRow="1" w:lastRow="0" w:firstColumn="0" w:lastColumn="0" w:oddVBand="0" w:evenVBand="0" w:oddHBand="0" w:evenHBand="0" w:firstRowFirstColumn="0" w:firstRowLastColumn="0" w:lastRowFirstColumn="0" w:lastRowLastColumn="0"/>
        </w:trPr>
        <w:tc>
          <w:tcPr>
            <w:tcW w:w="4505" w:type="dxa"/>
            <w:shd w:val="clear" w:color="auto" w:fill="CFE5F4" w:themeFill="accent1" w:themeFillTint="33"/>
          </w:tcPr>
          <w:p w:rsidR="00626C96" w:rsidRPr="00982819" w:rsidRDefault="00ED5C9F" w:rsidP="00982819">
            <w:pPr>
              <w:spacing w:before="200" w:after="200" w:line="288" w:lineRule="auto"/>
              <w:rPr>
                <w:b/>
                <w:sz w:val="20"/>
                <w:szCs w:val="20"/>
              </w:rPr>
            </w:pPr>
            <w:r w:rsidRPr="00982819">
              <w:rPr>
                <w:b/>
                <w:sz w:val="20"/>
                <w:szCs w:val="20"/>
              </w:rPr>
              <w:t xml:space="preserve">INITIATIVE </w:t>
            </w:r>
          </w:p>
        </w:tc>
        <w:tc>
          <w:tcPr>
            <w:tcW w:w="4505" w:type="dxa"/>
            <w:shd w:val="clear" w:color="auto" w:fill="CFE5F4" w:themeFill="accent1" w:themeFillTint="33"/>
          </w:tcPr>
          <w:p w:rsidR="00626C96" w:rsidRPr="00982819" w:rsidRDefault="00ED5C9F" w:rsidP="00982819">
            <w:pPr>
              <w:spacing w:before="200" w:after="200" w:line="288" w:lineRule="auto"/>
              <w:rPr>
                <w:b/>
                <w:sz w:val="20"/>
                <w:szCs w:val="20"/>
              </w:rPr>
            </w:pPr>
            <w:r w:rsidRPr="00982819">
              <w:rPr>
                <w:b/>
                <w:sz w:val="20"/>
                <w:szCs w:val="20"/>
              </w:rPr>
              <w:t>CLIMATE AND HEALTH CO-BENEFITS</w:t>
            </w:r>
          </w:p>
        </w:tc>
      </w:tr>
      <w:tr w:rsidR="009C1400" w:rsidRPr="00982819" w:rsidTr="00BA527D">
        <w:tc>
          <w:tcPr>
            <w:tcW w:w="4505" w:type="dxa"/>
          </w:tcPr>
          <w:p w:rsidR="00ED5C9F" w:rsidRPr="00982819" w:rsidRDefault="00EF7617" w:rsidP="00982819">
            <w:pPr>
              <w:spacing w:before="200" w:after="200" w:line="288" w:lineRule="auto"/>
              <w:rPr>
                <w:b/>
                <w:sz w:val="20"/>
                <w:szCs w:val="20"/>
              </w:rPr>
            </w:pPr>
            <w:r w:rsidRPr="00982819">
              <w:rPr>
                <w:b/>
                <w:sz w:val="20"/>
                <w:szCs w:val="20"/>
              </w:rPr>
              <w:t>Spain</w:t>
            </w:r>
          </w:p>
          <w:p w:rsidR="009C1400" w:rsidRPr="00982819" w:rsidRDefault="009C1400" w:rsidP="00982819">
            <w:pPr>
              <w:spacing w:before="200" w:after="200" w:line="288" w:lineRule="auto"/>
              <w:rPr>
                <w:sz w:val="20"/>
                <w:szCs w:val="20"/>
              </w:rPr>
            </w:pPr>
            <w:r w:rsidRPr="00982819">
              <w:rPr>
                <w:sz w:val="20"/>
                <w:szCs w:val="20"/>
              </w:rPr>
              <w:t xml:space="preserve">The </w:t>
            </w:r>
            <w:proofErr w:type="spellStart"/>
            <w:r w:rsidRPr="00982819">
              <w:rPr>
                <w:sz w:val="20"/>
                <w:szCs w:val="20"/>
              </w:rPr>
              <w:t>Bicing</w:t>
            </w:r>
            <w:proofErr w:type="spellEnd"/>
            <w:r w:rsidRPr="00982819">
              <w:rPr>
                <w:sz w:val="20"/>
                <w:szCs w:val="20"/>
              </w:rPr>
              <w:t xml:space="preserve"> public bicycling sharing initiative in Barcelona</w:t>
            </w:r>
            <w:r w:rsidR="00EF7617" w:rsidRPr="00982819">
              <w:rPr>
                <w:sz w:val="20"/>
                <w:szCs w:val="20"/>
              </w:rPr>
              <w:t xml:space="preserve"> </w:t>
            </w:r>
            <w:r w:rsidRPr="00982819">
              <w:rPr>
                <w:sz w:val="20"/>
                <w:szCs w:val="20"/>
              </w:rPr>
              <w:t>promotes bicycling as a common means of transport</w:t>
            </w:r>
          </w:p>
        </w:tc>
        <w:tc>
          <w:tcPr>
            <w:tcW w:w="4505" w:type="dxa"/>
          </w:tcPr>
          <w:p w:rsidR="00ED5C9F" w:rsidRPr="00982819" w:rsidRDefault="00ED5C9F" w:rsidP="00982819">
            <w:pPr>
              <w:spacing w:before="200" w:after="200" w:line="288" w:lineRule="auto"/>
              <w:rPr>
                <w:sz w:val="20"/>
                <w:szCs w:val="20"/>
              </w:rPr>
            </w:pPr>
          </w:p>
          <w:p w:rsidR="009C1400" w:rsidRPr="00982819" w:rsidRDefault="009C1400" w:rsidP="00982819">
            <w:pPr>
              <w:spacing w:before="200" w:after="200" w:line="288" w:lineRule="auto"/>
              <w:rPr>
                <w:sz w:val="20"/>
                <w:szCs w:val="20"/>
              </w:rPr>
            </w:pPr>
            <w:r w:rsidRPr="00982819">
              <w:rPr>
                <w:sz w:val="20"/>
                <w:szCs w:val="20"/>
              </w:rPr>
              <w:t xml:space="preserve">As a results of </w:t>
            </w:r>
            <w:r w:rsidR="00EF7617" w:rsidRPr="00982819">
              <w:rPr>
                <w:sz w:val="20"/>
                <w:szCs w:val="20"/>
              </w:rPr>
              <w:t xml:space="preserve">substituting </w:t>
            </w:r>
            <w:r w:rsidRPr="00982819">
              <w:rPr>
                <w:sz w:val="20"/>
                <w:szCs w:val="20"/>
              </w:rPr>
              <w:t xml:space="preserve">car journeys by </w:t>
            </w:r>
            <w:proofErr w:type="spellStart"/>
            <w:r w:rsidRPr="00982819">
              <w:rPr>
                <w:sz w:val="20"/>
                <w:szCs w:val="20"/>
              </w:rPr>
              <w:t>Bicing</w:t>
            </w:r>
            <w:proofErr w:type="spellEnd"/>
            <w:r w:rsidRPr="00982819">
              <w:rPr>
                <w:sz w:val="20"/>
                <w:szCs w:val="20"/>
              </w:rPr>
              <w:t xml:space="preserve">, annual CO2 emissions </w:t>
            </w:r>
            <w:r w:rsidR="00EF7617" w:rsidRPr="00982819">
              <w:rPr>
                <w:sz w:val="20"/>
                <w:szCs w:val="20"/>
              </w:rPr>
              <w:t xml:space="preserve">in Barcelona </w:t>
            </w:r>
            <w:r w:rsidRPr="00982819">
              <w:rPr>
                <w:sz w:val="20"/>
                <w:szCs w:val="20"/>
              </w:rPr>
              <w:t>were reduced by an estimated 9062 MT, physical activity was increased, and 12.28 deaths avoided annually (Gao, 2018)</w:t>
            </w:r>
            <w:r w:rsidR="00EF7617" w:rsidRPr="00982819">
              <w:rPr>
                <w:sz w:val="20"/>
                <w:szCs w:val="20"/>
              </w:rPr>
              <w:t>.</w:t>
            </w:r>
          </w:p>
        </w:tc>
      </w:tr>
      <w:tr w:rsidR="003C6A91" w:rsidRPr="00982819" w:rsidTr="007156BD">
        <w:tc>
          <w:tcPr>
            <w:tcW w:w="4505" w:type="dxa"/>
            <w:shd w:val="clear" w:color="auto" w:fill="auto"/>
          </w:tcPr>
          <w:p w:rsidR="00ED5C9F" w:rsidRPr="00982819" w:rsidRDefault="00EF7617" w:rsidP="00982819">
            <w:pPr>
              <w:spacing w:before="200" w:after="200" w:line="288" w:lineRule="auto"/>
              <w:rPr>
                <w:b/>
                <w:sz w:val="20"/>
                <w:szCs w:val="20"/>
              </w:rPr>
            </w:pPr>
            <w:r w:rsidRPr="00982819">
              <w:rPr>
                <w:b/>
                <w:sz w:val="20"/>
                <w:szCs w:val="20"/>
              </w:rPr>
              <w:t>Swede</w:t>
            </w:r>
            <w:r w:rsidR="00ED5C9F" w:rsidRPr="00982819">
              <w:rPr>
                <w:b/>
                <w:sz w:val="20"/>
                <w:szCs w:val="20"/>
              </w:rPr>
              <w:t>n</w:t>
            </w:r>
          </w:p>
          <w:p w:rsidR="003C6A91" w:rsidRPr="00982819" w:rsidRDefault="003C6A91" w:rsidP="00982819">
            <w:pPr>
              <w:spacing w:before="200" w:after="200" w:line="288" w:lineRule="auto"/>
              <w:rPr>
                <w:sz w:val="20"/>
                <w:szCs w:val="20"/>
              </w:rPr>
            </w:pPr>
            <w:r w:rsidRPr="00982819">
              <w:rPr>
                <w:sz w:val="20"/>
                <w:szCs w:val="20"/>
              </w:rPr>
              <w:t>An initiative in Stockholm</w:t>
            </w:r>
            <w:r w:rsidR="00CF00A4" w:rsidRPr="00982819">
              <w:rPr>
                <w:sz w:val="20"/>
                <w:szCs w:val="20"/>
              </w:rPr>
              <w:t>, Sweden,</w:t>
            </w:r>
            <w:r w:rsidRPr="00982819">
              <w:rPr>
                <w:sz w:val="20"/>
                <w:szCs w:val="20"/>
              </w:rPr>
              <w:t xml:space="preserve"> introduced a road pricing system to improve air quality and reduce</w:t>
            </w:r>
            <w:r w:rsidRPr="00982819">
              <w:rPr>
                <w:rStyle w:val="apple-converted-space"/>
                <w:sz w:val="20"/>
                <w:szCs w:val="20"/>
              </w:rPr>
              <w:t> </w:t>
            </w:r>
            <w:r w:rsidRPr="00982819">
              <w:rPr>
                <w:sz w:val="20"/>
                <w:szCs w:val="20"/>
              </w:rPr>
              <w:t>traffic congestion</w:t>
            </w:r>
          </w:p>
          <w:p w:rsidR="003C6A91" w:rsidRPr="00982819" w:rsidRDefault="003C6A91" w:rsidP="00982819">
            <w:pPr>
              <w:spacing w:before="200" w:after="200" w:line="288" w:lineRule="auto"/>
              <w:rPr>
                <w:sz w:val="20"/>
                <w:szCs w:val="20"/>
              </w:rPr>
            </w:pPr>
          </w:p>
        </w:tc>
        <w:tc>
          <w:tcPr>
            <w:tcW w:w="4505" w:type="dxa"/>
            <w:shd w:val="clear" w:color="auto" w:fill="auto"/>
          </w:tcPr>
          <w:p w:rsidR="00ED5C9F" w:rsidRPr="00982819" w:rsidRDefault="00ED5C9F" w:rsidP="00982819">
            <w:pPr>
              <w:spacing w:before="200" w:after="200" w:line="288" w:lineRule="auto"/>
              <w:rPr>
                <w:sz w:val="20"/>
                <w:szCs w:val="20"/>
              </w:rPr>
            </w:pPr>
          </w:p>
          <w:p w:rsidR="003C6A91" w:rsidRPr="00982819" w:rsidRDefault="003C6A91" w:rsidP="00982819">
            <w:pPr>
              <w:spacing w:before="200" w:after="200" w:line="288" w:lineRule="auto"/>
              <w:rPr>
                <w:sz w:val="20"/>
                <w:szCs w:val="20"/>
              </w:rPr>
            </w:pPr>
            <w:r w:rsidRPr="00982819">
              <w:rPr>
                <w:sz w:val="20"/>
                <w:szCs w:val="20"/>
              </w:rPr>
              <w:t>The</w:t>
            </w:r>
            <w:r w:rsidR="00EF7617" w:rsidRPr="00982819">
              <w:rPr>
                <w:sz w:val="20"/>
                <w:szCs w:val="20"/>
              </w:rPr>
              <w:t xml:space="preserve"> introduction of road use charges led to</w:t>
            </w:r>
            <w:r w:rsidRPr="00982819">
              <w:rPr>
                <w:sz w:val="20"/>
                <w:szCs w:val="20"/>
              </w:rPr>
              <w:t xml:space="preserve"> a 15% reduction in total road use within the area where charges applied. Total</w:t>
            </w:r>
            <w:r w:rsidRPr="00982819">
              <w:rPr>
                <w:rStyle w:val="apple-converted-space"/>
                <w:sz w:val="20"/>
                <w:szCs w:val="20"/>
              </w:rPr>
              <w:t> </w:t>
            </w:r>
            <w:hyperlink r:id="rId32" w:tooltip="Learn more about traffic emission" w:history="1">
              <w:r w:rsidRPr="00982819">
                <w:rPr>
                  <w:rStyle w:val="Hyperlink"/>
                  <w:color w:val="000000" w:themeColor="text1"/>
                  <w:sz w:val="20"/>
                  <w:szCs w:val="20"/>
                  <w:u w:val="none"/>
                </w:rPr>
                <w:t>traffic emissions</w:t>
              </w:r>
            </w:hyperlink>
            <w:r w:rsidRPr="00982819">
              <w:rPr>
                <w:rStyle w:val="apple-converted-space"/>
                <w:sz w:val="20"/>
                <w:szCs w:val="20"/>
              </w:rPr>
              <w:t> </w:t>
            </w:r>
            <w:r w:rsidRPr="00982819">
              <w:rPr>
                <w:sz w:val="20"/>
                <w:szCs w:val="20"/>
              </w:rPr>
              <w:t>of NO</w:t>
            </w:r>
            <w:r w:rsidRPr="00982819">
              <w:rPr>
                <w:rStyle w:val="Emphasis"/>
                <w:sz w:val="20"/>
                <w:szCs w:val="20"/>
                <w:vertAlign w:val="subscript"/>
              </w:rPr>
              <w:t>x</w:t>
            </w:r>
            <w:r w:rsidRPr="00982819">
              <w:rPr>
                <w:rStyle w:val="apple-converted-space"/>
                <w:sz w:val="20"/>
                <w:szCs w:val="20"/>
              </w:rPr>
              <w:t> </w:t>
            </w:r>
            <w:r w:rsidRPr="00982819">
              <w:rPr>
                <w:sz w:val="20"/>
                <w:szCs w:val="20"/>
              </w:rPr>
              <w:t xml:space="preserve">and PM10 </w:t>
            </w:r>
            <w:r w:rsidR="00EF7617" w:rsidRPr="00982819">
              <w:rPr>
                <w:sz w:val="20"/>
                <w:szCs w:val="20"/>
              </w:rPr>
              <w:t xml:space="preserve">in this area </w:t>
            </w:r>
            <w:r w:rsidRPr="00982819">
              <w:rPr>
                <w:sz w:val="20"/>
                <w:szCs w:val="20"/>
              </w:rPr>
              <w:t>fell by 8.5% and 13%, respectively. This initiative is estimated to avoid 28 premature deaths each year (Johansson, 2009)</w:t>
            </w:r>
            <w:r w:rsidR="00EF7617" w:rsidRPr="00982819">
              <w:rPr>
                <w:sz w:val="20"/>
                <w:szCs w:val="20"/>
              </w:rPr>
              <w:t>.</w:t>
            </w:r>
          </w:p>
        </w:tc>
      </w:tr>
      <w:tr w:rsidR="00ED5C9F" w:rsidRPr="00982819" w:rsidTr="007156BD">
        <w:tc>
          <w:tcPr>
            <w:tcW w:w="4505" w:type="dxa"/>
            <w:shd w:val="clear" w:color="auto" w:fill="auto"/>
          </w:tcPr>
          <w:p w:rsidR="00ED5C9F" w:rsidRPr="00982819" w:rsidRDefault="00ED5C9F" w:rsidP="00982819">
            <w:pPr>
              <w:spacing w:before="200" w:after="200" w:line="288" w:lineRule="auto"/>
              <w:rPr>
                <w:b/>
                <w:sz w:val="20"/>
                <w:szCs w:val="20"/>
              </w:rPr>
            </w:pPr>
            <w:r w:rsidRPr="00982819">
              <w:rPr>
                <w:b/>
                <w:sz w:val="20"/>
                <w:szCs w:val="20"/>
              </w:rPr>
              <w:t>Philadelphia</w:t>
            </w:r>
          </w:p>
          <w:p w:rsidR="00ED5C9F" w:rsidRPr="00982819" w:rsidRDefault="00ED5C9F" w:rsidP="00982819">
            <w:pPr>
              <w:spacing w:before="200" w:after="200" w:line="288" w:lineRule="auto"/>
              <w:rPr>
                <w:sz w:val="20"/>
                <w:szCs w:val="20"/>
              </w:rPr>
            </w:pPr>
            <w:r w:rsidRPr="00982819">
              <w:rPr>
                <w:sz w:val="20"/>
                <w:szCs w:val="20"/>
              </w:rPr>
              <w:t xml:space="preserve">An initiative to clean up and ‘green’ unused public spaces in Philadelphia </w:t>
            </w:r>
          </w:p>
        </w:tc>
        <w:tc>
          <w:tcPr>
            <w:tcW w:w="4505" w:type="dxa"/>
            <w:shd w:val="clear" w:color="auto" w:fill="auto"/>
          </w:tcPr>
          <w:p w:rsidR="00ED5C9F" w:rsidRPr="00982819" w:rsidRDefault="00ED5C9F" w:rsidP="00982819">
            <w:pPr>
              <w:spacing w:before="200" w:after="200" w:line="288" w:lineRule="auto"/>
              <w:rPr>
                <w:sz w:val="20"/>
                <w:szCs w:val="20"/>
              </w:rPr>
            </w:pPr>
          </w:p>
          <w:p w:rsidR="00ED5C9F" w:rsidRPr="00982819" w:rsidRDefault="00ED5C9F" w:rsidP="00982819">
            <w:pPr>
              <w:spacing w:before="200" w:after="200" w:line="288" w:lineRule="auto"/>
              <w:rPr>
                <w:sz w:val="20"/>
                <w:szCs w:val="20"/>
              </w:rPr>
            </w:pPr>
            <w:r w:rsidRPr="00982819">
              <w:rPr>
                <w:sz w:val="20"/>
                <w:szCs w:val="20"/>
              </w:rPr>
              <w:t>Planting trees and grass and removal of waste led to substantial improvement in mental health: residents were happier and reported a 40% decline i</w:t>
            </w:r>
            <w:r w:rsidR="00091895" w:rsidRPr="00982819">
              <w:rPr>
                <w:sz w:val="20"/>
                <w:szCs w:val="20"/>
              </w:rPr>
              <w:t xml:space="preserve">n depression (in poorer areas, </w:t>
            </w:r>
            <w:r w:rsidRPr="00982819">
              <w:rPr>
                <w:sz w:val="20"/>
                <w:szCs w:val="20"/>
              </w:rPr>
              <w:t>residents reported a 70% drop in depression)</w:t>
            </w:r>
            <w:r w:rsidR="00BD1C46" w:rsidRPr="00982819">
              <w:rPr>
                <w:sz w:val="20"/>
                <w:szCs w:val="20"/>
              </w:rPr>
              <w:t xml:space="preserve"> (South, 2018)</w:t>
            </w:r>
            <w:r w:rsidRPr="00982819">
              <w:rPr>
                <w:sz w:val="20"/>
                <w:szCs w:val="20"/>
              </w:rPr>
              <w:t>.</w:t>
            </w:r>
          </w:p>
        </w:tc>
      </w:tr>
      <w:tr w:rsidR="00C0073F" w:rsidRPr="00982819" w:rsidTr="00091895">
        <w:tc>
          <w:tcPr>
            <w:tcW w:w="4505" w:type="dxa"/>
            <w:shd w:val="clear" w:color="auto" w:fill="auto"/>
          </w:tcPr>
          <w:p w:rsidR="00C0073F" w:rsidRPr="00982819" w:rsidRDefault="00F35AA7" w:rsidP="00982819">
            <w:pPr>
              <w:spacing w:before="200" w:after="200" w:line="288" w:lineRule="auto"/>
              <w:rPr>
                <w:b/>
                <w:sz w:val="20"/>
                <w:szCs w:val="20"/>
              </w:rPr>
            </w:pPr>
            <w:r w:rsidRPr="00982819">
              <w:rPr>
                <w:b/>
                <w:sz w:val="20"/>
                <w:szCs w:val="20"/>
              </w:rPr>
              <w:t>New Zealand</w:t>
            </w:r>
          </w:p>
          <w:p w:rsidR="00F35AA7" w:rsidRPr="00982819" w:rsidRDefault="00F35AA7" w:rsidP="00982819">
            <w:pPr>
              <w:spacing w:before="200" w:after="200" w:line="288" w:lineRule="auto"/>
              <w:rPr>
                <w:sz w:val="20"/>
                <w:szCs w:val="20"/>
              </w:rPr>
            </w:pPr>
            <w:r w:rsidRPr="00982819">
              <w:rPr>
                <w:sz w:val="20"/>
                <w:szCs w:val="20"/>
              </w:rPr>
              <w:t xml:space="preserve">A pilot project to retrofit insulation into households in low income communities where at least one person suffered from respiratory illness. Measured </w:t>
            </w:r>
            <w:r w:rsidR="000B3B18" w:rsidRPr="00982819">
              <w:rPr>
                <w:sz w:val="20"/>
                <w:szCs w:val="20"/>
              </w:rPr>
              <w:t>personal comfort</w:t>
            </w:r>
            <w:r w:rsidRPr="00982819">
              <w:rPr>
                <w:sz w:val="20"/>
                <w:szCs w:val="20"/>
              </w:rPr>
              <w:t xml:space="preserve">, </w:t>
            </w:r>
            <w:r w:rsidR="00CA430B" w:rsidRPr="00982819">
              <w:rPr>
                <w:sz w:val="20"/>
                <w:szCs w:val="20"/>
              </w:rPr>
              <w:t xml:space="preserve">healthcare utilisation, </w:t>
            </w:r>
            <w:r w:rsidR="000B3B18" w:rsidRPr="00982819">
              <w:rPr>
                <w:sz w:val="20"/>
                <w:szCs w:val="20"/>
              </w:rPr>
              <w:t>energy use,</w:t>
            </w:r>
            <w:r w:rsidR="00CA430B" w:rsidRPr="00982819">
              <w:rPr>
                <w:sz w:val="20"/>
                <w:szCs w:val="20"/>
              </w:rPr>
              <w:t xml:space="preserve"> and GHG emissions</w:t>
            </w:r>
            <w:r w:rsidRPr="00982819">
              <w:rPr>
                <w:sz w:val="20"/>
                <w:szCs w:val="20"/>
              </w:rPr>
              <w:t>.</w:t>
            </w:r>
          </w:p>
          <w:p w:rsidR="00F35AA7" w:rsidRPr="00982819" w:rsidRDefault="00F35AA7" w:rsidP="00982819">
            <w:pPr>
              <w:spacing w:before="200" w:after="200" w:line="288" w:lineRule="auto"/>
              <w:rPr>
                <w:sz w:val="20"/>
                <w:szCs w:val="20"/>
              </w:rPr>
            </w:pPr>
          </w:p>
        </w:tc>
        <w:tc>
          <w:tcPr>
            <w:tcW w:w="4505" w:type="dxa"/>
            <w:shd w:val="clear" w:color="auto" w:fill="auto"/>
          </w:tcPr>
          <w:p w:rsidR="00C0073F" w:rsidRPr="00982819" w:rsidRDefault="00C0073F" w:rsidP="00982819">
            <w:pPr>
              <w:spacing w:before="200" w:after="200" w:line="288" w:lineRule="auto"/>
              <w:rPr>
                <w:sz w:val="20"/>
                <w:szCs w:val="20"/>
              </w:rPr>
            </w:pPr>
          </w:p>
          <w:p w:rsidR="00CA430B" w:rsidRPr="00982819" w:rsidRDefault="00CA430B" w:rsidP="00982819">
            <w:pPr>
              <w:spacing w:before="200" w:after="200" w:line="288" w:lineRule="auto"/>
              <w:rPr>
                <w:sz w:val="20"/>
                <w:szCs w:val="20"/>
              </w:rPr>
            </w:pPr>
            <w:r w:rsidRPr="00982819">
              <w:rPr>
                <w:sz w:val="20"/>
                <w:szCs w:val="20"/>
              </w:rPr>
              <w:t>This intervention reduced hospital admissions, delivered energy savings and CO</w:t>
            </w:r>
            <w:r w:rsidRPr="00982819">
              <w:rPr>
                <w:sz w:val="20"/>
                <w:szCs w:val="20"/>
                <w:vertAlign w:val="subscript"/>
              </w:rPr>
              <w:t xml:space="preserve">2 </w:t>
            </w:r>
            <w:r w:rsidRPr="00982819">
              <w:rPr>
                <w:sz w:val="20"/>
                <w:szCs w:val="20"/>
              </w:rPr>
              <w:t xml:space="preserve">savings, and delivered net benefits of $1574 per household (Chapman, 2008). </w:t>
            </w:r>
          </w:p>
          <w:p w:rsidR="00F35AA7" w:rsidRPr="00982819" w:rsidRDefault="00F35AA7" w:rsidP="00982819">
            <w:pPr>
              <w:spacing w:before="200" w:after="200" w:line="288" w:lineRule="auto"/>
              <w:rPr>
                <w:sz w:val="20"/>
                <w:szCs w:val="20"/>
              </w:rPr>
            </w:pPr>
          </w:p>
        </w:tc>
      </w:tr>
      <w:tr w:rsidR="00626C96" w:rsidRPr="00982819" w:rsidTr="00BA527D">
        <w:tc>
          <w:tcPr>
            <w:tcW w:w="4505" w:type="dxa"/>
          </w:tcPr>
          <w:p w:rsidR="00ED5C9F" w:rsidRPr="00982819" w:rsidRDefault="00EF7617" w:rsidP="00982819">
            <w:pPr>
              <w:spacing w:before="200" w:after="200" w:line="288" w:lineRule="auto"/>
              <w:rPr>
                <w:b/>
                <w:sz w:val="20"/>
                <w:szCs w:val="20"/>
              </w:rPr>
            </w:pPr>
            <w:r w:rsidRPr="00982819">
              <w:rPr>
                <w:b/>
                <w:sz w:val="20"/>
                <w:szCs w:val="20"/>
              </w:rPr>
              <w:t>Global</w:t>
            </w:r>
          </w:p>
          <w:p w:rsidR="00ED5C9F" w:rsidRPr="00982819" w:rsidRDefault="00626C96" w:rsidP="00EA61A7">
            <w:pPr>
              <w:spacing w:before="200" w:after="200" w:line="288" w:lineRule="auto"/>
              <w:rPr>
                <w:sz w:val="20"/>
                <w:szCs w:val="20"/>
              </w:rPr>
            </w:pPr>
            <w:r w:rsidRPr="00982819">
              <w:rPr>
                <w:sz w:val="20"/>
                <w:szCs w:val="20"/>
              </w:rPr>
              <w:t xml:space="preserve">The Global Green and Healthy Hospitals (GGHH) network of hospitals, health facilities, and health organisations established in 2012 now has over 1000 members in 54 countries, representing over 32,000 hospitals and health centres. </w:t>
            </w:r>
          </w:p>
          <w:p w:rsidR="00626C96" w:rsidRPr="00982819" w:rsidRDefault="00626C96" w:rsidP="00982819">
            <w:pPr>
              <w:spacing w:before="200" w:after="200" w:line="288" w:lineRule="auto"/>
              <w:ind w:left="0"/>
              <w:rPr>
                <w:sz w:val="20"/>
                <w:szCs w:val="20"/>
              </w:rPr>
            </w:pPr>
            <w:r w:rsidRPr="00982819">
              <w:rPr>
                <w:sz w:val="20"/>
                <w:szCs w:val="20"/>
              </w:rPr>
              <w:t xml:space="preserve">The Pacific region of this network (Australia and New Zealand) has around 40 members, representing 800 hospitals and health services, including Melbourne Health (CAHA, 2018). This is set to grow rapidly in Victoria, with the Department of Health and Human Service joining GGHH in 2018, providing the opportunity for all of the state’s public health services to participate in and access the network. </w:t>
            </w:r>
          </w:p>
          <w:p w:rsidR="00626C96" w:rsidRPr="00982819" w:rsidRDefault="00626C96" w:rsidP="00982819">
            <w:pPr>
              <w:spacing w:before="200" w:after="200" w:line="288" w:lineRule="auto"/>
              <w:rPr>
                <w:sz w:val="20"/>
                <w:szCs w:val="20"/>
              </w:rPr>
            </w:pPr>
          </w:p>
        </w:tc>
        <w:tc>
          <w:tcPr>
            <w:tcW w:w="4505" w:type="dxa"/>
          </w:tcPr>
          <w:p w:rsidR="00ED5C9F" w:rsidRPr="00982819" w:rsidRDefault="00ED5C9F" w:rsidP="00982819">
            <w:pPr>
              <w:spacing w:before="200" w:after="200" w:line="288" w:lineRule="auto"/>
              <w:rPr>
                <w:sz w:val="20"/>
                <w:szCs w:val="20"/>
              </w:rPr>
            </w:pPr>
          </w:p>
          <w:p w:rsidR="00626C96" w:rsidRPr="00982819" w:rsidRDefault="00626C96" w:rsidP="00982819">
            <w:pPr>
              <w:spacing w:before="200" w:after="200" w:line="288" w:lineRule="auto"/>
              <w:rPr>
                <w:sz w:val="20"/>
                <w:szCs w:val="20"/>
              </w:rPr>
            </w:pPr>
            <w:r w:rsidRPr="00982819">
              <w:rPr>
                <w:sz w:val="20"/>
                <w:szCs w:val="20"/>
              </w:rPr>
              <w:t>Hospitals and health services participating in the GGHH Health Care Climate Challenge have pledged to reduce emissions by 16 million metric tonnes by 2020. This is equivalent to:</w:t>
            </w:r>
          </w:p>
          <w:p w:rsidR="00626C96" w:rsidRPr="00982819" w:rsidRDefault="00626C96" w:rsidP="00982819">
            <w:pPr>
              <w:pStyle w:val="ListParagraph"/>
              <w:numPr>
                <w:ilvl w:val="0"/>
                <w:numId w:val="24"/>
              </w:numPr>
              <w:spacing w:before="200" w:after="200"/>
              <w:contextualSpacing/>
            </w:pPr>
            <w:r w:rsidRPr="00982819">
              <w:t xml:space="preserve">one year of carbon emissions from 4 coal-fired power plants </w:t>
            </w:r>
          </w:p>
          <w:p w:rsidR="00626C96" w:rsidRPr="00982819" w:rsidRDefault="00626C96" w:rsidP="00982819">
            <w:pPr>
              <w:pStyle w:val="ListParagraph"/>
              <w:numPr>
                <w:ilvl w:val="0"/>
                <w:numId w:val="24"/>
              </w:numPr>
              <w:spacing w:before="200" w:after="200"/>
              <w:contextualSpacing/>
            </w:pPr>
            <w:r w:rsidRPr="00982819">
              <w:t>energy use of 1.7 million (US) homes for one year</w:t>
            </w:r>
          </w:p>
          <w:p w:rsidR="00626C96" w:rsidRPr="00982819" w:rsidRDefault="00626C96" w:rsidP="00982819">
            <w:pPr>
              <w:pStyle w:val="ListParagraph"/>
              <w:numPr>
                <w:ilvl w:val="0"/>
                <w:numId w:val="24"/>
              </w:numPr>
              <w:spacing w:before="200" w:after="200"/>
              <w:contextualSpacing/>
            </w:pPr>
            <w:r w:rsidRPr="00982819">
              <w:t>savings of $1.7 billion in healthcare costs related to air pollution</w:t>
            </w:r>
          </w:p>
          <w:p w:rsidR="00626C96" w:rsidRPr="00982819" w:rsidRDefault="00626C96" w:rsidP="00982819">
            <w:pPr>
              <w:pStyle w:val="ListParagraph"/>
              <w:numPr>
                <w:ilvl w:val="0"/>
                <w:numId w:val="24"/>
              </w:numPr>
              <w:spacing w:before="200" w:after="200"/>
              <w:contextualSpacing/>
            </w:pPr>
            <w:r w:rsidRPr="00982819">
              <w:t>emissions reductions equivalent to running 4,000 wind turbines for one year</w:t>
            </w:r>
          </w:p>
          <w:p w:rsidR="009C1400" w:rsidRPr="00982819" w:rsidRDefault="009C1400" w:rsidP="00982819">
            <w:pPr>
              <w:spacing w:before="200" w:after="200" w:line="288" w:lineRule="auto"/>
              <w:ind w:left="0"/>
              <w:contextualSpacing/>
              <w:rPr>
                <w:sz w:val="20"/>
                <w:szCs w:val="20"/>
              </w:rPr>
            </w:pPr>
            <w:r w:rsidRPr="00982819">
              <w:rPr>
                <w:sz w:val="20"/>
                <w:szCs w:val="20"/>
              </w:rPr>
              <w:t xml:space="preserve">These initiatives will reduce morbidity and mortality in local communities and the economic savings will provide additional health services. </w:t>
            </w:r>
          </w:p>
        </w:tc>
      </w:tr>
    </w:tbl>
    <w:p w:rsidR="00BA527D" w:rsidRPr="00982819" w:rsidRDefault="00BA527D" w:rsidP="00982819">
      <w:pPr>
        <w:spacing w:before="200" w:after="200" w:line="288" w:lineRule="auto"/>
        <w:rPr>
          <w:sz w:val="20"/>
          <w:szCs w:val="20"/>
        </w:rPr>
      </w:pPr>
    </w:p>
    <w:sectPr w:rsidR="00BA527D" w:rsidRPr="00982819" w:rsidSect="00720522">
      <w:headerReference w:type="even" r:id="rId33"/>
      <w:footerReference w:type="even" r:id="rId34"/>
      <w:headerReference w:type="first" r:id="rId35"/>
      <w:footerReference w:type="first" r:id="rId36"/>
      <w:pgSz w:w="11907" w:h="16839" w:code="9"/>
      <w:pgMar w:top="1701" w:right="1417" w:bottom="1134" w:left="1417" w:header="454" w:footer="51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2566" w:rsidRPr="00C33C38" w:rsidRDefault="00132566" w:rsidP="00256624">
      <w:pPr>
        <w:rPr>
          <w:sz w:val="19"/>
          <w:szCs w:val="19"/>
        </w:rPr>
      </w:pPr>
      <w:r w:rsidRPr="00C33C38">
        <w:rPr>
          <w:sz w:val="19"/>
          <w:szCs w:val="19"/>
        </w:rPr>
        <w:separator/>
      </w:r>
    </w:p>
    <w:p w:rsidR="00132566" w:rsidRDefault="00132566"/>
  </w:endnote>
  <w:endnote w:type="continuationSeparator" w:id="0">
    <w:p w:rsidR="00132566" w:rsidRPr="00C33C38" w:rsidRDefault="00132566" w:rsidP="00256624">
      <w:pPr>
        <w:rPr>
          <w:sz w:val="19"/>
          <w:szCs w:val="19"/>
        </w:rPr>
      </w:pPr>
      <w:r w:rsidRPr="00C33C38">
        <w:rPr>
          <w:sz w:val="19"/>
          <w:szCs w:val="19"/>
        </w:rPr>
        <w:continuationSeparator/>
      </w:r>
    </w:p>
    <w:p w:rsidR="00132566" w:rsidRDefault="0013256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text" w:horzAnchor="margin" w:tblpY="86"/>
      <w:tblOverlap w:val="never"/>
      <w:tblW w:w="0" w:type="auto"/>
      <w:tblLook w:val="04A0" w:firstRow="1" w:lastRow="0" w:firstColumn="1" w:lastColumn="0" w:noHBand="0" w:noVBand="1"/>
    </w:tblPr>
    <w:tblGrid>
      <w:gridCol w:w="7196"/>
    </w:tblGrid>
    <w:tr w:rsidR="001F6075" w:rsidTr="00175051">
      <w:tc>
        <w:tcPr>
          <w:tcW w:w="7196" w:type="dxa"/>
          <w:vAlign w:val="bottom"/>
        </w:tcPr>
        <w:tbl>
          <w:tblPr>
            <w:tblpPr w:vertAnchor="page" w:horzAnchor="margin" w:tblpYSpec="bottom"/>
            <w:tblW w:w="6434" w:type="dxa"/>
            <w:tblCellMar>
              <w:bottom w:w="283" w:type="dxa"/>
            </w:tblCellMar>
            <w:tblLook w:val="04A0" w:firstRow="1" w:lastRow="0" w:firstColumn="1" w:lastColumn="0" w:noHBand="0" w:noVBand="1"/>
          </w:tblPr>
          <w:tblGrid>
            <w:gridCol w:w="1757"/>
            <w:gridCol w:w="4677"/>
          </w:tblGrid>
          <w:tr w:rsidR="001F6075" w:rsidTr="00FB0D68">
            <w:trPr>
              <w:trHeight w:val="454"/>
            </w:trPr>
            <w:tc>
              <w:tcPr>
                <w:tcW w:w="1757" w:type="dxa"/>
              </w:tcPr>
              <w:p w:rsidR="001F6075" w:rsidRDefault="001F6075" w:rsidP="000C479B">
                <w:pPr>
                  <w:pStyle w:val="Footer"/>
                </w:pPr>
                <w:r w:rsidRPr="00720522">
                  <w:rPr>
                    <w:b/>
                  </w:rPr>
                  <w:t>City of Melbourne</w:t>
                </w:r>
              </w:p>
            </w:tc>
            <w:tc>
              <w:tcPr>
                <w:tcW w:w="4677" w:type="dxa"/>
              </w:tcPr>
              <w:p w:rsidR="001F6075" w:rsidRDefault="001F6075" w:rsidP="000C479B">
                <w:pPr>
                  <w:pStyle w:val="Footer"/>
                </w:pPr>
                <w:r>
                  <w:fldChar w:fldCharType="begin"/>
                </w:r>
                <w:r>
                  <w:instrText xml:space="preserve"> STYLEREF  Title  \* MERGEFORMAT </w:instrText>
                </w:r>
                <w:r>
                  <w:fldChar w:fldCharType="end"/>
                </w:r>
                <w:r>
                  <w:t xml:space="preserve"> </w:t>
                </w:r>
                <w:r>
                  <w:fldChar w:fldCharType="begin"/>
                </w:r>
                <w:r>
                  <w:instrText xml:space="preserve"> IF </w:instrText>
                </w:r>
                <w:r w:rsidR="00132566">
                  <w:fldChar w:fldCharType="begin"/>
                </w:r>
                <w:r w:rsidR="00132566">
                  <w:instrText xml:space="preserve"> STYLEREF  Subtitle  </w:instrText>
                </w:r>
                <w:r w:rsidR="00132566">
                  <w:fldChar w:fldCharType="separate"/>
                </w:r>
                <w:r w:rsidR="00EE535F">
                  <w:rPr>
                    <w:noProof/>
                  </w:rPr>
                  <w:instrText>To inform City of Melbourne Zero Net Emissions Strategy</w:instrText>
                </w:r>
                <w:r w:rsidR="00132566">
                  <w:rPr>
                    <w:noProof/>
                  </w:rPr>
                  <w:fldChar w:fldCharType="end"/>
                </w:r>
                <w:r>
                  <w:instrText>&lt;&gt;"Error*"</w:instrText>
                </w:r>
                <w:r w:rsidR="00132566">
                  <w:fldChar w:fldCharType="begin"/>
                </w:r>
                <w:r w:rsidR="00132566">
                  <w:instrText xml:space="preserve"> STYLEREF  Subtitle </w:instrText>
                </w:r>
                <w:r w:rsidR="00132566">
                  <w:fldChar w:fldCharType="separate"/>
                </w:r>
                <w:r w:rsidR="00EE535F">
                  <w:rPr>
                    <w:noProof/>
                  </w:rPr>
                  <w:instrText>To inform City of Melbourne Zero Net Emissions Strategy</w:instrText>
                </w:r>
                <w:r w:rsidR="00132566">
                  <w:rPr>
                    <w:noProof/>
                  </w:rPr>
                  <w:fldChar w:fldCharType="end"/>
                </w:r>
                <w:r>
                  <w:instrText xml:space="preserve">" "" </w:instrText>
                </w:r>
                <w:r>
                  <w:fldChar w:fldCharType="separate"/>
                </w:r>
                <w:r w:rsidR="00EE535F">
                  <w:rPr>
                    <w:noProof/>
                  </w:rPr>
                  <w:t>To inform City of Melbourne Zero Net Emissions Strategy</w:t>
                </w:r>
                <w:r>
                  <w:fldChar w:fldCharType="end"/>
                </w:r>
              </w:p>
            </w:tc>
          </w:tr>
        </w:tbl>
        <w:p w:rsidR="001F6075" w:rsidRDefault="001F6075" w:rsidP="000C479B">
          <w:pPr>
            <w:pStyle w:val="FooterWithLine"/>
          </w:pPr>
        </w:p>
        <w:p w:rsidR="001F6075" w:rsidRDefault="001F6075" w:rsidP="00175051">
          <w:pPr>
            <w:pStyle w:val="Footer"/>
          </w:pPr>
        </w:p>
      </w:tc>
    </w:tr>
  </w:tbl>
  <w:p w:rsidR="001F6075" w:rsidRPr="00175051" w:rsidRDefault="001F6075" w:rsidP="0017505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margin" w:tblpYSpec="bottom"/>
      <w:tblW w:w="6434" w:type="dxa"/>
      <w:tblLayout w:type="fixed"/>
      <w:tblCellMar>
        <w:bottom w:w="283" w:type="dxa"/>
      </w:tblCellMar>
      <w:tblLook w:val="04A0" w:firstRow="1" w:lastRow="0" w:firstColumn="1" w:lastColumn="0" w:noHBand="0" w:noVBand="1"/>
    </w:tblPr>
    <w:tblGrid>
      <w:gridCol w:w="1757"/>
      <w:gridCol w:w="4677"/>
    </w:tblGrid>
    <w:tr w:rsidR="001F6075" w:rsidTr="00720522">
      <w:trPr>
        <w:trHeight w:val="454"/>
      </w:trPr>
      <w:tc>
        <w:tcPr>
          <w:tcW w:w="1757" w:type="dxa"/>
        </w:tcPr>
        <w:p w:rsidR="001F6075" w:rsidRDefault="001F6075" w:rsidP="00720522">
          <w:pPr>
            <w:pStyle w:val="Footer"/>
          </w:pPr>
          <w:r w:rsidRPr="00720522">
            <w:rPr>
              <w:b/>
            </w:rPr>
            <w:t>City of Melbourne</w:t>
          </w:r>
        </w:p>
      </w:tc>
      <w:tc>
        <w:tcPr>
          <w:tcW w:w="4677" w:type="dxa"/>
        </w:tcPr>
        <w:p w:rsidR="001F6075" w:rsidRDefault="001F6075" w:rsidP="00720522">
          <w:pPr>
            <w:pStyle w:val="Footer"/>
          </w:pPr>
          <w:r>
            <w:fldChar w:fldCharType="begin"/>
          </w:r>
          <w:r>
            <w:instrText xml:space="preserve"> STYLEREF  Title  \* MERGEFORMAT </w:instrText>
          </w:r>
          <w:r>
            <w:fldChar w:fldCharType="end"/>
          </w:r>
          <w:r>
            <w:fldChar w:fldCharType="begin"/>
          </w:r>
          <w:r>
            <w:instrText xml:space="preserve"> IF </w:instrText>
          </w:r>
          <w:r w:rsidR="00132566">
            <w:fldChar w:fldCharType="begin"/>
          </w:r>
          <w:r w:rsidR="00132566">
            <w:instrText xml:space="preserve"> STYLEREF  Subtitle  </w:instrText>
          </w:r>
          <w:r w:rsidR="00132566">
            <w:fldChar w:fldCharType="separate"/>
          </w:r>
          <w:r w:rsidR="00EE535F">
            <w:rPr>
              <w:noProof/>
            </w:rPr>
            <w:instrText>To inform City of Melbourne Zero Net Emissions Strategy</w:instrText>
          </w:r>
          <w:r w:rsidR="00132566">
            <w:rPr>
              <w:noProof/>
            </w:rPr>
            <w:fldChar w:fldCharType="end"/>
          </w:r>
          <w:r>
            <w:instrText>&lt;&gt;"Error*"</w:instrText>
          </w:r>
          <w:r w:rsidR="00132566">
            <w:fldChar w:fldCharType="begin"/>
          </w:r>
          <w:r w:rsidR="00132566">
            <w:instrText xml:space="preserve"> STYLEREF  Subtitle </w:instrText>
          </w:r>
          <w:r w:rsidR="00132566">
            <w:fldChar w:fldCharType="separate"/>
          </w:r>
          <w:r w:rsidR="00EE535F">
            <w:rPr>
              <w:noProof/>
            </w:rPr>
            <w:instrText>To inform City of Melbourne Zero Net Emissions Strategy</w:instrText>
          </w:r>
          <w:r w:rsidR="00132566">
            <w:rPr>
              <w:noProof/>
            </w:rPr>
            <w:fldChar w:fldCharType="end"/>
          </w:r>
          <w:r>
            <w:instrText xml:space="preserve">" "" </w:instrText>
          </w:r>
          <w:r>
            <w:fldChar w:fldCharType="separate"/>
          </w:r>
          <w:r w:rsidR="00EE535F">
            <w:rPr>
              <w:noProof/>
            </w:rPr>
            <w:t>To inform City of Melbourne Zero Net Emissions Strategy</w:t>
          </w:r>
          <w:r>
            <w:fldChar w:fldCharType="end"/>
          </w:r>
        </w:p>
      </w:tc>
    </w:tr>
  </w:tbl>
  <w:p w:rsidR="001F6075" w:rsidRDefault="001F6075" w:rsidP="00720522">
    <w:pPr>
      <w:pStyle w:val="FooterWithLine"/>
    </w:pPr>
  </w:p>
  <w:tbl>
    <w:tblPr>
      <w:tblpPr w:vertAnchor="page" w:horzAnchor="margin" w:tblpXSpec="right" w:tblpYSpec="bottom"/>
      <w:tblW w:w="907" w:type="dxa"/>
      <w:tblLayout w:type="fixed"/>
      <w:tblCellMar>
        <w:bottom w:w="283" w:type="dxa"/>
        <w:right w:w="0" w:type="dxa"/>
      </w:tblCellMar>
      <w:tblLook w:val="04A0" w:firstRow="1" w:lastRow="0" w:firstColumn="1" w:lastColumn="0" w:noHBand="0" w:noVBand="1"/>
    </w:tblPr>
    <w:tblGrid>
      <w:gridCol w:w="907"/>
    </w:tblGrid>
    <w:tr w:rsidR="001F6075" w:rsidTr="00720522">
      <w:trPr>
        <w:trHeight w:val="454"/>
      </w:trPr>
      <w:tc>
        <w:tcPr>
          <w:tcW w:w="907" w:type="dxa"/>
        </w:tcPr>
        <w:p w:rsidR="001F6075" w:rsidRDefault="001F6075" w:rsidP="00720522">
          <w:pPr>
            <w:pStyle w:val="FooterPageNumber"/>
          </w:pPr>
          <w:r>
            <w:t>1</w:t>
          </w:r>
        </w:p>
      </w:tc>
    </w:tr>
  </w:tbl>
  <w:p w:rsidR="001F6075" w:rsidRPr="00720522" w:rsidRDefault="001F6075" w:rsidP="0072052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6075" w:rsidRDefault="001F6075" w:rsidP="00F25E60">
    <w:pPr>
      <w:pStyle w:val="Footer"/>
    </w:pPr>
  </w:p>
  <w:p w:rsidR="001F6075" w:rsidRDefault="001F6075"/>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6075" w:rsidRDefault="001F6075" w:rsidP="00F25E6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2566" w:rsidRPr="0032656F" w:rsidRDefault="00132566" w:rsidP="0032656F">
      <w:r w:rsidRPr="0032656F">
        <w:separator/>
      </w:r>
    </w:p>
  </w:footnote>
  <w:footnote w:type="continuationSeparator" w:id="0">
    <w:p w:rsidR="00132566" w:rsidRDefault="00132566">
      <w:r>
        <w:continuationSeparator/>
      </w:r>
    </w:p>
  </w:footnote>
  <w:footnote w:id="1">
    <w:p w:rsidR="001F6075" w:rsidRPr="00181DB5" w:rsidRDefault="001F6075" w:rsidP="0066358A">
      <w:pPr>
        <w:pStyle w:val="NormalWeb"/>
        <w:rPr>
          <w:rFonts w:ascii="Arial" w:hAnsi="Arial" w:cs="Arial"/>
          <w:szCs w:val="20"/>
        </w:rPr>
      </w:pPr>
      <w:r>
        <w:rPr>
          <w:rStyle w:val="FootnoteReference"/>
        </w:rPr>
        <w:footnoteRef/>
      </w:r>
      <w:r>
        <w:t xml:space="preserve"> </w:t>
      </w:r>
      <w:r w:rsidRPr="00181DB5">
        <w:rPr>
          <w:rFonts w:ascii="Arial" w:hAnsi="Arial" w:cs="Arial"/>
          <w:szCs w:val="20"/>
        </w:rPr>
        <w:t>Frames are ‘interpretive storylines’ that define why an issue is a problem, who might be responsible, and what can be done</w:t>
      </w:r>
      <w:r>
        <w:rPr>
          <w:rFonts w:ascii="Arial" w:hAnsi="Arial" w:cs="Arial"/>
          <w:szCs w:val="20"/>
        </w:rPr>
        <w:t xml:space="preserve"> (Nisbet, 2009).</w:t>
      </w:r>
    </w:p>
    <w:p w:rsidR="001F6075" w:rsidRDefault="001F6075" w:rsidP="0066358A">
      <w:pPr>
        <w:pStyle w:val="FootnoteText"/>
      </w:pPr>
    </w:p>
  </w:footnote>
  <w:footnote w:id="2">
    <w:p w:rsidR="001F6075" w:rsidRDefault="001F6075" w:rsidP="0066358A">
      <w:pPr>
        <w:pStyle w:val="FootnoteText"/>
      </w:pPr>
      <w:r>
        <w:rPr>
          <w:rStyle w:val="FootnoteReference"/>
          <w:rFonts w:eastAsiaTheme="majorEastAsia"/>
        </w:rPr>
        <w:footnoteRef/>
      </w:r>
      <w:r>
        <w:t xml:space="preserve"> </w:t>
      </w:r>
      <w:r w:rsidRPr="006933C5">
        <w:t xml:space="preserve">Organisation for Economic Cooperation and Development </w:t>
      </w:r>
      <w:r>
        <w:t xml:space="preserve">(OECD) and </w:t>
      </w:r>
      <w:r w:rsidRPr="006933C5">
        <w:t>Brazil, Russia, India, Indonesia, China and South Africa</w:t>
      </w:r>
      <w:r>
        <w:t xml:space="preserve"> (BRIICS)</w:t>
      </w:r>
    </w:p>
  </w:footnote>
  <w:footnote w:id="3">
    <w:p w:rsidR="001F6075" w:rsidRPr="00AB72F6" w:rsidRDefault="001F6075" w:rsidP="00574250">
      <w:pPr>
        <w:pStyle w:val="NormalWeb"/>
        <w:rPr>
          <w:rFonts w:ascii="Arial" w:hAnsi="Arial" w:cs="Arial"/>
          <w:sz w:val="18"/>
          <w:szCs w:val="18"/>
        </w:rPr>
      </w:pPr>
      <w:r w:rsidRPr="00AB72F6">
        <w:rPr>
          <w:rStyle w:val="FootnoteReference"/>
          <w:rFonts w:ascii="Arial" w:hAnsi="Arial"/>
          <w:sz w:val="18"/>
          <w:szCs w:val="18"/>
        </w:rPr>
        <w:footnoteRef/>
      </w:r>
      <w:r w:rsidRPr="00AB72F6">
        <w:rPr>
          <w:rFonts w:ascii="Arial" w:hAnsi="Arial"/>
          <w:sz w:val="18"/>
          <w:szCs w:val="18"/>
        </w:rPr>
        <w:t xml:space="preserve"> </w:t>
      </w:r>
      <w:r w:rsidRPr="00AB72F6">
        <w:rPr>
          <w:rFonts w:ascii="Arial" w:hAnsi="Arial" w:cs="Arial"/>
          <w:sz w:val="18"/>
          <w:szCs w:val="18"/>
        </w:rPr>
        <w:t xml:space="preserve">The United Nations Food and Agriculture Organization (FAO) </w:t>
      </w:r>
      <w:proofErr w:type="gramStart"/>
      <w:r w:rsidRPr="00AB72F6">
        <w:rPr>
          <w:rFonts w:ascii="Arial" w:hAnsi="Arial" w:cs="Arial"/>
          <w:sz w:val="18"/>
          <w:szCs w:val="18"/>
        </w:rPr>
        <w:t>defines</w:t>
      </w:r>
      <w:proofErr w:type="gramEnd"/>
      <w:r w:rsidRPr="00AB72F6">
        <w:rPr>
          <w:rFonts w:ascii="Arial" w:hAnsi="Arial" w:cs="Arial"/>
          <w:sz w:val="18"/>
          <w:szCs w:val="18"/>
        </w:rPr>
        <w:t xml:space="preserve"> sustainable diets as those which are healthy, have a low environmental impact, are affordable, and culturally acceptable. </w:t>
      </w:r>
    </w:p>
    <w:p w:rsidR="001F6075" w:rsidRDefault="001F6075" w:rsidP="00574250">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6075" w:rsidRPr="003B3D5D" w:rsidRDefault="001F6075" w:rsidP="003B3D5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6075" w:rsidRPr="00720522" w:rsidRDefault="001F6075" w:rsidP="0072052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F6075" w:rsidRPr="0082737B" w:rsidRDefault="001F6075" w:rsidP="0082737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C2CC3"/>
    <w:multiLevelType w:val="multilevel"/>
    <w:tmpl w:val="591C1A3C"/>
    <w:name w:val="PullOutBoxNumbering"/>
    <w:lvl w:ilvl="0">
      <w:start w:val="1"/>
      <w:numFmt w:val="decimal"/>
      <w:pStyle w:val="PullOutBoxNumber"/>
      <w:lvlText w:val="%1."/>
      <w:lvlJc w:val="left"/>
      <w:pPr>
        <w:tabs>
          <w:tab w:val="num" w:pos="680"/>
        </w:tabs>
        <w:ind w:left="680" w:hanging="396"/>
      </w:pPr>
      <w:rPr>
        <w:rFonts w:hint="default"/>
      </w:rPr>
    </w:lvl>
    <w:lvl w:ilvl="1">
      <w:start w:val="1"/>
      <w:numFmt w:val="lowerLetter"/>
      <w:pStyle w:val="PullOutBoxNumber2"/>
      <w:lvlText w:val="%2."/>
      <w:lvlJc w:val="left"/>
      <w:pPr>
        <w:tabs>
          <w:tab w:val="num" w:pos="1077"/>
        </w:tabs>
        <w:ind w:left="1077" w:hanging="397"/>
      </w:pPr>
      <w:rPr>
        <w:rFonts w:hint="default"/>
      </w:rPr>
    </w:lvl>
    <w:lvl w:ilvl="2">
      <w:start w:val="1"/>
      <w:numFmt w:val="lowerRoman"/>
      <w:pStyle w:val="PullOutBoxNumber3"/>
      <w:lvlText w:val="%3."/>
      <w:lvlJc w:val="left"/>
      <w:pPr>
        <w:tabs>
          <w:tab w:val="num" w:pos="1474"/>
        </w:tabs>
        <w:ind w:left="1474" w:hanging="39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pStyle w:val="Footnotes"/>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3">
    <w:nsid w:val="092D2491"/>
    <w:multiLevelType w:val="hybridMultilevel"/>
    <w:tmpl w:val="209A2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9C02A0"/>
    <w:multiLevelType w:val="hybridMultilevel"/>
    <w:tmpl w:val="D3E0DE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4890D1D"/>
    <w:multiLevelType w:val="multilevel"/>
    <w:tmpl w:val="9B5A65BA"/>
    <w:name w:val="MyBullets"/>
    <w:lvl w:ilvl="0">
      <w:start w:val="7"/>
      <w:numFmt w:val="bullet"/>
      <w:pStyle w:val="ListBullet"/>
      <w:lvlText w:val=""/>
      <w:lvlJc w:val="left"/>
      <w:pPr>
        <w:tabs>
          <w:tab w:val="num" w:pos="397"/>
        </w:tabs>
        <w:ind w:left="397" w:hanging="397"/>
      </w:pPr>
      <w:rPr>
        <w:rFonts w:ascii="Symbol" w:hAnsi="Symbol" w:hint="default"/>
        <w:color w:val="auto"/>
        <w:position w:val="0"/>
        <w:sz w:val="20"/>
      </w:rPr>
    </w:lvl>
    <w:lvl w:ilvl="1">
      <w:start w:val="5"/>
      <w:numFmt w:val="bullet"/>
      <w:pStyle w:val="ListBullet2"/>
      <w:lvlText w:val="o"/>
      <w:lvlJc w:val="left"/>
      <w:pPr>
        <w:tabs>
          <w:tab w:val="num" w:pos="794"/>
        </w:tabs>
        <w:ind w:left="794" w:hanging="397"/>
      </w:pPr>
      <w:rPr>
        <w:rFonts w:ascii="Courier New" w:hAnsi="Courier New" w:hint="default"/>
        <w:b w:val="0"/>
        <w:i w:val="0"/>
        <w:color w:val="auto"/>
        <w:position w:val="2"/>
        <w:sz w:val="18"/>
      </w:rPr>
    </w:lvl>
    <w:lvl w:ilvl="2">
      <w:start w:val="1"/>
      <w:numFmt w:val="bullet"/>
      <w:pStyle w:val="ListBullet3"/>
      <w:lvlText w:val="–"/>
      <w:lvlJc w:val="left"/>
      <w:pPr>
        <w:tabs>
          <w:tab w:val="num" w:pos="1191"/>
        </w:tabs>
        <w:ind w:left="1191" w:hanging="397"/>
      </w:pPr>
      <w:rPr>
        <w:rFonts w:ascii="Calibri" w:hAnsi="Calibri" w:hint="default"/>
        <w:color w:val="auto"/>
        <w:position w:val="0"/>
        <w:sz w:val="20"/>
      </w:rPr>
    </w:lvl>
    <w:lvl w:ilvl="3">
      <w:start w:val="1"/>
      <w:numFmt w:val="none"/>
      <w:lvlText w:val=""/>
      <w:lvlJc w:val="left"/>
      <w:pPr>
        <w:tabs>
          <w:tab w:val="num" w:pos="1428"/>
        </w:tabs>
        <w:ind w:left="1428" w:hanging="357"/>
      </w:pPr>
      <w:rPr>
        <w:rFonts w:hint="default"/>
      </w:rPr>
    </w:lvl>
    <w:lvl w:ilvl="4">
      <w:start w:val="1"/>
      <w:numFmt w:val="none"/>
      <w:lvlText w:val=""/>
      <w:lvlJc w:val="left"/>
      <w:pPr>
        <w:tabs>
          <w:tab w:val="num" w:pos="1785"/>
        </w:tabs>
        <w:ind w:left="1785" w:hanging="357"/>
      </w:pPr>
      <w:rPr>
        <w:rFonts w:hint="default"/>
      </w:rPr>
    </w:lvl>
    <w:lvl w:ilvl="5">
      <w:start w:val="1"/>
      <w:numFmt w:val="none"/>
      <w:lvlText w:val=""/>
      <w:lvlJc w:val="left"/>
      <w:pPr>
        <w:tabs>
          <w:tab w:val="num" w:pos="2142"/>
        </w:tabs>
        <w:ind w:left="2142" w:hanging="357"/>
      </w:pPr>
      <w:rPr>
        <w:rFonts w:hint="default"/>
      </w:rPr>
    </w:lvl>
    <w:lvl w:ilvl="6">
      <w:start w:val="1"/>
      <w:numFmt w:val="none"/>
      <w:lvlText w:val=""/>
      <w:lvlJc w:val="left"/>
      <w:pPr>
        <w:tabs>
          <w:tab w:val="num" w:pos="2499"/>
        </w:tabs>
        <w:ind w:left="2499" w:hanging="357"/>
      </w:pPr>
      <w:rPr>
        <w:rFonts w:hint="default"/>
      </w:rPr>
    </w:lvl>
    <w:lvl w:ilvl="7">
      <w:start w:val="1"/>
      <w:numFmt w:val="none"/>
      <w:lvlText w:val=""/>
      <w:lvlJc w:val="left"/>
      <w:pPr>
        <w:tabs>
          <w:tab w:val="num" w:pos="2856"/>
        </w:tabs>
        <w:ind w:left="2856" w:hanging="357"/>
      </w:pPr>
      <w:rPr>
        <w:rFonts w:hint="default"/>
      </w:rPr>
    </w:lvl>
    <w:lvl w:ilvl="8">
      <w:start w:val="1"/>
      <w:numFmt w:val="none"/>
      <w:lvlText w:val=""/>
      <w:lvlJc w:val="left"/>
      <w:pPr>
        <w:tabs>
          <w:tab w:val="num" w:pos="3213"/>
        </w:tabs>
        <w:ind w:left="3213" w:hanging="357"/>
      </w:pPr>
      <w:rPr>
        <w:rFonts w:hint="default"/>
      </w:rPr>
    </w:lvl>
  </w:abstractNum>
  <w:abstractNum w:abstractNumId="6">
    <w:nsid w:val="1AA4375A"/>
    <w:multiLevelType w:val="multilevel"/>
    <w:tmpl w:val="15049394"/>
    <w:name w:val="PullOutBoxBullets"/>
    <w:lvl w:ilvl="0">
      <w:start w:val="1"/>
      <w:numFmt w:val="bullet"/>
      <w:pStyle w:val="PullOutBoxBullet"/>
      <w:lvlText w:val=""/>
      <w:lvlJc w:val="left"/>
      <w:pPr>
        <w:tabs>
          <w:tab w:val="num" w:pos="680"/>
        </w:tabs>
        <w:ind w:left="680" w:hanging="396"/>
      </w:pPr>
      <w:rPr>
        <w:rFonts w:ascii="Symbol" w:hAnsi="Symbol" w:hint="default"/>
        <w:color w:val="auto"/>
        <w:position w:val="0"/>
        <w:sz w:val="22"/>
      </w:rPr>
    </w:lvl>
    <w:lvl w:ilvl="1">
      <w:start w:val="1"/>
      <w:numFmt w:val="bullet"/>
      <w:pStyle w:val="PullOutBoxBullet2"/>
      <w:lvlText w:val="o"/>
      <w:lvlJc w:val="left"/>
      <w:pPr>
        <w:tabs>
          <w:tab w:val="num" w:pos="1077"/>
        </w:tabs>
        <w:ind w:left="1077" w:hanging="397"/>
      </w:pPr>
      <w:rPr>
        <w:rFonts w:ascii="Courier New" w:hAnsi="Courier New" w:hint="default"/>
        <w:sz w:val="18"/>
      </w:rPr>
    </w:lvl>
    <w:lvl w:ilvl="2">
      <w:start w:val="1"/>
      <w:numFmt w:val="bullet"/>
      <w:pStyle w:val="PullOutBoxBullet3"/>
      <w:lvlText w:val="–"/>
      <w:lvlJc w:val="left"/>
      <w:pPr>
        <w:tabs>
          <w:tab w:val="num" w:pos="1474"/>
        </w:tabs>
        <w:ind w:left="1474" w:hanging="397"/>
      </w:pPr>
      <w:rPr>
        <w:rFonts w:ascii="Arial" w:hAnsi="Arial" w:hint="default"/>
        <w:color w:val="auto"/>
      </w:rPr>
    </w:lvl>
    <w:lvl w:ilvl="3">
      <w:start w:val="1"/>
      <w:numFmt w:val="bullet"/>
      <w:lvlText w:val=""/>
      <w:lvlJc w:val="left"/>
      <w:pPr>
        <w:ind w:left="2993" w:hanging="360"/>
      </w:pPr>
      <w:rPr>
        <w:rFonts w:ascii="Symbol" w:hAnsi="Symbol" w:hint="default"/>
      </w:rPr>
    </w:lvl>
    <w:lvl w:ilvl="4">
      <w:start w:val="1"/>
      <w:numFmt w:val="bullet"/>
      <w:lvlText w:val="o"/>
      <w:lvlJc w:val="left"/>
      <w:pPr>
        <w:ind w:left="3713" w:hanging="360"/>
      </w:pPr>
      <w:rPr>
        <w:rFonts w:ascii="Courier New" w:hAnsi="Courier New" w:cs="Courier New" w:hint="default"/>
      </w:rPr>
    </w:lvl>
    <w:lvl w:ilvl="5">
      <w:start w:val="1"/>
      <w:numFmt w:val="bullet"/>
      <w:lvlText w:val=""/>
      <w:lvlJc w:val="left"/>
      <w:pPr>
        <w:ind w:left="4433" w:hanging="360"/>
      </w:pPr>
      <w:rPr>
        <w:rFonts w:ascii="Wingdings" w:hAnsi="Wingdings" w:hint="default"/>
      </w:rPr>
    </w:lvl>
    <w:lvl w:ilvl="6">
      <w:start w:val="1"/>
      <w:numFmt w:val="bullet"/>
      <w:lvlText w:val=""/>
      <w:lvlJc w:val="left"/>
      <w:pPr>
        <w:ind w:left="5153" w:hanging="360"/>
      </w:pPr>
      <w:rPr>
        <w:rFonts w:ascii="Symbol" w:hAnsi="Symbol" w:hint="default"/>
      </w:rPr>
    </w:lvl>
    <w:lvl w:ilvl="7">
      <w:start w:val="1"/>
      <w:numFmt w:val="bullet"/>
      <w:lvlText w:val="o"/>
      <w:lvlJc w:val="left"/>
      <w:pPr>
        <w:ind w:left="5873" w:hanging="360"/>
      </w:pPr>
      <w:rPr>
        <w:rFonts w:ascii="Courier New" w:hAnsi="Courier New" w:cs="Courier New" w:hint="default"/>
      </w:rPr>
    </w:lvl>
    <w:lvl w:ilvl="8">
      <w:start w:val="1"/>
      <w:numFmt w:val="bullet"/>
      <w:lvlText w:val=""/>
      <w:lvlJc w:val="left"/>
      <w:pPr>
        <w:ind w:left="6593" w:hanging="360"/>
      </w:pPr>
      <w:rPr>
        <w:rFonts w:ascii="Wingdings" w:hAnsi="Wingdings" w:hint="default"/>
      </w:rPr>
    </w:lvl>
  </w:abstractNum>
  <w:abstractNum w:abstractNumId="7">
    <w:nsid w:val="1CD37006"/>
    <w:multiLevelType w:val="multilevel"/>
    <w:tmpl w:val="74008CE2"/>
    <w:styleLink w:val="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decimal"/>
      <w:lvlText w:val="%1.%2.%3"/>
      <w:lvlJc w:val="left"/>
      <w:pPr>
        <w:ind w:left="709" w:hanging="709"/>
      </w:pPr>
      <w:rPr>
        <w:rFonts w:hint="default"/>
      </w:rPr>
    </w:lvl>
    <w:lvl w:ilvl="3">
      <w:start w:val="1"/>
      <w:numFmt w:val="none"/>
      <w:lvlText w:val=""/>
      <w:lvlJc w:val="left"/>
      <w:pPr>
        <w:ind w:left="709" w:hanging="709"/>
      </w:pPr>
      <w:rPr>
        <w:rFonts w:hint="default"/>
      </w:rPr>
    </w:lvl>
    <w:lvl w:ilvl="4">
      <w:start w:val="1"/>
      <w:numFmt w:val="none"/>
      <w:lvlText w:val=""/>
      <w:lvlJc w:val="left"/>
      <w:pPr>
        <w:ind w:left="709" w:hanging="709"/>
      </w:pPr>
      <w:rPr>
        <w:rFonts w:hint="default"/>
      </w:rPr>
    </w:lvl>
    <w:lvl w:ilvl="5">
      <w:start w:val="1"/>
      <w:numFmt w:val="none"/>
      <w:lvlText w:val=""/>
      <w:lvlJc w:val="left"/>
      <w:pPr>
        <w:ind w:left="709" w:hanging="709"/>
      </w:pPr>
      <w:rPr>
        <w:rFonts w:hint="default"/>
      </w:rPr>
    </w:lvl>
    <w:lvl w:ilvl="6">
      <w:start w:val="1"/>
      <w:numFmt w:val="decimal"/>
      <w:lvlRestart w:val="0"/>
      <w:suff w:val="space"/>
      <w:lvlText w:val="Appendix %7"/>
      <w:lvlJc w:val="left"/>
      <w:pPr>
        <w:ind w:left="0" w:firstLine="0"/>
      </w:pPr>
      <w:rPr>
        <w:rFonts w:hint="default"/>
      </w:rPr>
    </w:lvl>
    <w:lvl w:ilvl="7">
      <w:start w:val="1"/>
      <w:numFmt w:val="none"/>
      <w:lvlText w:val=""/>
      <w:lvlJc w:val="left"/>
      <w:pPr>
        <w:ind w:left="709" w:hanging="709"/>
      </w:pPr>
      <w:rPr>
        <w:rFonts w:hint="default"/>
      </w:rPr>
    </w:lvl>
    <w:lvl w:ilvl="8">
      <w:start w:val="1"/>
      <w:numFmt w:val="none"/>
      <w:lvlText w:val=""/>
      <w:lvlJc w:val="left"/>
      <w:pPr>
        <w:ind w:left="709" w:hanging="709"/>
      </w:pPr>
      <w:rPr>
        <w:rFonts w:hint="default"/>
      </w:rPr>
    </w:lvl>
  </w:abstractNum>
  <w:abstractNum w:abstractNumId="8">
    <w:nsid w:val="226A6EE6"/>
    <w:multiLevelType w:val="multilevel"/>
    <w:tmpl w:val="951CD05C"/>
    <w:lvl w:ilvl="0">
      <w:start w:val="1"/>
      <w:numFmt w:val="bullet"/>
      <w:pStyle w:val="TableListBullet"/>
      <w:lvlText w:val=""/>
      <w:lvlJc w:val="left"/>
      <w:pPr>
        <w:tabs>
          <w:tab w:val="num" w:pos="198"/>
        </w:tabs>
        <w:ind w:left="198" w:hanging="170"/>
      </w:pPr>
      <w:rPr>
        <w:rFonts w:ascii="Symbol" w:hAnsi="Symbol" w:hint="default"/>
        <w:color w:val="auto"/>
        <w:position w:val="0"/>
        <w:sz w:val="18"/>
      </w:rPr>
    </w:lvl>
    <w:lvl w:ilvl="1">
      <w:start w:val="1"/>
      <w:numFmt w:val="bullet"/>
      <w:pStyle w:val="TableListBullet2"/>
      <w:lvlText w:val="o"/>
      <w:lvlJc w:val="left"/>
      <w:pPr>
        <w:tabs>
          <w:tab w:val="num" w:pos="397"/>
        </w:tabs>
        <w:ind w:left="397" w:hanging="199"/>
      </w:pPr>
      <w:rPr>
        <w:rFonts w:ascii="Courier New" w:hAnsi="Courier New" w:hint="default"/>
        <w:color w:val="auto"/>
        <w:position w:val="2"/>
        <w:sz w:val="14"/>
      </w:rPr>
    </w:lvl>
    <w:lvl w:ilvl="2">
      <w:start w:val="1"/>
      <w:numFmt w:val="bullet"/>
      <w:pStyle w:val="TableListBullet3"/>
      <w:lvlText w:val="–"/>
      <w:lvlJc w:val="left"/>
      <w:pPr>
        <w:tabs>
          <w:tab w:val="num" w:pos="595"/>
        </w:tabs>
        <w:ind w:left="595" w:hanging="198"/>
      </w:pPr>
      <w:rPr>
        <w:rFonts w:ascii="Calibri" w:hAnsi="Calibri" w:hint="default"/>
        <w:color w:val="auto"/>
        <w:position w:val="0"/>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9">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10">
    <w:nsid w:val="2C696240"/>
    <w:multiLevelType w:val="multilevel"/>
    <w:tmpl w:val="05EED632"/>
    <w:lvl w:ilvl="0">
      <w:start w:val="1"/>
      <w:numFmt w:val="bullet"/>
      <w:pStyle w:val="HighlightBoxBullet"/>
      <w:lvlText w:val=""/>
      <w:lvlJc w:val="left"/>
      <w:pPr>
        <w:ind w:left="624" w:hanging="284"/>
      </w:pPr>
      <w:rPr>
        <w:rFonts w:ascii="Symbol" w:hAnsi="Symbol"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1">
    <w:nsid w:val="2C976934"/>
    <w:multiLevelType w:val="multilevel"/>
    <w:tmpl w:val="C9881CB4"/>
    <w:name w:val="TableBullets"/>
    <w:styleLink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12">
    <w:nsid w:val="315672CA"/>
    <w:multiLevelType w:val="multilevel"/>
    <w:tmpl w:val="F9C0EF30"/>
    <w:name w:val="Table Numbering"/>
    <w:lvl w:ilvl="0">
      <w:start w:val="1"/>
      <w:numFmt w:val="decimal"/>
      <w:pStyle w:val="TableListNumber"/>
      <w:lvlText w:val="%1."/>
      <w:lvlJc w:val="left"/>
      <w:pPr>
        <w:tabs>
          <w:tab w:val="num" w:pos="312"/>
        </w:tabs>
        <w:ind w:left="312" w:hanging="284"/>
      </w:pPr>
      <w:rPr>
        <w:rFonts w:hint="default"/>
        <w:color w:val="252420"/>
      </w:rPr>
    </w:lvl>
    <w:lvl w:ilvl="1">
      <w:start w:val="1"/>
      <w:numFmt w:val="lowerLetter"/>
      <w:pStyle w:val="TableListNumber2"/>
      <w:lvlText w:val="%2."/>
      <w:lvlJc w:val="left"/>
      <w:pPr>
        <w:tabs>
          <w:tab w:val="num" w:pos="595"/>
        </w:tabs>
        <w:ind w:left="595" w:hanging="283"/>
      </w:pPr>
      <w:rPr>
        <w:rFonts w:hint="default"/>
        <w:color w:val="252420"/>
      </w:rPr>
    </w:lvl>
    <w:lvl w:ilvl="2">
      <w:start w:val="1"/>
      <w:numFmt w:val="lowerRoman"/>
      <w:pStyle w:val="TableListNumber3"/>
      <w:lvlText w:val="%3."/>
      <w:lvlJc w:val="left"/>
      <w:pPr>
        <w:tabs>
          <w:tab w:val="num" w:pos="879"/>
        </w:tabs>
        <w:ind w:left="879" w:hanging="284"/>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13">
    <w:nsid w:val="45BA3EBF"/>
    <w:multiLevelType w:val="multilevel"/>
    <w:tmpl w:val="A34AFEE8"/>
    <w:styleLink w:val="PullOutBoxNumbering"/>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4C063496"/>
    <w:multiLevelType w:val="multilevel"/>
    <w:tmpl w:val="9ADC5578"/>
    <w:styleLink w:val="TableNumbering"/>
    <w:lvl w:ilvl="0">
      <w:start w:val="1"/>
      <w:numFmt w:val="decimal"/>
      <w:lvlText w:val="%1."/>
      <w:lvlJc w:val="left"/>
      <w:pPr>
        <w:ind w:left="680" w:hanging="567"/>
      </w:pPr>
      <w:rPr>
        <w:rFonts w:hint="default"/>
      </w:rPr>
    </w:lvl>
    <w:lvl w:ilvl="1">
      <w:start w:val="1"/>
      <w:numFmt w:val="decimal"/>
      <w:lvlText w:val="%1.%2"/>
      <w:lvlJc w:val="left"/>
      <w:pPr>
        <w:ind w:left="680" w:hanging="567"/>
      </w:pPr>
      <w:rPr>
        <w:rFonts w:hint="default"/>
      </w:rPr>
    </w:lvl>
    <w:lvl w:ilvl="2">
      <w:start w:val="1"/>
      <w:numFmt w:val="decimal"/>
      <w:lvlText w:val="%1.%2.%3"/>
      <w:lvlJc w:val="left"/>
      <w:pPr>
        <w:ind w:left="680" w:hanging="567"/>
      </w:pPr>
      <w:rPr>
        <w:rFonts w:hint="default"/>
      </w:rPr>
    </w:lvl>
    <w:lvl w:ilvl="3">
      <w:start w:val="1"/>
      <w:numFmt w:val="none"/>
      <w:lvlText w:val=""/>
      <w:lvlJc w:val="left"/>
      <w:pPr>
        <w:ind w:left="1019" w:hanging="906"/>
      </w:pPr>
      <w:rPr>
        <w:rFonts w:hint="default"/>
      </w:rPr>
    </w:lvl>
    <w:lvl w:ilvl="4">
      <w:start w:val="1"/>
      <w:numFmt w:val="none"/>
      <w:lvlText w:val=""/>
      <w:lvlJc w:val="left"/>
      <w:pPr>
        <w:ind w:left="1132" w:hanging="1019"/>
      </w:pPr>
      <w:rPr>
        <w:rFonts w:hint="default"/>
      </w:rPr>
    </w:lvl>
    <w:lvl w:ilvl="5">
      <w:start w:val="1"/>
      <w:numFmt w:val="none"/>
      <w:lvlText w:val=""/>
      <w:lvlJc w:val="left"/>
      <w:pPr>
        <w:ind w:left="1245" w:hanging="1132"/>
      </w:pPr>
      <w:rPr>
        <w:rFonts w:hint="default"/>
      </w:rPr>
    </w:lvl>
    <w:lvl w:ilvl="6">
      <w:start w:val="1"/>
      <w:numFmt w:val="none"/>
      <w:lvlText w:val=""/>
      <w:lvlJc w:val="left"/>
      <w:pPr>
        <w:ind w:left="1358" w:hanging="1245"/>
      </w:pPr>
      <w:rPr>
        <w:rFonts w:hint="default"/>
      </w:rPr>
    </w:lvl>
    <w:lvl w:ilvl="7">
      <w:start w:val="1"/>
      <w:numFmt w:val="none"/>
      <w:lvlText w:val=""/>
      <w:lvlJc w:val="left"/>
      <w:pPr>
        <w:tabs>
          <w:tab w:val="num" w:pos="5103"/>
        </w:tabs>
        <w:ind w:left="1471" w:hanging="1358"/>
      </w:pPr>
      <w:rPr>
        <w:rFonts w:hint="default"/>
      </w:rPr>
    </w:lvl>
    <w:lvl w:ilvl="8">
      <w:start w:val="1"/>
      <w:numFmt w:val="none"/>
      <w:lvlText w:val=""/>
      <w:lvlJc w:val="left"/>
      <w:pPr>
        <w:ind w:left="1584" w:hanging="1471"/>
      </w:pPr>
      <w:rPr>
        <w:rFonts w:hint="default"/>
      </w:rPr>
    </w:lvl>
  </w:abstractNum>
  <w:abstractNum w:abstractNumId="15">
    <w:nsid w:val="51421314"/>
    <w:multiLevelType w:val="hybridMultilevel"/>
    <w:tmpl w:val="D3EA47C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tentative="1">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6">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17">
    <w:nsid w:val="537D195F"/>
    <w:multiLevelType w:val="hybridMultilevel"/>
    <w:tmpl w:val="82D0D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8741D25"/>
    <w:multiLevelType w:val="multilevel"/>
    <w:tmpl w:val="10107B4A"/>
    <w:name w:val="TableNumbering"/>
    <w:styleLink w:val="TableFootnotes"/>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19">
    <w:nsid w:val="5AE6625A"/>
    <w:multiLevelType w:val="multilevel"/>
    <w:tmpl w:val="3F9C8F18"/>
    <w:name w:val="MyHeadings"/>
    <w:lvl w:ilvl="0">
      <w:start w:val="1"/>
      <w:numFmt w:val="decimal"/>
      <w:pStyle w:val="Heading1"/>
      <w:lvlText w:val="%1."/>
      <w:lvlJc w:val="left"/>
      <w:pPr>
        <w:tabs>
          <w:tab w:val="num" w:pos="1191"/>
        </w:tabs>
        <w:ind w:left="1191" w:hanging="1191"/>
      </w:pPr>
      <w:rPr>
        <w:rFonts w:hint="default"/>
        <w:b w:val="0"/>
        <w:i w:val="0"/>
        <w:color w:val="277BB4" w:themeColor="text2"/>
      </w:rPr>
    </w:lvl>
    <w:lvl w:ilvl="1">
      <w:start w:val="1"/>
      <w:numFmt w:val="decimal"/>
      <w:pStyle w:val="Heading2"/>
      <w:lvlText w:val="%1.%2"/>
      <w:lvlJc w:val="left"/>
      <w:pPr>
        <w:tabs>
          <w:tab w:val="num" w:pos="851"/>
        </w:tabs>
        <w:ind w:left="851" w:hanging="851"/>
      </w:pPr>
      <w:rPr>
        <w:rFonts w:hint="default"/>
      </w:rPr>
    </w:lvl>
    <w:lvl w:ilvl="2">
      <w:start w:val="1"/>
      <w:numFmt w:val="decimal"/>
      <w:pStyle w:val="Heading3"/>
      <w:lvlText w:val="%1.%2.%3"/>
      <w:lvlJc w:val="left"/>
      <w:pPr>
        <w:tabs>
          <w:tab w:val="num" w:pos="851"/>
        </w:tabs>
        <w:ind w:left="851" w:hanging="851"/>
      </w:pPr>
      <w:rPr>
        <w:rFonts w:hint="default"/>
      </w:rPr>
    </w:lvl>
    <w:lvl w:ilvl="3">
      <w:start w:val="1"/>
      <w:numFmt w:val="decimal"/>
      <w:pStyle w:val="Heading4"/>
      <w:lvlText w:val="%1.%2.%3.%4"/>
      <w:lvlJc w:val="left"/>
      <w:pPr>
        <w:tabs>
          <w:tab w:val="num" w:pos="851"/>
        </w:tabs>
        <w:ind w:left="851" w:hanging="851"/>
      </w:pPr>
      <w:rPr>
        <w:rFonts w:hint="default"/>
      </w:rPr>
    </w:lvl>
    <w:lvl w:ilvl="4">
      <w:start w:val="1"/>
      <w:numFmt w:val="decimal"/>
      <w:suff w:val="space"/>
      <w:lvlText w:val="%1.%2.%3.%4.%5"/>
      <w:lvlJc w:val="left"/>
      <w:pPr>
        <w:ind w:left="709" w:hanging="709"/>
      </w:pPr>
      <w:rPr>
        <w:rFonts w:hint="default"/>
      </w:rPr>
    </w:lvl>
    <w:lvl w:ilvl="5">
      <w:start w:val="1"/>
      <w:numFmt w:val="decimal"/>
      <w:lvlText w:val="%1.%2.%3.%4.%5.%6"/>
      <w:lvlJc w:val="left"/>
      <w:pPr>
        <w:tabs>
          <w:tab w:val="num" w:pos="709"/>
        </w:tabs>
        <w:ind w:left="709" w:hanging="709"/>
      </w:pPr>
      <w:rPr>
        <w:rFonts w:hint="default"/>
      </w:rPr>
    </w:lvl>
    <w:lvl w:ilvl="6">
      <w:start w:val="1"/>
      <w:numFmt w:val="decimal"/>
      <w:lvlText w:val="%1.%2.%3.%4.%5.%6.%7"/>
      <w:lvlJc w:val="left"/>
      <w:pPr>
        <w:tabs>
          <w:tab w:val="num" w:pos="709"/>
        </w:tabs>
        <w:ind w:left="709" w:hanging="709"/>
      </w:pPr>
      <w:rPr>
        <w:rFonts w:hint="default"/>
      </w:rPr>
    </w:lvl>
    <w:lvl w:ilvl="7">
      <w:start w:val="1"/>
      <w:numFmt w:val="decimal"/>
      <w:lvlText w:val="%1.%2.%3.%4.%5.%6.%7.%8"/>
      <w:lvlJc w:val="left"/>
      <w:pPr>
        <w:tabs>
          <w:tab w:val="num" w:pos="709"/>
        </w:tabs>
        <w:ind w:left="709" w:hanging="709"/>
      </w:pPr>
      <w:rPr>
        <w:rFonts w:hint="default"/>
      </w:rPr>
    </w:lvl>
    <w:lvl w:ilvl="8">
      <w:start w:val="1"/>
      <w:numFmt w:val="decimal"/>
      <w:lvlText w:val="%1.%2.%3.%4.%5.%6.%7.%8.%9"/>
      <w:lvlJc w:val="left"/>
      <w:pPr>
        <w:tabs>
          <w:tab w:val="num" w:pos="709"/>
        </w:tabs>
        <w:ind w:left="709" w:hanging="709"/>
      </w:pPr>
      <w:rPr>
        <w:rFonts w:hint="default"/>
      </w:rPr>
    </w:lvl>
  </w:abstractNum>
  <w:abstractNum w:abstractNumId="20">
    <w:nsid w:val="5D0540A9"/>
    <w:multiLevelType w:val="multilevel"/>
    <w:tmpl w:val="690A1638"/>
    <w:name w:val="MyAppendicesNumbering"/>
    <w:lvl w:ilvl="0">
      <w:start w:val="1"/>
      <w:numFmt w:val="upperLetter"/>
      <w:lvlRestart w:val="0"/>
      <w:pStyle w:val="Heading8"/>
      <w:suff w:val="nothing"/>
      <w:lvlText w:val="Appendix %1"/>
      <w:lvlJc w:val="left"/>
      <w:pPr>
        <w:ind w:left="0" w:firstLine="0"/>
      </w:pPr>
      <w:rPr>
        <w:rFonts w:asciiTheme="majorHAnsi" w:hAnsiTheme="majorHAnsi" w:hint="default"/>
        <w:b w:val="0"/>
        <w:i w:val="0"/>
        <w:color w:val="auto"/>
        <w:sz w:val="38"/>
      </w:rPr>
    </w:lvl>
    <w:lvl w:ilvl="1">
      <w:start w:val="1"/>
      <w:numFmt w:val="decimal"/>
      <w:pStyle w:val="Heading9"/>
      <w:lvlText w:val="%1.%2"/>
      <w:lvlJc w:val="left"/>
      <w:pPr>
        <w:tabs>
          <w:tab w:val="num" w:pos="851"/>
        </w:tabs>
        <w:ind w:left="851" w:hanging="851"/>
      </w:pPr>
      <w:rPr>
        <w:rFonts w:hint="default"/>
        <w:sz w:val="24"/>
      </w:rPr>
    </w:lvl>
    <w:lvl w:ilvl="2">
      <w:start w:val="1"/>
      <w:numFmt w:val="decimal"/>
      <w:pStyle w:val="AppendixHeading2"/>
      <w:lvlText w:val="%1.%2.%3"/>
      <w:lvlJc w:val="left"/>
      <w:pPr>
        <w:tabs>
          <w:tab w:val="num" w:pos="851"/>
        </w:tabs>
        <w:ind w:left="851" w:hanging="851"/>
      </w:pPr>
      <w:rPr>
        <w:rFonts w:hint="default"/>
      </w:rPr>
    </w:lvl>
    <w:lvl w:ilvl="3">
      <w:start w:val="1"/>
      <w:numFmt w:val="decimal"/>
      <w:pStyle w:val="AppendixHeading3"/>
      <w:lvlText w:val="%1.%2.%3.%4"/>
      <w:lvlJc w:val="left"/>
      <w:pPr>
        <w:tabs>
          <w:tab w:val="num" w:pos="851"/>
        </w:tabs>
        <w:ind w:left="851" w:hanging="851"/>
      </w:pPr>
      <w:rPr>
        <w:rFonts w:hint="default"/>
      </w:rPr>
    </w:lvl>
    <w:lvl w:ilvl="4">
      <w:start w:val="1"/>
      <w:numFmt w:val="decimal"/>
      <w:suff w:val="space"/>
      <w:lvlText w:val="%1.%2.%3.%4.%5"/>
      <w:lvlJc w:val="left"/>
      <w:pPr>
        <w:ind w:left="709" w:hanging="709"/>
      </w:pPr>
      <w:rPr>
        <w:rFonts w:hint="default"/>
      </w:rPr>
    </w:lvl>
    <w:lvl w:ilvl="5">
      <w:start w:val="1"/>
      <w:numFmt w:val="none"/>
      <w:lvlText w:val=""/>
      <w:lvlJc w:val="right"/>
      <w:pPr>
        <w:tabs>
          <w:tab w:val="num" w:pos="709"/>
        </w:tabs>
        <w:ind w:left="709" w:hanging="709"/>
      </w:pPr>
      <w:rPr>
        <w:rFonts w:hint="default"/>
      </w:rPr>
    </w:lvl>
    <w:lvl w:ilvl="6">
      <w:start w:val="1"/>
      <w:numFmt w:val="none"/>
      <w:lvlText w:val=""/>
      <w:lvlJc w:val="left"/>
      <w:pPr>
        <w:tabs>
          <w:tab w:val="num" w:pos="709"/>
        </w:tabs>
        <w:ind w:left="709" w:hanging="709"/>
      </w:pPr>
      <w:rPr>
        <w:rFonts w:hint="default"/>
      </w:rPr>
    </w:lvl>
    <w:lvl w:ilvl="7">
      <w:start w:val="1"/>
      <w:numFmt w:val="none"/>
      <w:lvlText w:val=""/>
      <w:lvlJc w:val="left"/>
      <w:pPr>
        <w:tabs>
          <w:tab w:val="num" w:pos="709"/>
        </w:tabs>
        <w:ind w:left="709" w:hanging="709"/>
      </w:pPr>
      <w:rPr>
        <w:rFonts w:hint="default"/>
      </w:rPr>
    </w:lvl>
    <w:lvl w:ilvl="8">
      <w:start w:val="1"/>
      <w:numFmt w:val="none"/>
      <w:lvlText w:val=""/>
      <w:lvlJc w:val="right"/>
      <w:pPr>
        <w:tabs>
          <w:tab w:val="num" w:pos="709"/>
        </w:tabs>
        <w:ind w:left="709" w:hanging="709"/>
      </w:pPr>
      <w:rPr>
        <w:rFonts w:hint="default"/>
      </w:rPr>
    </w:lvl>
  </w:abstractNum>
  <w:abstractNum w:abstractNumId="21">
    <w:nsid w:val="5F883DB1"/>
    <w:multiLevelType w:val="multilevel"/>
    <w:tmpl w:val="8FF89C38"/>
    <w:lvl w:ilvl="0">
      <w:start w:val="1"/>
      <w:numFmt w:val="upperLetter"/>
      <w:pStyle w:val="ListAlpha"/>
      <w:lvlText w:val="%1."/>
      <w:lvlJc w:val="left"/>
      <w:pPr>
        <w:tabs>
          <w:tab w:val="num" w:pos="397"/>
        </w:tabs>
        <w:ind w:left="397" w:hanging="397"/>
      </w:pPr>
      <w:rPr>
        <w:rFonts w:hint="default"/>
      </w:rPr>
    </w:lvl>
    <w:lvl w:ilvl="1">
      <w:start w:val="1"/>
      <w:numFmt w:val="lowerLetter"/>
      <w:pStyle w:val="ListAlpha2"/>
      <w:lvlText w:val="%2."/>
      <w:lvlJc w:val="left"/>
      <w:pPr>
        <w:tabs>
          <w:tab w:val="num" w:pos="794"/>
        </w:tabs>
        <w:ind w:left="794" w:hanging="397"/>
      </w:pPr>
      <w:rPr>
        <w:rFonts w:hint="default"/>
      </w:rPr>
    </w:lvl>
    <w:lvl w:ilvl="2">
      <w:start w:val="1"/>
      <w:numFmt w:val="lowerRoman"/>
      <w:pStyle w:val="ListAlpha3"/>
      <w:lvlText w:val="%3."/>
      <w:lvlJc w:val="left"/>
      <w:pPr>
        <w:ind w:left="1191" w:hanging="397"/>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nsid w:val="66E52A9A"/>
    <w:multiLevelType w:val="hybridMultilevel"/>
    <w:tmpl w:val="00506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0250B03"/>
    <w:multiLevelType w:val="multilevel"/>
    <w:tmpl w:val="5D1EC8C4"/>
    <w:name w:val="quotebullets"/>
    <w:lvl w:ilvl="0">
      <w:start w:val="1"/>
      <w:numFmt w:val="bullet"/>
      <w:pStyle w:val="QuoteBullet"/>
      <w:lvlText w:val="•"/>
      <w:lvlJc w:val="left"/>
      <w:pPr>
        <w:tabs>
          <w:tab w:val="num" w:pos="851"/>
        </w:tabs>
        <w:ind w:left="851" w:hanging="284"/>
      </w:pPr>
      <w:rPr>
        <w:rFonts w:ascii="Calibri" w:hAnsi="Calibri" w:hint="default"/>
        <w:color w:val="auto"/>
      </w:rPr>
    </w:lvl>
    <w:lvl w:ilvl="1">
      <w:start w:val="1"/>
      <w:numFmt w:val="bullet"/>
      <w:pStyle w:val="QuoteBullet2"/>
      <w:lvlText w:val="‒"/>
      <w:lvlJc w:val="left"/>
      <w:pPr>
        <w:tabs>
          <w:tab w:val="num" w:pos="1134"/>
        </w:tabs>
        <w:ind w:left="1134" w:hanging="283"/>
      </w:pPr>
      <w:rPr>
        <w:rFonts w:ascii="Calibri" w:hAnsi="Calibri" w:hint="default"/>
        <w:color w:val="auto"/>
      </w:rPr>
    </w:lvl>
    <w:lvl w:ilvl="2">
      <w:start w:val="1"/>
      <w:numFmt w:val="bullet"/>
      <w:lvlText w:val="‒"/>
      <w:lvlJc w:val="left"/>
      <w:pPr>
        <w:tabs>
          <w:tab w:val="num" w:pos="1418"/>
        </w:tabs>
        <w:ind w:left="1418" w:hanging="283"/>
      </w:pPr>
      <w:rPr>
        <w:rFonts w:ascii="Calibri" w:hAnsi="Calibri" w:hint="default"/>
        <w:color w:val="277BB4"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24">
    <w:nsid w:val="7E030DAE"/>
    <w:multiLevelType w:val="multilevel"/>
    <w:tmpl w:val="0EBCC1C4"/>
    <w:name w:val="MyNumbering"/>
    <w:lvl w:ilvl="0">
      <w:start w:val="1"/>
      <w:numFmt w:val="decimal"/>
      <w:pStyle w:val="ListNumber"/>
      <w:lvlText w:val="%1."/>
      <w:lvlJc w:val="left"/>
      <w:pPr>
        <w:tabs>
          <w:tab w:val="num" w:pos="397"/>
        </w:tabs>
        <w:ind w:left="397" w:hanging="397"/>
      </w:pPr>
      <w:rPr>
        <w:rFonts w:hint="default"/>
        <w:color w:val="000000" w:themeColor="text1"/>
        <w:sz w:val="20"/>
      </w:rPr>
    </w:lvl>
    <w:lvl w:ilvl="1">
      <w:start w:val="1"/>
      <w:numFmt w:val="lowerLetter"/>
      <w:pStyle w:val="ListNumber2"/>
      <w:lvlText w:val="%2."/>
      <w:lvlJc w:val="left"/>
      <w:pPr>
        <w:tabs>
          <w:tab w:val="num" w:pos="794"/>
        </w:tabs>
        <w:ind w:left="794" w:hanging="397"/>
      </w:pPr>
      <w:rPr>
        <w:rFonts w:hint="default"/>
        <w:color w:val="000000" w:themeColor="text1"/>
        <w:sz w:val="20"/>
      </w:rPr>
    </w:lvl>
    <w:lvl w:ilvl="2">
      <w:start w:val="1"/>
      <w:numFmt w:val="lowerRoman"/>
      <w:pStyle w:val="ListNumber3"/>
      <w:lvlText w:val="%3."/>
      <w:lvlJc w:val="left"/>
      <w:pPr>
        <w:tabs>
          <w:tab w:val="num" w:pos="1191"/>
        </w:tabs>
        <w:ind w:left="1191" w:hanging="397"/>
      </w:pPr>
      <w:rPr>
        <w:rFonts w:hint="default"/>
        <w:color w:val="000000" w:themeColor="text1"/>
        <w:sz w:val="20"/>
      </w:rPr>
    </w:lvl>
    <w:lvl w:ilvl="3">
      <w:start w:val="1"/>
      <w:numFmt w:val="none"/>
      <w:lvlText w:val=""/>
      <w:lvlJc w:val="left"/>
      <w:pPr>
        <w:tabs>
          <w:tab w:val="num" w:pos="1428"/>
        </w:tabs>
        <w:ind w:left="1428" w:hanging="357"/>
      </w:pPr>
      <w:rPr>
        <w:rFonts w:hint="default"/>
      </w:rPr>
    </w:lvl>
    <w:lvl w:ilvl="4">
      <w:start w:val="1"/>
      <w:numFmt w:val="none"/>
      <w:lvlText w:val=""/>
      <w:lvlJc w:val="left"/>
      <w:pPr>
        <w:tabs>
          <w:tab w:val="num" w:pos="1785"/>
        </w:tabs>
        <w:ind w:left="1785" w:hanging="357"/>
      </w:pPr>
      <w:rPr>
        <w:rFonts w:hint="default"/>
      </w:rPr>
    </w:lvl>
    <w:lvl w:ilvl="5">
      <w:start w:val="1"/>
      <w:numFmt w:val="none"/>
      <w:lvlText w:val=""/>
      <w:lvlJc w:val="right"/>
      <w:pPr>
        <w:tabs>
          <w:tab w:val="num" w:pos="2142"/>
        </w:tabs>
        <w:ind w:left="2142" w:hanging="357"/>
      </w:pPr>
      <w:rPr>
        <w:rFonts w:hint="default"/>
      </w:rPr>
    </w:lvl>
    <w:lvl w:ilvl="6">
      <w:start w:val="1"/>
      <w:numFmt w:val="none"/>
      <w:lvlText w:val=""/>
      <w:lvlJc w:val="left"/>
      <w:pPr>
        <w:tabs>
          <w:tab w:val="num" w:pos="2499"/>
        </w:tabs>
        <w:ind w:left="2499" w:hanging="357"/>
      </w:pPr>
      <w:rPr>
        <w:rFonts w:hint="default"/>
      </w:rPr>
    </w:lvl>
    <w:lvl w:ilvl="7">
      <w:start w:val="1"/>
      <w:numFmt w:val="none"/>
      <w:lvlText w:val=""/>
      <w:lvlJc w:val="left"/>
      <w:pPr>
        <w:tabs>
          <w:tab w:val="num" w:pos="2856"/>
        </w:tabs>
        <w:ind w:left="2856" w:hanging="357"/>
      </w:pPr>
      <w:rPr>
        <w:rFonts w:hint="default"/>
      </w:rPr>
    </w:lvl>
    <w:lvl w:ilvl="8">
      <w:start w:val="1"/>
      <w:numFmt w:val="none"/>
      <w:lvlText w:val=""/>
      <w:lvlJc w:val="right"/>
      <w:pPr>
        <w:tabs>
          <w:tab w:val="num" w:pos="3213"/>
        </w:tabs>
        <w:ind w:left="3213" w:hanging="357"/>
      </w:pPr>
      <w:rPr>
        <w:rFonts w:hint="default"/>
      </w:rPr>
    </w:lvl>
  </w:abstractNum>
  <w:num w:numId="1">
    <w:abstractNumId w:val="9"/>
  </w:num>
  <w:num w:numId="2">
    <w:abstractNumId w:val="7"/>
  </w:num>
  <w:num w:numId="3">
    <w:abstractNumId w:val="24"/>
  </w:num>
  <w:num w:numId="4">
    <w:abstractNumId w:val="1"/>
  </w:num>
  <w:num w:numId="5">
    <w:abstractNumId w:val="2"/>
  </w:num>
  <w:num w:numId="6">
    <w:abstractNumId w:val="8"/>
  </w:num>
  <w:num w:numId="7">
    <w:abstractNumId w:val="12"/>
  </w:num>
  <w:num w:numId="8">
    <w:abstractNumId w:val="11"/>
  </w:num>
  <w:num w:numId="9">
    <w:abstractNumId w:val="18"/>
  </w:num>
  <w:num w:numId="10">
    <w:abstractNumId w:val="14"/>
  </w:num>
  <w:num w:numId="11">
    <w:abstractNumId w:val="20"/>
  </w:num>
  <w:num w:numId="12">
    <w:abstractNumId w:val="19"/>
  </w:num>
  <w:num w:numId="13">
    <w:abstractNumId w:val="5"/>
  </w:num>
  <w:num w:numId="14">
    <w:abstractNumId w:val="13"/>
  </w:num>
  <w:num w:numId="15">
    <w:abstractNumId w:val="21"/>
  </w:num>
  <w:num w:numId="16">
    <w:abstractNumId w:val="6"/>
  </w:num>
  <w:num w:numId="17">
    <w:abstractNumId w:val="0"/>
  </w:num>
  <w:num w:numId="18">
    <w:abstractNumId w:val="10"/>
  </w:num>
  <w:num w:numId="19">
    <w:abstractNumId w:val="23"/>
  </w:num>
  <w:num w:numId="20">
    <w:abstractNumId w:val="3"/>
  </w:num>
  <w:num w:numId="21">
    <w:abstractNumId w:val="17"/>
  </w:num>
  <w:num w:numId="22">
    <w:abstractNumId w:val="22"/>
  </w:num>
  <w:num w:numId="23">
    <w:abstractNumId w:val="15"/>
  </w:num>
  <w:num w:numId="24">
    <w:abstractNumId w:val="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3"/>
  <w:displayBackgroundShape/>
  <w:embedSystemFonts/>
  <w:proofState w:spelling="clean"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LockQFSet/>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ppendixName" w:val="Appendix"/>
    <w:docVar w:name="Heading1Numbered" w:val="True"/>
    <w:docVar w:name="Heading2Numbered" w:val="True"/>
    <w:docVar w:name="Heading3Numbered" w:val="True"/>
    <w:docVar w:name="Heading4Numbered" w:val="True"/>
    <w:docVar w:name="Heading5Numbered" w:val="False"/>
    <w:docVar w:name="Para" w:val="_x000d__x000a_"/>
  </w:docVars>
  <w:rsids>
    <w:rsidRoot w:val="000C479B"/>
    <w:rsid w:val="00000194"/>
    <w:rsid w:val="000009B8"/>
    <w:rsid w:val="000009C5"/>
    <w:rsid w:val="000019EA"/>
    <w:rsid w:val="000035F6"/>
    <w:rsid w:val="000043B6"/>
    <w:rsid w:val="00004810"/>
    <w:rsid w:val="00004A68"/>
    <w:rsid w:val="0000533E"/>
    <w:rsid w:val="00007510"/>
    <w:rsid w:val="00007614"/>
    <w:rsid w:val="0001021B"/>
    <w:rsid w:val="000105A9"/>
    <w:rsid w:val="00011166"/>
    <w:rsid w:val="000123D2"/>
    <w:rsid w:val="000125A5"/>
    <w:rsid w:val="000142A8"/>
    <w:rsid w:val="0001659D"/>
    <w:rsid w:val="00020425"/>
    <w:rsid w:val="00021E0F"/>
    <w:rsid w:val="00023619"/>
    <w:rsid w:val="000246C0"/>
    <w:rsid w:val="0003266E"/>
    <w:rsid w:val="00032F6A"/>
    <w:rsid w:val="00033ED6"/>
    <w:rsid w:val="000343D3"/>
    <w:rsid w:val="000348BD"/>
    <w:rsid w:val="00035C28"/>
    <w:rsid w:val="00036D45"/>
    <w:rsid w:val="000374E9"/>
    <w:rsid w:val="00037589"/>
    <w:rsid w:val="00041613"/>
    <w:rsid w:val="000436A1"/>
    <w:rsid w:val="000469FF"/>
    <w:rsid w:val="00050713"/>
    <w:rsid w:val="00050FA5"/>
    <w:rsid w:val="00051D5C"/>
    <w:rsid w:val="00052454"/>
    <w:rsid w:val="0005252A"/>
    <w:rsid w:val="00053432"/>
    <w:rsid w:val="0005444D"/>
    <w:rsid w:val="00055F1B"/>
    <w:rsid w:val="00056B4D"/>
    <w:rsid w:val="000574CC"/>
    <w:rsid w:val="00057CAE"/>
    <w:rsid w:val="00057FA5"/>
    <w:rsid w:val="00060B9F"/>
    <w:rsid w:val="00061256"/>
    <w:rsid w:val="000634B5"/>
    <w:rsid w:val="000650B5"/>
    <w:rsid w:val="00065F04"/>
    <w:rsid w:val="00066A4B"/>
    <w:rsid w:val="00066DA8"/>
    <w:rsid w:val="00067A55"/>
    <w:rsid w:val="00072E55"/>
    <w:rsid w:val="00074EF6"/>
    <w:rsid w:val="000763BB"/>
    <w:rsid w:val="000764DD"/>
    <w:rsid w:val="00076CEC"/>
    <w:rsid w:val="00077A9C"/>
    <w:rsid w:val="000818A1"/>
    <w:rsid w:val="00082CAC"/>
    <w:rsid w:val="00083976"/>
    <w:rsid w:val="00084022"/>
    <w:rsid w:val="000840C4"/>
    <w:rsid w:val="00086400"/>
    <w:rsid w:val="00086C5B"/>
    <w:rsid w:val="00087D4A"/>
    <w:rsid w:val="00090D68"/>
    <w:rsid w:val="00090EF6"/>
    <w:rsid w:val="0009129D"/>
    <w:rsid w:val="00091895"/>
    <w:rsid w:val="00091E67"/>
    <w:rsid w:val="000946E4"/>
    <w:rsid w:val="000961D0"/>
    <w:rsid w:val="000A043A"/>
    <w:rsid w:val="000A0D39"/>
    <w:rsid w:val="000A0F51"/>
    <w:rsid w:val="000A1838"/>
    <w:rsid w:val="000A1A10"/>
    <w:rsid w:val="000A2042"/>
    <w:rsid w:val="000A2A5F"/>
    <w:rsid w:val="000A4D96"/>
    <w:rsid w:val="000A64D2"/>
    <w:rsid w:val="000B1F7F"/>
    <w:rsid w:val="000B3B18"/>
    <w:rsid w:val="000B59CB"/>
    <w:rsid w:val="000B65EE"/>
    <w:rsid w:val="000B77E0"/>
    <w:rsid w:val="000C036C"/>
    <w:rsid w:val="000C043D"/>
    <w:rsid w:val="000C1ABD"/>
    <w:rsid w:val="000C22B1"/>
    <w:rsid w:val="000C269E"/>
    <w:rsid w:val="000C3390"/>
    <w:rsid w:val="000C479B"/>
    <w:rsid w:val="000C53ED"/>
    <w:rsid w:val="000C582A"/>
    <w:rsid w:val="000C7566"/>
    <w:rsid w:val="000C7BB4"/>
    <w:rsid w:val="000D01DB"/>
    <w:rsid w:val="000D1DA0"/>
    <w:rsid w:val="000D2DCC"/>
    <w:rsid w:val="000D3881"/>
    <w:rsid w:val="000D5967"/>
    <w:rsid w:val="000D66AF"/>
    <w:rsid w:val="000D6A96"/>
    <w:rsid w:val="000D73BF"/>
    <w:rsid w:val="000E0068"/>
    <w:rsid w:val="000E2931"/>
    <w:rsid w:val="000E2E35"/>
    <w:rsid w:val="000E2F22"/>
    <w:rsid w:val="000E3622"/>
    <w:rsid w:val="000E3F49"/>
    <w:rsid w:val="000E5431"/>
    <w:rsid w:val="000E7057"/>
    <w:rsid w:val="000E70E9"/>
    <w:rsid w:val="000F1017"/>
    <w:rsid w:val="000F3362"/>
    <w:rsid w:val="000F47F5"/>
    <w:rsid w:val="000F4D26"/>
    <w:rsid w:val="000F59FB"/>
    <w:rsid w:val="000F5E55"/>
    <w:rsid w:val="000F669B"/>
    <w:rsid w:val="000F7466"/>
    <w:rsid w:val="000F7FBB"/>
    <w:rsid w:val="00100176"/>
    <w:rsid w:val="00101C2D"/>
    <w:rsid w:val="00101C4D"/>
    <w:rsid w:val="0010297B"/>
    <w:rsid w:val="0010305F"/>
    <w:rsid w:val="001042E1"/>
    <w:rsid w:val="0010618D"/>
    <w:rsid w:val="00107129"/>
    <w:rsid w:val="0011087C"/>
    <w:rsid w:val="00110DC1"/>
    <w:rsid w:val="0011109A"/>
    <w:rsid w:val="0011371C"/>
    <w:rsid w:val="00114377"/>
    <w:rsid w:val="001146CA"/>
    <w:rsid w:val="00116264"/>
    <w:rsid w:val="001172AE"/>
    <w:rsid w:val="00117584"/>
    <w:rsid w:val="001176AC"/>
    <w:rsid w:val="00120459"/>
    <w:rsid w:val="00120CB6"/>
    <w:rsid w:val="001230A0"/>
    <w:rsid w:val="00126002"/>
    <w:rsid w:val="001260F6"/>
    <w:rsid w:val="00126984"/>
    <w:rsid w:val="00127C8A"/>
    <w:rsid w:val="00127D0A"/>
    <w:rsid w:val="0013044E"/>
    <w:rsid w:val="001320DB"/>
    <w:rsid w:val="00132566"/>
    <w:rsid w:val="00133CEB"/>
    <w:rsid w:val="00135FD4"/>
    <w:rsid w:val="00136233"/>
    <w:rsid w:val="001369AB"/>
    <w:rsid w:val="00136F1B"/>
    <w:rsid w:val="00137A24"/>
    <w:rsid w:val="00140BB8"/>
    <w:rsid w:val="0014220A"/>
    <w:rsid w:val="00143675"/>
    <w:rsid w:val="00144DE1"/>
    <w:rsid w:val="00146133"/>
    <w:rsid w:val="00146947"/>
    <w:rsid w:val="0014722D"/>
    <w:rsid w:val="001503F4"/>
    <w:rsid w:val="00152AF0"/>
    <w:rsid w:val="001536B2"/>
    <w:rsid w:val="00155B41"/>
    <w:rsid w:val="001571C1"/>
    <w:rsid w:val="00157F04"/>
    <w:rsid w:val="00162508"/>
    <w:rsid w:val="0016271B"/>
    <w:rsid w:val="001646FC"/>
    <w:rsid w:val="00164716"/>
    <w:rsid w:val="00166097"/>
    <w:rsid w:val="00166E6D"/>
    <w:rsid w:val="0016704C"/>
    <w:rsid w:val="00171E9C"/>
    <w:rsid w:val="001726D4"/>
    <w:rsid w:val="00175051"/>
    <w:rsid w:val="001750A0"/>
    <w:rsid w:val="001752D2"/>
    <w:rsid w:val="001759D5"/>
    <w:rsid w:val="0017706B"/>
    <w:rsid w:val="001827CC"/>
    <w:rsid w:val="001837C4"/>
    <w:rsid w:val="0018426D"/>
    <w:rsid w:val="00184490"/>
    <w:rsid w:val="001844C6"/>
    <w:rsid w:val="001845EF"/>
    <w:rsid w:val="00184FAE"/>
    <w:rsid w:val="00184FF7"/>
    <w:rsid w:val="001874D7"/>
    <w:rsid w:val="00190F39"/>
    <w:rsid w:val="00193CE4"/>
    <w:rsid w:val="001948DE"/>
    <w:rsid w:val="00194B60"/>
    <w:rsid w:val="00195CFA"/>
    <w:rsid w:val="00195D19"/>
    <w:rsid w:val="001A093A"/>
    <w:rsid w:val="001A0C3F"/>
    <w:rsid w:val="001A1712"/>
    <w:rsid w:val="001A3352"/>
    <w:rsid w:val="001A3695"/>
    <w:rsid w:val="001A6CF4"/>
    <w:rsid w:val="001B0E58"/>
    <w:rsid w:val="001B1992"/>
    <w:rsid w:val="001B1B2B"/>
    <w:rsid w:val="001B1D98"/>
    <w:rsid w:val="001B3405"/>
    <w:rsid w:val="001B5EAD"/>
    <w:rsid w:val="001B667B"/>
    <w:rsid w:val="001B688C"/>
    <w:rsid w:val="001B6D41"/>
    <w:rsid w:val="001C0BAE"/>
    <w:rsid w:val="001C145F"/>
    <w:rsid w:val="001C2358"/>
    <w:rsid w:val="001C2511"/>
    <w:rsid w:val="001C7946"/>
    <w:rsid w:val="001C79A2"/>
    <w:rsid w:val="001D2467"/>
    <w:rsid w:val="001D39F8"/>
    <w:rsid w:val="001D3B02"/>
    <w:rsid w:val="001D5C3F"/>
    <w:rsid w:val="001D63D0"/>
    <w:rsid w:val="001E04BC"/>
    <w:rsid w:val="001E2412"/>
    <w:rsid w:val="001E274C"/>
    <w:rsid w:val="001E3E6C"/>
    <w:rsid w:val="001E539A"/>
    <w:rsid w:val="001E56FB"/>
    <w:rsid w:val="001E6421"/>
    <w:rsid w:val="001E6674"/>
    <w:rsid w:val="001E7225"/>
    <w:rsid w:val="001E768A"/>
    <w:rsid w:val="001F2D7D"/>
    <w:rsid w:val="001F44D3"/>
    <w:rsid w:val="001F5040"/>
    <w:rsid w:val="001F55A0"/>
    <w:rsid w:val="001F6075"/>
    <w:rsid w:val="001F797E"/>
    <w:rsid w:val="002001B1"/>
    <w:rsid w:val="00200A6F"/>
    <w:rsid w:val="00202628"/>
    <w:rsid w:val="00202D57"/>
    <w:rsid w:val="00206566"/>
    <w:rsid w:val="002068CE"/>
    <w:rsid w:val="002071C2"/>
    <w:rsid w:val="00207596"/>
    <w:rsid w:val="002076E7"/>
    <w:rsid w:val="002114AD"/>
    <w:rsid w:val="00211B7F"/>
    <w:rsid w:val="0021200B"/>
    <w:rsid w:val="00212389"/>
    <w:rsid w:val="002142D0"/>
    <w:rsid w:val="002146AD"/>
    <w:rsid w:val="00215847"/>
    <w:rsid w:val="00215B94"/>
    <w:rsid w:val="0022074F"/>
    <w:rsid w:val="00222422"/>
    <w:rsid w:val="00225FD7"/>
    <w:rsid w:val="00226225"/>
    <w:rsid w:val="002266B7"/>
    <w:rsid w:val="00230874"/>
    <w:rsid w:val="00232D3E"/>
    <w:rsid w:val="002340CC"/>
    <w:rsid w:val="00234CDD"/>
    <w:rsid w:val="0023624D"/>
    <w:rsid w:val="002410D9"/>
    <w:rsid w:val="00242B92"/>
    <w:rsid w:val="00243399"/>
    <w:rsid w:val="00243751"/>
    <w:rsid w:val="002448CB"/>
    <w:rsid w:val="00245A76"/>
    <w:rsid w:val="0024629C"/>
    <w:rsid w:val="00246892"/>
    <w:rsid w:val="00247DAF"/>
    <w:rsid w:val="002515DA"/>
    <w:rsid w:val="002530B3"/>
    <w:rsid w:val="0025626D"/>
    <w:rsid w:val="00256560"/>
    <w:rsid w:val="00256624"/>
    <w:rsid w:val="002574B6"/>
    <w:rsid w:val="00257F30"/>
    <w:rsid w:val="002606CC"/>
    <w:rsid w:val="00260CB3"/>
    <w:rsid w:val="00261D30"/>
    <w:rsid w:val="0026239B"/>
    <w:rsid w:val="00262A91"/>
    <w:rsid w:val="00262ACE"/>
    <w:rsid w:val="00263A5F"/>
    <w:rsid w:val="0026405B"/>
    <w:rsid w:val="00265C0D"/>
    <w:rsid w:val="00265D70"/>
    <w:rsid w:val="00266435"/>
    <w:rsid w:val="0026655E"/>
    <w:rsid w:val="00266DC2"/>
    <w:rsid w:val="002722EC"/>
    <w:rsid w:val="0027240B"/>
    <w:rsid w:val="002726B6"/>
    <w:rsid w:val="00274D13"/>
    <w:rsid w:val="00274DED"/>
    <w:rsid w:val="0027759D"/>
    <w:rsid w:val="00280075"/>
    <w:rsid w:val="0028219A"/>
    <w:rsid w:val="002834E2"/>
    <w:rsid w:val="00283EA9"/>
    <w:rsid w:val="00284193"/>
    <w:rsid w:val="00284AA5"/>
    <w:rsid w:val="002857D1"/>
    <w:rsid w:val="002859D1"/>
    <w:rsid w:val="00287FD0"/>
    <w:rsid w:val="00290C42"/>
    <w:rsid w:val="00293ADE"/>
    <w:rsid w:val="002953E2"/>
    <w:rsid w:val="00296514"/>
    <w:rsid w:val="002974E4"/>
    <w:rsid w:val="00297C2D"/>
    <w:rsid w:val="002A04E1"/>
    <w:rsid w:val="002A0A44"/>
    <w:rsid w:val="002A11B8"/>
    <w:rsid w:val="002A175E"/>
    <w:rsid w:val="002A68DC"/>
    <w:rsid w:val="002A7D81"/>
    <w:rsid w:val="002B118F"/>
    <w:rsid w:val="002B23F8"/>
    <w:rsid w:val="002B349C"/>
    <w:rsid w:val="002B4A7C"/>
    <w:rsid w:val="002B4A82"/>
    <w:rsid w:val="002B5A41"/>
    <w:rsid w:val="002B6B22"/>
    <w:rsid w:val="002B7038"/>
    <w:rsid w:val="002B742D"/>
    <w:rsid w:val="002B77BD"/>
    <w:rsid w:val="002B7B5A"/>
    <w:rsid w:val="002B7F31"/>
    <w:rsid w:val="002C017A"/>
    <w:rsid w:val="002C02B3"/>
    <w:rsid w:val="002C0A65"/>
    <w:rsid w:val="002C37A5"/>
    <w:rsid w:val="002C3B94"/>
    <w:rsid w:val="002C5D6F"/>
    <w:rsid w:val="002D21C9"/>
    <w:rsid w:val="002D2577"/>
    <w:rsid w:val="002D277A"/>
    <w:rsid w:val="002D2A80"/>
    <w:rsid w:val="002D2D1D"/>
    <w:rsid w:val="002D31B5"/>
    <w:rsid w:val="002D36E7"/>
    <w:rsid w:val="002D44EE"/>
    <w:rsid w:val="002D4C04"/>
    <w:rsid w:val="002D525E"/>
    <w:rsid w:val="002D5A8E"/>
    <w:rsid w:val="002D7740"/>
    <w:rsid w:val="002D7AA5"/>
    <w:rsid w:val="002D7B07"/>
    <w:rsid w:val="002E0ED2"/>
    <w:rsid w:val="002E1030"/>
    <w:rsid w:val="002E3000"/>
    <w:rsid w:val="002E34C5"/>
    <w:rsid w:val="002E3829"/>
    <w:rsid w:val="002E4582"/>
    <w:rsid w:val="002E4C49"/>
    <w:rsid w:val="002E4E4D"/>
    <w:rsid w:val="002E5E0C"/>
    <w:rsid w:val="002E6528"/>
    <w:rsid w:val="002E674E"/>
    <w:rsid w:val="002F00B2"/>
    <w:rsid w:val="002F0D9F"/>
    <w:rsid w:val="002F3731"/>
    <w:rsid w:val="002F3ED9"/>
    <w:rsid w:val="002F47C0"/>
    <w:rsid w:val="002F498A"/>
    <w:rsid w:val="0030018A"/>
    <w:rsid w:val="00301647"/>
    <w:rsid w:val="0030259D"/>
    <w:rsid w:val="0030427C"/>
    <w:rsid w:val="003064BD"/>
    <w:rsid w:val="00306C20"/>
    <w:rsid w:val="0031211F"/>
    <w:rsid w:val="003135D8"/>
    <w:rsid w:val="00314734"/>
    <w:rsid w:val="00315198"/>
    <w:rsid w:val="00315D95"/>
    <w:rsid w:val="00316518"/>
    <w:rsid w:val="003172A7"/>
    <w:rsid w:val="00317D2D"/>
    <w:rsid w:val="0032074B"/>
    <w:rsid w:val="0032084F"/>
    <w:rsid w:val="00325018"/>
    <w:rsid w:val="00325069"/>
    <w:rsid w:val="003253FC"/>
    <w:rsid w:val="00325E0A"/>
    <w:rsid w:val="0032602F"/>
    <w:rsid w:val="0032656F"/>
    <w:rsid w:val="00326E64"/>
    <w:rsid w:val="003270E8"/>
    <w:rsid w:val="003307F2"/>
    <w:rsid w:val="00331625"/>
    <w:rsid w:val="00331931"/>
    <w:rsid w:val="00332CF5"/>
    <w:rsid w:val="003337C6"/>
    <w:rsid w:val="0033380E"/>
    <w:rsid w:val="00334447"/>
    <w:rsid w:val="003347F7"/>
    <w:rsid w:val="00334EDC"/>
    <w:rsid w:val="00335083"/>
    <w:rsid w:val="0033555D"/>
    <w:rsid w:val="003379B1"/>
    <w:rsid w:val="00340873"/>
    <w:rsid w:val="00340F88"/>
    <w:rsid w:val="00341858"/>
    <w:rsid w:val="00341D4C"/>
    <w:rsid w:val="003425C3"/>
    <w:rsid w:val="00343100"/>
    <w:rsid w:val="00343F93"/>
    <w:rsid w:val="0034413F"/>
    <w:rsid w:val="00344548"/>
    <w:rsid w:val="00344FFE"/>
    <w:rsid w:val="0034506E"/>
    <w:rsid w:val="003459BB"/>
    <w:rsid w:val="00345F29"/>
    <w:rsid w:val="00346ADF"/>
    <w:rsid w:val="00347812"/>
    <w:rsid w:val="003516D3"/>
    <w:rsid w:val="0035206E"/>
    <w:rsid w:val="003536B2"/>
    <w:rsid w:val="00361ECA"/>
    <w:rsid w:val="0036258B"/>
    <w:rsid w:val="003626FB"/>
    <w:rsid w:val="003647D0"/>
    <w:rsid w:val="00366113"/>
    <w:rsid w:val="003667EB"/>
    <w:rsid w:val="00366E1B"/>
    <w:rsid w:val="003670C0"/>
    <w:rsid w:val="00370000"/>
    <w:rsid w:val="00370140"/>
    <w:rsid w:val="003720BE"/>
    <w:rsid w:val="003725D5"/>
    <w:rsid w:val="00372CFD"/>
    <w:rsid w:val="0037354A"/>
    <w:rsid w:val="003756A1"/>
    <w:rsid w:val="003763C4"/>
    <w:rsid w:val="003803CA"/>
    <w:rsid w:val="00380F4A"/>
    <w:rsid w:val="00381B72"/>
    <w:rsid w:val="00382081"/>
    <w:rsid w:val="003824AA"/>
    <w:rsid w:val="00382C4B"/>
    <w:rsid w:val="0038455A"/>
    <w:rsid w:val="00384A8F"/>
    <w:rsid w:val="003915C3"/>
    <w:rsid w:val="003930BB"/>
    <w:rsid w:val="00394117"/>
    <w:rsid w:val="0039477E"/>
    <w:rsid w:val="0039701A"/>
    <w:rsid w:val="003972DF"/>
    <w:rsid w:val="00397F7A"/>
    <w:rsid w:val="003A02AE"/>
    <w:rsid w:val="003A0F33"/>
    <w:rsid w:val="003A205E"/>
    <w:rsid w:val="003A362B"/>
    <w:rsid w:val="003A3FB4"/>
    <w:rsid w:val="003A4666"/>
    <w:rsid w:val="003A6115"/>
    <w:rsid w:val="003A76AB"/>
    <w:rsid w:val="003A7E6D"/>
    <w:rsid w:val="003B198A"/>
    <w:rsid w:val="003B1D62"/>
    <w:rsid w:val="003B2299"/>
    <w:rsid w:val="003B2E0D"/>
    <w:rsid w:val="003B3578"/>
    <w:rsid w:val="003B3D5D"/>
    <w:rsid w:val="003B53BD"/>
    <w:rsid w:val="003B5CFA"/>
    <w:rsid w:val="003B600B"/>
    <w:rsid w:val="003B74BE"/>
    <w:rsid w:val="003C18F9"/>
    <w:rsid w:val="003C1E76"/>
    <w:rsid w:val="003C25F9"/>
    <w:rsid w:val="003C2C0D"/>
    <w:rsid w:val="003C2C66"/>
    <w:rsid w:val="003C300B"/>
    <w:rsid w:val="003C34DF"/>
    <w:rsid w:val="003C3B57"/>
    <w:rsid w:val="003C3E74"/>
    <w:rsid w:val="003C4C72"/>
    <w:rsid w:val="003C5282"/>
    <w:rsid w:val="003C6A91"/>
    <w:rsid w:val="003C79B3"/>
    <w:rsid w:val="003D1B95"/>
    <w:rsid w:val="003D70B4"/>
    <w:rsid w:val="003D70C8"/>
    <w:rsid w:val="003D7E3D"/>
    <w:rsid w:val="003E1BAD"/>
    <w:rsid w:val="003E2D32"/>
    <w:rsid w:val="003E31A8"/>
    <w:rsid w:val="003E329B"/>
    <w:rsid w:val="003E4269"/>
    <w:rsid w:val="003E4809"/>
    <w:rsid w:val="003E5011"/>
    <w:rsid w:val="003E55A4"/>
    <w:rsid w:val="003E563C"/>
    <w:rsid w:val="003E5979"/>
    <w:rsid w:val="003E6391"/>
    <w:rsid w:val="003E7BA2"/>
    <w:rsid w:val="003F0B33"/>
    <w:rsid w:val="003F0C6C"/>
    <w:rsid w:val="003F1A32"/>
    <w:rsid w:val="003F1A4D"/>
    <w:rsid w:val="003F38A2"/>
    <w:rsid w:val="003F5238"/>
    <w:rsid w:val="003F5645"/>
    <w:rsid w:val="003F591F"/>
    <w:rsid w:val="003F71C4"/>
    <w:rsid w:val="003F782D"/>
    <w:rsid w:val="003F78FC"/>
    <w:rsid w:val="004019F9"/>
    <w:rsid w:val="0040292D"/>
    <w:rsid w:val="004038A4"/>
    <w:rsid w:val="00404CC3"/>
    <w:rsid w:val="00406CE3"/>
    <w:rsid w:val="004070BE"/>
    <w:rsid w:val="0040743E"/>
    <w:rsid w:val="00407885"/>
    <w:rsid w:val="004100F3"/>
    <w:rsid w:val="0041156D"/>
    <w:rsid w:val="00411865"/>
    <w:rsid w:val="00411C72"/>
    <w:rsid w:val="00412ABA"/>
    <w:rsid w:val="0041376D"/>
    <w:rsid w:val="00414C7D"/>
    <w:rsid w:val="004164F2"/>
    <w:rsid w:val="00417333"/>
    <w:rsid w:val="004178B0"/>
    <w:rsid w:val="00417EBE"/>
    <w:rsid w:val="0042169D"/>
    <w:rsid w:val="00422D7F"/>
    <w:rsid w:val="00423068"/>
    <w:rsid w:val="0042336A"/>
    <w:rsid w:val="004243DC"/>
    <w:rsid w:val="00425417"/>
    <w:rsid w:val="0042583F"/>
    <w:rsid w:val="00425CB8"/>
    <w:rsid w:val="00426F5A"/>
    <w:rsid w:val="00430175"/>
    <w:rsid w:val="00430A40"/>
    <w:rsid w:val="004335DB"/>
    <w:rsid w:val="004335F0"/>
    <w:rsid w:val="00433F43"/>
    <w:rsid w:val="00434060"/>
    <w:rsid w:val="004352F7"/>
    <w:rsid w:val="00436175"/>
    <w:rsid w:val="00436F59"/>
    <w:rsid w:val="00437842"/>
    <w:rsid w:val="0043786F"/>
    <w:rsid w:val="00440496"/>
    <w:rsid w:val="0044145F"/>
    <w:rsid w:val="004418A6"/>
    <w:rsid w:val="00441C6D"/>
    <w:rsid w:val="004435BE"/>
    <w:rsid w:val="00444688"/>
    <w:rsid w:val="00446A75"/>
    <w:rsid w:val="00446A79"/>
    <w:rsid w:val="0045080F"/>
    <w:rsid w:val="00450F63"/>
    <w:rsid w:val="00452294"/>
    <w:rsid w:val="00452568"/>
    <w:rsid w:val="00452E74"/>
    <w:rsid w:val="00454250"/>
    <w:rsid w:val="004547DD"/>
    <w:rsid w:val="00455994"/>
    <w:rsid w:val="00456BDA"/>
    <w:rsid w:val="0045796F"/>
    <w:rsid w:val="00457E74"/>
    <w:rsid w:val="00460B70"/>
    <w:rsid w:val="00461467"/>
    <w:rsid w:val="0046149F"/>
    <w:rsid w:val="0046152D"/>
    <w:rsid w:val="00461991"/>
    <w:rsid w:val="004620C7"/>
    <w:rsid w:val="00463E1E"/>
    <w:rsid w:val="00466199"/>
    <w:rsid w:val="004664F8"/>
    <w:rsid w:val="00467742"/>
    <w:rsid w:val="00471615"/>
    <w:rsid w:val="004732F9"/>
    <w:rsid w:val="00473606"/>
    <w:rsid w:val="004744DC"/>
    <w:rsid w:val="00475145"/>
    <w:rsid w:val="00475624"/>
    <w:rsid w:val="00477C86"/>
    <w:rsid w:val="004801AC"/>
    <w:rsid w:val="004807F0"/>
    <w:rsid w:val="00481250"/>
    <w:rsid w:val="00481819"/>
    <w:rsid w:val="00481A08"/>
    <w:rsid w:val="0048263F"/>
    <w:rsid w:val="00482E20"/>
    <w:rsid w:val="0048370C"/>
    <w:rsid w:val="00483A93"/>
    <w:rsid w:val="00484F7A"/>
    <w:rsid w:val="00485859"/>
    <w:rsid w:val="00486331"/>
    <w:rsid w:val="0048667B"/>
    <w:rsid w:val="004867EE"/>
    <w:rsid w:val="00487320"/>
    <w:rsid w:val="00487817"/>
    <w:rsid w:val="00490510"/>
    <w:rsid w:val="00491DD5"/>
    <w:rsid w:val="00492527"/>
    <w:rsid w:val="00493160"/>
    <w:rsid w:val="0049478A"/>
    <w:rsid w:val="00494D37"/>
    <w:rsid w:val="004A12EC"/>
    <w:rsid w:val="004A3769"/>
    <w:rsid w:val="004A42E3"/>
    <w:rsid w:val="004A4B42"/>
    <w:rsid w:val="004A4EB1"/>
    <w:rsid w:val="004B0498"/>
    <w:rsid w:val="004B2721"/>
    <w:rsid w:val="004B35FF"/>
    <w:rsid w:val="004B40AB"/>
    <w:rsid w:val="004B49B3"/>
    <w:rsid w:val="004B5875"/>
    <w:rsid w:val="004B5E17"/>
    <w:rsid w:val="004B61BF"/>
    <w:rsid w:val="004B7293"/>
    <w:rsid w:val="004C0249"/>
    <w:rsid w:val="004C1248"/>
    <w:rsid w:val="004C2263"/>
    <w:rsid w:val="004C4381"/>
    <w:rsid w:val="004C4521"/>
    <w:rsid w:val="004C5440"/>
    <w:rsid w:val="004C6E0D"/>
    <w:rsid w:val="004C7B70"/>
    <w:rsid w:val="004D085E"/>
    <w:rsid w:val="004D457F"/>
    <w:rsid w:val="004D5882"/>
    <w:rsid w:val="004D59A9"/>
    <w:rsid w:val="004D5E29"/>
    <w:rsid w:val="004D777B"/>
    <w:rsid w:val="004D7A9B"/>
    <w:rsid w:val="004E0C0A"/>
    <w:rsid w:val="004E23A6"/>
    <w:rsid w:val="004E2B69"/>
    <w:rsid w:val="004E4150"/>
    <w:rsid w:val="004E60F4"/>
    <w:rsid w:val="004E78B5"/>
    <w:rsid w:val="004F02A8"/>
    <w:rsid w:val="004F03F3"/>
    <w:rsid w:val="004F06E6"/>
    <w:rsid w:val="004F2932"/>
    <w:rsid w:val="004F659E"/>
    <w:rsid w:val="004F6971"/>
    <w:rsid w:val="004F6D5C"/>
    <w:rsid w:val="00500C6B"/>
    <w:rsid w:val="005021BD"/>
    <w:rsid w:val="00504037"/>
    <w:rsid w:val="005040D3"/>
    <w:rsid w:val="005047D7"/>
    <w:rsid w:val="00506106"/>
    <w:rsid w:val="0050628A"/>
    <w:rsid w:val="00506C1C"/>
    <w:rsid w:val="00507008"/>
    <w:rsid w:val="00507966"/>
    <w:rsid w:val="005134D4"/>
    <w:rsid w:val="00513D22"/>
    <w:rsid w:val="00513E47"/>
    <w:rsid w:val="00517E9C"/>
    <w:rsid w:val="005202C1"/>
    <w:rsid w:val="00522412"/>
    <w:rsid w:val="00523946"/>
    <w:rsid w:val="0052700E"/>
    <w:rsid w:val="005272DD"/>
    <w:rsid w:val="00527BD6"/>
    <w:rsid w:val="00531BE4"/>
    <w:rsid w:val="005327B9"/>
    <w:rsid w:val="005338E4"/>
    <w:rsid w:val="00533ED7"/>
    <w:rsid w:val="00534179"/>
    <w:rsid w:val="00535041"/>
    <w:rsid w:val="00535361"/>
    <w:rsid w:val="005367BF"/>
    <w:rsid w:val="0053703D"/>
    <w:rsid w:val="00537683"/>
    <w:rsid w:val="0053776D"/>
    <w:rsid w:val="00541545"/>
    <w:rsid w:val="00542301"/>
    <w:rsid w:val="005423F5"/>
    <w:rsid w:val="00544D97"/>
    <w:rsid w:val="00545192"/>
    <w:rsid w:val="00550CF5"/>
    <w:rsid w:val="005516A4"/>
    <w:rsid w:val="0055198C"/>
    <w:rsid w:val="0055254F"/>
    <w:rsid w:val="005542F9"/>
    <w:rsid w:val="00554375"/>
    <w:rsid w:val="00554A12"/>
    <w:rsid w:val="00554CC8"/>
    <w:rsid w:val="00557481"/>
    <w:rsid w:val="00560B95"/>
    <w:rsid w:val="00561458"/>
    <w:rsid w:val="00561DAB"/>
    <w:rsid w:val="00561FA0"/>
    <w:rsid w:val="00565168"/>
    <w:rsid w:val="005664B7"/>
    <w:rsid w:val="00566786"/>
    <w:rsid w:val="00566E04"/>
    <w:rsid w:val="00570F6F"/>
    <w:rsid w:val="0057108A"/>
    <w:rsid w:val="00573A99"/>
    <w:rsid w:val="00573E5B"/>
    <w:rsid w:val="00573E71"/>
    <w:rsid w:val="0057410A"/>
    <w:rsid w:val="00574171"/>
    <w:rsid w:val="00574250"/>
    <w:rsid w:val="00574C7C"/>
    <w:rsid w:val="00575582"/>
    <w:rsid w:val="005760E9"/>
    <w:rsid w:val="00576543"/>
    <w:rsid w:val="00576894"/>
    <w:rsid w:val="005808C1"/>
    <w:rsid w:val="00580E6D"/>
    <w:rsid w:val="005817D6"/>
    <w:rsid w:val="005820A8"/>
    <w:rsid w:val="00582406"/>
    <w:rsid w:val="00582B69"/>
    <w:rsid w:val="0058438B"/>
    <w:rsid w:val="005857C7"/>
    <w:rsid w:val="005864D6"/>
    <w:rsid w:val="00586B37"/>
    <w:rsid w:val="00587502"/>
    <w:rsid w:val="005909AF"/>
    <w:rsid w:val="00591BA5"/>
    <w:rsid w:val="00593334"/>
    <w:rsid w:val="005933A8"/>
    <w:rsid w:val="0059378B"/>
    <w:rsid w:val="00593EF8"/>
    <w:rsid w:val="005947B6"/>
    <w:rsid w:val="00597C8E"/>
    <w:rsid w:val="005A09FD"/>
    <w:rsid w:val="005A2FB7"/>
    <w:rsid w:val="005A46E2"/>
    <w:rsid w:val="005A56E5"/>
    <w:rsid w:val="005A5F39"/>
    <w:rsid w:val="005A7587"/>
    <w:rsid w:val="005B6B22"/>
    <w:rsid w:val="005B772F"/>
    <w:rsid w:val="005B774B"/>
    <w:rsid w:val="005C0DAF"/>
    <w:rsid w:val="005C1D4E"/>
    <w:rsid w:val="005C1E38"/>
    <w:rsid w:val="005C274A"/>
    <w:rsid w:val="005C3EF5"/>
    <w:rsid w:val="005C45E7"/>
    <w:rsid w:val="005C4E07"/>
    <w:rsid w:val="005C4F14"/>
    <w:rsid w:val="005C4FD0"/>
    <w:rsid w:val="005D21B8"/>
    <w:rsid w:val="005D3BC3"/>
    <w:rsid w:val="005D63E9"/>
    <w:rsid w:val="005E1111"/>
    <w:rsid w:val="005E2331"/>
    <w:rsid w:val="005E562C"/>
    <w:rsid w:val="005E69D4"/>
    <w:rsid w:val="005E7F6C"/>
    <w:rsid w:val="005F0A6A"/>
    <w:rsid w:val="005F253E"/>
    <w:rsid w:val="005F2AD6"/>
    <w:rsid w:val="005F2FD2"/>
    <w:rsid w:val="005F3BFD"/>
    <w:rsid w:val="005F3DBC"/>
    <w:rsid w:val="005F4F76"/>
    <w:rsid w:val="005F7638"/>
    <w:rsid w:val="006008FF"/>
    <w:rsid w:val="0060174F"/>
    <w:rsid w:val="00601B57"/>
    <w:rsid w:val="006023D2"/>
    <w:rsid w:val="006039DD"/>
    <w:rsid w:val="00603CE8"/>
    <w:rsid w:val="00603F2E"/>
    <w:rsid w:val="0060492D"/>
    <w:rsid w:val="00604B4C"/>
    <w:rsid w:val="00604EAC"/>
    <w:rsid w:val="00605ECF"/>
    <w:rsid w:val="0060715B"/>
    <w:rsid w:val="00607178"/>
    <w:rsid w:val="00607E04"/>
    <w:rsid w:val="00610636"/>
    <w:rsid w:val="00611BC7"/>
    <w:rsid w:val="00612169"/>
    <w:rsid w:val="0061394B"/>
    <w:rsid w:val="00613FE0"/>
    <w:rsid w:val="00616561"/>
    <w:rsid w:val="00616D97"/>
    <w:rsid w:val="00616FE2"/>
    <w:rsid w:val="00617C92"/>
    <w:rsid w:val="00617CBC"/>
    <w:rsid w:val="00621F59"/>
    <w:rsid w:val="00622CE8"/>
    <w:rsid w:val="00623492"/>
    <w:rsid w:val="0062479B"/>
    <w:rsid w:val="006254C4"/>
    <w:rsid w:val="00626C96"/>
    <w:rsid w:val="00627FD3"/>
    <w:rsid w:val="00630EAB"/>
    <w:rsid w:val="00631BA5"/>
    <w:rsid w:val="00632211"/>
    <w:rsid w:val="00632F36"/>
    <w:rsid w:val="00635921"/>
    <w:rsid w:val="006364F7"/>
    <w:rsid w:val="00637032"/>
    <w:rsid w:val="00637E93"/>
    <w:rsid w:val="00641ED0"/>
    <w:rsid w:val="00642199"/>
    <w:rsid w:val="00642B11"/>
    <w:rsid w:val="00644445"/>
    <w:rsid w:val="006451D0"/>
    <w:rsid w:val="00646218"/>
    <w:rsid w:val="00650F8A"/>
    <w:rsid w:val="00652BB6"/>
    <w:rsid w:val="00654CCE"/>
    <w:rsid w:val="00656D5B"/>
    <w:rsid w:val="0065786B"/>
    <w:rsid w:val="00657F2D"/>
    <w:rsid w:val="0066034F"/>
    <w:rsid w:val="0066072A"/>
    <w:rsid w:val="00662E98"/>
    <w:rsid w:val="0066358A"/>
    <w:rsid w:val="00664075"/>
    <w:rsid w:val="006642E5"/>
    <w:rsid w:val="0066591C"/>
    <w:rsid w:val="00665B44"/>
    <w:rsid w:val="00665E29"/>
    <w:rsid w:val="0066625B"/>
    <w:rsid w:val="00666960"/>
    <w:rsid w:val="00667539"/>
    <w:rsid w:val="00672F1B"/>
    <w:rsid w:val="006730D3"/>
    <w:rsid w:val="0067478C"/>
    <w:rsid w:val="00674DD9"/>
    <w:rsid w:val="006755F5"/>
    <w:rsid w:val="006757AD"/>
    <w:rsid w:val="00676832"/>
    <w:rsid w:val="00677476"/>
    <w:rsid w:val="00677CF9"/>
    <w:rsid w:val="00682117"/>
    <w:rsid w:val="006838F2"/>
    <w:rsid w:val="006850B6"/>
    <w:rsid w:val="00685CEE"/>
    <w:rsid w:val="00686043"/>
    <w:rsid w:val="00687A04"/>
    <w:rsid w:val="006906B9"/>
    <w:rsid w:val="00690DB1"/>
    <w:rsid w:val="00691348"/>
    <w:rsid w:val="00691F19"/>
    <w:rsid w:val="00693432"/>
    <w:rsid w:val="00694A03"/>
    <w:rsid w:val="006956B4"/>
    <w:rsid w:val="00695CB5"/>
    <w:rsid w:val="00696DA3"/>
    <w:rsid w:val="00697182"/>
    <w:rsid w:val="006A0EE1"/>
    <w:rsid w:val="006A1F33"/>
    <w:rsid w:val="006A384C"/>
    <w:rsid w:val="006B0408"/>
    <w:rsid w:val="006B0A47"/>
    <w:rsid w:val="006B1957"/>
    <w:rsid w:val="006B1996"/>
    <w:rsid w:val="006B286A"/>
    <w:rsid w:val="006B36BE"/>
    <w:rsid w:val="006B45FE"/>
    <w:rsid w:val="006B4CED"/>
    <w:rsid w:val="006B511E"/>
    <w:rsid w:val="006B5312"/>
    <w:rsid w:val="006B6A6F"/>
    <w:rsid w:val="006B772C"/>
    <w:rsid w:val="006C0B97"/>
    <w:rsid w:val="006C287F"/>
    <w:rsid w:val="006C2899"/>
    <w:rsid w:val="006C34DF"/>
    <w:rsid w:val="006C3E97"/>
    <w:rsid w:val="006C5505"/>
    <w:rsid w:val="006C5FC0"/>
    <w:rsid w:val="006C6F24"/>
    <w:rsid w:val="006C7521"/>
    <w:rsid w:val="006C7E85"/>
    <w:rsid w:val="006D1319"/>
    <w:rsid w:val="006D147C"/>
    <w:rsid w:val="006D1FA1"/>
    <w:rsid w:val="006D2896"/>
    <w:rsid w:val="006D35DB"/>
    <w:rsid w:val="006D3E98"/>
    <w:rsid w:val="006D51BE"/>
    <w:rsid w:val="006D7E52"/>
    <w:rsid w:val="006E0FAB"/>
    <w:rsid w:val="006E12E1"/>
    <w:rsid w:val="006E2B12"/>
    <w:rsid w:val="006E40EA"/>
    <w:rsid w:val="006E4544"/>
    <w:rsid w:val="006E5A02"/>
    <w:rsid w:val="006E6D63"/>
    <w:rsid w:val="006E6DDD"/>
    <w:rsid w:val="006E7E29"/>
    <w:rsid w:val="006F04BD"/>
    <w:rsid w:val="006F1DED"/>
    <w:rsid w:val="006F213C"/>
    <w:rsid w:val="006F3A6D"/>
    <w:rsid w:val="006F4220"/>
    <w:rsid w:val="006F5723"/>
    <w:rsid w:val="006F7104"/>
    <w:rsid w:val="0070077A"/>
    <w:rsid w:val="00701020"/>
    <w:rsid w:val="007011CA"/>
    <w:rsid w:val="00701E34"/>
    <w:rsid w:val="00703CB5"/>
    <w:rsid w:val="00704460"/>
    <w:rsid w:val="00704C1B"/>
    <w:rsid w:val="0070524C"/>
    <w:rsid w:val="007052EF"/>
    <w:rsid w:val="00705590"/>
    <w:rsid w:val="0070748E"/>
    <w:rsid w:val="007113ED"/>
    <w:rsid w:val="00712433"/>
    <w:rsid w:val="00712F84"/>
    <w:rsid w:val="0071366C"/>
    <w:rsid w:val="00715422"/>
    <w:rsid w:val="00715639"/>
    <w:rsid w:val="007156BD"/>
    <w:rsid w:val="00715B04"/>
    <w:rsid w:val="007164CC"/>
    <w:rsid w:val="00717478"/>
    <w:rsid w:val="00720389"/>
    <w:rsid w:val="00720522"/>
    <w:rsid w:val="007217F6"/>
    <w:rsid w:val="00722328"/>
    <w:rsid w:val="007223EA"/>
    <w:rsid w:val="00722C6D"/>
    <w:rsid w:val="0072483E"/>
    <w:rsid w:val="00724A3D"/>
    <w:rsid w:val="00724E16"/>
    <w:rsid w:val="007257E3"/>
    <w:rsid w:val="00726C14"/>
    <w:rsid w:val="00727F09"/>
    <w:rsid w:val="00731EAE"/>
    <w:rsid w:val="00732488"/>
    <w:rsid w:val="00734A2F"/>
    <w:rsid w:val="00735635"/>
    <w:rsid w:val="00735F27"/>
    <w:rsid w:val="0073663C"/>
    <w:rsid w:val="00737F14"/>
    <w:rsid w:val="00740F5A"/>
    <w:rsid w:val="00743D78"/>
    <w:rsid w:val="00743EEF"/>
    <w:rsid w:val="00744138"/>
    <w:rsid w:val="00745894"/>
    <w:rsid w:val="007459EF"/>
    <w:rsid w:val="007475B7"/>
    <w:rsid w:val="00747643"/>
    <w:rsid w:val="00747EE1"/>
    <w:rsid w:val="0075052F"/>
    <w:rsid w:val="00751956"/>
    <w:rsid w:val="007522B6"/>
    <w:rsid w:val="0075306A"/>
    <w:rsid w:val="007533AB"/>
    <w:rsid w:val="00753CBF"/>
    <w:rsid w:val="00755225"/>
    <w:rsid w:val="0075649A"/>
    <w:rsid w:val="00756864"/>
    <w:rsid w:val="00760D0A"/>
    <w:rsid w:val="00761B6C"/>
    <w:rsid w:val="0076217B"/>
    <w:rsid w:val="00762184"/>
    <w:rsid w:val="00762550"/>
    <w:rsid w:val="007637DA"/>
    <w:rsid w:val="00764D97"/>
    <w:rsid w:val="00765B60"/>
    <w:rsid w:val="007661B9"/>
    <w:rsid w:val="007663EC"/>
    <w:rsid w:val="00766D74"/>
    <w:rsid w:val="007706BC"/>
    <w:rsid w:val="007721CE"/>
    <w:rsid w:val="007725BD"/>
    <w:rsid w:val="007762BD"/>
    <w:rsid w:val="00777C7B"/>
    <w:rsid w:val="00780A66"/>
    <w:rsid w:val="00780F08"/>
    <w:rsid w:val="00781783"/>
    <w:rsid w:val="00781974"/>
    <w:rsid w:val="00782A2E"/>
    <w:rsid w:val="007837DE"/>
    <w:rsid w:val="007844D4"/>
    <w:rsid w:val="007866A6"/>
    <w:rsid w:val="00786AF1"/>
    <w:rsid w:val="00786E3C"/>
    <w:rsid w:val="00787561"/>
    <w:rsid w:val="007878E7"/>
    <w:rsid w:val="00787BEB"/>
    <w:rsid w:val="007909A5"/>
    <w:rsid w:val="00792D28"/>
    <w:rsid w:val="0079383D"/>
    <w:rsid w:val="00795E14"/>
    <w:rsid w:val="00796548"/>
    <w:rsid w:val="00796BD1"/>
    <w:rsid w:val="00797ACC"/>
    <w:rsid w:val="007A0CFA"/>
    <w:rsid w:val="007A0EE2"/>
    <w:rsid w:val="007A1745"/>
    <w:rsid w:val="007A5E84"/>
    <w:rsid w:val="007A72E0"/>
    <w:rsid w:val="007B1032"/>
    <w:rsid w:val="007B152F"/>
    <w:rsid w:val="007B4D16"/>
    <w:rsid w:val="007B6990"/>
    <w:rsid w:val="007B71B3"/>
    <w:rsid w:val="007B724E"/>
    <w:rsid w:val="007C1158"/>
    <w:rsid w:val="007C22E7"/>
    <w:rsid w:val="007C3F2B"/>
    <w:rsid w:val="007C42C1"/>
    <w:rsid w:val="007C6A17"/>
    <w:rsid w:val="007C6D10"/>
    <w:rsid w:val="007D3508"/>
    <w:rsid w:val="007D3982"/>
    <w:rsid w:val="007D4F87"/>
    <w:rsid w:val="007D53F9"/>
    <w:rsid w:val="007D59C9"/>
    <w:rsid w:val="007D59F2"/>
    <w:rsid w:val="007D62D8"/>
    <w:rsid w:val="007D6B92"/>
    <w:rsid w:val="007D6D43"/>
    <w:rsid w:val="007D7B46"/>
    <w:rsid w:val="007E16E5"/>
    <w:rsid w:val="007E19F2"/>
    <w:rsid w:val="007E60D9"/>
    <w:rsid w:val="007E7B26"/>
    <w:rsid w:val="007E7ED8"/>
    <w:rsid w:val="007F1526"/>
    <w:rsid w:val="007F17D1"/>
    <w:rsid w:val="007F1A74"/>
    <w:rsid w:val="007F24AF"/>
    <w:rsid w:val="007F2770"/>
    <w:rsid w:val="007F2AD9"/>
    <w:rsid w:val="007F360E"/>
    <w:rsid w:val="007F3F43"/>
    <w:rsid w:val="007F4065"/>
    <w:rsid w:val="007F4EAA"/>
    <w:rsid w:val="007F62CF"/>
    <w:rsid w:val="007F75EA"/>
    <w:rsid w:val="007F787A"/>
    <w:rsid w:val="00801064"/>
    <w:rsid w:val="00801DBE"/>
    <w:rsid w:val="00802228"/>
    <w:rsid w:val="00803778"/>
    <w:rsid w:val="00804B4A"/>
    <w:rsid w:val="00805BCE"/>
    <w:rsid w:val="00806816"/>
    <w:rsid w:val="008078A9"/>
    <w:rsid w:val="00807963"/>
    <w:rsid w:val="00810F25"/>
    <w:rsid w:val="00811425"/>
    <w:rsid w:val="0081324A"/>
    <w:rsid w:val="008145A3"/>
    <w:rsid w:val="008145DD"/>
    <w:rsid w:val="00814BB8"/>
    <w:rsid w:val="008166A5"/>
    <w:rsid w:val="008177C6"/>
    <w:rsid w:val="00817B01"/>
    <w:rsid w:val="00824530"/>
    <w:rsid w:val="00824C66"/>
    <w:rsid w:val="00825311"/>
    <w:rsid w:val="0082639C"/>
    <w:rsid w:val="00826F38"/>
    <w:rsid w:val="0082737B"/>
    <w:rsid w:val="00831C65"/>
    <w:rsid w:val="0083435D"/>
    <w:rsid w:val="008346EA"/>
    <w:rsid w:val="00834F97"/>
    <w:rsid w:val="0083537A"/>
    <w:rsid w:val="008353AA"/>
    <w:rsid w:val="00835C6A"/>
    <w:rsid w:val="0083767B"/>
    <w:rsid w:val="008407E2"/>
    <w:rsid w:val="00840F2D"/>
    <w:rsid w:val="0084608A"/>
    <w:rsid w:val="008463B6"/>
    <w:rsid w:val="00846561"/>
    <w:rsid w:val="008473E4"/>
    <w:rsid w:val="00847B52"/>
    <w:rsid w:val="00851AAA"/>
    <w:rsid w:val="00852557"/>
    <w:rsid w:val="00852D2C"/>
    <w:rsid w:val="00852FBD"/>
    <w:rsid w:val="0085347B"/>
    <w:rsid w:val="008540B1"/>
    <w:rsid w:val="0085436B"/>
    <w:rsid w:val="008562D8"/>
    <w:rsid w:val="00856706"/>
    <w:rsid w:val="00856BE8"/>
    <w:rsid w:val="00860C56"/>
    <w:rsid w:val="00860D9A"/>
    <w:rsid w:val="008623B2"/>
    <w:rsid w:val="008625C9"/>
    <w:rsid w:val="00864874"/>
    <w:rsid w:val="0086499C"/>
    <w:rsid w:val="00864D16"/>
    <w:rsid w:val="00865485"/>
    <w:rsid w:val="00867018"/>
    <w:rsid w:val="00867D73"/>
    <w:rsid w:val="008700B8"/>
    <w:rsid w:val="00870A00"/>
    <w:rsid w:val="008717E0"/>
    <w:rsid w:val="008719A5"/>
    <w:rsid w:val="0087277B"/>
    <w:rsid w:val="0087308A"/>
    <w:rsid w:val="00873815"/>
    <w:rsid w:val="00873832"/>
    <w:rsid w:val="00873DA2"/>
    <w:rsid w:val="00873E58"/>
    <w:rsid w:val="00874BC4"/>
    <w:rsid w:val="008768B4"/>
    <w:rsid w:val="00876A26"/>
    <w:rsid w:val="0087733C"/>
    <w:rsid w:val="0088004D"/>
    <w:rsid w:val="00880E76"/>
    <w:rsid w:val="0088381B"/>
    <w:rsid w:val="00883AFC"/>
    <w:rsid w:val="008857B7"/>
    <w:rsid w:val="00890263"/>
    <w:rsid w:val="008906BE"/>
    <w:rsid w:val="00890C65"/>
    <w:rsid w:val="00890F8D"/>
    <w:rsid w:val="0089117D"/>
    <w:rsid w:val="0089365B"/>
    <w:rsid w:val="00894DB9"/>
    <w:rsid w:val="00895320"/>
    <w:rsid w:val="0089654F"/>
    <w:rsid w:val="00896C70"/>
    <w:rsid w:val="008972C0"/>
    <w:rsid w:val="0089760C"/>
    <w:rsid w:val="008A0940"/>
    <w:rsid w:val="008A16BD"/>
    <w:rsid w:val="008A1AEB"/>
    <w:rsid w:val="008A4B37"/>
    <w:rsid w:val="008A67A7"/>
    <w:rsid w:val="008A76B6"/>
    <w:rsid w:val="008A7DDE"/>
    <w:rsid w:val="008A7EC1"/>
    <w:rsid w:val="008B06E2"/>
    <w:rsid w:val="008B10A3"/>
    <w:rsid w:val="008B1885"/>
    <w:rsid w:val="008B18C9"/>
    <w:rsid w:val="008B3930"/>
    <w:rsid w:val="008B4C12"/>
    <w:rsid w:val="008B51D2"/>
    <w:rsid w:val="008C1547"/>
    <w:rsid w:val="008C1A44"/>
    <w:rsid w:val="008C2638"/>
    <w:rsid w:val="008C2659"/>
    <w:rsid w:val="008C4EDA"/>
    <w:rsid w:val="008C5770"/>
    <w:rsid w:val="008C63BB"/>
    <w:rsid w:val="008D118E"/>
    <w:rsid w:val="008D1451"/>
    <w:rsid w:val="008D1E63"/>
    <w:rsid w:val="008D2381"/>
    <w:rsid w:val="008D2A7D"/>
    <w:rsid w:val="008D2C37"/>
    <w:rsid w:val="008D53CB"/>
    <w:rsid w:val="008D5739"/>
    <w:rsid w:val="008D6CEE"/>
    <w:rsid w:val="008E06C8"/>
    <w:rsid w:val="008E0AAD"/>
    <w:rsid w:val="008E1310"/>
    <w:rsid w:val="008E1714"/>
    <w:rsid w:val="008E1A05"/>
    <w:rsid w:val="008E1B15"/>
    <w:rsid w:val="008E2589"/>
    <w:rsid w:val="008E29D1"/>
    <w:rsid w:val="008E37E7"/>
    <w:rsid w:val="008E3B77"/>
    <w:rsid w:val="008E4267"/>
    <w:rsid w:val="008E4978"/>
    <w:rsid w:val="008E4B5F"/>
    <w:rsid w:val="008E56B5"/>
    <w:rsid w:val="008E6956"/>
    <w:rsid w:val="008E77AF"/>
    <w:rsid w:val="008E7E66"/>
    <w:rsid w:val="008F0264"/>
    <w:rsid w:val="008F1D01"/>
    <w:rsid w:val="008F2B26"/>
    <w:rsid w:val="008F5CCE"/>
    <w:rsid w:val="008F7501"/>
    <w:rsid w:val="009004A6"/>
    <w:rsid w:val="00900C0C"/>
    <w:rsid w:val="00900E43"/>
    <w:rsid w:val="00903693"/>
    <w:rsid w:val="00904306"/>
    <w:rsid w:val="009063BC"/>
    <w:rsid w:val="00910243"/>
    <w:rsid w:val="0091073A"/>
    <w:rsid w:val="00910879"/>
    <w:rsid w:val="00912521"/>
    <w:rsid w:val="00912CF7"/>
    <w:rsid w:val="00913B7A"/>
    <w:rsid w:val="00920056"/>
    <w:rsid w:val="00920B66"/>
    <w:rsid w:val="009232A6"/>
    <w:rsid w:val="00923B98"/>
    <w:rsid w:val="0092562A"/>
    <w:rsid w:val="00925975"/>
    <w:rsid w:val="009266BD"/>
    <w:rsid w:val="00931896"/>
    <w:rsid w:val="00931BA4"/>
    <w:rsid w:val="0093292E"/>
    <w:rsid w:val="00932C92"/>
    <w:rsid w:val="009337AC"/>
    <w:rsid w:val="00934701"/>
    <w:rsid w:val="009352B2"/>
    <w:rsid w:val="00937054"/>
    <w:rsid w:val="00940A90"/>
    <w:rsid w:val="00940F4E"/>
    <w:rsid w:val="00941AC7"/>
    <w:rsid w:val="0094308B"/>
    <w:rsid w:val="009435EC"/>
    <w:rsid w:val="00943AC3"/>
    <w:rsid w:val="00943D1A"/>
    <w:rsid w:val="00944643"/>
    <w:rsid w:val="00944933"/>
    <w:rsid w:val="00944D57"/>
    <w:rsid w:val="009463E5"/>
    <w:rsid w:val="0094658C"/>
    <w:rsid w:val="00952061"/>
    <w:rsid w:val="00952E11"/>
    <w:rsid w:val="00953333"/>
    <w:rsid w:val="00954406"/>
    <w:rsid w:val="00955607"/>
    <w:rsid w:val="0095594E"/>
    <w:rsid w:val="00956076"/>
    <w:rsid w:val="00957E19"/>
    <w:rsid w:val="00960BDA"/>
    <w:rsid w:val="009621BE"/>
    <w:rsid w:val="009622D5"/>
    <w:rsid w:val="009636D4"/>
    <w:rsid w:val="009640A1"/>
    <w:rsid w:val="009640FE"/>
    <w:rsid w:val="00964840"/>
    <w:rsid w:val="00964BBF"/>
    <w:rsid w:val="00966AC0"/>
    <w:rsid w:val="00970331"/>
    <w:rsid w:val="00970D2E"/>
    <w:rsid w:val="00971624"/>
    <w:rsid w:val="0097248E"/>
    <w:rsid w:val="00973B2B"/>
    <w:rsid w:val="00973C7F"/>
    <w:rsid w:val="00973EB7"/>
    <w:rsid w:val="00976414"/>
    <w:rsid w:val="0097651A"/>
    <w:rsid w:val="009773C9"/>
    <w:rsid w:val="00977AB7"/>
    <w:rsid w:val="00980559"/>
    <w:rsid w:val="00980D9D"/>
    <w:rsid w:val="009818CA"/>
    <w:rsid w:val="00982819"/>
    <w:rsid w:val="009832DC"/>
    <w:rsid w:val="00983860"/>
    <w:rsid w:val="009840C0"/>
    <w:rsid w:val="00984322"/>
    <w:rsid w:val="009848DE"/>
    <w:rsid w:val="00984EAC"/>
    <w:rsid w:val="00990EE2"/>
    <w:rsid w:val="00993EF6"/>
    <w:rsid w:val="0099409A"/>
    <w:rsid w:val="00994251"/>
    <w:rsid w:val="0099513A"/>
    <w:rsid w:val="00995567"/>
    <w:rsid w:val="009957DF"/>
    <w:rsid w:val="009A27FF"/>
    <w:rsid w:val="009A2C7E"/>
    <w:rsid w:val="009A4128"/>
    <w:rsid w:val="009A44B2"/>
    <w:rsid w:val="009A4954"/>
    <w:rsid w:val="009A54C5"/>
    <w:rsid w:val="009A57D5"/>
    <w:rsid w:val="009A5A0E"/>
    <w:rsid w:val="009A7701"/>
    <w:rsid w:val="009A78D4"/>
    <w:rsid w:val="009B0248"/>
    <w:rsid w:val="009B0F0F"/>
    <w:rsid w:val="009B0FBD"/>
    <w:rsid w:val="009B2E13"/>
    <w:rsid w:val="009B3B6E"/>
    <w:rsid w:val="009B63F7"/>
    <w:rsid w:val="009C058E"/>
    <w:rsid w:val="009C1400"/>
    <w:rsid w:val="009C1676"/>
    <w:rsid w:val="009C27D3"/>
    <w:rsid w:val="009C5DBD"/>
    <w:rsid w:val="009C72D5"/>
    <w:rsid w:val="009C76BC"/>
    <w:rsid w:val="009D01DD"/>
    <w:rsid w:val="009D151C"/>
    <w:rsid w:val="009D1908"/>
    <w:rsid w:val="009D1EFC"/>
    <w:rsid w:val="009D246B"/>
    <w:rsid w:val="009D42D3"/>
    <w:rsid w:val="009D4706"/>
    <w:rsid w:val="009D6A1D"/>
    <w:rsid w:val="009E0460"/>
    <w:rsid w:val="009E11B8"/>
    <w:rsid w:val="009E1509"/>
    <w:rsid w:val="009E1572"/>
    <w:rsid w:val="009E2EA2"/>
    <w:rsid w:val="009E3197"/>
    <w:rsid w:val="009E3508"/>
    <w:rsid w:val="009E40CF"/>
    <w:rsid w:val="009E420F"/>
    <w:rsid w:val="009E51E9"/>
    <w:rsid w:val="009E5907"/>
    <w:rsid w:val="009E6EE3"/>
    <w:rsid w:val="009E6F06"/>
    <w:rsid w:val="009E7348"/>
    <w:rsid w:val="009F1D5A"/>
    <w:rsid w:val="009F28C7"/>
    <w:rsid w:val="009F692A"/>
    <w:rsid w:val="009F6D0A"/>
    <w:rsid w:val="009F7F58"/>
    <w:rsid w:val="00A037E2"/>
    <w:rsid w:val="00A03F86"/>
    <w:rsid w:val="00A05B0B"/>
    <w:rsid w:val="00A06647"/>
    <w:rsid w:val="00A11123"/>
    <w:rsid w:val="00A11490"/>
    <w:rsid w:val="00A117F4"/>
    <w:rsid w:val="00A13524"/>
    <w:rsid w:val="00A13BA1"/>
    <w:rsid w:val="00A142E5"/>
    <w:rsid w:val="00A14A66"/>
    <w:rsid w:val="00A158EC"/>
    <w:rsid w:val="00A163AC"/>
    <w:rsid w:val="00A16DF6"/>
    <w:rsid w:val="00A171DB"/>
    <w:rsid w:val="00A20D7A"/>
    <w:rsid w:val="00A236AE"/>
    <w:rsid w:val="00A23809"/>
    <w:rsid w:val="00A23A5B"/>
    <w:rsid w:val="00A24350"/>
    <w:rsid w:val="00A2568B"/>
    <w:rsid w:val="00A272A7"/>
    <w:rsid w:val="00A304A2"/>
    <w:rsid w:val="00A30C5B"/>
    <w:rsid w:val="00A32C09"/>
    <w:rsid w:val="00A33520"/>
    <w:rsid w:val="00A34DDF"/>
    <w:rsid w:val="00A35D0A"/>
    <w:rsid w:val="00A3606E"/>
    <w:rsid w:val="00A375EF"/>
    <w:rsid w:val="00A4102E"/>
    <w:rsid w:val="00A42B29"/>
    <w:rsid w:val="00A42B41"/>
    <w:rsid w:val="00A451A2"/>
    <w:rsid w:val="00A455D6"/>
    <w:rsid w:val="00A45A3B"/>
    <w:rsid w:val="00A46C87"/>
    <w:rsid w:val="00A46E0E"/>
    <w:rsid w:val="00A46F6D"/>
    <w:rsid w:val="00A47F4E"/>
    <w:rsid w:val="00A50D7E"/>
    <w:rsid w:val="00A515AC"/>
    <w:rsid w:val="00A51A13"/>
    <w:rsid w:val="00A51E51"/>
    <w:rsid w:val="00A52AEC"/>
    <w:rsid w:val="00A52D7B"/>
    <w:rsid w:val="00A53FA5"/>
    <w:rsid w:val="00A547B3"/>
    <w:rsid w:val="00A549C0"/>
    <w:rsid w:val="00A55E78"/>
    <w:rsid w:val="00A57A87"/>
    <w:rsid w:val="00A61A2B"/>
    <w:rsid w:val="00A61F26"/>
    <w:rsid w:val="00A62989"/>
    <w:rsid w:val="00A63094"/>
    <w:rsid w:val="00A643B2"/>
    <w:rsid w:val="00A648A0"/>
    <w:rsid w:val="00A66F4B"/>
    <w:rsid w:val="00A677D1"/>
    <w:rsid w:val="00A67A2C"/>
    <w:rsid w:val="00A70215"/>
    <w:rsid w:val="00A71D1D"/>
    <w:rsid w:val="00A7209C"/>
    <w:rsid w:val="00A73423"/>
    <w:rsid w:val="00A75743"/>
    <w:rsid w:val="00A76776"/>
    <w:rsid w:val="00A769E9"/>
    <w:rsid w:val="00A77A90"/>
    <w:rsid w:val="00A77EBC"/>
    <w:rsid w:val="00A8162F"/>
    <w:rsid w:val="00A82DC0"/>
    <w:rsid w:val="00A82EF6"/>
    <w:rsid w:val="00A83A62"/>
    <w:rsid w:val="00A83FD4"/>
    <w:rsid w:val="00A85EE4"/>
    <w:rsid w:val="00A86E56"/>
    <w:rsid w:val="00A87653"/>
    <w:rsid w:val="00A90B98"/>
    <w:rsid w:val="00A91763"/>
    <w:rsid w:val="00A936FC"/>
    <w:rsid w:val="00AA046A"/>
    <w:rsid w:val="00AA1BF9"/>
    <w:rsid w:val="00AA20DB"/>
    <w:rsid w:val="00AA318A"/>
    <w:rsid w:val="00AA6F96"/>
    <w:rsid w:val="00AB063A"/>
    <w:rsid w:val="00AB0AC2"/>
    <w:rsid w:val="00AB13E8"/>
    <w:rsid w:val="00AB23A4"/>
    <w:rsid w:val="00AB36A1"/>
    <w:rsid w:val="00AB3C7D"/>
    <w:rsid w:val="00AB634E"/>
    <w:rsid w:val="00AB67CB"/>
    <w:rsid w:val="00AB6C50"/>
    <w:rsid w:val="00AB72F6"/>
    <w:rsid w:val="00AC001C"/>
    <w:rsid w:val="00AC277F"/>
    <w:rsid w:val="00AC6A9B"/>
    <w:rsid w:val="00AC72F0"/>
    <w:rsid w:val="00AD1B5F"/>
    <w:rsid w:val="00AD28F7"/>
    <w:rsid w:val="00AD3168"/>
    <w:rsid w:val="00AD3E68"/>
    <w:rsid w:val="00AD4B18"/>
    <w:rsid w:val="00AD5026"/>
    <w:rsid w:val="00AD5316"/>
    <w:rsid w:val="00AD57A8"/>
    <w:rsid w:val="00AD60C1"/>
    <w:rsid w:val="00AD6DB1"/>
    <w:rsid w:val="00AE0455"/>
    <w:rsid w:val="00AE1158"/>
    <w:rsid w:val="00AE11FA"/>
    <w:rsid w:val="00AE1241"/>
    <w:rsid w:val="00AE1838"/>
    <w:rsid w:val="00AE1F0F"/>
    <w:rsid w:val="00AE2E4A"/>
    <w:rsid w:val="00AE4AA7"/>
    <w:rsid w:val="00AE4ABE"/>
    <w:rsid w:val="00AE4BDB"/>
    <w:rsid w:val="00AE4D23"/>
    <w:rsid w:val="00AE5749"/>
    <w:rsid w:val="00AE5A85"/>
    <w:rsid w:val="00AE63ED"/>
    <w:rsid w:val="00AE6FD4"/>
    <w:rsid w:val="00AE752E"/>
    <w:rsid w:val="00AF019A"/>
    <w:rsid w:val="00AF1C39"/>
    <w:rsid w:val="00AF1E3A"/>
    <w:rsid w:val="00AF1F43"/>
    <w:rsid w:val="00AF28CA"/>
    <w:rsid w:val="00AF2B4C"/>
    <w:rsid w:val="00B0020E"/>
    <w:rsid w:val="00B002E7"/>
    <w:rsid w:val="00B00D50"/>
    <w:rsid w:val="00B01507"/>
    <w:rsid w:val="00B01604"/>
    <w:rsid w:val="00B01AE9"/>
    <w:rsid w:val="00B05E5D"/>
    <w:rsid w:val="00B05FD5"/>
    <w:rsid w:val="00B06F39"/>
    <w:rsid w:val="00B114B2"/>
    <w:rsid w:val="00B11A0C"/>
    <w:rsid w:val="00B12295"/>
    <w:rsid w:val="00B123E8"/>
    <w:rsid w:val="00B149D2"/>
    <w:rsid w:val="00B16B40"/>
    <w:rsid w:val="00B16D88"/>
    <w:rsid w:val="00B16E6E"/>
    <w:rsid w:val="00B202A1"/>
    <w:rsid w:val="00B2123D"/>
    <w:rsid w:val="00B213F2"/>
    <w:rsid w:val="00B22934"/>
    <w:rsid w:val="00B24E86"/>
    <w:rsid w:val="00B252BB"/>
    <w:rsid w:val="00B25886"/>
    <w:rsid w:val="00B26495"/>
    <w:rsid w:val="00B26540"/>
    <w:rsid w:val="00B307F9"/>
    <w:rsid w:val="00B3127D"/>
    <w:rsid w:val="00B316A1"/>
    <w:rsid w:val="00B3393F"/>
    <w:rsid w:val="00B34F24"/>
    <w:rsid w:val="00B34F72"/>
    <w:rsid w:val="00B3560D"/>
    <w:rsid w:val="00B35B06"/>
    <w:rsid w:val="00B3623E"/>
    <w:rsid w:val="00B36966"/>
    <w:rsid w:val="00B37969"/>
    <w:rsid w:val="00B40242"/>
    <w:rsid w:val="00B4269D"/>
    <w:rsid w:val="00B4280D"/>
    <w:rsid w:val="00B43659"/>
    <w:rsid w:val="00B43B6D"/>
    <w:rsid w:val="00B50B42"/>
    <w:rsid w:val="00B50FDC"/>
    <w:rsid w:val="00B51E7B"/>
    <w:rsid w:val="00B52448"/>
    <w:rsid w:val="00B52509"/>
    <w:rsid w:val="00B52A44"/>
    <w:rsid w:val="00B531EB"/>
    <w:rsid w:val="00B547EB"/>
    <w:rsid w:val="00B54AC4"/>
    <w:rsid w:val="00B54DEE"/>
    <w:rsid w:val="00B55114"/>
    <w:rsid w:val="00B57880"/>
    <w:rsid w:val="00B60235"/>
    <w:rsid w:val="00B60798"/>
    <w:rsid w:val="00B60800"/>
    <w:rsid w:val="00B60C9E"/>
    <w:rsid w:val="00B612D2"/>
    <w:rsid w:val="00B617FF"/>
    <w:rsid w:val="00B620F0"/>
    <w:rsid w:val="00B63EF2"/>
    <w:rsid w:val="00B64F42"/>
    <w:rsid w:val="00B65B86"/>
    <w:rsid w:val="00B66B79"/>
    <w:rsid w:val="00B671BD"/>
    <w:rsid w:val="00B67530"/>
    <w:rsid w:val="00B6778A"/>
    <w:rsid w:val="00B713CB"/>
    <w:rsid w:val="00B71976"/>
    <w:rsid w:val="00B7215D"/>
    <w:rsid w:val="00B741AA"/>
    <w:rsid w:val="00B747CF"/>
    <w:rsid w:val="00B752AC"/>
    <w:rsid w:val="00B77A01"/>
    <w:rsid w:val="00B803CA"/>
    <w:rsid w:val="00B8162B"/>
    <w:rsid w:val="00B83097"/>
    <w:rsid w:val="00B8325F"/>
    <w:rsid w:val="00B8471A"/>
    <w:rsid w:val="00B84FDB"/>
    <w:rsid w:val="00B86DDD"/>
    <w:rsid w:val="00B87F60"/>
    <w:rsid w:val="00B904B0"/>
    <w:rsid w:val="00B90C75"/>
    <w:rsid w:val="00B915AE"/>
    <w:rsid w:val="00B93DAB"/>
    <w:rsid w:val="00B93EA8"/>
    <w:rsid w:val="00B94DA8"/>
    <w:rsid w:val="00B96973"/>
    <w:rsid w:val="00B97040"/>
    <w:rsid w:val="00B97F54"/>
    <w:rsid w:val="00BA06E2"/>
    <w:rsid w:val="00BA0764"/>
    <w:rsid w:val="00BA1296"/>
    <w:rsid w:val="00BA1355"/>
    <w:rsid w:val="00BA1C62"/>
    <w:rsid w:val="00BA2314"/>
    <w:rsid w:val="00BA28E6"/>
    <w:rsid w:val="00BA3E37"/>
    <w:rsid w:val="00BA4ED5"/>
    <w:rsid w:val="00BA527D"/>
    <w:rsid w:val="00BA52AF"/>
    <w:rsid w:val="00BA53F8"/>
    <w:rsid w:val="00BA5590"/>
    <w:rsid w:val="00BB1964"/>
    <w:rsid w:val="00BB1F8D"/>
    <w:rsid w:val="00BB472F"/>
    <w:rsid w:val="00BB71DF"/>
    <w:rsid w:val="00BB75D1"/>
    <w:rsid w:val="00BB78B1"/>
    <w:rsid w:val="00BB7E87"/>
    <w:rsid w:val="00BC0928"/>
    <w:rsid w:val="00BC1B43"/>
    <w:rsid w:val="00BC2ECB"/>
    <w:rsid w:val="00BC3211"/>
    <w:rsid w:val="00BC3A68"/>
    <w:rsid w:val="00BC531C"/>
    <w:rsid w:val="00BC5397"/>
    <w:rsid w:val="00BC674F"/>
    <w:rsid w:val="00BC69FC"/>
    <w:rsid w:val="00BC6D91"/>
    <w:rsid w:val="00BC7C2D"/>
    <w:rsid w:val="00BD17E8"/>
    <w:rsid w:val="00BD1B0F"/>
    <w:rsid w:val="00BD1C46"/>
    <w:rsid w:val="00BD3C50"/>
    <w:rsid w:val="00BD4D54"/>
    <w:rsid w:val="00BD71F3"/>
    <w:rsid w:val="00BD76DA"/>
    <w:rsid w:val="00BE08DD"/>
    <w:rsid w:val="00BE174A"/>
    <w:rsid w:val="00BE1E57"/>
    <w:rsid w:val="00BE3521"/>
    <w:rsid w:val="00BE400C"/>
    <w:rsid w:val="00BE46F6"/>
    <w:rsid w:val="00BE489A"/>
    <w:rsid w:val="00BE510A"/>
    <w:rsid w:val="00BE5282"/>
    <w:rsid w:val="00BE5933"/>
    <w:rsid w:val="00BF0BFA"/>
    <w:rsid w:val="00BF19E6"/>
    <w:rsid w:val="00BF261B"/>
    <w:rsid w:val="00BF27E5"/>
    <w:rsid w:val="00BF5422"/>
    <w:rsid w:val="00BF5582"/>
    <w:rsid w:val="00BF56F0"/>
    <w:rsid w:val="00BF60A2"/>
    <w:rsid w:val="00BF6B7F"/>
    <w:rsid w:val="00BF6CC9"/>
    <w:rsid w:val="00BF7E14"/>
    <w:rsid w:val="00C0073F"/>
    <w:rsid w:val="00C01A36"/>
    <w:rsid w:val="00C02F28"/>
    <w:rsid w:val="00C03DDC"/>
    <w:rsid w:val="00C03FB0"/>
    <w:rsid w:val="00C05FC4"/>
    <w:rsid w:val="00C06464"/>
    <w:rsid w:val="00C0699E"/>
    <w:rsid w:val="00C11C2F"/>
    <w:rsid w:val="00C11D23"/>
    <w:rsid w:val="00C1237D"/>
    <w:rsid w:val="00C12B79"/>
    <w:rsid w:val="00C138ED"/>
    <w:rsid w:val="00C15471"/>
    <w:rsid w:val="00C15C6A"/>
    <w:rsid w:val="00C162DB"/>
    <w:rsid w:val="00C2058A"/>
    <w:rsid w:val="00C20DFF"/>
    <w:rsid w:val="00C25EC4"/>
    <w:rsid w:val="00C269CE"/>
    <w:rsid w:val="00C27679"/>
    <w:rsid w:val="00C339C7"/>
    <w:rsid w:val="00C33C38"/>
    <w:rsid w:val="00C33F8D"/>
    <w:rsid w:val="00C34FEA"/>
    <w:rsid w:val="00C37456"/>
    <w:rsid w:val="00C37DCF"/>
    <w:rsid w:val="00C410DC"/>
    <w:rsid w:val="00C4391E"/>
    <w:rsid w:val="00C44908"/>
    <w:rsid w:val="00C46A06"/>
    <w:rsid w:val="00C46F32"/>
    <w:rsid w:val="00C504AE"/>
    <w:rsid w:val="00C55251"/>
    <w:rsid w:val="00C554B5"/>
    <w:rsid w:val="00C57A78"/>
    <w:rsid w:val="00C57B35"/>
    <w:rsid w:val="00C6084A"/>
    <w:rsid w:val="00C617AF"/>
    <w:rsid w:val="00C6246E"/>
    <w:rsid w:val="00C62F1B"/>
    <w:rsid w:val="00C64A8A"/>
    <w:rsid w:val="00C656C0"/>
    <w:rsid w:val="00C6612A"/>
    <w:rsid w:val="00C70317"/>
    <w:rsid w:val="00C70F76"/>
    <w:rsid w:val="00C718FE"/>
    <w:rsid w:val="00C72107"/>
    <w:rsid w:val="00C725CF"/>
    <w:rsid w:val="00C7417F"/>
    <w:rsid w:val="00C74225"/>
    <w:rsid w:val="00C743EE"/>
    <w:rsid w:val="00C74B36"/>
    <w:rsid w:val="00C75DA8"/>
    <w:rsid w:val="00C778F0"/>
    <w:rsid w:val="00C8043D"/>
    <w:rsid w:val="00C80953"/>
    <w:rsid w:val="00C81E94"/>
    <w:rsid w:val="00C82D8F"/>
    <w:rsid w:val="00C84519"/>
    <w:rsid w:val="00C847FA"/>
    <w:rsid w:val="00C85F98"/>
    <w:rsid w:val="00C8647A"/>
    <w:rsid w:val="00C86516"/>
    <w:rsid w:val="00C9332D"/>
    <w:rsid w:val="00C94844"/>
    <w:rsid w:val="00C96FF1"/>
    <w:rsid w:val="00C97062"/>
    <w:rsid w:val="00CA0F85"/>
    <w:rsid w:val="00CA1BA6"/>
    <w:rsid w:val="00CA3F20"/>
    <w:rsid w:val="00CA41C7"/>
    <w:rsid w:val="00CA430B"/>
    <w:rsid w:val="00CA4B34"/>
    <w:rsid w:val="00CA507D"/>
    <w:rsid w:val="00CA74E0"/>
    <w:rsid w:val="00CA7B39"/>
    <w:rsid w:val="00CB0DE0"/>
    <w:rsid w:val="00CB1147"/>
    <w:rsid w:val="00CB2F0A"/>
    <w:rsid w:val="00CB5F5C"/>
    <w:rsid w:val="00CB7B52"/>
    <w:rsid w:val="00CC11E7"/>
    <w:rsid w:val="00CC1311"/>
    <w:rsid w:val="00CC277B"/>
    <w:rsid w:val="00CC4D24"/>
    <w:rsid w:val="00CC5633"/>
    <w:rsid w:val="00CC5C9B"/>
    <w:rsid w:val="00CC5E7B"/>
    <w:rsid w:val="00CC6367"/>
    <w:rsid w:val="00CC6734"/>
    <w:rsid w:val="00CC7B2D"/>
    <w:rsid w:val="00CD13C7"/>
    <w:rsid w:val="00CD2632"/>
    <w:rsid w:val="00CD2A6F"/>
    <w:rsid w:val="00CD2BF8"/>
    <w:rsid w:val="00CD3240"/>
    <w:rsid w:val="00CD3552"/>
    <w:rsid w:val="00CD35CB"/>
    <w:rsid w:val="00CD3B87"/>
    <w:rsid w:val="00CD44EF"/>
    <w:rsid w:val="00CD6538"/>
    <w:rsid w:val="00CD73F0"/>
    <w:rsid w:val="00CD7889"/>
    <w:rsid w:val="00CD78D6"/>
    <w:rsid w:val="00CD7E51"/>
    <w:rsid w:val="00CE04BE"/>
    <w:rsid w:val="00CE0671"/>
    <w:rsid w:val="00CE06FE"/>
    <w:rsid w:val="00CE0779"/>
    <w:rsid w:val="00CE156E"/>
    <w:rsid w:val="00CE182D"/>
    <w:rsid w:val="00CE2BB8"/>
    <w:rsid w:val="00CE4C6C"/>
    <w:rsid w:val="00CE5F60"/>
    <w:rsid w:val="00CE76FD"/>
    <w:rsid w:val="00CE7C82"/>
    <w:rsid w:val="00CE7F79"/>
    <w:rsid w:val="00CF00A4"/>
    <w:rsid w:val="00CF1281"/>
    <w:rsid w:val="00CF13C6"/>
    <w:rsid w:val="00CF13F3"/>
    <w:rsid w:val="00CF1F74"/>
    <w:rsid w:val="00CF41EC"/>
    <w:rsid w:val="00CF4252"/>
    <w:rsid w:val="00CF58FE"/>
    <w:rsid w:val="00CF6A86"/>
    <w:rsid w:val="00CF6C9D"/>
    <w:rsid w:val="00CF766A"/>
    <w:rsid w:val="00D0206E"/>
    <w:rsid w:val="00D02C00"/>
    <w:rsid w:val="00D02CDC"/>
    <w:rsid w:val="00D04112"/>
    <w:rsid w:val="00D05169"/>
    <w:rsid w:val="00D05FB0"/>
    <w:rsid w:val="00D060E9"/>
    <w:rsid w:val="00D06726"/>
    <w:rsid w:val="00D10CCF"/>
    <w:rsid w:val="00D13148"/>
    <w:rsid w:val="00D1336B"/>
    <w:rsid w:val="00D13B54"/>
    <w:rsid w:val="00D1483D"/>
    <w:rsid w:val="00D15798"/>
    <w:rsid w:val="00D17349"/>
    <w:rsid w:val="00D1738B"/>
    <w:rsid w:val="00D17867"/>
    <w:rsid w:val="00D20CE0"/>
    <w:rsid w:val="00D21666"/>
    <w:rsid w:val="00D22336"/>
    <w:rsid w:val="00D22E4F"/>
    <w:rsid w:val="00D2321D"/>
    <w:rsid w:val="00D2427A"/>
    <w:rsid w:val="00D247D8"/>
    <w:rsid w:val="00D255BA"/>
    <w:rsid w:val="00D26285"/>
    <w:rsid w:val="00D312EF"/>
    <w:rsid w:val="00D31849"/>
    <w:rsid w:val="00D324A1"/>
    <w:rsid w:val="00D3295B"/>
    <w:rsid w:val="00D333B0"/>
    <w:rsid w:val="00D33449"/>
    <w:rsid w:val="00D33E32"/>
    <w:rsid w:val="00D345BA"/>
    <w:rsid w:val="00D34973"/>
    <w:rsid w:val="00D3669C"/>
    <w:rsid w:val="00D367D8"/>
    <w:rsid w:val="00D416F8"/>
    <w:rsid w:val="00D42AF9"/>
    <w:rsid w:val="00D437EF"/>
    <w:rsid w:val="00D43D10"/>
    <w:rsid w:val="00D44EFD"/>
    <w:rsid w:val="00D4710B"/>
    <w:rsid w:val="00D479BB"/>
    <w:rsid w:val="00D5086E"/>
    <w:rsid w:val="00D5184A"/>
    <w:rsid w:val="00D51E2C"/>
    <w:rsid w:val="00D544DD"/>
    <w:rsid w:val="00D55B8F"/>
    <w:rsid w:val="00D570AD"/>
    <w:rsid w:val="00D5772F"/>
    <w:rsid w:val="00D57DDF"/>
    <w:rsid w:val="00D6041B"/>
    <w:rsid w:val="00D60A5E"/>
    <w:rsid w:val="00D63097"/>
    <w:rsid w:val="00D64513"/>
    <w:rsid w:val="00D647A7"/>
    <w:rsid w:val="00D656BB"/>
    <w:rsid w:val="00D6733C"/>
    <w:rsid w:val="00D7144D"/>
    <w:rsid w:val="00D72DAB"/>
    <w:rsid w:val="00D737DE"/>
    <w:rsid w:val="00D741BC"/>
    <w:rsid w:val="00D750B5"/>
    <w:rsid w:val="00D76112"/>
    <w:rsid w:val="00D77F3E"/>
    <w:rsid w:val="00D81C69"/>
    <w:rsid w:val="00D8387E"/>
    <w:rsid w:val="00D85B09"/>
    <w:rsid w:val="00D863D7"/>
    <w:rsid w:val="00D86D45"/>
    <w:rsid w:val="00D870B7"/>
    <w:rsid w:val="00D905E9"/>
    <w:rsid w:val="00D912D5"/>
    <w:rsid w:val="00D9145B"/>
    <w:rsid w:val="00D94560"/>
    <w:rsid w:val="00D95BF2"/>
    <w:rsid w:val="00D95EA5"/>
    <w:rsid w:val="00D96B71"/>
    <w:rsid w:val="00D97BBC"/>
    <w:rsid w:val="00D97F67"/>
    <w:rsid w:val="00DA0443"/>
    <w:rsid w:val="00DA0C39"/>
    <w:rsid w:val="00DA191C"/>
    <w:rsid w:val="00DA2736"/>
    <w:rsid w:val="00DB02F7"/>
    <w:rsid w:val="00DB0EEF"/>
    <w:rsid w:val="00DB2255"/>
    <w:rsid w:val="00DB2FC6"/>
    <w:rsid w:val="00DB3251"/>
    <w:rsid w:val="00DB506A"/>
    <w:rsid w:val="00DC1FBA"/>
    <w:rsid w:val="00DC2DAE"/>
    <w:rsid w:val="00DC312C"/>
    <w:rsid w:val="00DC41C0"/>
    <w:rsid w:val="00DC44FB"/>
    <w:rsid w:val="00DC532F"/>
    <w:rsid w:val="00DC540E"/>
    <w:rsid w:val="00DC5CDC"/>
    <w:rsid w:val="00DC7DDA"/>
    <w:rsid w:val="00DC7E5B"/>
    <w:rsid w:val="00DD19F5"/>
    <w:rsid w:val="00DD2875"/>
    <w:rsid w:val="00DD2C71"/>
    <w:rsid w:val="00DD4F89"/>
    <w:rsid w:val="00DD4FB3"/>
    <w:rsid w:val="00DD65C4"/>
    <w:rsid w:val="00DD7311"/>
    <w:rsid w:val="00DD74BB"/>
    <w:rsid w:val="00DD791E"/>
    <w:rsid w:val="00DE0D42"/>
    <w:rsid w:val="00DE2F24"/>
    <w:rsid w:val="00DE3403"/>
    <w:rsid w:val="00DE3C95"/>
    <w:rsid w:val="00DE3E27"/>
    <w:rsid w:val="00DE4070"/>
    <w:rsid w:val="00DE5602"/>
    <w:rsid w:val="00DE726B"/>
    <w:rsid w:val="00DE75E2"/>
    <w:rsid w:val="00DF2654"/>
    <w:rsid w:val="00DF313A"/>
    <w:rsid w:val="00DF39C3"/>
    <w:rsid w:val="00DF4F52"/>
    <w:rsid w:val="00DF5913"/>
    <w:rsid w:val="00DF794E"/>
    <w:rsid w:val="00E009CB"/>
    <w:rsid w:val="00E00D3E"/>
    <w:rsid w:val="00E015F9"/>
    <w:rsid w:val="00E0221F"/>
    <w:rsid w:val="00E0334E"/>
    <w:rsid w:val="00E03FB4"/>
    <w:rsid w:val="00E042FE"/>
    <w:rsid w:val="00E04968"/>
    <w:rsid w:val="00E053EB"/>
    <w:rsid w:val="00E05BCC"/>
    <w:rsid w:val="00E05CB2"/>
    <w:rsid w:val="00E06A34"/>
    <w:rsid w:val="00E06BFB"/>
    <w:rsid w:val="00E100AE"/>
    <w:rsid w:val="00E10149"/>
    <w:rsid w:val="00E10DF0"/>
    <w:rsid w:val="00E12688"/>
    <w:rsid w:val="00E13A68"/>
    <w:rsid w:val="00E13E43"/>
    <w:rsid w:val="00E20745"/>
    <w:rsid w:val="00E212F8"/>
    <w:rsid w:val="00E214FC"/>
    <w:rsid w:val="00E215E7"/>
    <w:rsid w:val="00E21F4C"/>
    <w:rsid w:val="00E2200F"/>
    <w:rsid w:val="00E2321B"/>
    <w:rsid w:val="00E23324"/>
    <w:rsid w:val="00E26215"/>
    <w:rsid w:val="00E316D8"/>
    <w:rsid w:val="00E32675"/>
    <w:rsid w:val="00E32E84"/>
    <w:rsid w:val="00E33E6A"/>
    <w:rsid w:val="00E34124"/>
    <w:rsid w:val="00E34BF0"/>
    <w:rsid w:val="00E35BAD"/>
    <w:rsid w:val="00E4057B"/>
    <w:rsid w:val="00E40F80"/>
    <w:rsid w:val="00E4115C"/>
    <w:rsid w:val="00E432AB"/>
    <w:rsid w:val="00E44D87"/>
    <w:rsid w:val="00E452F1"/>
    <w:rsid w:val="00E45866"/>
    <w:rsid w:val="00E45DDA"/>
    <w:rsid w:val="00E45F9C"/>
    <w:rsid w:val="00E4675C"/>
    <w:rsid w:val="00E468AB"/>
    <w:rsid w:val="00E52171"/>
    <w:rsid w:val="00E526EB"/>
    <w:rsid w:val="00E5409A"/>
    <w:rsid w:val="00E55FEF"/>
    <w:rsid w:val="00E56B83"/>
    <w:rsid w:val="00E61015"/>
    <w:rsid w:val="00E61574"/>
    <w:rsid w:val="00E61690"/>
    <w:rsid w:val="00E61AEC"/>
    <w:rsid w:val="00E6239C"/>
    <w:rsid w:val="00E63BB0"/>
    <w:rsid w:val="00E63D14"/>
    <w:rsid w:val="00E64179"/>
    <w:rsid w:val="00E64A11"/>
    <w:rsid w:val="00E65977"/>
    <w:rsid w:val="00E65D1E"/>
    <w:rsid w:val="00E65F77"/>
    <w:rsid w:val="00E664BF"/>
    <w:rsid w:val="00E66A4B"/>
    <w:rsid w:val="00E66DDE"/>
    <w:rsid w:val="00E67E23"/>
    <w:rsid w:val="00E7013C"/>
    <w:rsid w:val="00E72F53"/>
    <w:rsid w:val="00E76492"/>
    <w:rsid w:val="00E817BF"/>
    <w:rsid w:val="00E86678"/>
    <w:rsid w:val="00E870A7"/>
    <w:rsid w:val="00E902FC"/>
    <w:rsid w:val="00E9301F"/>
    <w:rsid w:val="00E96EE9"/>
    <w:rsid w:val="00EA0725"/>
    <w:rsid w:val="00EA116F"/>
    <w:rsid w:val="00EA2529"/>
    <w:rsid w:val="00EA4FC2"/>
    <w:rsid w:val="00EA61A7"/>
    <w:rsid w:val="00EA6BDC"/>
    <w:rsid w:val="00EB06C8"/>
    <w:rsid w:val="00EB080E"/>
    <w:rsid w:val="00EB149F"/>
    <w:rsid w:val="00EB179B"/>
    <w:rsid w:val="00EB2037"/>
    <w:rsid w:val="00EB39D9"/>
    <w:rsid w:val="00EB55A7"/>
    <w:rsid w:val="00EC2822"/>
    <w:rsid w:val="00EC439D"/>
    <w:rsid w:val="00EC4687"/>
    <w:rsid w:val="00EC49A0"/>
    <w:rsid w:val="00EC51D3"/>
    <w:rsid w:val="00EC591E"/>
    <w:rsid w:val="00EC6E2B"/>
    <w:rsid w:val="00EC7D3B"/>
    <w:rsid w:val="00ED0A1C"/>
    <w:rsid w:val="00ED230B"/>
    <w:rsid w:val="00ED326C"/>
    <w:rsid w:val="00ED5C9F"/>
    <w:rsid w:val="00ED6179"/>
    <w:rsid w:val="00ED7B8A"/>
    <w:rsid w:val="00EE1177"/>
    <w:rsid w:val="00EE1BAA"/>
    <w:rsid w:val="00EE3C2F"/>
    <w:rsid w:val="00EE441E"/>
    <w:rsid w:val="00EE47B3"/>
    <w:rsid w:val="00EE49E4"/>
    <w:rsid w:val="00EE4D8F"/>
    <w:rsid w:val="00EE521D"/>
    <w:rsid w:val="00EE535F"/>
    <w:rsid w:val="00EE6483"/>
    <w:rsid w:val="00EE6632"/>
    <w:rsid w:val="00EE6971"/>
    <w:rsid w:val="00EF04AB"/>
    <w:rsid w:val="00EF1B03"/>
    <w:rsid w:val="00EF209F"/>
    <w:rsid w:val="00EF2DB4"/>
    <w:rsid w:val="00EF3AA0"/>
    <w:rsid w:val="00EF464A"/>
    <w:rsid w:val="00EF4F39"/>
    <w:rsid w:val="00EF635B"/>
    <w:rsid w:val="00EF7617"/>
    <w:rsid w:val="00EF7932"/>
    <w:rsid w:val="00F004D8"/>
    <w:rsid w:val="00F00C2C"/>
    <w:rsid w:val="00F0148C"/>
    <w:rsid w:val="00F021EF"/>
    <w:rsid w:val="00F03016"/>
    <w:rsid w:val="00F0454A"/>
    <w:rsid w:val="00F06425"/>
    <w:rsid w:val="00F0680F"/>
    <w:rsid w:val="00F07312"/>
    <w:rsid w:val="00F108D1"/>
    <w:rsid w:val="00F11228"/>
    <w:rsid w:val="00F122CB"/>
    <w:rsid w:val="00F12536"/>
    <w:rsid w:val="00F1461E"/>
    <w:rsid w:val="00F147FC"/>
    <w:rsid w:val="00F14B21"/>
    <w:rsid w:val="00F14F09"/>
    <w:rsid w:val="00F155D7"/>
    <w:rsid w:val="00F16871"/>
    <w:rsid w:val="00F21BAD"/>
    <w:rsid w:val="00F22AC9"/>
    <w:rsid w:val="00F23530"/>
    <w:rsid w:val="00F243E5"/>
    <w:rsid w:val="00F25527"/>
    <w:rsid w:val="00F25E60"/>
    <w:rsid w:val="00F263C0"/>
    <w:rsid w:val="00F263F0"/>
    <w:rsid w:val="00F27717"/>
    <w:rsid w:val="00F27994"/>
    <w:rsid w:val="00F31664"/>
    <w:rsid w:val="00F31F39"/>
    <w:rsid w:val="00F33891"/>
    <w:rsid w:val="00F344CB"/>
    <w:rsid w:val="00F3573D"/>
    <w:rsid w:val="00F35AA7"/>
    <w:rsid w:val="00F41AE7"/>
    <w:rsid w:val="00F42509"/>
    <w:rsid w:val="00F43A6F"/>
    <w:rsid w:val="00F43B84"/>
    <w:rsid w:val="00F44A53"/>
    <w:rsid w:val="00F45C2B"/>
    <w:rsid w:val="00F52637"/>
    <w:rsid w:val="00F52A35"/>
    <w:rsid w:val="00F549BC"/>
    <w:rsid w:val="00F55259"/>
    <w:rsid w:val="00F567F2"/>
    <w:rsid w:val="00F57BD9"/>
    <w:rsid w:val="00F60150"/>
    <w:rsid w:val="00F60A31"/>
    <w:rsid w:val="00F60D25"/>
    <w:rsid w:val="00F63246"/>
    <w:rsid w:val="00F64AF8"/>
    <w:rsid w:val="00F66D35"/>
    <w:rsid w:val="00F673B1"/>
    <w:rsid w:val="00F67A1A"/>
    <w:rsid w:val="00F67FA3"/>
    <w:rsid w:val="00F7059A"/>
    <w:rsid w:val="00F71846"/>
    <w:rsid w:val="00F720DA"/>
    <w:rsid w:val="00F723B6"/>
    <w:rsid w:val="00F76A30"/>
    <w:rsid w:val="00F77496"/>
    <w:rsid w:val="00F80654"/>
    <w:rsid w:val="00F822C5"/>
    <w:rsid w:val="00F82A75"/>
    <w:rsid w:val="00F82B8E"/>
    <w:rsid w:val="00F82C65"/>
    <w:rsid w:val="00F83668"/>
    <w:rsid w:val="00F83D7F"/>
    <w:rsid w:val="00F851EF"/>
    <w:rsid w:val="00F87455"/>
    <w:rsid w:val="00F92490"/>
    <w:rsid w:val="00F97FBB"/>
    <w:rsid w:val="00FA0391"/>
    <w:rsid w:val="00FA10C8"/>
    <w:rsid w:val="00FA2487"/>
    <w:rsid w:val="00FA3066"/>
    <w:rsid w:val="00FA3F60"/>
    <w:rsid w:val="00FA4029"/>
    <w:rsid w:val="00FA4E7E"/>
    <w:rsid w:val="00FA57F6"/>
    <w:rsid w:val="00FA5ADB"/>
    <w:rsid w:val="00FA681D"/>
    <w:rsid w:val="00FB0898"/>
    <w:rsid w:val="00FB0D68"/>
    <w:rsid w:val="00FB0D9F"/>
    <w:rsid w:val="00FB2155"/>
    <w:rsid w:val="00FB2268"/>
    <w:rsid w:val="00FB41C7"/>
    <w:rsid w:val="00FB43B3"/>
    <w:rsid w:val="00FB4858"/>
    <w:rsid w:val="00FB495D"/>
    <w:rsid w:val="00FB4B75"/>
    <w:rsid w:val="00FB5830"/>
    <w:rsid w:val="00FB6CC5"/>
    <w:rsid w:val="00FB6D53"/>
    <w:rsid w:val="00FB7131"/>
    <w:rsid w:val="00FB7307"/>
    <w:rsid w:val="00FB7940"/>
    <w:rsid w:val="00FC0042"/>
    <w:rsid w:val="00FC0770"/>
    <w:rsid w:val="00FC1EC1"/>
    <w:rsid w:val="00FC365E"/>
    <w:rsid w:val="00FC39FE"/>
    <w:rsid w:val="00FC3C28"/>
    <w:rsid w:val="00FC5A72"/>
    <w:rsid w:val="00FC5AC2"/>
    <w:rsid w:val="00FC65E9"/>
    <w:rsid w:val="00FD17BA"/>
    <w:rsid w:val="00FD1E93"/>
    <w:rsid w:val="00FD2936"/>
    <w:rsid w:val="00FD30A3"/>
    <w:rsid w:val="00FD32C6"/>
    <w:rsid w:val="00FD45E8"/>
    <w:rsid w:val="00FD4CF8"/>
    <w:rsid w:val="00FD52A0"/>
    <w:rsid w:val="00FD583D"/>
    <w:rsid w:val="00FD6AD9"/>
    <w:rsid w:val="00FE19EE"/>
    <w:rsid w:val="00FE21C1"/>
    <w:rsid w:val="00FE254C"/>
    <w:rsid w:val="00FE2F05"/>
    <w:rsid w:val="00FE67E3"/>
    <w:rsid w:val="00FE6A61"/>
    <w:rsid w:val="00FE7768"/>
    <w:rsid w:val="00FF09C3"/>
    <w:rsid w:val="00FF2577"/>
    <w:rsid w:val="00FF3963"/>
    <w:rsid w:val="00FF39CA"/>
    <w:rsid w:val="00FF3AFF"/>
    <w:rsid w:val="00FF4667"/>
    <w:rsid w:val="00FF7D9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imes New Roman"/>
        <w:color w:val="000000" w:themeColor="text1"/>
        <w:lang w:val="en-AU" w:eastAsia="en-AU" w:bidi="ar-SA"/>
      </w:rPr>
    </w:rPrDefault>
    <w:pPrDefault>
      <w:pPr>
        <w:spacing w:line="288"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semiHidden="0" w:unhideWhenUsed="0" w:qFormat="1"/>
    <w:lsdException w:name="heading 6" w:qFormat="1"/>
    <w:lsdException w:name="heading 7" w:qFormat="1"/>
    <w:lsdException w:name="heading 8" w:uiPriority="3" w:qFormat="1"/>
    <w:lsdException w:name="heading 9" w:uiPriority="3" w:qFormat="1"/>
    <w:lsdException w:name="toc 1" w:uiPriority="39"/>
    <w:lsdException w:name="toc 2" w:uiPriority="39"/>
    <w:lsdException w:name="toc 3" w:uiPriority="39"/>
    <w:lsdException w:name="toc 4" w:uiPriority="39"/>
    <w:lsdException w:name="toc 5" w:uiPriority="39"/>
    <w:lsdException w:name="toc 6"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qFormat="1"/>
    <w:lsdException w:name="table of figures" w:uiPriority="99"/>
    <w:lsdException w:name="footnote reference" w:uiPriority="99"/>
    <w:lsdException w:name="annotation reference" w:uiPriority="99"/>
    <w:lsdException w:name="List Bullet" w:qFormat="1"/>
    <w:lsdException w:name="List Number" w:semiHidden="0" w:unhideWhenUsed="0" w:qFormat="1"/>
    <w:lsdException w:name="List 4" w:semiHidden="0" w:unhideWhenUsed="0"/>
    <w:lsdException w:name="List 5" w:semiHidden="0" w:unhideWhenUsed="0"/>
    <w:lsdException w:name="List Bullet 2" w:qFormat="1"/>
    <w:lsdException w:name="List Bullet 3" w:qFormat="1"/>
    <w:lsdException w:name="List Number 2" w:qFormat="1"/>
    <w:lsdException w:name="List Number 3" w:qFormat="1"/>
    <w:lsdException w:name="Title" w:semiHidden="0" w:uiPriority="99" w:unhideWhenUsed="0"/>
    <w:lsdException w:name="Default Paragraph Font" w:uiPriority="1"/>
    <w:lsdException w:name="Body Text" w:qFormat="1"/>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99" w:unhideWhenUsed="0"/>
    <w:lsdException w:name="Emphasis" w:semiHidden="0" w:uiPriority="20" w:unhideWhenUsed="0" w:qFormat="1"/>
    <w:lsdException w:name="Normal (Web)" w:uiPriority="99"/>
    <w:lsdException w:name="annotation subject"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9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1C46"/>
    <w:pPr>
      <w:spacing w:line="240" w:lineRule="auto"/>
    </w:pPr>
    <w:rPr>
      <w:rFonts w:ascii="Arial" w:hAnsi="Arial" w:cs="Arial"/>
      <w:color w:val="auto"/>
      <w:sz w:val="24"/>
      <w:szCs w:val="24"/>
      <w:lang w:eastAsia="en-US"/>
    </w:rPr>
  </w:style>
  <w:style w:type="paragraph" w:styleId="Heading1">
    <w:name w:val="heading 1"/>
    <w:basedOn w:val="Normal"/>
    <w:next w:val="BodyText"/>
    <w:link w:val="Heading1Char"/>
    <w:qFormat/>
    <w:rsid w:val="00AD3E68"/>
    <w:pPr>
      <w:keepNext/>
      <w:keepLines/>
      <w:pageBreakBefore/>
      <w:numPr>
        <w:numId w:val="12"/>
      </w:numPr>
      <w:spacing w:after="400" w:line="276" w:lineRule="auto"/>
      <w:outlineLvl w:val="0"/>
    </w:pPr>
    <w:rPr>
      <w:rFonts w:asciiTheme="majorHAnsi" w:eastAsiaTheme="majorEastAsia" w:hAnsiTheme="majorHAnsi" w:cstheme="majorBidi"/>
      <w:bCs/>
      <w:color w:val="277BB4" w:themeColor="text2"/>
      <w:spacing w:val="-10"/>
      <w:sz w:val="38"/>
      <w:szCs w:val="32"/>
      <w:lang w:eastAsia="en-AU"/>
    </w:rPr>
  </w:style>
  <w:style w:type="paragraph" w:styleId="Heading2">
    <w:name w:val="heading 2"/>
    <w:basedOn w:val="Normal"/>
    <w:next w:val="BodyText"/>
    <w:link w:val="Heading2Char"/>
    <w:qFormat/>
    <w:rsid w:val="006008FF"/>
    <w:pPr>
      <w:keepNext/>
      <w:keepLines/>
      <w:numPr>
        <w:ilvl w:val="1"/>
        <w:numId w:val="12"/>
      </w:numPr>
      <w:spacing w:before="360" w:after="200" w:line="288" w:lineRule="auto"/>
      <w:outlineLvl w:val="1"/>
    </w:pPr>
    <w:rPr>
      <w:rFonts w:asciiTheme="majorHAnsi" w:eastAsiaTheme="majorEastAsia" w:hAnsiTheme="majorHAnsi" w:cstheme="majorBidi"/>
      <w:b/>
      <w:bCs/>
      <w:color w:val="277BB4" w:themeColor="text2"/>
      <w:szCs w:val="26"/>
      <w:lang w:eastAsia="en-AU"/>
    </w:rPr>
  </w:style>
  <w:style w:type="paragraph" w:styleId="Heading3">
    <w:name w:val="heading 3"/>
    <w:basedOn w:val="Normal"/>
    <w:next w:val="BodyText"/>
    <w:link w:val="Heading3Char"/>
    <w:unhideWhenUsed/>
    <w:qFormat/>
    <w:rsid w:val="00654CCE"/>
    <w:pPr>
      <w:keepNext/>
      <w:keepLines/>
      <w:numPr>
        <w:ilvl w:val="2"/>
        <w:numId w:val="12"/>
      </w:numPr>
      <w:spacing w:before="360" w:after="200" w:line="288" w:lineRule="auto"/>
      <w:outlineLvl w:val="2"/>
    </w:pPr>
    <w:rPr>
      <w:rFonts w:asciiTheme="majorHAnsi" w:eastAsiaTheme="majorEastAsia" w:hAnsiTheme="majorHAnsi" w:cstheme="majorBidi"/>
      <w:b/>
      <w:bCs/>
      <w:sz w:val="22"/>
      <w:szCs w:val="20"/>
      <w:lang w:eastAsia="en-AU"/>
    </w:rPr>
  </w:style>
  <w:style w:type="paragraph" w:styleId="Heading4">
    <w:name w:val="heading 4"/>
    <w:basedOn w:val="Normal"/>
    <w:next w:val="BodyText"/>
    <w:link w:val="Heading4Char"/>
    <w:unhideWhenUsed/>
    <w:qFormat/>
    <w:rsid w:val="006008FF"/>
    <w:pPr>
      <w:keepNext/>
      <w:keepLines/>
      <w:numPr>
        <w:ilvl w:val="3"/>
        <w:numId w:val="12"/>
      </w:numPr>
      <w:spacing w:before="360" w:after="200" w:line="288" w:lineRule="auto"/>
      <w:outlineLvl w:val="3"/>
    </w:pPr>
    <w:rPr>
      <w:rFonts w:asciiTheme="minorHAnsi" w:eastAsiaTheme="majorEastAsia" w:hAnsiTheme="minorHAnsi" w:cstheme="majorBidi"/>
      <w:b/>
      <w:bCs/>
      <w:iCs/>
      <w:sz w:val="20"/>
      <w:szCs w:val="20"/>
      <w:lang w:eastAsia="en-AU"/>
    </w:rPr>
  </w:style>
  <w:style w:type="paragraph" w:styleId="Heading5">
    <w:name w:val="heading 5"/>
    <w:basedOn w:val="Normal"/>
    <w:next w:val="Normal"/>
    <w:link w:val="Heading5Char"/>
    <w:qFormat/>
    <w:rsid w:val="005C4F14"/>
    <w:pPr>
      <w:keepNext/>
      <w:keepLines/>
      <w:spacing w:before="240" w:after="60" w:line="288" w:lineRule="auto"/>
      <w:outlineLvl w:val="4"/>
    </w:pPr>
    <w:rPr>
      <w:rFonts w:asciiTheme="majorHAnsi" w:eastAsiaTheme="majorEastAsia" w:hAnsiTheme="majorHAnsi" w:cstheme="majorBidi"/>
      <w:b/>
      <w:color w:val="000000" w:themeColor="text1"/>
      <w:sz w:val="20"/>
      <w:szCs w:val="20"/>
      <w:lang w:eastAsia="en-AU"/>
    </w:rPr>
  </w:style>
  <w:style w:type="paragraph" w:styleId="Heading6">
    <w:name w:val="heading 6"/>
    <w:basedOn w:val="Normal"/>
    <w:next w:val="Normal"/>
    <w:link w:val="Heading6Char"/>
    <w:unhideWhenUsed/>
    <w:qFormat/>
    <w:rsid w:val="00F52A35"/>
    <w:pPr>
      <w:keepNext/>
      <w:keepLines/>
      <w:spacing w:before="200" w:line="276" w:lineRule="auto"/>
      <w:outlineLvl w:val="5"/>
    </w:pPr>
    <w:rPr>
      <w:rFonts w:asciiTheme="majorHAnsi" w:eastAsiaTheme="majorEastAsia" w:hAnsiTheme="majorHAnsi" w:cstheme="majorBidi"/>
      <w:i/>
      <w:iCs/>
      <w:color w:val="000000" w:themeColor="text1"/>
      <w:sz w:val="20"/>
      <w:szCs w:val="20"/>
    </w:rPr>
  </w:style>
  <w:style w:type="paragraph" w:styleId="Heading7">
    <w:name w:val="heading 7"/>
    <w:basedOn w:val="Normal"/>
    <w:next w:val="BodyText"/>
    <w:link w:val="Heading7Char"/>
    <w:semiHidden/>
    <w:unhideWhenUsed/>
    <w:qFormat/>
    <w:rsid w:val="00DD7311"/>
    <w:pPr>
      <w:keepNext/>
      <w:keepLines/>
      <w:pageBreakBefore/>
      <w:spacing w:afterLines="100" w:line="288" w:lineRule="auto"/>
      <w:outlineLvl w:val="6"/>
    </w:pPr>
    <w:rPr>
      <w:rFonts w:asciiTheme="majorHAnsi" w:eastAsiaTheme="majorEastAsia" w:hAnsiTheme="majorHAnsi" w:cstheme="majorBidi"/>
      <w:b/>
      <w:iCs/>
      <w:color w:val="000000" w:themeColor="text1"/>
      <w:sz w:val="20"/>
      <w:szCs w:val="20"/>
      <w:lang w:eastAsia="en-AU"/>
    </w:rPr>
  </w:style>
  <w:style w:type="paragraph" w:styleId="Heading8">
    <w:name w:val="heading 8"/>
    <w:aliases w:val="Appendix Title"/>
    <w:basedOn w:val="Normal"/>
    <w:next w:val="BodyText"/>
    <w:link w:val="Heading8Char"/>
    <w:uiPriority w:val="3"/>
    <w:qFormat/>
    <w:rsid w:val="00120CB6"/>
    <w:pPr>
      <w:keepNext/>
      <w:keepLines/>
      <w:pageBreakBefore/>
      <w:numPr>
        <w:numId w:val="11"/>
      </w:numPr>
      <w:spacing w:after="400"/>
      <w:outlineLvl w:val="7"/>
    </w:pPr>
    <w:rPr>
      <w:rFonts w:asciiTheme="majorHAnsi" w:eastAsiaTheme="majorEastAsia" w:hAnsiTheme="majorHAnsi" w:cstheme="majorBidi"/>
      <w:spacing w:val="-10"/>
      <w:sz w:val="38"/>
      <w:szCs w:val="20"/>
    </w:rPr>
  </w:style>
  <w:style w:type="paragraph" w:styleId="Heading9">
    <w:name w:val="heading 9"/>
    <w:aliases w:val="Appendix Heading 1"/>
    <w:basedOn w:val="Normal"/>
    <w:next w:val="BodyText"/>
    <w:link w:val="Heading9Char"/>
    <w:uiPriority w:val="3"/>
    <w:qFormat/>
    <w:rsid w:val="00A50D7E"/>
    <w:pPr>
      <w:keepNext/>
      <w:keepLines/>
      <w:numPr>
        <w:ilvl w:val="1"/>
        <w:numId w:val="11"/>
      </w:numPr>
      <w:tabs>
        <w:tab w:val="left" w:pos="1559"/>
        <w:tab w:val="left" w:pos="2126"/>
        <w:tab w:val="left" w:pos="2410"/>
        <w:tab w:val="right" w:pos="9639"/>
      </w:tabs>
      <w:spacing w:before="360" w:after="200" w:line="288" w:lineRule="auto"/>
      <w:outlineLvl w:val="8"/>
    </w:pPr>
    <w:rPr>
      <w:rFonts w:asciiTheme="majorHAnsi" w:hAnsiTheme="majorHAnsi"/>
      <w:b/>
      <w:color w:val="277BB4" w:themeColor="text2"/>
      <w:sz w:val="28"/>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InLineShape">
    <w:name w:val="xInLineShape"/>
    <w:basedOn w:val="BodyText"/>
    <w:next w:val="BodyText"/>
    <w:qFormat/>
    <w:rsid w:val="00F67A1A"/>
    <w:pPr>
      <w:keepNext/>
      <w:spacing w:before="120" w:after="0"/>
    </w:pPr>
  </w:style>
  <w:style w:type="paragraph" w:styleId="BodyText">
    <w:name w:val="Body Text"/>
    <w:basedOn w:val="Normal"/>
    <w:link w:val="BodyTextChar"/>
    <w:qFormat/>
    <w:rsid w:val="00CF1F74"/>
    <w:pPr>
      <w:tabs>
        <w:tab w:val="left" w:pos="2268"/>
        <w:tab w:val="left" w:pos="4536"/>
        <w:tab w:val="left" w:pos="6804"/>
        <w:tab w:val="right" w:pos="9638"/>
      </w:tabs>
      <w:spacing w:before="200" w:after="200" w:line="288" w:lineRule="auto"/>
    </w:pPr>
    <w:rPr>
      <w:rFonts w:asciiTheme="minorHAnsi" w:hAnsiTheme="minorHAnsi" w:cs="Times New Roman"/>
      <w:color w:val="000000" w:themeColor="text1"/>
      <w:sz w:val="20"/>
      <w:szCs w:val="20"/>
      <w:lang w:eastAsia="en-AU"/>
    </w:rPr>
  </w:style>
  <w:style w:type="character" w:customStyle="1" w:styleId="BodyTextChar">
    <w:name w:val="Body Text Char"/>
    <w:basedOn w:val="DefaultParagraphFont"/>
    <w:link w:val="BodyText"/>
    <w:rsid w:val="00CF1F74"/>
  </w:style>
  <w:style w:type="paragraph" w:customStyle="1" w:styleId="PullOutBoxBodyText">
    <w:name w:val="Pull Out Box Body Text"/>
    <w:basedOn w:val="BodyText"/>
    <w:qFormat/>
    <w:rsid w:val="004807F0"/>
    <w:pPr>
      <w:spacing w:before="120" w:after="120"/>
      <w:ind w:left="284" w:right="284"/>
    </w:pPr>
  </w:style>
  <w:style w:type="paragraph" w:styleId="BlockText">
    <w:name w:val="Block Text"/>
    <w:basedOn w:val="BodyText"/>
    <w:semiHidden/>
    <w:unhideWhenUsed/>
    <w:rsid w:val="00EF3AA0"/>
    <w:rPr>
      <w:rFonts w:eastAsiaTheme="minorEastAsia" w:cstheme="minorBidi"/>
      <w:iCs/>
    </w:rPr>
  </w:style>
  <w:style w:type="paragraph" w:styleId="Caption">
    <w:name w:val="caption"/>
    <w:basedOn w:val="Normal"/>
    <w:next w:val="BodyText"/>
    <w:qFormat/>
    <w:rsid w:val="0070077A"/>
    <w:pPr>
      <w:keepNext/>
      <w:keepLines/>
      <w:tabs>
        <w:tab w:val="left" w:pos="1276"/>
      </w:tabs>
      <w:spacing w:before="240" w:after="90"/>
      <w:ind w:left="1276" w:hanging="1276"/>
    </w:pPr>
    <w:rPr>
      <w:rFonts w:asciiTheme="majorHAnsi" w:hAnsiTheme="majorHAnsi" w:cs="Times New Roman"/>
      <w:bCs/>
      <w:color w:val="000000" w:themeColor="text1"/>
      <w:spacing w:val="4"/>
      <w:sz w:val="18"/>
      <w:szCs w:val="20"/>
      <w:lang w:eastAsia="en-AU"/>
    </w:rPr>
  </w:style>
  <w:style w:type="paragraph" w:styleId="BalloonText">
    <w:name w:val="Balloon Text"/>
    <w:basedOn w:val="Normal"/>
    <w:link w:val="BalloonTextChar"/>
    <w:uiPriority w:val="99"/>
    <w:semiHidden/>
    <w:unhideWhenUsed/>
    <w:rsid w:val="005542F9"/>
    <w:rPr>
      <w:rFonts w:ascii="Tahoma" w:hAnsi="Tahoma" w:cs="Tahoma"/>
      <w:color w:val="000000" w:themeColor="text1"/>
      <w:sz w:val="16"/>
      <w:szCs w:val="16"/>
      <w:lang w:eastAsia="en-AU"/>
    </w:rPr>
  </w:style>
  <w:style w:type="paragraph" w:styleId="TOCHeading">
    <w:name w:val="TOC Heading"/>
    <w:basedOn w:val="Heading1"/>
    <w:next w:val="Normal"/>
    <w:uiPriority w:val="39"/>
    <w:unhideWhenUsed/>
    <w:qFormat/>
    <w:rsid w:val="00847B52"/>
    <w:pPr>
      <w:numPr>
        <w:numId w:val="0"/>
      </w:numPr>
      <w:outlineLvl w:val="9"/>
    </w:pPr>
    <w:rPr>
      <w:spacing w:val="0"/>
      <w:szCs w:val="28"/>
    </w:rPr>
  </w:style>
  <w:style w:type="character" w:customStyle="1" w:styleId="BalloonTextChar">
    <w:name w:val="Balloon Text Char"/>
    <w:basedOn w:val="DefaultParagraphFont"/>
    <w:link w:val="BalloonText"/>
    <w:uiPriority w:val="99"/>
    <w:semiHidden/>
    <w:rsid w:val="00475145"/>
    <w:rPr>
      <w:rFonts w:ascii="Tahoma" w:hAnsi="Tahoma" w:cs="Tahoma"/>
      <w:color w:val="000000" w:themeColor="text1"/>
      <w:sz w:val="16"/>
      <w:szCs w:val="16"/>
    </w:rPr>
  </w:style>
  <w:style w:type="paragraph" w:styleId="Footer">
    <w:name w:val="footer"/>
    <w:basedOn w:val="Normal"/>
    <w:link w:val="FooterChar"/>
    <w:uiPriority w:val="99"/>
    <w:rsid w:val="00F27994"/>
    <w:pPr>
      <w:tabs>
        <w:tab w:val="left" w:pos="1077"/>
        <w:tab w:val="center" w:pos="4320"/>
        <w:tab w:val="right" w:pos="8640"/>
      </w:tabs>
    </w:pPr>
    <w:rPr>
      <w:rFonts w:asciiTheme="minorHAnsi" w:eastAsia="Cambria" w:hAnsiTheme="minorHAnsi" w:cs="Times New Roman"/>
      <w:color w:val="000000" w:themeColor="text1"/>
      <w:sz w:val="18"/>
      <w:szCs w:val="20"/>
    </w:rPr>
  </w:style>
  <w:style w:type="character" w:customStyle="1" w:styleId="FooterChar">
    <w:name w:val="Footer Char"/>
    <w:basedOn w:val="DefaultParagraphFont"/>
    <w:link w:val="Footer"/>
    <w:uiPriority w:val="99"/>
    <w:rsid w:val="00F27994"/>
    <w:rPr>
      <w:rFonts w:eastAsia="Cambria"/>
      <w:sz w:val="18"/>
      <w:lang w:eastAsia="en-US"/>
    </w:rPr>
  </w:style>
  <w:style w:type="numbering" w:customStyle="1" w:styleId="HangingList">
    <w:name w:val="HangingList"/>
    <w:uiPriority w:val="99"/>
    <w:rsid w:val="00DD7311"/>
    <w:pPr>
      <w:numPr>
        <w:numId w:val="1"/>
      </w:numPr>
    </w:pPr>
  </w:style>
  <w:style w:type="paragraph" w:styleId="Header">
    <w:name w:val="header"/>
    <w:basedOn w:val="Normal"/>
    <w:link w:val="HeaderChar"/>
    <w:uiPriority w:val="99"/>
    <w:rsid w:val="007D7B46"/>
    <w:pPr>
      <w:tabs>
        <w:tab w:val="center" w:pos="4513"/>
        <w:tab w:val="right" w:pos="9026"/>
      </w:tabs>
    </w:pPr>
    <w:rPr>
      <w:rFonts w:asciiTheme="minorHAnsi" w:hAnsiTheme="minorHAnsi" w:cs="Times New Roman"/>
      <w:color w:val="000000" w:themeColor="text1"/>
      <w:sz w:val="18"/>
      <w:szCs w:val="20"/>
      <w:lang w:eastAsia="en-AU"/>
    </w:rPr>
  </w:style>
  <w:style w:type="character" w:customStyle="1" w:styleId="HeaderChar">
    <w:name w:val="Header Char"/>
    <w:basedOn w:val="DefaultParagraphFont"/>
    <w:link w:val="Header"/>
    <w:uiPriority w:val="99"/>
    <w:rsid w:val="007D7B46"/>
    <w:rPr>
      <w:sz w:val="18"/>
    </w:rPr>
  </w:style>
  <w:style w:type="paragraph" w:customStyle="1" w:styleId="AppendixHeading2">
    <w:name w:val="Appendix Heading 2"/>
    <w:basedOn w:val="Normal"/>
    <w:next w:val="BodyText"/>
    <w:uiPriority w:val="4"/>
    <w:qFormat/>
    <w:rsid w:val="006008FF"/>
    <w:pPr>
      <w:numPr>
        <w:ilvl w:val="2"/>
        <w:numId w:val="11"/>
      </w:numPr>
      <w:tabs>
        <w:tab w:val="left" w:pos="1559"/>
        <w:tab w:val="left" w:pos="2126"/>
        <w:tab w:val="left" w:pos="2410"/>
        <w:tab w:val="right" w:pos="9639"/>
      </w:tabs>
      <w:spacing w:before="360" w:after="200" w:line="288" w:lineRule="auto"/>
    </w:pPr>
    <w:rPr>
      <w:rFonts w:asciiTheme="majorHAnsi" w:hAnsiTheme="majorHAnsi" w:cs="Times New Roman"/>
      <w:b/>
      <w:sz w:val="22"/>
      <w:szCs w:val="20"/>
      <w:lang w:eastAsia="en-AU"/>
    </w:rPr>
  </w:style>
  <w:style w:type="paragraph" w:customStyle="1" w:styleId="AppendixHeading3">
    <w:name w:val="Appendix Heading 3"/>
    <w:basedOn w:val="Normal"/>
    <w:next w:val="BodyText"/>
    <w:uiPriority w:val="4"/>
    <w:qFormat/>
    <w:rsid w:val="006008FF"/>
    <w:pPr>
      <w:numPr>
        <w:ilvl w:val="3"/>
        <w:numId w:val="11"/>
      </w:numPr>
      <w:tabs>
        <w:tab w:val="left" w:pos="1559"/>
        <w:tab w:val="left" w:pos="2126"/>
        <w:tab w:val="left" w:pos="2410"/>
        <w:tab w:val="left" w:pos="6804"/>
        <w:tab w:val="right" w:pos="9639"/>
      </w:tabs>
      <w:spacing w:before="360" w:after="200" w:line="288" w:lineRule="auto"/>
    </w:pPr>
    <w:rPr>
      <w:rFonts w:asciiTheme="minorHAnsi" w:hAnsiTheme="minorHAnsi" w:cs="Times New Roman"/>
      <w:b/>
      <w:sz w:val="20"/>
      <w:szCs w:val="20"/>
    </w:rPr>
  </w:style>
  <w:style w:type="paragraph" w:customStyle="1" w:styleId="FooterWithLine">
    <w:name w:val="Footer With Line"/>
    <w:basedOn w:val="Footer"/>
    <w:next w:val="Footer"/>
    <w:rsid w:val="007D62D8"/>
    <w:pPr>
      <w:pBdr>
        <w:bottom w:val="single" w:sz="4" w:space="1" w:color="auto"/>
      </w:pBdr>
      <w:spacing w:before="180" w:after="120" w:line="140" w:lineRule="exact"/>
    </w:pPr>
    <w:rPr>
      <w:rFonts w:ascii="Arial" w:hAnsi="Arial" w:cs="Arial"/>
      <w:color w:val="000000"/>
    </w:rPr>
  </w:style>
  <w:style w:type="character" w:customStyle="1" w:styleId="Heading1Char">
    <w:name w:val="Heading 1 Char"/>
    <w:basedOn w:val="DefaultParagraphFont"/>
    <w:link w:val="Heading1"/>
    <w:rsid w:val="00AD3E68"/>
    <w:rPr>
      <w:rFonts w:asciiTheme="majorHAnsi" w:eastAsiaTheme="majorEastAsia" w:hAnsiTheme="majorHAnsi" w:cstheme="majorBidi"/>
      <w:bCs/>
      <w:color w:val="277BB4" w:themeColor="text2"/>
      <w:spacing w:val="-10"/>
      <w:sz w:val="38"/>
      <w:szCs w:val="32"/>
    </w:rPr>
  </w:style>
  <w:style w:type="character" w:customStyle="1" w:styleId="Heading2Char">
    <w:name w:val="Heading 2 Char"/>
    <w:basedOn w:val="DefaultParagraphFont"/>
    <w:link w:val="Heading2"/>
    <w:rsid w:val="006008FF"/>
    <w:rPr>
      <w:rFonts w:asciiTheme="majorHAnsi" w:eastAsiaTheme="majorEastAsia" w:hAnsiTheme="majorHAnsi" w:cstheme="majorBidi"/>
      <w:b/>
      <w:bCs/>
      <w:color w:val="277BB4" w:themeColor="text2"/>
      <w:sz w:val="24"/>
      <w:szCs w:val="26"/>
    </w:rPr>
  </w:style>
  <w:style w:type="character" w:customStyle="1" w:styleId="Heading3Char">
    <w:name w:val="Heading 3 Char"/>
    <w:basedOn w:val="DefaultParagraphFont"/>
    <w:link w:val="Heading3"/>
    <w:rsid w:val="00654CCE"/>
    <w:rPr>
      <w:rFonts w:asciiTheme="majorHAnsi" w:eastAsiaTheme="majorEastAsia" w:hAnsiTheme="majorHAnsi" w:cstheme="majorBidi"/>
      <w:b/>
      <w:bCs/>
      <w:color w:val="auto"/>
      <w:sz w:val="22"/>
    </w:rPr>
  </w:style>
  <w:style w:type="character" w:customStyle="1" w:styleId="Heading4Char">
    <w:name w:val="Heading 4 Char"/>
    <w:basedOn w:val="DefaultParagraphFont"/>
    <w:link w:val="Heading4"/>
    <w:rsid w:val="006008FF"/>
    <w:rPr>
      <w:rFonts w:eastAsiaTheme="majorEastAsia" w:cstheme="majorBidi"/>
      <w:b/>
      <w:bCs/>
      <w:iCs/>
      <w:color w:val="auto"/>
    </w:rPr>
  </w:style>
  <w:style w:type="character" w:customStyle="1" w:styleId="Heading7Char">
    <w:name w:val="Heading 7 Char"/>
    <w:basedOn w:val="DefaultParagraphFont"/>
    <w:link w:val="Heading7"/>
    <w:semiHidden/>
    <w:rsid w:val="00DD7311"/>
    <w:rPr>
      <w:rFonts w:asciiTheme="majorHAnsi" w:eastAsiaTheme="majorEastAsia" w:hAnsiTheme="majorHAnsi" w:cstheme="majorBidi"/>
      <w:b/>
      <w:iCs/>
      <w:sz w:val="18"/>
      <w:szCs w:val="18"/>
    </w:rPr>
  </w:style>
  <w:style w:type="character" w:customStyle="1" w:styleId="Heading8Char">
    <w:name w:val="Heading 8 Char"/>
    <w:aliases w:val="Appendix Title Char"/>
    <w:basedOn w:val="DefaultParagraphFont"/>
    <w:link w:val="Heading8"/>
    <w:uiPriority w:val="3"/>
    <w:rsid w:val="00120CB6"/>
    <w:rPr>
      <w:rFonts w:asciiTheme="majorHAnsi" w:eastAsiaTheme="majorEastAsia" w:hAnsiTheme="majorHAnsi" w:cstheme="majorBidi"/>
      <w:color w:val="auto"/>
      <w:spacing w:val="-10"/>
      <w:sz w:val="38"/>
      <w:lang w:eastAsia="en-US"/>
    </w:rPr>
  </w:style>
  <w:style w:type="character" w:customStyle="1" w:styleId="Heading9Char">
    <w:name w:val="Heading 9 Char"/>
    <w:aliases w:val="Appendix Heading 1 Char"/>
    <w:basedOn w:val="DefaultParagraphFont"/>
    <w:link w:val="Heading9"/>
    <w:uiPriority w:val="3"/>
    <w:rsid w:val="00A50D7E"/>
    <w:rPr>
      <w:rFonts w:asciiTheme="majorHAnsi" w:hAnsiTheme="majorHAnsi" w:cs="Arial"/>
      <w:b/>
      <w:color w:val="277BB4" w:themeColor="text2"/>
      <w:sz w:val="28"/>
    </w:rPr>
  </w:style>
  <w:style w:type="numbering" w:customStyle="1" w:styleId="Headings">
    <w:name w:val="Headings"/>
    <w:uiPriority w:val="99"/>
    <w:rsid w:val="00DD7311"/>
    <w:pPr>
      <w:numPr>
        <w:numId w:val="2"/>
      </w:numPr>
    </w:pPr>
  </w:style>
  <w:style w:type="character" w:styleId="Hyperlink">
    <w:name w:val="Hyperlink"/>
    <w:basedOn w:val="DefaultParagraphFont"/>
    <w:uiPriority w:val="99"/>
    <w:unhideWhenUsed/>
    <w:rsid w:val="00DD7311"/>
    <w:rPr>
      <w:color w:val="000000" w:themeColor="hyperlink"/>
      <w:u w:val="single"/>
    </w:rPr>
  </w:style>
  <w:style w:type="character" w:styleId="FollowedHyperlink">
    <w:name w:val="FollowedHyperlink"/>
    <w:basedOn w:val="DefaultParagraphFont"/>
    <w:uiPriority w:val="99"/>
    <w:rsid w:val="004019F9"/>
    <w:rPr>
      <w:color w:val="000000" w:themeColor="text1"/>
      <w:u w:val="single"/>
    </w:rPr>
  </w:style>
  <w:style w:type="paragraph" w:styleId="ListBullet">
    <w:name w:val="List Bullet"/>
    <w:basedOn w:val="BodyText"/>
    <w:qFormat/>
    <w:rsid w:val="00B87F60"/>
    <w:pPr>
      <w:numPr>
        <w:numId w:val="13"/>
      </w:numPr>
      <w:tabs>
        <w:tab w:val="clear" w:pos="2268"/>
        <w:tab w:val="clear" w:pos="4536"/>
        <w:tab w:val="clear" w:pos="6804"/>
        <w:tab w:val="clear" w:pos="9638"/>
      </w:tabs>
      <w:spacing w:before="60" w:after="60"/>
    </w:pPr>
  </w:style>
  <w:style w:type="paragraph" w:styleId="ListBullet2">
    <w:name w:val="List Bullet 2"/>
    <w:basedOn w:val="ListBullet"/>
    <w:qFormat/>
    <w:rsid w:val="00B87F60"/>
    <w:pPr>
      <w:numPr>
        <w:ilvl w:val="1"/>
      </w:numPr>
    </w:pPr>
  </w:style>
  <w:style w:type="paragraph" w:styleId="ListBullet3">
    <w:name w:val="List Bullet 3"/>
    <w:basedOn w:val="ListBullet2"/>
    <w:qFormat/>
    <w:rsid w:val="00345F29"/>
    <w:pPr>
      <w:numPr>
        <w:ilvl w:val="2"/>
      </w:numPr>
    </w:pPr>
  </w:style>
  <w:style w:type="paragraph" w:styleId="ListContinue">
    <w:name w:val="List Continue"/>
    <w:basedOn w:val="Normal"/>
    <w:rsid w:val="00EE6483"/>
    <w:pPr>
      <w:spacing w:before="120" w:after="60" w:line="288" w:lineRule="auto"/>
      <w:ind w:left="397"/>
    </w:pPr>
    <w:rPr>
      <w:rFonts w:asciiTheme="minorHAnsi" w:hAnsiTheme="minorHAnsi" w:cs="Times New Roman"/>
      <w:color w:val="000000" w:themeColor="text1"/>
      <w:sz w:val="20"/>
      <w:szCs w:val="20"/>
      <w:lang w:eastAsia="en-AU"/>
    </w:rPr>
  </w:style>
  <w:style w:type="paragraph" w:styleId="ListNumber">
    <w:name w:val="List Number"/>
    <w:basedOn w:val="BodyText"/>
    <w:qFormat/>
    <w:rsid w:val="00D02C00"/>
    <w:pPr>
      <w:numPr>
        <w:numId w:val="3"/>
      </w:numPr>
      <w:tabs>
        <w:tab w:val="clear" w:pos="2268"/>
        <w:tab w:val="clear" w:pos="4536"/>
        <w:tab w:val="clear" w:pos="6804"/>
        <w:tab w:val="clear" w:pos="9638"/>
      </w:tabs>
      <w:spacing w:before="120" w:after="120"/>
    </w:pPr>
  </w:style>
  <w:style w:type="paragraph" w:styleId="ListNumber2">
    <w:name w:val="List Number 2"/>
    <w:basedOn w:val="ListNumber"/>
    <w:qFormat/>
    <w:rsid w:val="00B87F60"/>
    <w:pPr>
      <w:numPr>
        <w:ilvl w:val="1"/>
      </w:numPr>
    </w:pPr>
  </w:style>
  <w:style w:type="paragraph" w:styleId="ListNumber3">
    <w:name w:val="List Number 3"/>
    <w:basedOn w:val="ListNumber2"/>
    <w:qFormat/>
    <w:rsid w:val="00A61A2B"/>
    <w:pPr>
      <w:numPr>
        <w:ilvl w:val="2"/>
      </w:numPr>
    </w:pPr>
  </w:style>
  <w:style w:type="numbering" w:customStyle="1" w:styleId="MyListNumbering">
    <w:name w:val="MyListNumbering"/>
    <w:uiPriority w:val="99"/>
    <w:rsid w:val="00DD7311"/>
    <w:pPr>
      <w:numPr>
        <w:numId w:val="4"/>
      </w:numPr>
    </w:pPr>
  </w:style>
  <w:style w:type="character" w:styleId="PlaceholderText">
    <w:name w:val="Placeholder Text"/>
    <w:basedOn w:val="DefaultParagraphFont"/>
    <w:uiPriority w:val="99"/>
    <w:semiHidden/>
    <w:rsid w:val="00DD7311"/>
    <w:rPr>
      <w:color w:val="808080"/>
    </w:rPr>
  </w:style>
  <w:style w:type="paragraph" w:customStyle="1" w:styleId="TableBodyText">
    <w:name w:val="Table Body Text"/>
    <w:basedOn w:val="Normal"/>
    <w:qFormat/>
    <w:rsid w:val="00314734"/>
    <w:pPr>
      <w:spacing w:before="40" w:line="288" w:lineRule="auto"/>
      <w:ind w:left="28" w:right="113"/>
    </w:pPr>
    <w:rPr>
      <w:rFonts w:asciiTheme="minorHAnsi" w:hAnsiTheme="minorHAnsi" w:cs="Times New Roman"/>
      <w:color w:val="000000" w:themeColor="text1"/>
      <w:sz w:val="18"/>
      <w:szCs w:val="20"/>
      <w:lang w:eastAsia="en-AU"/>
    </w:rPr>
  </w:style>
  <w:style w:type="paragraph" w:customStyle="1" w:styleId="Footnotes">
    <w:name w:val="Footnotes"/>
    <w:basedOn w:val="Normal"/>
    <w:qFormat/>
    <w:rsid w:val="00662E98"/>
    <w:pPr>
      <w:numPr>
        <w:ilvl w:val="1"/>
        <w:numId w:val="5"/>
      </w:numPr>
      <w:spacing w:before="40" w:after="280" w:line="180" w:lineRule="atLeast"/>
      <w:contextualSpacing/>
    </w:pPr>
    <w:rPr>
      <w:rFonts w:asciiTheme="minorHAnsi" w:hAnsiTheme="minorHAnsi" w:cs="Times New Roman"/>
      <w:color w:val="000000" w:themeColor="text1"/>
      <w:sz w:val="16"/>
      <w:szCs w:val="20"/>
      <w:lang w:eastAsia="en-AU"/>
    </w:rPr>
  </w:style>
  <w:style w:type="table" w:styleId="TableGrid">
    <w:name w:val="Table Grid"/>
    <w:basedOn w:val="TableNormal"/>
    <w:uiPriority w:val="39"/>
    <w:rsid w:val="003C34DF"/>
    <w:pPr>
      <w:ind w:left="28" w:right="113"/>
    </w:pPr>
    <w:rPr>
      <w:sz w:val="18"/>
    </w:rPr>
    <w:tblPr>
      <w:tblBorders>
        <w:top w:val="single" w:sz="4" w:space="0" w:color="277BB4" w:themeColor="text2"/>
        <w:bottom w:val="single" w:sz="4" w:space="0" w:color="277BB4" w:themeColor="text2"/>
        <w:insideH w:val="single" w:sz="4" w:space="0" w:color="277BB4" w:themeColor="text2"/>
      </w:tblBorders>
      <w:tblCellMar>
        <w:top w:w="57" w:type="dxa"/>
        <w:left w:w="0" w:type="dxa"/>
        <w:bottom w:w="28" w:type="dxa"/>
        <w:right w:w="0" w:type="dxa"/>
      </w:tblCellMar>
    </w:tblPr>
    <w:trPr>
      <w:cantSplit/>
    </w:trPr>
    <w:tblStylePr w:type="firstRow">
      <w:pPr>
        <w:keepNext/>
        <w:wordWrap/>
        <w:jc w:val="left"/>
      </w:pPr>
      <w:rPr>
        <w:b w:val="0"/>
        <w:color w:val="auto"/>
      </w:rPr>
      <w:tblPr/>
      <w:trPr>
        <w:cantSplit w:val="0"/>
        <w:tblHeader/>
      </w:trPr>
      <w:tcPr>
        <w:tcBorders>
          <w:top w:val="single" w:sz="4" w:space="0" w:color="277BB4" w:themeColor="text2"/>
          <w:left w:val="nil"/>
          <w:bottom w:val="single" w:sz="4" w:space="0" w:color="277BB4" w:themeColor="text2"/>
          <w:right w:val="nil"/>
          <w:insideH w:val="nil"/>
          <w:insideV w:val="nil"/>
          <w:tl2br w:val="nil"/>
          <w:tr2bl w:val="nil"/>
        </w:tcBorders>
        <w:vAlign w:val="bottom"/>
      </w:tcPr>
    </w:tblStylePr>
  </w:style>
  <w:style w:type="paragraph" w:customStyle="1" w:styleId="TableHeading">
    <w:name w:val="Table Heading"/>
    <w:basedOn w:val="TableBodyText"/>
    <w:qFormat/>
    <w:rsid w:val="00A34DDF"/>
    <w:rPr>
      <w:rFonts w:asciiTheme="majorHAnsi" w:hAnsiTheme="majorHAnsi"/>
      <w:b/>
      <w:color w:val="auto"/>
    </w:rPr>
  </w:style>
  <w:style w:type="paragraph" w:customStyle="1" w:styleId="TableListBullet">
    <w:name w:val="Table List Bullet"/>
    <w:basedOn w:val="TableBodyText"/>
    <w:qFormat/>
    <w:rsid w:val="00A34DDF"/>
    <w:pPr>
      <w:numPr>
        <w:numId w:val="6"/>
      </w:numPr>
    </w:pPr>
  </w:style>
  <w:style w:type="paragraph" w:customStyle="1" w:styleId="TableListBullet2">
    <w:name w:val="Table List Bullet 2"/>
    <w:basedOn w:val="TableListBullet"/>
    <w:qFormat/>
    <w:rsid w:val="008717E0"/>
    <w:pPr>
      <w:numPr>
        <w:ilvl w:val="1"/>
      </w:numPr>
    </w:pPr>
  </w:style>
  <w:style w:type="paragraph" w:customStyle="1" w:styleId="TableListBullet3">
    <w:name w:val="Table List Bullet 3"/>
    <w:basedOn w:val="TableListBullet2"/>
    <w:qFormat/>
    <w:rsid w:val="00DD7311"/>
    <w:pPr>
      <w:numPr>
        <w:ilvl w:val="2"/>
      </w:numPr>
    </w:pPr>
  </w:style>
  <w:style w:type="paragraph" w:customStyle="1" w:styleId="TableListNumber">
    <w:name w:val="Table List Number"/>
    <w:basedOn w:val="TableBodyText"/>
    <w:qFormat/>
    <w:rsid w:val="00A34DDF"/>
    <w:pPr>
      <w:numPr>
        <w:numId w:val="7"/>
      </w:numPr>
    </w:pPr>
  </w:style>
  <w:style w:type="paragraph" w:customStyle="1" w:styleId="TableListNumber2">
    <w:name w:val="Table List Number 2"/>
    <w:basedOn w:val="TableListNumber"/>
    <w:qFormat/>
    <w:rsid w:val="00202628"/>
    <w:pPr>
      <w:numPr>
        <w:ilvl w:val="1"/>
      </w:numPr>
    </w:pPr>
  </w:style>
  <w:style w:type="paragraph" w:customStyle="1" w:styleId="TableListNumber3">
    <w:name w:val="Table List Number 3"/>
    <w:basedOn w:val="TableListNumber2"/>
    <w:qFormat/>
    <w:rsid w:val="00202628"/>
    <w:pPr>
      <w:numPr>
        <w:ilvl w:val="2"/>
      </w:numPr>
    </w:pPr>
  </w:style>
  <w:style w:type="paragraph" w:styleId="TableofFigures">
    <w:name w:val="table of figures"/>
    <w:basedOn w:val="Normal"/>
    <w:next w:val="Normal"/>
    <w:uiPriority w:val="99"/>
    <w:rsid w:val="00284AA5"/>
    <w:pPr>
      <w:tabs>
        <w:tab w:val="left" w:pos="1134"/>
        <w:tab w:val="right" w:leader="dot" w:pos="9072"/>
      </w:tabs>
      <w:spacing w:before="90" w:after="90" w:line="288" w:lineRule="auto"/>
      <w:ind w:left="1134" w:right="851" w:hanging="1134"/>
    </w:pPr>
    <w:rPr>
      <w:rFonts w:asciiTheme="minorHAnsi" w:hAnsiTheme="minorHAnsi" w:cs="Times New Roman"/>
      <w:noProof/>
      <w:color w:val="000000" w:themeColor="text1"/>
      <w:sz w:val="20"/>
      <w:szCs w:val="20"/>
      <w:lang w:eastAsia="en-AU"/>
    </w:rPr>
  </w:style>
  <w:style w:type="paragraph" w:customStyle="1" w:styleId="Source">
    <w:name w:val="Source"/>
    <w:basedOn w:val="Normal"/>
    <w:rsid w:val="00662E98"/>
    <w:pPr>
      <w:tabs>
        <w:tab w:val="left" w:pos="737"/>
      </w:tabs>
      <w:spacing w:before="40" w:after="280"/>
      <w:ind w:left="737" w:hanging="737"/>
    </w:pPr>
    <w:rPr>
      <w:rFonts w:asciiTheme="minorHAnsi" w:hAnsiTheme="minorHAnsi" w:cs="Times New Roman"/>
      <w:color w:val="000000" w:themeColor="text1"/>
      <w:sz w:val="16"/>
      <w:szCs w:val="20"/>
    </w:rPr>
  </w:style>
  <w:style w:type="numbering" w:customStyle="1" w:styleId="TableBullets">
    <w:name w:val="TableBullets"/>
    <w:uiPriority w:val="99"/>
    <w:rsid w:val="00DD7311"/>
    <w:pPr>
      <w:numPr>
        <w:numId w:val="8"/>
      </w:numPr>
    </w:pPr>
  </w:style>
  <w:style w:type="numbering" w:customStyle="1" w:styleId="TableFootnotes">
    <w:name w:val="TableFootnotes"/>
    <w:uiPriority w:val="99"/>
    <w:rsid w:val="00DD7311"/>
    <w:pPr>
      <w:numPr>
        <w:numId w:val="9"/>
      </w:numPr>
    </w:pPr>
  </w:style>
  <w:style w:type="numbering" w:customStyle="1" w:styleId="TableNumbering">
    <w:name w:val="TableNumbering"/>
    <w:uiPriority w:val="99"/>
    <w:rsid w:val="00DD7311"/>
    <w:pPr>
      <w:numPr>
        <w:numId w:val="10"/>
      </w:numPr>
    </w:pPr>
  </w:style>
  <w:style w:type="paragraph" w:styleId="Title">
    <w:name w:val="Title"/>
    <w:basedOn w:val="Normal"/>
    <w:link w:val="TitleChar"/>
    <w:uiPriority w:val="99"/>
    <w:rsid w:val="00F155D7"/>
    <w:pPr>
      <w:spacing w:before="240" w:after="240"/>
      <w:ind w:right="2552"/>
      <w:contextualSpacing/>
      <w:outlineLvl w:val="0"/>
    </w:pPr>
    <w:rPr>
      <w:rFonts w:asciiTheme="majorHAnsi" w:eastAsiaTheme="minorEastAsia" w:hAnsiTheme="majorHAnsi" w:cs="Times New Roman"/>
      <w:b/>
      <w:color w:val="277BB4" w:themeColor="text2"/>
      <w:sz w:val="52"/>
      <w:szCs w:val="96"/>
      <w:lang w:eastAsia="en-AU"/>
    </w:rPr>
  </w:style>
  <w:style w:type="character" w:customStyle="1" w:styleId="TitleChar">
    <w:name w:val="Title Char"/>
    <w:basedOn w:val="DefaultParagraphFont"/>
    <w:link w:val="Title"/>
    <w:uiPriority w:val="99"/>
    <w:rsid w:val="00F155D7"/>
    <w:rPr>
      <w:rFonts w:asciiTheme="majorHAnsi" w:eastAsiaTheme="minorEastAsia" w:hAnsiTheme="majorHAnsi"/>
      <w:b/>
      <w:color w:val="277BB4" w:themeColor="text2"/>
      <w:sz w:val="52"/>
      <w:szCs w:val="96"/>
    </w:rPr>
  </w:style>
  <w:style w:type="paragraph" w:styleId="Subtitle">
    <w:name w:val="Subtitle"/>
    <w:basedOn w:val="Normal"/>
    <w:next w:val="Normal"/>
    <w:link w:val="SubtitleChar"/>
    <w:rsid w:val="00F155D7"/>
    <w:pPr>
      <w:spacing w:line="288" w:lineRule="auto"/>
      <w:ind w:right="2551"/>
    </w:pPr>
    <w:rPr>
      <w:rFonts w:asciiTheme="minorHAnsi" w:eastAsiaTheme="minorEastAsia" w:hAnsiTheme="minorHAnsi" w:cs="Times New Roman"/>
      <w:color w:val="000000" w:themeColor="text1"/>
      <w:sz w:val="44"/>
      <w:szCs w:val="60"/>
      <w:lang w:eastAsia="en-AU"/>
    </w:rPr>
  </w:style>
  <w:style w:type="paragraph" w:styleId="TOC1">
    <w:name w:val="toc 1"/>
    <w:basedOn w:val="Normal"/>
    <w:next w:val="Normal"/>
    <w:autoRedefine/>
    <w:uiPriority w:val="39"/>
    <w:rsid w:val="0033555D"/>
    <w:pPr>
      <w:tabs>
        <w:tab w:val="left" w:pos="567"/>
        <w:tab w:val="right" w:leader="dot" w:pos="9072"/>
      </w:tabs>
      <w:spacing w:before="180" w:after="70" w:line="288" w:lineRule="auto"/>
      <w:ind w:left="454" w:right="851" w:hanging="454"/>
    </w:pPr>
    <w:rPr>
      <w:rFonts w:asciiTheme="minorHAnsi" w:hAnsiTheme="minorHAnsi" w:cs="Times New Roman"/>
      <w:b/>
      <w:noProof/>
      <w:color w:val="000000" w:themeColor="text1"/>
      <w:sz w:val="20"/>
      <w:szCs w:val="20"/>
      <w:lang w:eastAsia="en-AU"/>
    </w:rPr>
  </w:style>
  <w:style w:type="paragraph" w:styleId="TOC2">
    <w:name w:val="toc 2"/>
    <w:basedOn w:val="Normal"/>
    <w:next w:val="Normal"/>
    <w:autoRedefine/>
    <w:uiPriority w:val="39"/>
    <w:rsid w:val="00B3127D"/>
    <w:pPr>
      <w:tabs>
        <w:tab w:val="left" w:pos="1134"/>
        <w:tab w:val="right" w:leader="dot" w:pos="9072"/>
      </w:tabs>
      <w:spacing w:before="90" w:after="90" w:line="288" w:lineRule="auto"/>
      <w:ind w:left="1134" w:right="851" w:hanging="567"/>
    </w:pPr>
    <w:rPr>
      <w:rFonts w:asciiTheme="minorHAnsi" w:hAnsiTheme="minorHAnsi" w:cs="Times New Roman"/>
      <w:noProof/>
      <w:color w:val="000000" w:themeColor="text1"/>
      <w:sz w:val="20"/>
      <w:szCs w:val="20"/>
      <w:lang w:eastAsia="en-AU"/>
    </w:rPr>
  </w:style>
  <w:style w:type="paragraph" w:styleId="TOC3">
    <w:name w:val="toc 3"/>
    <w:basedOn w:val="Normal"/>
    <w:next w:val="Normal"/>
    <w:autoRedefine/>
    <w:uiPriority w:val="39"/>
    <w:rsid w:val="006E6DDD"/>
    <w:pPr>
      <w:tabs>
        <w:tab w:val="left" w:pos="1985"/>
        <w:tab w:val="right" w:leader="dot" w:pos="9072"/>
      </w:tabs>
      <w:spacing w:before="90" w:after="90" w:line="288" w:lineRule="auto"/>
      <w:ind w:left="1985" w:right="851" w:hanging="851"/>
    </w:pPr>
    <w:rPr>
      <w:rFonts w:asciiTheme="minorHAnsi" w:hAnsiTheme="minorHAnsi" w:cs="Times New Roman"/>
      <w:noProof/>
      <w:color w:val="000000" w:themeColor="text1"/>
      <w:sz w:val="20"/>
      <w:szCs w:val="20"/>
      <w:lang w:eastAsia="en-AU"/>
    </w:rPr>
  </w:style>
  <w:style w:type="paragraph" w:styleId="TOC4">
    <w:name w:val="toc 4"/>
    <w:basedOn w:val="Normal"/>
    <w:next w:val="Normal"/>
    <w:autoRedefine/>
    <w:uiPriority w:val="39"/>
    <w:rsid w:val="00101C2D"/>
    <w:pPr>
      <w:tabs>
        <w:tab w:val="left" w:pos="1134"/>
        <w:tab w:val="right" w:leader="dot" w:pos="9072"/>
      </w:tabs>
      <w:spacing w:before="90" w:after="90" w:line="360" w:lineRule="auto"/>
      <w:ind w:left="1985" w:right="851" w:hanging="851"/>
      <w:contextualSpacing/>
    </w:pPr>
    <w:rPr>
      <w:rFonts w:asciiTheme="minorHAnsi" w:hAnsiTheme="minorHAnsi" w:cs="Times New Roman"/>
      <w:noProof/>
      <w:color w:val="000000" w:themeColor="text1"/>
      <w:sz w:val="20"/>
      <w:szCs w:val="20"/>
      <w:lang w:eastAsia="en-AU"/>
    </w:rPr>
  </w:style>
  <w:style w:type="paragraph" w:styleId="TOC5">
    <w:name w:val="toc 5"/>
    <w:basedOn w:val="Normal"/>
    <w:next w:val="Normal"/>
    <w:autoRedefine/>
    <w:uiPriority w:val="39"/>
    <w:rsid w:val="00824530"/>
    <w:pPr>
      <w:tabs>
        <w:tab w:val="left" w:pos="1276"/>
        <w:tab w:val="right" w:leader="dot" w:pos="9072"/>
      </w:tabs>
      <w:spacing w:before="180" w:after="70" w:line="288" w:lineRule="auto"/>
      <w:ind w:left="1276" w:hanging="1276"/>
    </w:pPr>
    <w:rPr>
      <w:rFonts w:asciiTheme="minorHAnsi" w:hAnsiTheme="minorHAnsi" w:cs="Times New Roman"/>
      <w:b/>
      <w:noProof/>
      <w:color w:val="000000" w:themeColor="text1"/>
      <w:sz w:val="20"/>
      <w:szCs w:val="20"/>
      <w:lang w:eastAsia="en-AU"/>
    </w:rPr>
  </w:style>
  <w:style w:type="paragraph" w:styleId="TOC6">
    <w:name w:val="toc 6"/>
    <w:basedOn w:val="Normal"/>
    <w:next w:val="Normal"/>
    <w:autoRedefine/>
    <w:uiPriority w:val="39"/>
    <w:rsid w:val="00DD7311"/>
    <w:pPr>
      <w:spacing w:after="100" w:line="288" w:lineRule="auto"/>
      <w:ind w:left="900"/>
    </w:pPr>
    <w:rPr>
      <w:rFonts w:asciiTheme="minorHAnsi" w:hAnsiTheme="minorHAnsi" w:cs="Times New Roman"/>
      <w:color w:val="000000" w:themeColor="text1"/>
      <w:sz w:val="20"/>
      <w:szCs w:val="20"/>
      <w:lang w:eastAsia="en-AU"/>
    </w:rPr>
  </w:style>
  <w:style w:type="paragraph" w:styleId="TOC7">
    <w:name w:val="toc 7"/>
    <w:basedOn w:val="Normal"/>
    <w:next w:val="Normal"/>
    <w:autoRedefine/>
    <w:semiHidden/>
    <w:rsid w:val="00DD7311"/>
    <w:pPr>
      <w:spacing w:after="100" w:line="288" w:lineRule="auto"/>
      <w:ind w:left="1080"/>
    </w:pPr>
    <w:rPr>
      <w:rFonts w:asciiTheme="minorHAnsi" w:hAnsiTheme="minorHAnsi" w:cs="Times New Roman"/>
      <w:color w:val="000000" w:themeColor="text1"/>
      <w:sz w:val="20"/>
      <w:szCs w:val="20"/>
      <w:lang w:eastAsia="en-AU"/>
    </w:rPr>
  </w:style>
  <w:style w:type="paragraph" w:styleId="TOC8">
    <w:name w:val="toc 8"/>
    <w:basedOn w:val="Normal"/>
    <w:next w:val="Normal"/>
    <w:autoRedefine/>
    <w:uiPriority w:val="39"/>
    <w:rsid w:val="00DD7311"/>
    <w:pPr>
      <w:spacing w:after="100" w:line="288" w:lineRule="auto"/>
      <w:ind w:left="1260"/>
    </w:pPr>
    <w:rPr>
      <w:rFonts w:asciiTheme="minorHAnsi" w:hAnsiTheme="minorHAnsi" w:cs="Times New Roman"/>
      <w:color w:val="000000" w:themeColor="text1"/>
      <w:sz w:val="20"/>
      <w:szCs w:val="20"/>
      <w:lang w:eastAsia="en-AU"/>
    </w:rPr>
  </w:style>
  <w:style w:type="paragraph" w:styleId="TOC9">
    <w:name w:val="toc 9"/>
    <w:basedOn w:val="Normal"/>
    <w:next w:val="Normal"/>
    <w:autoRedefine/>
    <w:uiPriority w:val="39"/>
    <w:rsid w:val="00DD7311"/>
    <w:pPr>
      <w:spacing w:after="100" w:line="288" w:lineRule="auto"/>
      <w:ind w:left="1440"/>
    </w:pPr>
    <w:rPr>
      <w:rFonts w:asciiTheme="minorHAnsi" w:hAnsiTheme="minorHAnsi" w:cs="Times New Roman"/>
      <w:color w:val="000000" w:themeColor="text1"/>
      <w:sz w:val="20"/>
      <w:szCs w:val="20"/>
      <w:lang w:eastAsia="en-AU"/>
    </w:rPr>
  </w:style>
  <w:style w:type="paragraph" w:customStyle="1" w:styleId="xDocumentDetails">
    <w:name w:val="xDocument Details"/>
    <w:basedOn w:val="Normal"/>
    <w:semiHidden/>
    <w:qFormat/>
    <w:rsid w:val="00DD7311"/>
    <w:pPr>
      <w:framePr w:hSpace="181" w:vSpace="567" w:wrap="around" w:hAnchor="margin" w:yAlign="bottom"/>
      <w:tabs>
        <w:tab w:val="left" w:pos="2268"/>
      </w:tabs>
      <w:spacing w:line="288" w:lineRule="auto"/>
      <w:ind w:left="2268" w:hanging="2268"/>
      <w:suppressOverlap/>
    </w:pPr>
    <w:rPr>
      <w:rFonts w:asciiTheme="minorHAnsi" w:hAnsiTheme="minorHAnsi" w:cs="Times New Roman"/>
      <w:color w:val="000000" w:themeColor="text1"/>
      <w:sz w:val="20"/>
      <w:szCs w:val="20"/>
      <w:lang w:eastAsia="en-AU"/>
    </w:rPr>
  </w:style>
  <w:style w:type="character" w:customStyle="1" w:styleId="SubtitleChar">
    <w:name w:val="Subtitle Char"/>
    <w:basedOn w:val="DefaultParagraphFont"/>
    <w:link w:val="Subtitle"/>
    <w:rsid w:val="00F155D7"/>
    <w:rPr>
      <w:rFonts w:eastAsiaTheme="minorEastAsia"/>
      <w:sz w:val="44"/>
      <w:szCs w:val="60"/>
    </w:rPr>
  </w:style>
  <w:style w:type="paragraph" w:styleId="ListContinue2">
    <w:name w:val="List Continue 2"/>
    <w:basedOn w:val="Normal"/>
    <w:rsid w:val="00EE6483"/>
    <w:pPr>
      <w:spacing w:before="120" w:after="60" w:line="288" w:lineRule="auto"/>
      <w:ind w:left="794"/>
    </w:pPr>
    <w:rPr>
      <w:rFonts w:asciiTheme="minorHAnsi" w:hAnsiTheme="minorHAnsi" w:cs="Times New Roman"/>
      <w:color w:val="000000" w:themeColor="text1"/>
      <w:sz w:val="20"/>
      <w:szCs w:val="20"/>
      <w:lang w:eastAsia="en-AU"/>
    </w:rPr>
  </w:style>
  <w:style w:type="paragraph" w:styleId="ListContinue3">
    <w:name w:val="List Continue 3"/>
    <w:basedOn w:val="Normal"/>
    <w:rsid w:val="00EE6483"/>
    <w:pPr>
      <w:spacing w:before="120" w:after="60" w:line="288" w:lineRule="auto"/>
      <w:ind w:left="1191"/>
    </w:pPr>
    <w:rPr>
      <w:rFonts w:asciiTheme="minorHAnsi" w:hAnsiTheme="minorHAnsi" w:cs="Times New Roman"/>
      <w:color w:val="000000" w:themeColor="text1"/>
      <w:sz w:val="20"/>
      <w:szCs w:val="20"/>
      <w:lang w:eastAsia="en-AU"/>
    </w:rPr>
  </w:style>
  <w:style w:type="paragraph" w:styleId="NoSpacing">
    <w:name w:val="No Spacing"/>
    <w:basedOn w:val="Normal"/>
    <w:next w:val="BodyText"/>
    <w:rsid w:val="004D457F"/>
    <w:pPr>
      <w:spacing w:line="288" w:lineRule="auto"/>
    </w:pPr>
    <w:rPr>
      <w:rFonts w:asciiTheme="minorHAnsi" w:hAnsiTheme="minorHAnsi" w:cs="Times New Roman"/>
      <w:color w:val="000000" w:themeColor="text1"/>
      <w:sz w:val="20"/>
      <w:szCs w:val="20"/>
      <w:lang w:eastAsia="en-AU"/>
    </w:rPr>
  </w:style>
  <w:style w:type="paragraph" w:styleId="Date">
    <w:name w:val="Date"/>
    <w:basedOn w:val="Normal"/>
    <w:next w:val="Normal"/>
    <w:link w:val="DateChar"/>
    <w:semiHidden/>
    <w:rsid w:val="00AE5749"/>
    <w:pPr>
      <w:spacing w:before="360" w:line="288" w:lineRule="auto"/>
      <w:jc w:val="center"/>
    </w:pPr>
    <w:rPr>
      <w:rFonts w:asciiTheme="minorHAnsi" w:hAnsiTheme="minorHAnsi" w:cs="Times New Roman"/>
      <w:color w:val="000000" w:themeColor="text1"/>
      <w:sz w:val="32"/>
      <w:szCs w:val="20"/>
      <w:lang w:eastAsia="en-AU"/>
    </w:rPr>
  </w:style>
  <w:style w:type="character" w:customStyle="1" w:styleId="DateChar">
    <w:name w:val="Date Char"/>
    <w:basedOn w:val="DefaultParagraphFont"/>
    <w:link w:val="Date"/>
    <w:semiHidden/>
    <w:rsid w:val="000B59CB"/>
    <w:rPr>
      <w:color w:val="000000" w:themeColor="text1"/>
      <w:sz w:val="32"/>
      <w:szCs w:val="18"/>
    </w:rPr>
  </w:style>
  <w:style w:type="paragraph" w:customStyle="1" w:styleId="Subtitle2">
    <w:name w:val="Subtitle 2"/>
    <w:basedOn w:val="Normal"/>
    <w:qFormat/>
    <w:rsid w:val="00F155D7"/>
    <w:pPr>
      <w:spacing w:before="360" w:after="360" w:line="288" w:lineRule="auto"/>
      <w:ind w:right="2552"/>
    </w:pPr>
    <w:rPr>
      <w:rFonts w:asciiTheme="minorHAnsi" w:eastAsiaTheme="minorEastAsia" w:hAnsiTheme="minorHAnsi" w:cs="Times New Roman"/>
      <w:color w:val="000000" w:themeColor="text1"/>
      <w:sz w:val="36"/>
      <w:lang w:eastAsia="en-AU"/>
    </w:rPr>
  </w:style>
  <w:style w:type="paragraph" w:customStyle="1" w:styleId="PullOutBoxBullet">
    <w:name w:val="Pull Out Box Bullet"/>
    <w:basedOn w:val="PullOutBoxBodyText"/>
    <w:qFormat/>
    <w:rsid w:val="004807F0"/>
    <w:pPr>
      <w:numPr>
        <w:numId w:val="16"/>
      </w:numPr>
    </w:pPr>
  </w:style>
  <w:style w:type="paragraph" w:customStyle="1" w:styleId="TableofFiguresHeading">
    <w:name w:val="Table of Figures Heading"/>
    <w:basedOn w:val="Normal"/>
    <w:rsid w:val="00316518"/>
    <w:pPr>
      <w:keepNext/>
      <w:keepLines/>
      <w:spacing w:before="240" w:after="240"/>
    </w:pPr>
    <w:rPr>
      <w:rFonts w:asciiTheme="minorHAnsi" w:hAnsiTheme="minorHAnsi" w:cs="Times New Roman"/>
      <w:b/>
      <w:bCs/>
      <w:noProof/>
      <w:color w:val="277BB4" w:themeColor="text2"/>
      <w:szCs w:val="20"/>
      <w:lang w:eastAsia="en-AU"/>
    </w:rPr>
  </w:style>
  <w:style w:type="paragraph" w:customStyle="1" w:styleId="FooterLeftText">
    <w:name w:val="Footer Left Text"/>
    <w:semiHidden/>
    <w:rsid w:val="00F27994"/>
    <w:pPr>
      <w:framePr w:hSpace="113" w:wrap="around" w:vAnchor="page" w:hAnchor="margin" w:yAlign="bottom"/>
    </w:pPr>
    <w:rPr>
      <w:color w:val="5B5652"/>
      <w:sz w:val="18"/>
      <w:szCs w:val="18"/>
    </w:rPr>
  </w:style>
  <w:style w:type="paragraph" w:customStyle="1" w:styleId="Address">
    <w:name w:val="Address"/>
    <w:basedOn w:val="Normal"/>
    <w:semiHidden/>
    <w:rsid w:val="00C6084A"/>
    <w:pPr>
      <w:framePr w:hSpace="181" w:wrap="around" w:vAnchor="page" w:hAnchor="page" w:xAlign="right" w:yAlign="bottom"/>
      <w:tabs>
        <w:tab w:val="left" w:pos="227"/>
      </w:tabs>
      <w:spacing w:line="288" w:lineRule="auto"/>
      <w:suppressOverlap/>
    </w:pPr>
    <w:rPr>
      <w:rFonts w:asciiTheme="minorHAnsi" w:hAnsiTheme="minorHAnsi" w:cs="Times New Roman"/>
      <w:noProof/>
      <w:color w:val="FFFFFF"/>
      <w:sz w:val="20"/>
      <w:szCs w:val="20"/>
      <w:lang w:eastAsia="en-AU"/>
    </w:rPr>
  </w:style>
  <w:style w:type="character" w:customStyle="1" w:styleId="Heading5Char">
    <w:name w:val="Heading 5 Char"/>
    <w:basedOn w:val="DefaultParagraphFont"/>
    <w:link w:val="Heading5"/>
    <w:rsid w:val="005C4F14"/>
    <w:rPr>
      <w:rFonts w:asciiTheme="majorHAnsi" w:eastAsiaTheme="majorEastAsia" w:hAnsiTheme="majorHAnsi" w:cstheme="majorBidi"/>
      <w:b/>
    </w:rPr>
  </w:style>
  <w:style w:type="character" w:customStyle="1" w:styleId="Heading6Char">
    <w:name w:val="Heading 6 Char"/>
    <w:basedOn w:val="DefaultParagraphFont"/>
    <w:link w:val="Heading6"/>
    <w:rsid w:val="00F52A35"/>
    <w:rPr>
      <w:rFonts w:asciiTheme="majorHAnsi" w:eastAsiaTheme="majorEastAsia" w:hAnsiTheme="majorHAnsi" w:cstheme="majorBidi"/>
      <w:i/>
      <w:iCs/>
      <w:szCs w:val="22"/>
      <w:lang w:eastAsia="en-US"/>
    </w:rPr>
  </w:style>
  <w:style w:type="paragraph" w:styleId="ListParagraph">
    <w:name w:val="List Paragraph"/>
    <w:basedOn w:val="Normal"/>
    <w:uiPriority w:val="34"/>
    <w:qFormat/>
    <w:rsid w:val="00C778F0"/>
    <w:pPr>
      <w:spacing w:before="120" w:after="120" w:line="288" w:lineRule="auto"/>
      <w:ind w:left="720"/>
    </w:pPr>
    <w:rPr>
      <w:rFonts w:asciiTheme="minorHAnsi" w:eastAsia="Calibri" w:hAnsiTheme="minorHAnsi" w:cs="Times New Roman"/>
      <w:color w:val="000000" w:themeColor="text1"/>
      <w:sz w:val="20"/>
      <w:szCs w:val="20"/>
    </w:rPr>
  </w:style>
  <w:style w:type="paragraph" w:styleId="Revision">
    <w:name w:val="Revision"/>
    <w:hidden/>
    <w:uiPriority w:val="99"/>
    <w:semiHidden/>
    <w:rsid w:val="009E7348"/>
    <w:pPr>
      <w:spacing w:line="240" w:lineRule="auto"/>
    </w:pPr>
    <w:rPr>
      <w:rFonts w:ascii="Calibri" w:eastAsia="Calibri" w:hAnsi="Calibri"/>
      <w:lang w:eastAsia="en-US"/>
    </w:rPr>
  </w:style>
  <w:style w:type="paragraph" w:customStyle="1" w:styleId="BoldHeading">
    <w:name w:val="Bold Heading"/>
    <w:basedOn w:val="BodyText"/>
    <w:next w:val="BodyText"/>
    <w:qFormat/>
    <w:rsid w:val="009E1572"/>
    <w:pPr>
      <w:keepNext/>
      <w:spacing w:before="360"/>
    </w:pPr>
    <w:rPr>
      <w:rFonts w:asciiTheme="majorHAnsi" w:hAnsiTheme="majorHAnsi"/>
      <w:b/>
      <w:color w:val="auto"/>
    </w:rPr>
  </w:style>
  <w:style w:type="paragraph" w:styleId="FootnoteText">
    <w:name w:val="footnote text"/>
    <w:basedOn w:val="Normal"/>
    <w:link w:val="FootnoteTextChar"/>
    <w:uiPriority w:val="99"/>
    <w:rsid w:val="00262A91"/>
    <w:rPr>
      <w:rFonts w:asciiTheme="minorHAnsi" w:hAnsiTheme="minorHAnsi" w:cs="Times New Roman"/>
      <w:color w:val="000000" w:themeColor="text1"/>
      <w:sz w:val="16"/>
      <w:szCs w:val="20"/>
      <w:lang w:eastAsia="en-AU"/>
    </w:rPr>
  </w:style>
  <w:style w:type="character" w:customStyle="1" w:styleId="FootnoteTextChar">
    <w:name w:val="Footnote Text Char"/>
    <w:basedOn w:val="DefaultParagraphFont"/>
    <w:link w:val="FootnoteText"/>
    <w:uiPriority w:val="99"/>
    <w:rsid w:val="00262A91"/>
    <w:rPr>
      <w:sz w:val="16"/>
    </w:rPr>
  </w:style>
  <w:style w:type="character" w:styleId="FootnoteReference">
    <w:name w:val="footnote reference"/>
    <w:basedOn w:val="DefaultParagraphFont"/>
    <w:uiPriority w:val="99"/>
    <w:rsid w:val="00617C92"/>
    <w:rPr>
      <w:vertAlign w:val="superscript"/>
    </w:rPr>
  </w:style>
  <w:style w:type="paragraph" w:customStyle="1" w:styleId="TableBodyTextBold">
    <w:name w:val="Table Body Text Bold"/>
    <w:basedOn w:val="TableBodyText"/>
    <w:qFormat/>
    <w:rsid w:val="00B752AC"/>
    <w:rPr>
      <w:rFonts w:asciiTheme="majorHAnsi" w:hAnsiTheme="majorHAnsi"/>
      <w:b/>
    </w:rPr>
  </w:style>
  <w:style w:type="paragraph" w:customStyle="1" w:styleId="PullOutBoxHeading">
    <w:name w:val="Pull Out Box Heading"/>
    <w:basedOn w:val="PullOutBoxBodyText"/>
    <w:next w:val="PullOutBoxBodyText"/>
    <w:qFormat/>
    <w:rsid w:val="004807F0"/>
    <w:rPr>
      <w:rFonts w:asciiTheme="majorHAnsi" w:hAnsiTheme="majorHAnsi"/>
      <w:b/>
    </w:rPr>
  </w:style>
  <w:style w:type="paragraph" w:customStyle="1" w:styleId="FigureSource">
    <w:name w:val="Figure Source"/>
    <w:basedOn w:val="Source"/>
    <w:next w:val="BodyText"/>
    <w:rsid w:val="00F67A1A"/>
    <w:pPr>
      <w:spacing w:after="120"/>
    </w:pPr>
  </w:style>
  <w:style w:type="table" w:styleId="LightGrid-Accent6">
    <w:name w:val="Light Grid Accent 6"/>
    <w:basedOn w:val="TableNormal"/>
    <w:uiPriority w:val="62"/>
    <w:rsid w:val="0095594E"/>
    <w:pPr>
      <w:spacing w:line="240" w:lineRule="auto"/>
    </w:pPr>
    <w:tblPr>
      <w:tblStyleRowBandSize w:val="1"/>
      <w:tblStyleColBandSize w:val="1"/>
      <w:tblBorders>
        <w:top w:val="single" w:sz="8" w:space="0" w:color="878686" w:themeColor="accent6"/>
        <w:left w:val="single" w:sz="8" w:space="0" w:color="878686" w:themeColor="accent6"/>
        <w:bottom w:val="single" w:sz="8" w:space="0" w:color="878686" w:themeColor="accent6"/>
        <w:right w:val="single" w:sz="8" w:space="0" w:color="878686" w:themeColor="accent6"/>
        <w:insideH w:val="single" w:sz="8" w:space="0" w:color="878686" w:themeColor="accent6"/>
        <w:insideV w:val="single" w:sz="8" w:space="0" w:color="87868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78686" w:themeColor="accent6"/>
          <w:left w:val="single" w:sz="8" w:space="0" w:color="878686" w:themeColor="accent6"/>
          <w:bottom w:val="single" w:sz="18" w:space="0" w:color="878686" w:themeColor="accent6"/>
          <w:right w:val="single" w:sz="8" w:space="0" w:color="878686" w:themeColor="accent6"/>
          <w:insideH w:val="nil"/>
          <w:insideV w:val="single" w:sz="8" w:space="0" w:color="87868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78686" w:themeColor="accent6"/>
          <w:left w:val="single" w:sz="8" w:space="0" w:color="878686" w:themeColor="accent6"/>
          <w:bottom w:val="single" w:sz="8" w:space="0" w:color="878686" w:themeColor="accent6"/>
          <w:right w:val="single" w:sz="8" w:space="0" w:color="878686" w:themeColor="accent6"/>
          <w:insideH w:val="nil"/>
          <w:insideV w:val="single" w:sz="8" w:space="0" w:color="87868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78686" w:themeColor="accent6"/>
          <w:left w:val="single" w:sz="8" w:space="0" w:color="878686" w:themeColor="accent6"/>
          <w:bottom w:val="single" w:sz="8" w:space="0" w:color="878686" w:themeColor="accent6"/>
          <w:right w:val="single" w:sz="8" w:space="0" w:color="878686" w:themeColor="accent6"/>
        </w:tcBorders>
      </w:tcPr>
    </w:tblStylePr>
    <w:tblStylePr w:type="band1Vert">
      <w:tblPr/>
      <w:tcPr>
        <w:tcBorders>
          <w:top w:val="single" w:sz="8" w:space="0" w:color="878686" w:themeColor="accent6"/>
          <w:left w:val="single" w:sz="8" w:space="0" w:color="878686" w:themeColor="accent6"/>
          <w:bottom w:val="single" w:sz="8" w:space="0" w:color="878686" w:themeColor="accent6"/>
          <w:right w:val="single" w:sz="8" w:space="0" w:color="878686" w:themeColor="accent6"/>
        </w:tcBorders>
        <w:shd w:val="clear" w:color="auto" w:fill="E1E1E1" w:themeFill="accent6" w:themeFillTint="3F"/>
      </w:tcPr>
    </w:tblStylePr>
    <w:tblStylePr w:type="band1Horz">
      <w:tblPr/>
      <w:tcPr>
        <w:tcBorders>
          <w:top w:val="single" w:sz="8" w:space="0" w:color="878686" w:themeColor="accent6"/>
          <w:left w:val="single" w:sz="8" w:space="0" w:color="878686" w:themeColor="accent6"/>
          <w:bottom w:val="single" w:sz="8" w:space="0" w:color="878686" w:themeColor="accent6"/>
          <w:right w:val="single" w:sz="8" w:space="0" w:color="878686" w:themeColor="accent6"/>
          <w:insideV w:val="single" w:sz="8" w:space="0" w:color="878686" w:themeColor="accent6"/>
        </w:tcBorders>
        <w:shd w:val="clear" w:color="auto" w:fill="E1E1E1" w:themeFill="accent6" w:themeFillTint="3F"/>
      </w:tcPr>
    </w:tblStylePr>
    <w:tblStylePr w:type="band2Horz">
      <w:tblPr/>
      <w:tcPr>
        <w:tcBorders>
          <w:top w:val="single" w:sz="8" w:space="0" w:color="878686" w:themeColor="accent6"/>
          <w:left w:val="single" w:sz="8" w:space="0" w:color="878686" w:themeColor="accent6"/>
          <w:bottom w:val="single" w:sz="8" w:space="0" w:color="878686" w:themeColor="accent6"/>
          <w:right w:val="single" w:sz="8" w:space="0" w:color="878686" w:themeColor="accent6"/>
          <w:insideV w:val="single" w:sz="8" w:space="0" w:color="878686" w:themeColor="accent6"/>
        </w:tcBorders>
      </w:tcPr>
    </w:tblStylePr>
  </w:style>
  <w:style w:type="character" w:customStyle="1" w:styleId="Bold">
    <w:name w:val="Bold"/>
    <w:rsid w:val="000946E4"/>
    <w:rPr>
      <w:b/>
    </w:rPr>
  </w:style>
  <w:style w:type="paragraph" w:styleId="NormalWeb">
    <w:name w:val="Normal (Web)"/>
    <w:basedOn w:val="Normal"/>
    <w:uiPriority w:val="99"/>
    <w:unhideWhenUsed/>
    <w:rsid w:val="00B93EA8"/>
    <w:pPr>
      <w:spacing w:before="100" w:beforeAutospacing="1" w:after="100" w:afterAutospacing="1"/>
    </w:pPr>
    <w:rPr>
      <w:rFonts w:asciiTheme="minorHAnsi" w:eastAsiaTheme="minorEastAsia" w:hAnsiTheme="minorHAnsi" w:cs="Times New Roman"/>
      <w:color w:val="000000" w:themeColor="text1"/>
      <w:sz w:val="20"/>
      <w:lang w:eastAsia="en-AU"/>
    </w:rPr>
  </w:style>
  <w:style w:type="paragraph" w:customStyle="1" w:styleId="StyleSourceAfter6pt">
    <w:name w:val="Style Source + After:  6 pt"/>
    <w:basedOn w:val="Source"/>
    <w:rsid w:val="00335083"/>
    <w:pPr>
      <w:spacing w:after="120"/>
      <w:ind w:left="567" w:hanging="567"/>
    </w:pPr>
  </w:style>
  <w:style w:type="character" w:customStyle="1" w:styleId="MySuperscriptItalics">
    <w:name w:val="MySuperscript&amp;Italics"/>
    <w:semiHidden/>
    <w:rsid w:val="00BF5582"/>
    <w:rPr>
      <w:b w:val="0"/>
      <w:i/>
      <w:vertAlign w:val="superscript"/>
    </w:rPr>
  </w:style>
  <w:style w:type="character" w:customStyle="1" w:styleId="MySubscriptItalics">
    <w:name w:val="MySubscript&amp;Italics"/>
    <w:semiHidden/>
    <w:rsid w:val="00BF5582"/>
    <w:rPr>
      <w:b w:val="0"/>
      <w:i/>
      <w:vertAlign w:val="subscript"/>
    </w:rPr>
  </w:style>
  <w:style w:type="character" w:customStyle="1" w:styleId="MySuperscript">
    <w:name w:val="MySuperscript"/>
    <w:semiHidden/>
    <w:rsid w:val="00BF5582"/>
    <w:rPr>
      <w:b w:val="0"/>
      <w:i w:val="0"/>
      <w:vertAlign w:val="superscript"/>
    </w:rPr>
  </w:style>
  <w:style w:type="character" w:customStyle="1" w:styleId="MySubscript">
    <w:name w:val="MySubscript"/>
    <w:semiHidden/>
    <w:rsid w:val="00BF5582"/>
    <w:rPr>
      <w:b w:val="0"/>
      <w:i w:val="0"/>
      <w:vertAlign w:val="subscript"/>
    </w:rPr>
  </w:style>
  <w:style w:type="character" w:customStyle="1" w:styleId="BoldAndItalics">
    <w:name w:val="Bold And Italics"/>
    <w:rsid w:val="00BF5582"/>
    <w:rPr>
      <w:b/>
      <w:i/>
      <w:vertAlign w:val="baseline"/>
    </w:rPr>
  </w:style>
  <w:style w:type="character" w:customStyle="1" w:styleId="Italics">
    <w:name w:val="Italics"/>
    <w:rsid w:val="00BF5582"/>
    <w:rPr>
      <w:b w:val="0"/>
      <w:i/>
      <w:vertAlign w:val="baseline"/>
    </w:rPr>
  </w:style>
  <w:style w:type="table" w:customStyle="1" w:styleId="PullOutBox">
    <w:name w:val="Pull Out Box"/>
    <w:basedOn w:val="TableNormal"/>
    <w:uiPriority w:val="99"/>
    <w:rsid w:val="003C34DF"/>
    <w:pPr>
      <w:spacing w:line="240" w:lineRule="auto"/>
    </w:pPr>
    <w:tblPr>
      <w:tblBorders>
        <w:top w:val="single" w:sz="4" w:space="0" w:color="277BB4" w:themeColor="text2"/>
        <w:left w:val="single" w:sz="4" w:space="0" w:color="277BB4" w:themeColor="text2"/>
        <w:bottom w:val="single" w:sz="4" w:space="0" w:color="277BB4" w:themeColor="text2"/>
        <w:right w:val="single" w:sz="4" w:space="0" w:color="277BB4" w:themeColor="text2"/>
      </w:tblBorders>
      <w:tblCellMar>
        <w:top w:w="113" w:type="dxa"/>
        <w:left w:w="0" w:type="dxa"/>
        <w:bottom w:w="113" w:type="dxa"/>
        <w:right w:w="0" w:type="dxa"/>
      </w:tblCellMar>
    </w:tblPr>
    <w:tcPr>
      <w:shd w:val="clear" w:color="auto" w:fill="auto"/>
    </w:tcPr>
  </w:style>
  <w:style w:type="paragraph" w:customStyle="1" w:styleId="PullOutBoxBullet2">
    <w:name w:val="Pull Out Box Bullet 2"/>
    <w:basedOn w:val="Normal"/>
    <w:rsid w:val="004807F0"/>
    <w:pPr>
      <w:numPr>
        <w:ilvl w:val="1"/>
        <w:numId w:val="16"/>
      </w:numPr>
      <w:spacing w:line="288" w:lineRule="auto"/>
    </w:pPr>
    <w:rPr>
      <w:rFonts w:asciiTheme="minorHAnsi" w:hAnsiTheme="minorHAnsi" w:cs="Times New Roman"/>
      <w:color w:val="000000" w:themeColor="text1"/>
      <w:sz w:val="20"/>
      <w:szCs w:val="20"/>
      <w:lang w:eastAsia="en-AU"/>
    </w:rPr>
  </w:style>
  <w:style w:type="paragraph" w:customStyle="1" w:styleId="TableBodyTextRight">
    <w:name w:val="Table Body Text Right"/>
    <w:basedOn w:val="TableBodyText"/>
    <w:qFormat/>
    <w:rsid w:val="00A34DDF"/>
    <w:pPr>
      <w:jc w:val="right"/>
    </w:pPr>
  </w:style>
  <w:style w:type="table" w:customStyle="1" w:styleId="TableAMinimalLines">
    <w:name w:val="Table A Minimal Lines"/>
    <w:basedOn w:val="TableNormal"/>
    <w:uiPriority w:val="99"/>
    <w:rsid w:val="003C34DF"/>
    <w:pPr>
      <w:ind w:left="28" w:right="113"/>
    </w:pPr>
    <w:rPr>
      <w:sz w:val="18"/>
    </w:rPr>
    <w:tblPr>
      <w:tblBorders>
        <w:top w:val="single" w:sz="4" w:space="0" w:color="277BB4" w:themeColor="text2"/>
        <w:bottom w:val="single" w:sz="4" w:space="0" w:color="277BB4" w:themeColor="text2"/>
      </w:tblBorders>
      <w:tblCellMar>
        <w:top w:w="57" w:type="dxa"/>
        <w:left w:w="0" w:type="dxa"/>
        <w:bottom w:w="28" w:type="dxa"/>
        <w:right w:w="0" w:type="dxa"/>
      </w:tblCellMar>
    </w:tblPr>
    <w:trPr>
      <w:cantSplit/>
    </w:trPr>
    <w:tblStylePr w:type="firstRow">
      <w:pPr>
        <w:keepNext/>
        <w:wordWrap/>
        <w:jc w:val="left"/>
      </w:pPr>
      <w:rPr>
        <w:b w:val="0"/>
        <w:color w:val="auto"/>
      </w:rPr>
      <w:tblPr/>
      <w:trPr>
        <w:cantSplit w:val="0"/>
        <w:tblHeader/>
      </w:trPr>
      <w:tcPr>
        <w:tcBorders>
          <w:top w:val="single" w:sz="4" w:space="0" w:color="277BB4" w:themeColor="text2"/>
          <w:left w:val="nil"/>
          <w:bottom w:val="single" w:sz="4" w:space="0" w:color="277BB4" w:themeColor="text2"/>
          <w:right w:val="nil"/>
          <w:insideH w:val="nil"/>
          <w:insideV w:val="nil"/>
          <w:tl2br w:val="nil"/>
          <w:tr2bl w:val="nil"/>
        </w:tcBorders>
        <w:vAlign w:val="bottom"/>
      </w:tcPr>
    </w:tblStylePr>
    <w:tblStylePr w:type="firstCol">
      <w:pPr>
        <w:jc w:val="left"/>
      </w:pPr>
    </w:tblStylePr>
    <w:tblStylePr w:type="nwCell">
      <w:pPr>
        <w:jc w:val="left"/>
      </w:pPr>
      <w:tblPr/>
      <w:tcPr>
        <w:vAlign w:val="center"/>
      </w:tcPr>
    </w:tblStylePr>
  </w:style>
  <w:style w:type="table" w:styleId="Table3Deffects1">
    <w:name w:val="Table 3D effects 1"/>
    <w:basedOn w:val="TableNormal"/>
    <w:rsid w:val="00037589"/>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MyBoldItalicsUnderline">
    <w:name w:val="MyBoldItalicsUnderline"/>
    <w:semiHidden/>
    <w:rsid w:val="00B3393F"/>
    <w:rPr>
      <w:b/>
      <w:i/>
      <w:u w:val="single"/>
      <w:vertAlign w:val="baseline"/>
    </w:rPr>
  </w:style>
  <w:style w:type="character" w:customStyle="1" w:styleId="MyBoldUnderline">
    <w:name w:val="MyBoldUnderline"/>
    <w:semiHidden/>
    <w:rsid w:val="00B3393F"/>
    <w:rPr>
      <w:b/>
      <w:i/>
      <w:u w:val="single"/>
      <w:vertAlign w:val="baseline"/>
    </w:rPr>
  </w:style>
  <w:style w:type="character" w:customStyle="1" w:styleId="MyItalicsUnderline">
    <w:name w:val="MyItalicsUnderline"/>
    <w:semiHidden/>
    <w:rsid w:val="00B3393F"/>
    <w:rPr>
      <w:b/>
      <w:i/>
      <w:u w:val="single"/>
      <w:vertAlign w:val="baseline"/>
    </w:rPr>
  </w:style>
  <w:style w:type="character" w:customStyle="1" w:styleId="MyUnderline">
    <w:name w:val="MyUnderline"/>
    <w:semiHidden/>
    <w:rsid w:val="00B3393F"/>
    <w:rPr>
      <w:b w:val="0"/>
      <w:i w:val="0"/>
      <w:u w:val="single"/>
      <w:vertAlign w:val="baseline"/>
    </w:rPr>
  </w:style>
  <w:style w:type="paragraph" w:customStyle="1" w:styleId="ReferenceText">
    <w:name w:val="Reference Text"/>
    <w:basedOn w:val="BodyText"/>
    <w:qFormat/>
    <w:rsid w:val="00F25E60"/>
    <w:pPr>
      <w:spacing w:before="120" w:after="120"/>
      <w:ind w:left="425" w:hanging="425"/>
    </w:pPr>
  </w:style>
  <w:style w:type="paragraph" w:customStyle="1" w:styleId="BodyTextSmall">
    <w:name w:val="Body Text Small"/>
    <w:basedOn w:val="Normal"/>
    <w:qFormat/>
    <w:rsid w:val="00F25E60"/>
    <w:pPr>
      <w:spacing w:before="120" w:after="120" w:line="288" w:lineRule="auto"/>
    </w:pPr>
    <w:rPr>
      <w:rFonts w:asciiTheme="minorHAnsi" w:hAnsiTheme="minorHAnsi" w:cs="Times New Roman"/>
      <w:color w:val="000000" w:themeColor="text1"/>
      <w:sz w:val="18"/>
      <w:szCs w:val="20"/>
      <w:lang w:eastAsia="en-AU"/>
    </w:rPr>
  </w:style>
  <w:style w:type="paragraph" w:customStyle="1" w:styleId="PullOutBoxBullet3">
    <w:name w:val="Pull Out Box Bullet 3"/>
    <w:basedOn w:val="BodyText"/>
    <w:rsid w:val="004807F0"/>
    <w:pPr>
      <w:numPr>
        <w:ilvl w:val="2"/>
        <w:numId w:val="16"/>
      </w:numPr>
      <w:spacing w:before="120" w:after="120" w:line="240" w:lineRule="auto"/>
    </w:pPr>
  </w:style>
  <w:style w:type="paragraph" w:customStyle="1" w:styleId="PullOutBoxNumber">
    <w:name w:val="Pull Out Box Number"/>
    <w:basedOn w:val="PullOutBoxBodyText"/>
    <w:qFormat/>
    <w:rsid w:val="004807F0"/>
    <w:pPr>
      <w:numPr>
        <w:numId w:val="17"/>
      </w:numPr>
      <w:spacing w:line="240" w:lineRule="auto"/>
    </w:pPr>
  </w:style>
  <w:style w:type="paragraph" w:customStyle="1" w:styleId="PullOutBoxNumber2">
    <w:name w:val="Pull Out Box Number 2"/>
    <w:basedOn w:val="PullOutBoxBodyText"/>
    <w:qFormat/>
    <w:rsid w:val="004807F0"/>
    <w:pPr>
      <w:numPr>
        <w:ilvl w:val="1"/>
        <w:numId w:val="17"/>
      </w:numPr>
    </w:pPr>
  </w:style>
  <w:style w:type="paragraph" w:customStyle="1" w:styleId="PullOutBoxNumber3">
    <w:name w:val="Pull Out Box Number 3"/>
    <w:basedOn w:val="PullOutBoxBodyText"/>
    <w:qFormat/>
    <w:rsid w:val="004807F0"/>
    <w:pPr>
      <w:numPr>
        <w:ilvl w:val="2"/>
        <w:numId w:val="17"/>
      </w:numPr>
      <w:spacing w:line="240" w:lineRule="auto"/>
    </w:pPr>
  </w:style>
  <w:style w:type="numbering" w:customStyle="1" w:styleId="PullOutBoxNumbering">
    <w:name w:val="Pull Out Box Numbering"/>
    <w:uiPriority w:val="99"/>
    <w:rsid w:val="004807F0"/>
    <w:pPr>
      <w:numPr>
        <w:numId w:val="14"/>
      </w:numPr>
    </w:pPr>
  </w:style>
  <w:style w:type="paragraph" w:customStyle="1" w:styleId="PhotoCredit">
    <w:name w:val="Photo Credit"/>
    <w:basedOn w:val="BodyText"/>
    <w:qFormat/>
    <w:rsid w:val="00662E98"/>
    <w:pPr>
      <w:spacing w:before="40" w:after="280" w:line="180" w:lineRule="atLeast"/>
    </w:pPr>
    <w:rPr>
      <w:i/>
      <w:sz w:val="16"/>
    </w:rPr>
  </w:style>
  <w:style w:type="paragraph" w:customStyle="1" w:styleId="BodyTextBold">
    <w:name w:val="Body Text Bold"/>
    <w:basedOn w:val="BodyText"/>
    <w:qFormat/>
    <w:rsid w:val="003667EB"/>
    <w:rPr>
      <w:b/>
    </w:rPr>
  </w:style>
  <w:style w:type="paragraph" w:customStyle="1" w:styleId="BodyTextItalics">
    <w:name w:val="Body Text Italics"/>
    <w:basedOn w:val="BodyText"/>
    <w:qFormat/>
    <w:rsid w:val="003667EB"/>
    <w:rPr>
      <w:i/>
    </w:rPr>
  </w:style>
  <w:style w:type="paragraph" w:customStyle="1" w:styleId="ListAlpha">
    <w:name w:val="List Alpha"/>
    <w:basedOn w:val="Normal"/>
    <w:qFormat/>
    <w:rsid w:val="00D02C00"/>
    <w:pPr>
      <w:numPr>
        <w:numId w:val="15"/>
      </w:numPr>
      <w:spacing w:before="120" w:after="120" w:line="288" w:lineRule="auto"/>
    </w:pPr>
    <w:rPr>
      <w:rFonts w:asciiTheme="minorHAnsi" w:hAnsiTheme="minorHAnsi" w:cs="Times New Roman"/>
      <w:color w:val="000000" w:themeColor="text1"/>
      <w:sz w:val="20"/>
      <w:szCs w:val="20"/>
      <w:lang w:eastAsia="en-AU"/>
    </w:rPr>
  </w:style>
  <w:style w:type="paragraph" w:customStyle="1" w:styleId="ListAlpha2">
    <w:name w:val="List Alpha 2"/>
    <w:basedOn w:val="Normal"/>
    <w:qFormat/>
    <w:rsid w:val="00D02C00"/>
    <w:pPr>
      <w:numPr>
        <w:ilvl w:val="1"/>
        <w:numId w:val="15"/>
      </w:numPr>
      <w:spacing w:before="120" w:after="120" w:line="288" w:lineRule="auto"/>
    </w:pPr>
    <w:rPr>
      <w:rFonts w:asciiTheme="minorHAnsi" w:hAnsiTheme="minorHAnsi" w:cs="Times New Roman"/>
      <w:color w:val="000000" w:themeColor="text1"/>
      <w:sz w:val="20"/>
      <w:szCs w:val="20"/>
      <w:lang w:eastAsia="en-AU"/>
    </w:rPr>
  </w:style>
  <w:style w:type="paragraph" w:customStyle="1" w:styleId="ListAlpha3">
    <w:name w:val="List Alpha 3"/>
    <w:basedOn w:val="Normal"/>
    <w:qFormat/>
    <w:rsid w:val="00D02C00"/>
    <w:pPr>
      <w:numPr>
        <w:ilvl w:val="2"/>
        <w:numId w:val="15"/>
      </w:numPr>
      <w:spacing w:before="120" w:after="120" w:line="288" w:lineRule="auto"/>
    </w:pPr>
    <w:rPr>
      <w:rFonts w:asciiTheme="minorHAnsi" w:hAnsiTheme="minorHAnsi" w:cs="Times New Roman"/>
      <w:color w:val="000000" w:themeColor="text1"/>
      <w:sz w:val="20"/>
      <w:szCs w:val="20"/>
      <w:lang w:eastAsia="en-AU"/>
    </w:rPr>
  </w:style>
  <w:style w:type="paragraph" w:customStyle="1" w:styleId="FooterPageNumber">
    <w:name w:val="Footer Page Number"/>
    <w:basedOn w:val="Footer"/>
    <w:rsid w:val="007D62D8"/>
    <w:pPr>
      <w:jc w:val="right"/>
    </w:pPr>
    <w:rPr>
      <w:rFonts w:ascii="Arial" w:hAnsi="Arial"/>
      <w:color w:val="000000"/>
    </w:rPr>
  </w:style>
  <w:style w:type="paragraph" w:customStyle="1" w:styleId="HeaderCoverPage">
    <w:name w:val="Header Cover Page"/>
    <w:basedOn w:val="Header"/>
    <w:next w:val="BodyText"/>
    <w:uiPriority w:val="99"/>
    <w:rsid w:val="00E526EB"/>
    <w:pPr>
      <w:spacing w:after="2640"/>
      <w:jc w:val="right"/>
    </w:pPr>
  </w:style>
  <w:style w:type="paragraph" w:customStyle="1" w:styleId="HighlightBoxBodyText">
    <w:name w:val="Highlight Box Body Text"/>
    <w:basedOn w:val="BodyText"/>
    <w:qFormat/>
    <w:rsid w:val="006755F5"/>
    <w:pPr>
      <w:pBdr>
        <w:top w:val="single" w:sz="4" w:space="12" w:color="F4F8FB"/>
        <w:left w:val="single" w:sz="4" w:space="12" w:color="F4F8FB"/>
        <w:bottom w:val="single" w:sz="4" w:space="12" w:color="F4F8FB"/>
        <w:right w:val="single" w:sz="4" w:space="12" w:color="F4F8FB"/>
      </w:pBdr>
      <w:shd w:val="clear" w:color="auto" w:fill="F4F8FB"/>
      <w:spacing w:before="120" w:after="120"/>
      <w:ind w:left="284" w:right="284"/>
    </w:pPr>
  </w:style>
  <w:style w:type="paragraph" w:customStyle="1" w:styleId="HighlightBoxBullet">
    <w:name w:val="Highlight Box Bullet"/>
    <w:basedOn w:val="HighlightBoxBodyText"/>
    <w:qFormat/>
    <w:rsid w:val="006755F5"/>
    <w:pPr>
      <w:numPr>
        <w:numId w:val="18"/>
      </w:numPr>
      <w:ind w:left="681" w:hanging="397"/>
    </w:pPr>
  </w:style>
  <w:style w:type="paragraph" w:customStyle="1" w:styleId="NoteText">
    <w:name w:val="Note Text"/>
    <w:basedOn w:val="BodyText"/>
    <w:qFormat/>
    <w:rsid w:val="00065F04"/>
    <w:pPr>
      <w:spacing w:before="60" w:after="60"/>
    </w:pPr>
    <w:rPr>
      <w:sz w:val="16"/>
    </w:rPr>
  </w:style>
  <w:style w:type="paragraph" w:styleId="Quote">
    <w:name w:val="Quote"/>
    <w:basedOn w:val="Normal"/>
    <w:link w:val="QuoteChar"/>
    <w:qFormat/>
    <w:rsid w:val="00693432"/>
    <w:pPr>
      <w:tabs>
        <w:tab w:val="left" w:pos="1134"/>
        <w:tab w:val="left" w:pos="1701"/>
        <w:tab w:val="left" w:pos="2268"/>
        <w:tab w:val="left" w:pos="2835"/>
        <w:tab w:val="left" w:pos="3402"/>
        <w:tab w:val="left" w:pos="3969"/>
        <w:tab w:val="left" w:pos="4536"/>
      </w:tabs>
      <w:spacing w:before="120" w:after="120" w:line="288" w:lineRule="auto"/>
      <w:ind w:left="567" w:right="567"/>
      <w:jc w:val="both"/>
    </w:pPr>
    <w:rPr>
      <w:rFonts w:asciiTheme="minorHAnsi" w:hAnsiTheme="minorHAnsi"/>
      <w:iCs/>
      <w:sz w:val="20"/>
      <w:szCs w:val="18"/>
      <w:lang w:eastAsia="en-AU"/>
    </w:rPr>
  </w:style>
  <w:style w:type="character" w:customStyle="1" w:styleId="QuoteChar">
    <w:name w:val="Quote Char"/>
    <w:basedOn w:val="DefaultParagraphFont"/>
    <w:link w:val="Quote"/>
    <w:rsid w:val="00693432"/>
    <w:rPr>
      <w:rFonts w:cs="Arial"/>
      <w:iCs/>
      <w:color w:val="auto"/>
      <w:szCs w:val="18"/>
    </w:rPr>
  </w:style>
  <w:style w:type="paragraph" w:customStyle="1" w:styleId="QuoteBullet">
    <w:name w:val="Quote Bullet"/>
    <w:basedOn w:val="Quote"/>
    <w:qFormat/>
    <w:rsid w:val="00693432"/>
    <w:pPr>
      <w:numPr>
        <w:numId w:val="19"/>
      </w:numPr>
    </w:pPr>
  </w:style>
  <w:style w:type="paragraph" w:customStyle="1" w:styleId="QuoteBullet2">
    <w:name w:val="Quote Bullet 2"/>
    <w:basedOn w:val="Quote"/>
    <w:qFormat/>
    <w:rsid w:val="00693432"/>
    <w:pPr>
      <w:numPr>
        <w:ilvl w:val="1"/>
        <w:numId w:val="19"/>
      </w:numPr>
    </w:pPr>
  </w:style>
  <w:style w:type="paragraph" w:customStyle="1" w:styleId="QuoteHangingIndent1">
    <w:name w:val="Quote Hanging Indent 1"/>
    <w:basedOn w:val="Quote"/>
    <w:qFormat/>
    <w:rsid w:val="00693432"/>
    <w:pPr>
      <w:ind w:left="1134" w:hanging="567"/>
    </w:pPr>
  </w:style>
  <w:style w:type="paragraph" w:customStyle="1" w:styleId="QuoteHangingIndent2">
    <w:name w:val="Quote Hanging Indent 2"/>
    <w:basedOn w:val="QuoteHangingIndent1"/>
    <w:qFormat/>
    <w:rsid w:val="00693432"/>
    <w:pPr>
      <w:tabs>
        <w:tab w:val="clear" w:pos="1134"/>
      </w:tabs>
      <w:ind w:left="1701"/>
    </w:pPr>
  </w:style>
  <w:style w:type="paragraph" w:customStyle="1" w:styleId="QuoteHangingIndent3">
    <w:name w:val="Quote Hanging Indent 3"/>
    <w:basedOn w:val="QuoteHangingIndent2"/>
    <w:qFormat/>
    <w:rsid w:val="00693432"/>
    <w:pPr>
      <w:tabs>
        <w:tab w:val="clear" w:pos="1701"/>
      </w:tabs>
      <w:ind w:left="2268"/>
    </w:pPr>
  </w:style>
  <w:style w:type="paragraph" w:styleId="EndnoteText">
    <w:name w:val="endnote text"/>
    <w:basedOn w:val="Normal"/>
    <w:link w:val="EndnoteTextChar"/>
    <w:rsid w:val="0032656F"/>
    <w:rPr>
      <w:rFonts w:asciiTheme="minorHAnsi" w:hAnsiTheme="minorHAnsi" w:cs="Times New Roman"/>
      <w:color w:val="000000" w:themeColor="text1"/>
      <w:sz w:val="20"/>
      <w:szCs w:val="20"/>
      <w:lang w:eastAsia="en-AU"/>
    </w:rPr>
  </w:style>
  <w:style w:type="character" w:customStyle="1" w:styleId="EndnoteTextChar">
    <w:name w:val="Endnote Text Char"/>
    <w:basedOn w:val="DefaultParagraphFont"/>
    <w:link w:val="EndnoteText"/>
    <w:rsid w:val="0032656F"/>
  </w:style>
  <w:style w:type="character" w:styleId="EndnoteReference">
    <w:name w:val="endnote reference"/>
    <w:basedOn w:val="DefaultParagraphFont"/>
    <w:rsid w:val="0032656F"/>
    <w:rPr>
      <w:vertAlign w:val="superscript"/>
    </w:rPr>
  </w:style>
  <w:style w:type="character" w:customStyle="1" w:styleId="apple-converted-space">
    <w:name w:val="apple-converted-space"/>
    <w:basedOn w:val="DefaultParagraphFont"/>
    <w:rsid w:val="00B3127D"/>
  </w:style>
  <w:style w:type="character" w:customStyle="1" w:styleId="ilfuvd">
    <w:name w:val="ilfuvd"/>
    <w:basedOn w:val="DefaultParagraphFont"/>
    <w:rsid w:val="00B3127D"/>
  </w:style>
  <w:style w:type="character" w:styleId="BookTitle">
    <w:name w:val="Book Title"/>
    <w:basedOn w:val="DefaultParagraphFont"/>
    <w:uiPriority w:val="33"/>
    <w:qFormat/>
    <w:rsid w:val="0066358A"/>
    <w:rPr>
      <w:b/>
      <w:bCs/>
      <w:i/>
      <w:iCs/>
      <w:spacing w:val="5"/>
    </w:rPr>
  </w:style>
  <w:style w:type="character" w:styleId="CommentReference">
    <w:name w:val="annotation reference"/>
    <w:basedOn w:val="DefaultParagraphFont"/>
    <w:uiPriority w:val="99"/>
    <w:semiHidden/>
    <w:unhideWhenUsed/>
    <w:rsid w:val="00574250"/>
    <w:rPr>
      <w:sz w:val="16"/>
      <w:szCs w:val="16"/>
    </w:rPr>
  </w:style>
  <w:style w:type="character" w:styleId="Emphasis">
    <w:name w:val="Emphasis"/>
    <w:basedOn w:val="DefaultParagraphFont"/>
    <w:uiPriority w:val="20"/>
    <w:qFormat/>
    <w:rsid w:val="003C6A91"/>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imes New Roman"/>
        <w:color w:val="000000" w:themeColor="text1"/>
        <w:lang w:val="en-AU" w:eastAsia="en-AU" w:bidi="ar-SA"/>
      </w:rPr>
    </w:rPrDefault>
    <w:pPrDefault>
      <w:pPr>
        <w:spacing w:line="288"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semiHidden="0" w:unhideWhenUsed="0" w:qFormat="1"/>
    <w:lsdException w:name="heading 6" w:qFormat="1"/>
    <w:lsdException w:name="heading 7" w:qFormat="1"/>
    <w:lsdException w:name="heading 8" w:uiPriority="3" w:qFormat="1"/>
    <w:lsdException w:name="heading 9" w:uiPriority="3" w:qFormat="1"/>
    <w:lsdException w:name="toc 1" w:uiPriority="39"/>
    <w:lsdException w:name="toc 2" w:uiPriority="39"/>
    <w:lsdException w:name="toc 3" w:uiPriority="39"/>
    <w:lsdException w:name="toc 4" w:uiPriority="39"/>
    <w:lsdException w:name="toc 5" w:uiPriority="39"/>
    <w:lsdException w:name="toc 6"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qFormat="1"/>
    <w:lsdException w:name="table of figures" w:uiPriority="99"/>
    <w:lsdException w:name="footnote reference" w:uiPriority="99"/>
    <w:lsdException w:name="annotation reference" w:uiPriority="99"/>
    <w:lsdException w:name="List Bullet" w:qFormat="1"/>
    <w:lsdException w:name="List Number" w:semiHidden="0" w:unhideWhenUsed="0" w:qFormat="1"/>
    <w:lsdException w:name="List 4" w:semiHidden="0" w:unhideWhenUsed="0"/>
    <w:lsdException w:name="List 5" w:semiHidden="0" w:unhideWhenUsed="0"/>
    <w:lsdException w:name="List Bullet 2" w:qFormat="1"/>
    <w:lsdException w:name="List Bullet 3" w:qFormat="1"/>
    <w:lsdException w:name="List Number 2" w:qFormat="1"/>
    <w:lsdException w:name="List Number 3" w:qFormat="1"/>
    <w:lsdException w:name="Title" w:semiHidden="0" w:uiPriority="99" w:unhideWhenUsed="0"/>
    <w:lsdException w:name="Default Paragraph Font" w:uiPriority="1"/>
    <w:lsdException w:name="Body Text" w:qFormat="1"/>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99" w:unhideWhenUsed="0"/>
    <w:lsdException w:name="Emphasis" w:semiHidden="0" w:uiPriority="20" w:unhideWhenUsed="0" w:qFormat="1"/>
    <w:lsdException w:name="Normal (Web)" w:uiPriority="99"/>
    <w:lsdException w:name="annotation subject"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9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1C46"/>
    <w:pPr>
      <w:spacing w:line="240" w:lineRule="auto"/>
    </w:pPr>
    <w:rPr>
      <w:rFonts w:ascii="Arial" w:hAnsi="Arial" w:cs="Arial"/>
      <w:color w:val="auto"/>
      <w:sz w:val="24"/>
      <w:szCs w:val="24"/>
      <w:lang w:eastAsia="en-US"/>
    </w:rPr>
  </w:style>
  <w:style w:type="paragraph" w:styleId="Heading1">
    <w:name w:val="heading 1"/>
    <w:basedOn w:val="Normal"/>
    <w:next w:val="BodyText"/>
    <w:link w:val="Heading1Char"/>
    <w:qFormat/>
    <w:rsid w:val="00AD3E68"/>
    <w:pPr>
      <w:keepNext/>
      <w:keepLines/>
      <w:pageBreakBefore/>
      <w:numPr>
        <w:numId w:val="12"/>
      </w:numPr>
      <w:spacing w:after="400" w:line="276" w:lineRule="auto"/>
      <w:outlineLvl w:val="0"/>
    </w:pPr>
    <w:rPr>
      <w:rFonts w:asciiTheme="majorHAnsi" w:eastAsiaTheme="majorEastAsia" w:hAnsiTheme="majorHAnsi" w:cstheme="majorBidi"/>
      <w:bCs/>
      <w:color w:val="277BB4" w:themeColor="text2"/>
      <w:spacing w:val="-10"/>
      <w:sz w:val="38"/>
      <w:szCs w:val="32"/>
      <w:lang w:eastAsia="en-AU"/>
    </w:rPr>
  </w:style>
  <w:style w:type="paragraph" w:styleId="Heading2">
    <w:name w:val="heading 2"/>
    <w:basedOn w:val="Normal"/>
    <w:next w:val="BodyText"/>
    <w:link w:val="Heading2Char"/>
    <w:qFormat/>
    <w:rsid w:val="006008FF"/>
    <w:pPr>
      <w:keepNext/>
      <w:keepLines/>
      <w:numPr>
        <w:ilvl w:val="1"/>
        <w:numId w:val="12"/>
      </w:numPr>
      <w:spacing w:before="360" w:after="200" w:line="288" w:lineRule="auto"/>
      <w:outlineLvl w:val="1"/>
    </w:pPr>
    <w:rPr>
      <w:rFonts w:asciiTheme="majorHAnsi" w:eastAsiaTheme="majorEastAsia" w:hAnsiTheme="majorHAnsi" w:cstheme="majorBidi"/>
      <w:b/>
      <w:bCs/>
      <w:color w:val="277BB4" w:themeColor="text2"/>
      <w:szCs w:val="26"/>
      <w:lang w:eastAsia="en-AU"/>
    </w:rPr>
  </w:style>
  <w:style w:type="paragraph" w:styleId="Heading3">
    <w:name w:val="heading 3"/>
    <w:basedOn w:val="Normal"/>
    <w:next w:val="BodyText"/>
    <w:link w:val="Heading3Char"/>
    <w:unhideWhenUsed/>
    <w:qFormat/>
    <w:rsid w:val="00654CCE"/>
    <w:pPr>
      <w:keepNext/>
      <w:keepLines/>
      <w:numPr>
        <w:ilvl w:val="2"/>
        <w:numId w:val="12"/>
      </w:numPr>
      <w:spacing w:before="360" w:after="200" w:line="288" w:lineRule="auto"/>
      <w:outlineLvl w:val="2"/>
    </w:pPr>
    <w:rPr>
      <w:rFonts w:asciiTheme="majorHAnsi" w:eastAsiaTheme="majorEastAsia" w:hAnsiTheme="majorHAnsi" w:cstheme="majorBidi"/>
      <w:b/>
      <w:bCs/>
      <w:sz w:val="22"/>
      <w:szCs w:val="20"/>
      <w:lang w:eastAsia="en-AU"/>
    </w:rPr>
  </w:style>
  <w:style w:type="paragraph" w:styleId="Heading4">
    <w:name w:val="heading 4"/>
    <w:basedOn w:val="Normal"/>
    <w:next w:val="BodyText"/>
    <w:link w:val="Heading4Char"/>
    <w:unhideWhenUsed/>
    <w:qFormat/>
    <w:rsid w:val="006008FF"/>
    <w:pPr>
      <w:keepNext/>
      <w:keepLines/>
      <w:numPr>
        <w:ilvl w:val="3"/>
        <w:numId w:val="12"/>
      </w:numPr>
      <w:spacing w:before="360" w:after="200" w:line="288" w:lineRule="auto"/>
      <w:outlineLvl w:val="3"/>
    </w:pPr>
    <w:rPr>
      <w:rFonts w:asciiTheme="minorHAnsi" w:eastAsiaTheme="majorEastAsia" w:hAnsiTheme="minorHAnsi" w:cstheme="majorBidi"/>
      <w:b/>
      <w:bCs/>
      <w:iCs/>
      <w:sz w:val="20"/>
      <w:szCs w:val="20"/>
      <w:lang w:eastAsia="en-AU"/>
    </w:rPr>
  </w:style>
  <w:style w:type="paragraph" w:styleId="Heading5">
    <w:name w:val="heading 5"/>
    <w:basedOn w:val="Normal"/>
    <w:next w:val="Normal"/>
    <w:link w:val="Heading5Char"/>
    <w:qFormat/>
    <w:rsid w:val="005C4F14"/>
    <w:pPr>
      <w:keepNext/>
      <w:keepLines/>
      <w:spacing w:before="240" w:after="60" w:line="288" w:lineRule="auto"/>
      <w:outlineLvl w:val="4"/>
    </w:pPr>
    <w:rPr>
      <w:rFonts w:asciiTheme="majorHAnsi" w:eastAsiaTheme="majorEastAsia" w:hAnsiTheme="majorHAnsi" w:cstheme="majorBidi"/>
      <w:b/>
      <w:color w:val="000000" w:themeColor="text1"/>
      <w:sz w:val="20"/>
      <w:szCs w:val="20"/>
      <w:lang w:eastAsia="en-AU"/>
    </w:rPr>
  </w:style>
  <w:style w:type="paragraph" w:styleId="Heading6">
    <w:name w:val="heading 6"/>
    <w:basedOn w:val="Normal"/>
    <w:next w:val="Normal"/>
    <w:link w:val="Heading6Char"/>
    <w:unhideWhenUsed/>
    <w:qFormat/>
    <w:rsid w:val="00F52A35"/>
    <w:pPr>
      <w:keepNext/>
      <w:keepLines/>
      <w:spacing w:before="200" w:line="276" w:lineRule="auto"/>
      <w:outlineLvl w:val="5"/>
    </w:pPr>
    <w:rPr>
      <w:rFonts w:asciiTheme="majorHAnsi" w:eastAsiaTheme="majorEastAsia" w:hAnsiTheme="majorHAnsi" w:cstheme="majorBidi"/>
      <w:i/>
      <w:iCs/>
      <w:color w:val="000000" w:themeColor="text1"/>
      <w:sz w:val="20"/>
      <w:szCs w:val="20"/>
    </w:rPr>
  </w:style>
  <w:style w:type="paragraph" w:styleId="Heading7">
    <w:name w:val="heading 7"/>
    <w:basedOn w:val="Normal"/>
    <w:next w:val="BodyText"/>
    <w:link w:val="Heading7Char"/>
    <w:semiHidden/>
    <w:unhideWhenUsed/>
    <w:qFormat/>
    <w:rsid w:val="00DD7311"/>
    <w:pPr>
      <w:keepNext/>
      <w:keepLines/>
      <w:pageBreakBefore/>
      <w:spacing w:afterLines="100" w:line="288" w:lineRule="auto"/>
      <w:outlineLvl w:val="6"/>
    </w:pPr>
    <w:rPr>
      <w:rFonts w:asciiTheme="majorHAnsi" w:eastAsiaTheme="majorEastAsia" w:hAnsiTheme="majorHAnsi" w:cstheme="majorBidi"/>
      <w:b/>
      <w:iCs/>
      <w:color w:val="000000" w:themeColor="text1"/>
      <w:sz w:val="20"/>
      <w:szCs w:val="20"/>
      <w:lang w:eastAsia="en-AU"/>
    </w:rPr>
  </w:style>
  <w:style w:type="paragraph" w:styleId="Heading8">
    <w:name w:val="heading 8"/>
    <w:aliases w:val="Appendix Title"/>
    <w:basedOn w:val="Normal"/>
    <w:next w:val="BodyText"/>
    <w:link w:val="Heading8Char"/>
    <w:uiPriority w:val="3"/>
    <w:qFormat/>
    <w:rsid w:val="00120CB6"/>
    <w:pPr>
      <w:keepNext/>
      <w:keepLines/>
      <w:pageBreakBefore/>
      <w:numPr>
        <w:numId w:val="11"/>
      </w:numPr>
      <w:spacing w:after="400"/>
      <w:outlineLvl w:val="7"/>
    </w:pPr>
    <w:rPr>
      <w:rFonts w:asciiTheme="majorHAnsi" w:eastAsiaTheme="majorEastAsia" w:hAnsiTheme="majorHAnsi" w:cstheme="majorBidi"/>
      <w:spacing w:val="-10"/>
      <w:sz w:val="38"/>
      <w:szCs w:val="20"/>
    </w:rPr>
  </w:style>
  <w:style w:type="paragraph" w:styleId="Heading9">
    <w:name w:val="heading 9"/>
    <w:aliases w:val="Appendix Heading 1"/>
    <w:basedOn w:val="Normal"/>
    <w:next w:val="BodyText"/>
    <w:link w:val="Heading9Char"/>
    <w:uiPriority w:val="3"/>
    <w:qFormat/>
    <w:rsid w:val="00A50D7E"/>
    <w:pPr>
      <w:keepNext/>
      <w:keepLines/>
      <w:numPr>
        <w:ilvl w:val="1"/>
        <w:numId w:val="11"/>
      </w:numPr>
      <w:tabs>
        <w:tab w:val="left" w:pos="1559"/>
        <w:tab w:val="left" w:pos="2126"/>
        <w:tab w:val="left" w:pos="2410"/>
        <w:tab w:val="right" w:pos="9639"/>
      </w:tabs>
      <w:spacing w:before="360" w:after="200" w:line="288" w:lineRule="auto"/>
      <w:outlineLvl w:val="8"/>
    </w:pPr>
    <w:rPr>
      <w:rFonts w:asciiTheme="majorHAnsi" w:hAnsiTheme="majorHAnsi"/>
      <w:b/>
      <w:color w:val="277BB4" w:themeColor="text2"/>
      <w:sz w:val="28"/>
      <w:szCs w:val="20"/>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InLineShape">
    <w:name w:val="xInLineShape"/>
    <w:basedOn w:val="BodyText"/>
    <w:next w:val="BodyText"/>
    <w:qFormat/>
    <w:rsid w:val="00F67A1A"/>
    <w:pPr>
      <w:keepNext/>
      <w:spacing w:before="120" w:after="0"/>
    </w:pPr>
  </w:style>
  <w:style w:type="paragraph" w:styleId="BodyText">
    <w:name w:val="Body Text"/>
    <w:basedOn w:val="Normal"/>
    <w:link w:val="BodyTextChar"/>
    <w:qFormat/>
    <w:rsid w:val="00CF1F74"/>
    <w:pPr>
      <w:tabs>
        <w:tab w:val="left" w:pos="2268"/>
        <w:tab w:val="left" w:pos="4536"/>
        <w:tab w:val="left" w:pos="6804"/>
        <w:tab w:val="right" w:pos="9638"/>
      </w:tabs>
      <w:spacing w:before="200" w:after="200" w:line="288" w:lineRule="auto"/>
    </w:pPr>
    <w:rPr>
      <w:rFonts w:asciiTheme="minorHAnsi" w:hAnsiTheme="minorHAnsi" w:cs="Times New Roman"/>
      <w:color w:val="000000" w:themeColor="text1"/>
      <w:sz w:val="20"/>
      <w:szCs w:val="20"/>
      <w:lang w:eastAsia="en-AU"/>
    </w:rPr>
  </w:style>
  <w:style w:type="character" w:customStyle="1" w:styleId="BodyTextChar">
    <w:name w:val="Body Text Char"/>
    <w:basedOn w:val="DefaultParagraphFont"/>
    <w:link w:val="BodyText"/>
    <w:rsid w:val="00CF1F74"/>
  </w:style>
  <w:style w:type="paragraph" w:customStyle="1" w:styleId="PullOutBoxBodyText">
    <w:name w:val="Pull Out Box Body Text"/>
    <w:basedOn w:val="BodyText"/>
    <w:qFormat/>
    <w:rsid w:val="004807F0"/>
    <w:pPr>
      <w:spacing w:before="120" w:after="120"/>
      <w:ind w:left="284" w:right="284"/>
    </w:pPr>
  </w:style>
  <w:style w:type="paragraph" w:styleId="BlockText">
    <w:name w:val="Block Text"/>
    <w:basedOn w:val="BodyText"/>
    <w:semiHidden/>
    <w:unhideWhenUsed/>
    <w:rsid w:val="00EF3AA0"/>
    <w:rPr>
      <w:rFonts w:eastAsiaTheme="minorEastAsia" w:cstheme="minorBidi"/>
      <w:iCs/>
    </w:rPr>
  </w:style>
  <w:style w:type="paragraph" w:styleId="Caption">
    <w:name w:val="caption"/>
    <w:basedOn w:val="Normal"/>
    <w:next w:val="BodyText"/>
    <w:qFormat/>
    <w:rsid w:val="0070077A"/>
    <w:pPr>
      <w:keepNext/>
      <w:keepLines/>
      <w:tabs>
        <w:tab w:val="left" w:pos="1276"/>
      </w:tabs>
      <w:spacing w:before="240" w:after="90"/>
      <w:ind w:left="1276" w:hanging="1276"/>
    </w:pPr>
    <w:rPr>
      <w:rFonts w:asciiTheme="majorHAnsi" w:hAnsiTheme="majorHAnsi" w:cs="Times New Roman"/>
      <w:bCs/>
      <w:color w:val="000000" w:themeColor="text1"/>
      <w:spacing w:val="4"/>
      <w:sz w:val="18"/>
      <w:szCs w:val="20"/>
      <w:lang w:eastAsia="en-AU"/>
    </w:rPr>
  </w:style>
  <w:style w:type="paragraph" w:styleId="BalloonText">
    <w:name w:val="Balloon Text"/>
    <w:basedOn w:val="Normal"/>
    <w:link w:val="BalloonTextChar"/>
    <w:uiPriority w:val="99"/>
    <w:semiHidden/>
    <w:unhideWhenUsed/>
    <w:rsid w:val="005542F9"/>
    <w:rPr>
      <w:rFonts w:ascii="Tahoma" w:hAnsi="Tahoma" w:cs="Tahoma"/>
      <w:color w:val="000000" w:themeColor="text1"/>
      <w:sz w:val="16"/>
      <w:szCs w:val="16"/>
      <w:lang w:eastAsia="en-AU"/>
    </w:rPr>
  </w:style>
  <w:style w:type="paragraph" w:styleId="TOCHeading">
    <w:name w:val="TOC Heading"/>
    <w:basedOn w:val="Heading1"/>
    <w:next w:val="Normal"/>
    <w:uiPriority w:val="39"/>
    <w:unhideWhenUsed/>
    <w:qFormat/>
    <w:rsid w:val="00847B52"/>
    <w:pPr>
      <w:numPr>
        <w:numId w:val="0"/>
      </w:numPr>
      <w:outlineLvl w:val="9"/>
    </w:pPr>
    <w:rPr>
      <w:spacing w:val="0"/>
      <w:szCs w:val="28"/>
    </w:rPr>
  </w:style>
  <w:style w:type="character" w:customStyle="1" w:styleId="BalloonTextChar">
    <w:name w:val="Balloon Text Char"/>
    <w:basedOn w:val="DefaultParagraphFont"/>
    <w:link w:val="BalloonText"/>
    <w:uiPriority w:val="99"/>
    <w:semiHidden/>
    <w:rsid w:val="00475145"/>
    <w:rPr>
      <w:rFonts w:ascii="Tahoma" w:hAnsi="Tahoma" w:cs="Tahoma"/>
      <w:color w:val="000000" w:themeColor="text1"/>
      <w:sz w:val="16"/>
      <w:szCs w:val="16"/>
    </w:rPr>
  </w:style>
  <w:style w:type="paragraph" w:styleId="Footer">
    <w:name w:val="footer"/>
    <w:basedOn w:val="Normal"/>
    <w:link w:val="FooterChar"/>
    <w:uiPriority w:val="99"/>
    <w:rsid w:val="00F27994"/>
    <w:pPr>
      <w:tabs>
        <w:tab w:val="left" w:pos="1077"/>
        <w:tab w:val="center" w:pos="4320"/>
        <w:tab w:val="right" w:pos="8640"/>
      </w:tabs>
    </w:pPr>
    <w:rPr>
      <w:rFonts w:asciiTheme="minorHAnsi" w:eastAsia="Cambria" w:hAnsiTheme="minorHAnsi" w:cs="Times New Roman"/>
      <w:color w:val="000000" w:themeColor="text1"/>
      <w:sz w:val="18"/>
      <w:szCs w:val="20"/>
    </w:rPr>
  </w:style>
  <w:style w:type="character" w:customStyle="1" w:styleId="FooterChar">
    <w:name w:val="Footer Char"/>
    <w:basedOn w:val="DefaultParagraphFont"/>
    <w:link w:val="Footer"/>
    <w:uiPriority w:val="99"/>
    <w:rsid w:val="00F27994"/>
    <w:rPr>
      <w:rFonts w:eastAsia="Cambria"/>
      <w:sz w:val="18"/>
      <w:lang w:eastAsia="en-US"/>
    </w:rPr>
  </w:style>
  <w:style w:type="numbering" w:customStyle="1" w:styleId="HangingList">
    <w:name w:val="HangingList"/>
    <w:uiPriority w:val="99"/>
    <w:rsid w:val="00DD7311"/>
    <w:pPr>
      <w:numPr>
        <w:numId w:val="1"/>
      </w:numPr>
    </w:pPr>
  </w:style>
  <w:style w:type="paragraph" w:styleId="Header">
    <w:name w:val="header"/>
    <w:basedOn w:val="Normal"/>
    <w:link w:val="HeaderChar"/>
    <w:uiPriority w:val="99"/>
    <w:rsid w:val="007D7B46"/>
    <w:pPr>
      <w:tabs>
        <w:tab w:val="center" w:pos="4513"/>
        <w:tab w:val="right" w:pos="9026"/>
      </w:tabs>
    </w:pPr>
    <w:rPr>
      <w:rFonts w:asciiTheme="minorHAnsi" w:hAnsiTheme="minorHAnsi" w:cs="Times New Roman"/>
      <w:color w:val="000000" w:themeColor="text1"/>
      <w:sz w:val="18"/>
      <w:szCs w:val="20"/>
      <w:lang w:eastAsia="en-AU"/>
    </w:rPr>
  </w:style>
  <w:style w:type="character" w:customStyle="1" w:styleId="HeaderChar">
    <w:name w:val="Header Char"/>
    <w:basedOn w:val="DefaultParagraphFont"/>
    <w:link w:val="Header"/>
    <w:uiPriority w:val="99"/>
    <w:rsid w:val="007D7B46"/>
    <w:rPr>
      <w:sz w:val="18"/>
    </w:rPr>
  </w:style>
  <w:style w:type="paragraph" w:customStyle="1" w:styleId="AppendixHeading2">
    <w:name w:val="Appendix Heading 2"/>
    <w:basedOn w:val="Normal"/>
    <w:next w:val="BodyText"/>
    <w:uiPriority w:val="4"/>
    <w:qFormat/>
    <w:rsid w:val="006008FF"/>
    <w:pPr>
      <w:numPr>
        <w:ilvl w:val="2"/>
        <w:numId w:val="11"/>
      </w:numPr>
      <w:tabs>
        <w:tab w:val="left" w:pos="1559"/>
        <w:tab w:val="left" w:pos="2126"/>
        <w:tab w:val="left" w:pos="2410"/>
        <w:tab w:val="right" w:pos="9639"/>
      </w:tabs>
      <w:spacing w:before="360" w:after="200" w:line="288" w:lineRule="auto"/>
    </w:pPr>
    <w:rPr>
      <w:rFonts w:asciiTheme="majorHAnsi" w:hAnsiTheme="majorHAnsi" w:cs="Times New Roman"/>
      <w:b/>
      <w:sz w:val="22"/>
      <w:szCs w:val="20"/>
      <w:lang w:eastAsia="en-AU"/>
    </w:rPr>
  </w:style>
  <w:style w:type="paragraph" w:customStyle="1" w:styleId="AppendixHeading3">
    <w:name w:val="Appendix Heading 3"/>
    <w:basedOn w:val="Normal"/>
    <w:next w:val="BodyText"/>
    <w:uiPriority w:val="4"/>
    <w:qFormat/>
    <w:rsid w:val="006008FF"/>
    <w:pPr>
      <w:numPr>
        <w:ilvl w:val="3"/>
        <w:numId w:val="11"/>
      </w:numPr>
      <w:tabs>
        <w:tab w:val="left" w:pos="1559"/>
        <w:tab w:val="left" w:pos="2126"/>
        <w:tab w:val="left" w:pos="2410"/>
        <w:tab w:val="left" w:pos="6804"/>
        <w:tab w:val="right" w:pos="9639"/>
      </w:tabs>
      <w:spacing w:before="360" w:after="200" w:line="288" w:lineRule="auto"/>
    </w:pPr>
    <w:rPr>
      <w:rFonts w:asciiTheme="minorHAnsi" w:hAnsiTheme="minorHAnsi" w:cs="Times New Roman"/>
      <w:b/>
      <w:sz w:val="20"/>
      <w:szCs w:val="20"/>
    </w:rPr>
  </w:style>
  <w:style w:type="paragraph" w:customStyle="1" w:styleId="FooterWithLine">
    <w:name w:val="Footer With Line"/>
    <w:basedOn w:val="Footer"/>
    <w:next w:val="Footer"/>
    <w:rsid w:val="007D62D8"/>
    <w:pPr>
      <w:pBdr>
        <w:bottom w:val="single" w:sz="4" w:space="1" w:color="auto"/>
      </w:pBdr>
      <w:spacing w:before="180" w:after="120" w:line="140" w:lineRule="exact"/>
    </w:pPr>
    <w:rPr>
      <w:rFonts w:ascii="Arial" w:hAnsi="Arial" w:cs="Arial"/>
      <w:color w:val="000000"/>
    </w:rPr>
  </w:style>
  <w:style w:type="character" w:customStyle="1" w:styleId="Heading1Char">
    <w:name w:val="Heading 1 Char"/>
    <w:basedOn w:val="DefaultParagraphFont"/>
    <w:link w:val="Heading1"/>
    <w:rsid w:val="00AD3E68"/>
    <w:rPr>
      <w:rFonts w:asciiTheme="majorHAnsi" w:eastAsiaTheme="majorEastAsia" w:hAnsiTheme="majorHAnsi" w:cstheme="majorBidi"/>
      <w:bCs/>
      <w:color w:val="277BB4" w:themeColor="text2"/>
      <w:spacing w:val="-10"/>
      <w:sz w:val="38"/>
      <w:szCs w:val="32"/>
    </w:rPr>
  </w:style>
  <w:style w:type="character" w:customStyle="1" w:styleId="Heading2Char">
    <w:name w:val="Heading 2 Char"/>
    <w:basedOn w:val="DefaultParagraphFont"/>
    <w:link w:val="Heading2"/>
    <w:rsid w:val="006008FF"/>
    <w:rPr>
      <w:rFonts w:asciiTheme="majorHAnsi" w:eastAsiaTheme="majorEastAsia" w:hAnsiTheme="majorHAnsi" w:cstheme="majorBidi"/>
      <w:b/>
      <w:bCs/>
      <w:color w:val="277BB4" w:themeColor="text2"/>
      <w:sz w:val="24"/>
      <w:szCs w:val="26"/>
    </w:rPr>
  </w:style>
  <w:style w:type="character" w:customStyle="1" w:styleId="Heading3Char">
    <w:name w:val="Heading 3 Char"/>
    <w:basedOn w:val="DefaultParagraphFont"/>
    <w:link w:val="Heading3"/>
    <w:rsid w:val="00654CCE"/>
    <w:rPr>
      <w:rFonts w:asciiTheme="majorHAnsi" w:eastAsiaTheme="majorEastAsia" w:hAnsiTheme="majorHAnsi" w:cstheme="majorBidi"/>
      <w:b/>
      <w:bCs/>
      <w:color w:val="auto"/>
      <w:sz w:val="22"/>
    </w:rPr>
  </w:style>
  <w:style w:type="character" w:customStyle="1" w:styleId="Heading4Char">
    <w:name w:val="Heading 4 Char"/>
    <w:basedOn w:val="DefaultParagraphFont"/>
    <w:link w:val="Heading4"/>
    <w:rsid w:val="006008FF"/>
    <w:rPr>
      <w:rFonts w:eastAsiaTheme="majorEastAsia" w:cstheme="majorBidi"/>
      <w:b/>
      <w:bCs/>
      <w:iCs/>
      <w:color w:val="auto"/>
    </w:rPr>
  </w:style>
  <w:style w:type="character" w:customStyle="1" w:styleId="Heading7Char">
    <w:name w:val="Heading 7 Char"/>
    <w:basedOn w:val="DefaultParagraphFont"/>
    <w:link w:val="Heading7"/>
    <w:semiHidden/>
    <w:rsid w:val="00DD7311"/>
    <w:rPr>
      <w:rFonts w:asciiTheme="majorHAnsi" w:eastAsiaTheme="majorEastAsia" w:hAnsiTheme="majorHAnsi" w:cstheme="majorBidi"/>
      <w:b/>
      <w:iCs/>
      <w:sz w:val="18"/>
      <w:szCs w:val="18"/>
    </w:rPr>
  </w:style>
  <w:style w:type="character" w:customStyle="1" w:styleId="Heading8Char">
    <w:name w:val="Heading 8 Char"/>
    <w:aliases w:val="Appendix Title Char"/>
    <w:basedOn w:val="DefaultParagraphFont"/>
    <w:link w:val="Heading8"/>
    <w:uiPriority w:val="3"/>
    <w:rsid w:val="00120CB6"/>
    <w:rPr>
      <w:rFonts w:asciiTheme="majorHAnsi" w:eastAsiaTheme="majorEastAsia" w:hAnsiTheme="majorHAnsi" w:cstheme="majorBidi"/>
      <w:color w:val="auto"/>
      <w:spacing w:val="-10"/>
      <w:sz w:val="38"/>
      <w:lang w:eastAsia="en-US"/>
    </w:rPr>
  </w:style>
  <w:style w:type="character" w:customStyle="1" w:styleId="Heading9Char">
    <w:name w:val="Heading 9 Char"/>
    <w:aliases w:val="Appendix Heading 1 Char"/>
    <w:basedOn w:val="DefaultParagraphFont"/>
    <w:link w:val="Heading9"/>
    <w:uiPriority w:val="3"/>
    <w:rsid w:val="00A50D7E"/>
    <w:rPr>
      <w:rFonts w:asciiTheme="majorHAnsi" w:hAnsiTheme="majorHAnsi" w:cs="Arial"/>
      <w:b/>
      <w:color w:val="277BB4" w:themeColor="text2"/>
      <w:sz w:val="28"/>
    </w:rPr>
  </w:style>
  <w:style w:type="numbering" w:customStyle="1" w:styleId="Headings">
    <w:name w:val="Headings"/>
    <w:uiPriority w:val="99"/>
    <w:rsid w:val="00DD7311"/>
    <w:pPr>
      <w:numPr>
        <w:numId w:val="2"/>
      </w:numPr>
    </w:pPr>
  </w:style>
  <w:style w:type="character" w:styleId="Hyperlink">
    <w:name w:val="Hyperlink"/>
    <w:basedOn w:val="DefaultParagraphFont"/>
    <w:uiPriority w:val="99"/>
    <w:unhideWhenUsed/>
    <w:rsid w:val="00DD7311"/>
    <w:rPr>
      <w:color w:val="000000" w:themeColor="hyperlink"/>
      <w:u w:val="single"/>
    </w:rPr>
  </w:style>
  <w:style w:type="character" w:styleId="FollowedHyperlink">
    <w:name w:val="FollowedHyperlink"/>
    <w:basedOn w:val="DefaultParagraphFont"/>
    <w:uiPriority w:val="99"/>
    <w:rsid w:val="004019F9"/>
    <w:rPr>
      <w:color w:val="000000" w:themeColor="text1"/>
      <w:u w:val="single"/>
    </w:rPr>
  </w:style>
  <w:style w:type="paragraph" w:styleId="ListBullet">
    <w:name w:val="List Bullet"/>
    <w:basedOn w:val="BodyText"/>
    <w:qFormat/>
    <w:rsid w:val="00B87F60"/>
    <w:pPr>
      <w:numPr>
        <w:numId w:val="13"/>
      </w:numPr>
      <w:tabs>
        <w:tab w:val="clear" w:pos="2268"/>
        <w:tab w:val="clear" w:pos="4536"/>
        <w:tab w:val="clear" w:pos="6804"/>
        <w:tab w:val="clear" w:pos="9638"/>
      </w:tabs>
      <w:spacing w:before="60" w:after="60"/>
    </w:pPr>
  </w:style>
  <w:style w:type="paragraph" w:styleId="ListBullet2">
    <w:name w:val="List Bullet 2"/>
    <w:basedOn w:val="ListBullet"/>
    <w:qFormat/>
    <w:rsid w:val="00B87F60"/>
    <w:pPr>
      <w:numPr>
        <w:ilvl w:val="1"/>
      </w:numPr>
    </w:pPr>
  </w:style>
  <w:style w:type="paragraph" w:styleId="ListBullet3">
    <w:name w:val="List Bullet 3"/>
    <w:basedOn w:val="ListBullet2"/>
    <w:qFormat/>
    <w:rsid w:val="00345F29"/>
    <w:pPr>
      <w:numPr>
        <w:ilvl w:val="2"/>
      </w:numPr>
    </w:pPr>
  </w:style>
  <w:style w:type="paragraph" w:styleId="ListContinue">
    <w:name w:val="List Continue"/>
    <w:basedOn w:val="Normal"/>
    <w:rsid w:val="00EE6483"/>
    <w:pPr>
      <w:spacing w:before="120" w:after="60" w:line="288" w:lineRule="auto"/>
      <w:ind w:left="397"/>
    </w:pPr>
    <w:rPr>
      <w:rFonts w:asciiTheme="minorHAnsi" w:hAnsiTheme="minorHAnsi" w:cs="Times New Roman"/>
      <w:color w:val="000000" w:themeColor="text1"/>
      <w:sz w:val="20"/>
      <w:szCs w:val="20"/>
      <w:lang w:eastAsia="en-AU"/>
    </w:rPr>
  </w:style>
  <w:style w:type="paragraph" w:styleId="ListNumber">
    <w:name w:val="List Number"/>
    <w:basedOn w:val="BodyText"/>
    <w:qFormat/>
    <w:rsid w:val="00D02C00"/>
    <w:pPr>
      <w:numPr>
        <w:numId w:val="3"/>
      </w:numPr>
      <w:tabs>
        <w:tab w:val="clear" w:pos="2268"/>
        <w:tab w:val="clear" w:pos="4536"/>
        <w:tab w:val="clear" w:pos="6804"/>
        <w:tab w:val="clear" w:pos="9638"/>
      </w:tabs>
      <w:spacing w:before="120" w:after="120"/>
    </w:pPr>
  </w:style>
  <w:style w:type="paragraph" w:styleId="ListNumber2">
    <w:name w:val="List Number 2"/>
    <w:basedOn w:val="ListNumber"/>
    <w:qFormat/>
    <w:rsid w:val="00B87F60"/>
    <w:pPr>
      <w:numPr>
        <w:ilvl w:val="1"/>
      </w:numPr>
    </w:pPr>
  </w:style>
  <w:style w:type="paragraph" w:styleId="ListNumber3">
    <w:name w:val="List Number 3"/>
    <w:basedOn w:val="ListNumber2"/>
    <w:qFormat/>
    <w:rsid w:val="00A61A2B"/>
    <w:pPr>
      <w:numPr>
        <w:ilvl w:val="2"/>
      </w:numPr>
    </w:pPr>
  </w:style>
  <w:style w:type="numbering" w:customStyle="1" w:styleId="MyListNumbering">
    <w:name w:val="MyListNumbering"/>
    <w:uiPriority w:val="99"/>
    <w:rsid w:val="00DD7311"/>
    <w:pPr>
      <w:numPr>
        <w:numId w:val="4"/>
      </w:numPr>
    </w:pPr>
  </w:style>
  <w:style w:type="character" w:styleId="PlaceholderText">
    <w:name w:val="Placeholder Text"/>
    <w:basedOn w:val="DefaultParagraphFont"/>
    <w:uiPriority w:val="99"/>
    <w:semiHidden/>
    <w:rsid w:val="00DD7311"/>
    <w:rPr>
      <w:color w:val="808080"/>
    </w:rPr>
  </w:style>
  <w:style w:type="paragraph" w:customStyle="1" w:styleId="TableBodyText">
    <w:name w:val="Table Body Text"/>
    <w:basedOn w:val="Normal"/>
    <w:qFormat/>
    <w:rsid w:val="00314734"/>
    <w:pPr>
      <w:spacing w:before="40" w:line="288" w:lineRule="auto"/>
      <w:ind w:left="28" w:right="113"/>
    </w:pPr>
    <w:rPr>
      <w:rFonts w:asciiTheme="minorHAnsi" w:hAnsiTheme="minorHAnsi" w:cs="Times New Roman"/>
      <w:color w:val="000000" w:themeColor="text1"/>
      <w:sz w:val="18"/>
      <w:szCs w:val="20"/>
      <w:lang w:eastAsia="en-AU"/>
    </w:rPr>
  </w:style>
  <w:style w:type="paragraph" w:customStyle="1" w:styleId="Footnotes">
    <w:name w:val="Footnotes"/>
    <w:basedOn w:val="Normal"/>
    <w:qFormat/>
    <w:rsid w:val="00662E98"/>
    <w:pPr>
      <w:numPr>
        <w:ilvl w:val="1"/>
        <w:numId w:val="5"/>
      </w:numPr>
      <w:spacing w:before="40" w:after="280" w:line="180" w:lineRule="atLeast"/>
      <w:contextualSpacing/>
    </w:pPr>
    <w:rPr>
      <w:rFonts w:asciiTheme="minorHAnsi" w:hAnsiTheme="minorHAnsi" w:cs="Times New Roman"/>
      <w:color w:val="000000" w:themeColor="text1"/>
      <w:sz w:val="16"/>
      <w:szCs w:val="20"/>
      <w:lang w:eastAsia="en-AU"/>
    </w:rPr>
  </w:style>
  <w:style w:type="table" w:styleId="TableGrid">
    <w:name w:val="Table Grid"/>
    <w:basedOn w:val="TableNormal"/>
    <w:uiPriority w:val="39"/>
    <w:rsid w:val="003C34DF"/>
    <w:pPr>
      <w:ind w:left="28" w:right="113"/>
    </w:pPr>
    <w:rPr>
      <w:sz w:val="18"/>
    </w:rPr>
    <w:tblPr>
      <w:tblBorders>
        <w:top w:val="single" w:sz="4" w:space="0" w:color="277BB4" w:themeColor="text2"/>
        <w:bottom w:val="single" w:sz="4" w:space="0" w:color="277BB4" w:themeColor="text2"/>
        <w:insideH w:val="single" w:sz="4" w:space="0" w:color="277BB4" w:themeColor="text2"/>
      </w:tblBorders>
      <w:tblCellMar>
        <w:top w:w="57" w:type="dxa"/>
        <w:left w:w="0" w:type="dxa"/>
        <w:bottom w:w="28" w:type="dxa"/>
        <w:right w:w="0" w:type="dxa"/>
      </w:tblCellMar>
    </w:tblPr>
    <w:trPr>
      <w:cantSplit/>
    </w:trPr>
    <w:tblStylePr w:type="firstRow">
      <w:pPr>
        <w:keepNext/>
        <w:wordWrap/>
        <w:jc w:val="left"/>
      </w:pPr>
      <w:rPr>
        <w:b w:val="0"/>
        <w:color w:val="auto"/>
      </w:rPr>
      <w:tblPr/>
      <w:trPr>
        <w:cantSplit w:val="0"/>
        <w:tblHeader/>
      </w:trPr>
      <w:tcPr>
        <w:tcBorders>
          <w:top w:val="single" w:sz="4" w:space="0" w:color="277BB4" w:themeColor="text2"/>
          <w:left w:val="nil"/>
          <w:bottom w:val="single" w:sz="4" w:space="0" w:color="277BB4" w:themeColor="text2"/>
          <w:right w:val="nil"/>
          <w:insideH w:val="nil"/>
          <w:insideV w:val="nil"/>
          <w:tl2br w:val="nil"/>
          <w:tr2bl w:val="nil"/>
        </w:tcBorders>
        <w:vAlign w:val="bottom"/>
      </w:tcPr>
    </w:tblStylePr>
  </w:style>
  <w:style w:type="paragraph" w:customStyle="1" w:styleId="TableHeading">
    <w:name w:val="Table Heading"/>
    <w:basedOn w:val="TableBodyText"/>
    <w:qFormat/>
    <w:rsid w:val="00A34DDF"/>
    <w:rPr>
      <w:rFonts w:asciiTheme="majorHAnsi" w:hAnsiTheme="majorHAnsi"/>
      <w:b/>
      <w:color w:val="auto"/>
    </w:rPr>
  </w:style>
  <w:style w:type="paragraph" w:customStyle="1" w:styleId="TableListBullet">
    <w:name w:val="Table List Bullet"/>
    <w:basedOn w:val="TableBodyText"/>
    <w:qFormat/>
    <w:rsid w:val="00A34DDF"/>
    <w:pPr>
      <w:numPr>
        <w:numId w:val="6"/>
      </w:numPr>
    </w:pPr>
  </w:style>
  <w:style w:type="paragraph" w:customStyle="1" w:styleId="TableListBullet2">
    <w:name w:val="Table List Bullet 2"/>
    <w:basedOn w:val="TableListBullet"/>
    <w:qFormat/>
    <w:rsid w:val="008717E0"/>
    <w:pPr>
      <w:numPr>
        <w:ilvl w:val="1"/>
      </w:numPr>
    </w:pPr>
  </w:style>
  <w:style w:type="paragraph" w:customStyle="1" w:styleId="TableListBullet3">
    <w:name w:val="Table List Bullet 3"/>
    <w:basedOn w:val="TableListBullet2"/>
    <w:qFormat/>
    <w:rsid w:val="00DD7311"/>
    <w:pPr>
      <w:numPr>
        <w:ilvl w:val="2"/>
      </w:numPr>
    </w:pPr>
  </w:style>
  <w:style w:type="paragraph" w:customStyle="1" w:styleId="TableListNumber">
    <w:name w:val="Table List Number"/>
    <w:basedOn w:val="TableBodyText"/>
    <w:qFormat/>
    <w:rsid w:val="00A34DDF"/>
    <w:pPr>
      <w:numPr>
        <w:numId w:val="7"/>
      </w:numPr>
    </w:pPr>
  </w:style>
  <w:style w:type="paragraph" w:customStyle="1" w:styleId="TableListNumber2">
    <w:name w:val="Table List Number 2"/>
    <w:basedOn w:val="TableListNumber"/>
    <w:qFormat/>
    <w:rsid w:val="00202628"/>
    <w:pPr>
      <w:numPr>
        <w:ilvl w:val="1"/>
      </w:numPr>
    </w:pPr>
  </w:style>
  <w:style w:type="paragraph" w:customStyle="1" w:styleId="TableListNumber3">
    <w:name w:val="Table List Number 3"/>
    <w:basedOn w:val="TableListNumber2"/>
    <w:qFormat/>
    <w:rsid w:val="00202628"/>
    <w:pPr>
      <w:numPr>
        <w:ilvl w:val="2"/>
      </w:numPr>
    </w:pPr>
  </w:style>
  <w:style w:type="paragraph" w:styleId="TableofFigures">
    <w:name w:val="table of figures"/>
    <w:basedOn w:val="Normal"/>
    <w:next w:val="Normal"/>
    <w:uiPriority w:val="99"/>
    <w:rsid w:val="00284AA5"/>
    <w:pPr>
      <w:tabs>
        <w:tab w:val="left" w:pos="1134"/>
        <w:tab w:val="right" w:leader="dot" w:pos="9072"/>
      </w:tabs>
      <w:spacing w:before="90" w:after="90" w:line="288" w:lineRule="auto"/>
      <w:ind w:left="1134" w:right="851" w:hanging="1134"/>
    </w:pPr>
    <w:rPr>
      <w:rFonts w:asciiTheme="minorHAnsi" w:hAnsiTheme="minorHAnsi" w:cs="Times New Roman"/>
      <w:noProof/>
      <w:color w:val="000000" w:themeColor="text1"/>
      <w:sz w:val="20"/>
      <w:szCs w:val="20"/>
      <w:lang w:eastAsia="en-AU"/>
    </w:rPr>
  </w:style>
  <w:style w:type="paragraph" w:customStyle="1" w:styleId="Source">
    <w:name w:val="Source"/>
    <w:basedOn w:val="Normal"/>
    <w:rsid w:val="00662E98"/>
    <w:pPr>
      <w:tabs>
        <w:tab w:val="left" w:pos="737"/>
      </w:tabs>
      <w:spacing w:before="40" w:after="280"/>
      <w:ind w:left="737" w:hanging="737"/>
    </w:pPr>
    <w:rPr>
      <w:rFonts w:asciiTheme="minorHAnsi" w:hAnsiTheme="minorHAnsi" w:cs="Times New Roman"/>
      <w:color w:val="000000" w:themeColor="text1"/>
      <w:sz w:val="16"/>
      <w:szCs w:val="20"/>
    </w:rPr>
  </w:style>
  <w:style w:type="numbering" w:customStyle="1" w:styleId="TableBullets">
    <w:name w:val="TableBullets"/>
    <w:uiPriority w:val="99"/>
    <w:rsid w:val="00DD7311"/>
    <w:pPr>
      <w:numPr>
        <w:numId w:val="8"/>
      </w:numPr>
    </w:pPr>
  </w:style>
  <w:style w:type="numbering" w:customStyle="1" w:styleId="TableFootnotes">
    <w:name w:val="TableFootnotes"/>
    <w:uiPriority w:val="99"/>
    <w:rsid w:val="00DD7311"/>
    <w:pPr>
      <w:numPr>
        <w:numId w:val="9"/>
      </w:numPr>
    </w:pPr>
  </w:style>
  <w:style w:type="numbering" w:customStyle="1" w:styleId="TableNumbering">
    <w:name w:val="TableNumbering"/>
    <w:uiPriority w:val="99"/>
    <w:rsid w:val="00DD7311"/>
    <w:pPr>
      <w:numPr>
        <w:numId w:val="10"/>
      </w:numPr>
    </w:pPr>
  </w:style>
  <w:style w:type="paragraph" w:styleId="Title">
    <w:name w:val="Title"/>
    <w:basedOn w:val="Normal"/>
    <w:link w:val="TitleChar"/>
    <w:uiPriority w:val="99"/>
    <w:rsid w:val="00F155D7"/>
    <w:pPr>
      <w:spacing w:before="240" w:after="240"/>
      <w:ind w:right="2552"/>
      <w:contextualSpacing/>
      <w:outlineLvl w:val="0"/>
    </w:pPr>
    <w:rPr>
      <w:rFonts w:asciiTheme="majorHAnsi" w:eastAsiaTheme="minorEastAsia" w:hAnsiTheme="majorHAnsi" w:cs="Times New Roman"/>
      <w:b/>
      <w:color w:val="277BB4" w:themeColor="text2"/>
      <w:sz w:val="52"/>
      <w:szCs w:val="96"/>
      <w:lang w:eastAsia="en-AU"/>
    </w:rPr>
  </w:style>
  <w:style w:type="character" w:customStyle="1" w:styleId="TitleChar">
    <w:name w:val="Title Char"/>
    <w:basedOn w:val="DefaultParagraphFont"/>
    <w:link w:val="Title"/>
    <w:uiPriority w:val="99"/>
    <w:rsid w:val="00F155D7"/>
    <w:rPr>
      <w:rFonts w:asciiTheme="majorHAnsi" w:eastAsiaTheme="minorEastAsia" w:hAnsiTheme="majorHAnsi"/>
      <w:b/>
      <w:color w:val="277BB4" w:themeColor="text2"/>
      <w:sz w:val="52"/>
      <w:szCs w:val="96"/>
    </w:rPr>
  </w:style>
  <w:style w:type="paragraph" w:styleId="Subtitle">
    <w:name w:val="Subtitle"/>
    <w:basedOn w:val="Normal"/>
    <w:next w:val="Normal"/>
    <w:link w:val="SubtitleChar"/>
    <w:rsid w:val="00F155D7"/>
    <w:pPr>
      <w:spacing w:line="288" w:lineRule="auto"/>
      <w:ind w:right="2551"/>
    </w:pPr>
    <w:rPr>
      <w:rFonts w:asciiTheme="minorHAnsi" w:eastAsiaTheme="minorEastAsia" w:hAnsiTheme="minorHAnsi" w:cs="Times New Roman"/>
      <w:color w:val="000000" w:themeColor="text1"/>
      <w:sz w:val="44"/>
      <w:szCs w:val="60"/>
      <w:lang w:eastAsia="en-AU"/>
    </w:rPr>
  </w:style>
  <w:style w:type="paragraph" w:styleId="TOC1">
    <w:name w:val="toc 1"/>
    <w:basedOn w:val="Normal"/>
    <w:next w:val="Normal"/>
    <w:autoRedefine/>
    <w:uiPriority w:val="39"/>
    <w:rsid w:val="0033555D"/>
    <w:pPr>
      <w:tabs>
        <w:tab w:val="left" w:pos="567"/>
        <w:tab w:val="right" w:leader="dot" w:pos="9072"/>
      </w:tabs>
      <w:spacing w:before="180" w:after="70" w:line="288" w:lineRule="auto"/>
      <w:ind w:left="454" w:right="851" w:hanging="454"/>
    </w:pPr>
    <w:rPr>
      <w:rFonts w:asciiTheme="minorHAnsi" w:hAnsiTheme="minorHAnsi" w:cs="Times New Roman"/>
      <w:b/>
      <w:noProof/>
      <w:color w:val="000000" w:themeColor="text1"/>
      <w:sz w:val="20"/>
      <w:szCs w:val="20"/>
      <w:lang w:eastAsia="en-AU"/>
    </w:rPr>
  </w:style>
  <w:style w:type="paragraph" w:styleId="TOC2">
    <w:name w:val="toc 2"/>
    <w:basedOn w:val="Normal"/>
    <w:next w:val="Normal"/>
    <w:autoRedefine/>
    <w:uiPriority w:val="39"/>
    <w:rsid w:val="00B3127D"/>
    <w:pPr>
      <w:tabs>
        <w:tab w:val="left" w:pos="1134"/>
        <w:tab w:val="right" w:leader="dot" w:pos="9072"/>
      </w:tabs>
      <w:spacing w:before="90" w:after="90" w:line="288" w:lineRule="auto"/>
      <w:ind w:left="1134" w:right="851" w:hanging="567"/>
    </w:pPr>
    <w:rPr>
      <w:rFonts w:asciiTheme="minorHAnsi" w:hAnsiTheme="minorHAnsi" w:cs="Times New Roman"/>
      <w:noProof/>
      <w:color w:val="000000" w:themeColor="text1"/>
      <w:sz w:val="20"/>
      <w:szCs w:val="20"/>
      <w:lang w:eastAsia="en-AU"/>
    </w:rPr>
  </w:style>
  <w:style w:type="paragraph" w:styleId="TOC3">
    <w:name w:val="toc 3"/>
    <w:basedOn w:val="Normal"/>
    <w:next w:val="Normal"/>
    <w:autoRedefine/>
    <w:uiPriority w:val="39"/>
    <w:rsid w:val="006E6DDD"/>
    <w:pPr>
      <w:tabs>
        <w:tab w:val="left" w:pos="1985"/>
        <w:tab w:val="right" w:leader="dot" w:pos="9072"/>
      </w:tabs>
      <w:spacing w:before="90" w:after="90" w:line="288" w:lineRule="auto"/>
      <w:ind w:left="1985" w:right="851" w:hanging="851"/>
    </w:pPr>
    <w:rPr>
      <w:rFonts w:asciiTheme="minorHAnsi" w:hAnsiTheme="minorHAnsi" w:cs="Times New Roman"/>
      <w:noProof/>
      <w:color w:val="000000" w:themeColor="text1"/>
      <w:sz w:val="20"/>
      <w:szCs w:val="20"/>
      <w:lang w:eastAsia="en-AU"/>
    </w:rPr>
  </w:style>
  <w:style w:type="paragraph" w:styleId="TOC4">
    <w:name w:val="toc 4"/>
    <w:basedOn w:val="Normal"/>
    <w:next w:val="Normal"/>
    <w:autoRedefine/>
    <w:uiPriority w:val="39"/>
    <w:rsid w:val="00101C2D"/>
    <w:pPr>
      <w:tabs>
        <w:tab w:val="left" w:pos="1134"/>
        <w:tab w:val="right" w:leader="dot" w:pos="9072"/>
      </w:tabs>
      <w:spacing w:before="90" w:after="90" w:line="360" w:lineRule="auto"/>
      <w:ind w:left="1985" w:right="851" w:hanging="851"/>
      <w:contextualSpacing/>
    </w:pPr>
    <w:rPr>
      <w:rFonts w:asciiTheme="minorHAnsi" w:hAnsiTheme="minorHAnsi" w:cs="Times New Roman"/>
      <w:noProof/>
      <w:color w:val="000000" w:themeColor="text1"/>
      <w:sz w:val="20"/>
      <w:szCs w:val="20"/>
      <w:lang w:eastAsia="en-AU"/>
    </w:rPr>
  </w:style>
  <w:style w:type="paragraph" w:styleId="TOC5">
    <w:name w:val="toc 5"/>
    <w:basedOn w:val="Normal"/>
    <w:next w:val="Normal"/>
    <w:autoRedefine/>
    <w:uiPriority w:val="39"/>
    <w:rsid w:val="00824530"/>
    <w:pPr>
      <w:tabs>
        <w:tab w:val="left" w:pos="1276"/>
        <w:tab w:val="right" w:leader="dot" w:pos="9072"/>
      </w:tabs>
      <w:spacing w:before="180" w:after="70" w:line="288" w:lineRule="auto"/>
      <w:ind w:left="1276" w:hanging="1276"/>
    </w:pPr>
    <w:rPr>
      <w:rFonts w:asciiTheme="minorHAnsi" w:hAnsiTheme="minorHAnsi" w:cs="Times New Roman"/>
      <w:b/>
      <w:noProof/>
      <w:color w:val="000000" w:themeColor="text1"/>
      <w:sz w:val="20"/>
      <w:szCs w:val="20"/>
      <w:lang w:eastAsia="en-AU"/>
    </w:rPr>
  </w:style>
  <w:style w:type="paragraph" w:styleId="TOC6">
    <w:name w:val="toc 6"/>
    <w:basedOn w:val="Normal"/>
    <w:next w:val="Normal"/>
    <w:autoRedefine/>
    <w:uiPriority w:val="39"/>
    <w:rsid w:val="00DD7311"/>
    <w:pPr>
      <w:spacing w:after="100" w:line="288" w:lineRule="auto"/>
      <w:ind w:left="900"/>
    </w:pPr>
    <w:rPr>
      <w:rFonts w:asciiTheme="minorHAnsi" w:hAnsiTheme="minorHAnsi" w:cs="Times New Roman"/>
      <w:color w:val="000000" w:themeColor="text1"/>
      <w:sz w:val="20"/>
      <w:szCs w:val="20"/>
      <w:lang w:eastAsia="en-AU"/>
    </w:rPr>
  </w:style>
  <w:style w:type="paragraph" w:styleId="TOC7">
    <w:name w:val="toc 7"/>
    <w:basedOn w:val="Normal"/>
    <w:next w:val="Normal"/>
    <w:autoRedefine/>
    <w:semiHidden/>
    <w:rsid w:val="00DD7311"/>
    <w:pPr>
      <w:spacing w:after="100" w:line="288" w:lineRule="auto"/>
      <w:ind w:left="1080"/>
    </w:pPr>
    <w:rPr>
      <w:rFonts w:asciiTheme="minorHAnsi" w:hAnsiTheme="minorHAnsi" w:cs="Times New Roman"/>
      <w:color w:val="000000" w:themeColor="text1"/>
      <w:sz w:val="20"/>
      <w:szCs w:val="20"/>
      <w:lang w:eastAsia="en-AU"/>
    </w:rPr>
  </w:style>
  <w:style w:type="paragraph" w:styleId="TOC8">
    <w:name w:val="toc 8"/>
    <w:basedOn w:val="Normal"/>
    <w:next w:val="Normal"/>
    <w:autoRedefine/>
    <w:uiPriority w:val="39"/>
    <w:rsid w:val="00DD7311"/>
    <w:pPr>
      <w:spacing w:after="100" w:line="288" w:lineRule="auto"/>
      <w:ind w:left="1260"/>
    </w:pPr>
    <w:rPr>
      <w:rFonts w:asciiTheme="minorHAnsi" w:hAnsiTheme="minorHAnsi" w:cs="Times New Roman"/>
      <w:color w:val="000000" w:themeColor="text1"/>
      <w:sz w:val="20"/>
      <w:szCs w:val="20"/>
      <w:lang w:eastAsia="en-AU"/>
    </w:rPr>
  </w:style>
  <w:style w:type="paragraph" w:styleId="TOC9">
    <w:name w:val="toc 9"/>
    <w:basedOn w:val="Normal"/>
    <w:next w:val="Normal"/>
    <w:autoRedefine/>
    <w:uiPriority w:val="39"/>
    <w:rsid w:val="00DD7311"/>
    <w:pPr>
      <w:spacing w:after="100" w:line="288" w:lineRule="auto"/>
      <w:ind w:left="1440"/>
    </w:pPr>
    <w:rPr>
      <w:rFonts w:asciiTheme="minorHAnsi" w:hAnsiTheme="minorHAnsi" w:cs="Times New Roman"/>
      <w:color w:val="000000" w:themeColor="text1"/>
      <w:sz w:val="20"/>
      <w:szCs w:val="20"/>
      <w:lang w:eastAsia="en-AU"/>
    </w:rPr>
  </w:style>
  <w:style w:type="paragraph" w:customStyle="1" w:styleId="xDocumentDetails">
    <w:name w:val="xDocument Details"/>
    <w:basedOn w:val="Normal"/>
    <w:semiHidden/>
    <w:qFormat/>
    <w:rsid w:val="00DD7311"/>
    <w:pPr>
      <w:framePr w:hSpace="181" w:vSpace="567" w:wrap="around" w:hAnchor="margin" w:yAlign="bottom"/>
      <w:tabs>
        <w:tab w:val="left" w:pos="2268"/>
      </w:tabs>
      <w:spacing w:line="288" w:lineRule="auto"/>
      <w:ind w:left="2268" w:hanging="2268"/>
      <w:suppressOverlap/>
    </w:pPr>
    <w:rPr>
      <w:rFonts w:asciiTheme="minorHAnsi" w:hAnsiTheme="minorHAnsi" w:cs="Times New Roman"/>
      <w:color w:val="000000" w:themeColor="text1"/>
      <w:sz w:val="20"/>
      <w:szCs w:val="20"/>
      <w:lang w:eastAsia="en-AU"/>
    </w:rPr>
  </w:style>
  <w:style w:type="character" w:customStyle="1" w:styleId="SubtitleChar">
    <w:name w:val="Subtitle Char"/>
    <w:basedOn w:val="DefaultParagraphFont"/>
    <w:link w:val="Subtitle"/>
    <w:rsid w:val="00F155D7"/>
    <w:rPr>
      <w:rFonts w:eastAsiaTheme="minorEastAsia"/>
      <w:sz w:val="44"/>
      <w:szCs w:val="60"/>
    </w:rPr>
  </w:style>
  <w:style w:type="paragraph" w:styleId="ListContinue2">
    <w:name w:val="List Continue 2"/>
    <w:basedOn w:val="Normal"/>
    <w:rsid w:val="00EE6483"/>
    <w:pPr>
      <w:spacing w:before="120" w:after="60" w:line="288" w:lineRule="auto"/>
      <w:ind w:left="794"/>
    </w:pPr>
    <w:rPr>
      <w:rFonts w:asciiTheme="minorHAnsi" w:hAnsiTheme="minorHAnsi" w:cs="Times New Roman"/>
      <w:color w:val="000000" w:themeColor="text1"/>
      <w:sz w:val="20"/>
      <w:szCs w:val="20"/>
      <w:lang w:eastAsia="en-AU"/>
    </w:rPr>
  </w:style>
  <w:style w:type="paragraph" w:styleId="ListContinue3">
    <w:name w:val="List Continue 3"/>
    <w:basedOn w:val="Normal"/>
    <w:rsid w:val="00EE6483"/>
    <w:pPr>
      <w:spacing w:before="120" w:after="60" w:line="288" w:lineRule="auto"/>
      <w:ind w:left="1191"/>
    </w:pPr>
    <w:rPr>
      <w:rFonts w:asciiTheme="minorHAnsi" w:hAnsiTheme="minorHAnsi" w:cs="Times New Roman"/>
      <w:color w:val="000000" w:themeColor="text1"/>
      <w:sz w:val="20"/>
      <w:szCs w:val="20"/>
      <w:lang w:eastAsia="en-AU"/>
    </w:rPr>
  </w:style>
  <w:style w:type="paragraph" w:styleId="NoSpacing">
    <w:name w:val="No Spacing"/>
    <w:basedOn w:val="Normal"/>
    <w:next w:val="BodyText"/>
    <w:rsid w:val="004D457F"/>
    <w:pPr>
      <w:spacing w:line="288" w:lineRule="auto"/>
    </w:pPr>
    <w:rPr>
      <w:rFonts w:asciiTheme="minorHAnsi" w:hAnsiTheme="minorHAnsi" w:cs="Times New Roman"/>
      <w:color w:val="000000" w:themeColor="text1"/>
      <w:sz w:val="20"/>
      <w:szCs w:val="20"/>
      <w:lang w:eastAsia="en-AU"/>
    </w:rPr>
  </w:style>
  <w:style w:type="paragraph" w:styleId="Date">
    <w:name w:val="Date"/>
    <w:basedOn w:val="Normal"/>
    <w:next w:val="Normal"/>
    <w:link w:val="DateChar"/>
    <w:semiHidden/>
    <w:rsid w:val="00AE5749"/>
    <w:pPr>
      <w:spacing w:before="360" w:line="288" w:lineRule="auto"/>
      <w:jc w:val="center"/>
    </w:pPr>
    <w:rPr>
      <w:rFonts w:asciiTheme="minorHAnsi" w:hAnsiTheme="minorHAnsi" w:cs="Times New Roman"/>
      <w:color w:val="000000" w:themeColor="text1"/>
      <w:sz w:val="32"/>
      <w:szCs w:val="20"/>
      <w:lang w:eastAsia="en-AU"/>
    </w:rPr>
  </w:style>
  <w:style w:type="character" w:customStyle="1" w:styleId="DateChar">
    <w:name w:val="Date Char"/>
    <w:basedOn w:val="DefaultParagraphFont"/>
    <w:link w:val="Date"/>
    <w:semiHidden/>
    <w:rsid w:val="000B59CB"/>
    <w:rPr>
      <w:color w:val="000000" w:themeColor="text1"/>
      <w:sz w:val="32"/>
      <w:szCs w:val="18"/>
    </w:rPr>
  </w:style>
  <w:style w:type="paragraph" w:customStyle="1" w:styleId="Subtitle2">
    <w:name w:val="Subtitle 2"/>
    <w:basedOn w:val="Normal"/>
    <w:qFormat/>
    <w:rsid w:val="00F155D7"/>
    <w:pPr>
      <w:spacing w:before="360" w:after="360" w:line="288" w:lineRule="auto"/>
      <w:ind w:right="2552"/>
    </w:pPr>
    <w:rPr>
      <w:rFonts w:asciiTheme="minorHAnsi" w:eastAsiaTheme="minorEastAsia" w:hAnsiTheme="minorHAnsi" w:cs="Times New Roman"/>
      <w:color w:val="000000" w:themeColor="text1"/>
      <w:sz w:val="36"/>
      <w:lang w:eastAsia="en-AU"/>
    </w:rPr>
  </w:style>
  <w:style w:type="paragraph" w:customStyle="1" w:styleId="PullOutBoxBullet">
    <w:name w:val="Pull Out Box Bullet"/>
    <w:basedOn w:val="PullOutBoxBodyText"/>
    <w:qFormat/>
    <w:rsid w:val="004807F0"/>
    <w:pPr>
      <w:numPr>
        <w:numId w:val="16"/>
      </w:numPr>
    </w:pPr>
  </w:style>
  <w:style w:type="paragraph" w:customStyle="1" w:styleId="TableofFiguresHeading">
    <w:name w:val="Table of Figures Heading"/>
    <w:basedOn w:val="Normal"/>
    <w:rsid w:val="00316518"/>
    <w:pPr>
      <w:keepNext/>
      <w:keepLines/>
      <w:spacing w:before="240" w:after="240"/>
    </w:pPr>
    <w:rPr>
      <w:rFonts w:asciiTheme="minorHAnsi" w:hAnsiTheme="minorHAnsi" w:cs="Times New Roman"/>
      <w:b/>
      <w:bCs/>
      <w:noProof/>
      <w:color w:val="277BB4" w:themeColor="text2"/>
      <w:szCs w:val="20"/>
      <w:lang w:eastAsia="en-AU"/>
    </w:rPr>
  </w:style>
  <w:style w:type="paragraph" w:customStyle="1" w:styleId="FooterLeftText">
    <w:name w:val="Footer Left Text"/>
    <w:semiHidden/>
    <w:rsid w:val="00F27994"/>
    <w:pPr>
      <w:framePr w:hSpace="113" w:wrap="around" w:vAnchor="page" w:hAnchor="margin" w:yAlign="bottom"/>
    </w:pPr>
    <w:rPr>
      <w:color w:val="5B5652"/>
      <w:sz w:val="18"/>
      <w:szCs w:val="18"/>
    </w:rPr>
  </w:style>
  <w:style w:type="paragraph" w:customStyle="1" w:styleId="Address">
    <w:name w:val="Address"/>
    <w:basedOn w:val="Normal"/>
    <w:semiHidden/>
    <w:rsid w:val="00C6084A"/>
    <w:pPr>
      <w:framePr w:hSpace="181" w:wrap="around" w:vAnchor="page" w:hAnchor="page" w:xAlign="right" w:yAlign="bottom"/>
      <w:tabs>
        <w:tab w:val="left" w:pos="227"/>
      </w:tabs>
      <w:spacing w:line="288" w:lineRule="auto"/>
      <w:suppressOverlap/>
    </w:pPr>
    <w:rPr>
      <w:rFonts w:asciiTheme="minorHAnsi" w:hAnsiTheme="minorHAnsi" w:cs="Times New Roman"/>
      <w:noProof/>
      <w:color w:val="FFFFFF"/>
      <w:sz w:val="20"/>
      <w:szCs w:val="20"/>
      <w:lang w:eastAsia="en-AU"/>
    </w:rPr>
  </w:style>
  <w:style w:type="character" w:customStyle="1" w:styleId="Heading5Char">
    <w:name w:val="Heading 5 Char"/>
    <w:basedOn w:val="DefaultParagraphFont"/>
    <w:link w:val="Heading5"/>
    <w:rsid w:val="005C4F14"/>
    <w:rPr>
      <w:rFonts w:asciiTheme="majorHAnsi" w:eastAsiaTheme="majorEastAsia" w:hAnsiTheme="majorHAnsi" w:cstheme="majorBidi"/>
      <w:b/>
    </w:rPr>
  </w:style>
  <w:style w:type="character" w:customStyle="1" w:styleId="Heading6Char">
    <w:name w:val="Heading 6 Char"/>
    <w:basedOn w:val="DefaultParagraphFont"/>
    <w:link w:val="Heading6"/>
    <w:rsid w:val="00F52A35"/>
    <w:rPr>
      <w:rFonts w:asciiTheme="majorHAnsi" w:eastAsiaTheme="majorEastAsia" w:hAnsiTheme="majorHAnsi" w:cstheme="majorBidi"/>
      <w:i/>
      <w:iCs/>
      <w:szCs w:val="22"/>
      <w:lang w:eastAsia="en-US"/>
    </w:rPr>
  </w:style>
  <w:style w:type="paragraph" w:styleId="ListParagraph">
    <w:name w:val="List Paragraph"/>
    <w:basedOn w:val="Normal"/>
    <w:uiPriority w:val="34"/>
    <w:qFormat/>
    <w:rsid w:val="00C778F0"/>
    <w:pPr>
      <w:spacing w:before="120" w:after="120" w:line="288" w:lineRule="auto"/>
      <w:ind w:left="720"/>
    </w:pPr>
    <w:rPr>
      <w:rFonts w:asciiTheme="minorHAnsi" w:eastAsia="Calibri" w:hAnsiTheme="minorHAnsi" w:cs="Times New Roman"/>
      <w:color w:val="000000" w:themeColor="text1"/>
      <w:sz w:val="20"/>
      <w:szCs w:val="20"/>
    </w:rPr>
  </w:style>
  <w:style w:type="paragraph" w:styleId="Revision">
    <w:name w:val="Revision"/>
    <w:hidden/>
    <w:uiPriority w:val="99"/>
    <w:semiHidden/>
    <w:rsid w:val="009E7348"/>
    <w:pPr>
      <w:spacing w:line="240" w:lineRule="auto"/>
    </w:pPr>
    <w:rPr>
      <w:rFonts w:ascii="Calibri" w:eastAsia="Calibri" w:hAnsi="Calibri"/>
      <w:lang w:eastAsia="en-US"/>
    </w:rPr>
  </w:style>
  <w:style w:type="paragraph" w:customStyle="1" w:styleId="BoldHeading">
    <w:name w:val="Bold Heading"/>
    <w:basedOn w:val="BodyText"/>
    <w:next w:val="BodyText"/>
    <w:qFormat/>
    <w:rsid w:val="009E1572"/>
    <w:pPr>
      <w:keepNext/>
      <w:spacing w:before="360"/>
    </w:pPr>
    <w:rPr>
      <w:rFonts w:asciiTheme="majorHAnsi" w:hAnsiTheme="majorHAnsi"/>
      <w:b/>
      <w:color w:val="auto"/>
    </w:rPr>
  </w:style>
  <w:style w:type="paragraph" w:styleId="FootnoteText">
    <w:name w:val="footnote text"/>
    <w:basedOn w:val="Normal"/>
    <w:link w:val="FootnoteTextChar"/>
    <w:uiPriority w:val="99"/>
    <w:rsid w:val="00262A91"/>
    <w:rPr>
      <w:rFonts w:asciiTheme="minorHAnsi" w:hAnsiTheme="minorHAnsi" w:cs="Times New Roman"/>
      <w:color w:val="000000" w:themeColor="text1"/>
      <w:sz w:val="16"/>
      <w:szCs w:val="20"/>
      <w:lang w:eastAsia="en-AU"/>
    </w:rPr>
  </w:style>
  <w:style w:type="character" w:customStyle="1" w:styleId="FootnoteTextChar">
    <w:name w:val="Footnote Text Char"/>
    <w:basedOn w:val="DefaultParagraphFont"/>
    <w:link w:val="FootnoteText"/>
    <w:uiPriority w:val="99"/>
    <w:rsid w:val="00262A91"/>
    <w:rPr>
      <w:sz w:val="16"/>
    </w:rPr>
  </w:style>
  <w:style w:type="character" w:styleId="FootnoteReference">
    <w:name w:val="footnote reference"/>
    <w:basedOn w:val="DefaultParagraphFont"/>
    <w:uiPriority w:val="99"/>
    <w:rsid w:val="00617C92"/>
    <w:rPr>
      <w:vertAlign w:val="superscript"/>
    </w:rPr>
  </w:style>
  <w:style w:type="paragraph" w:customStyle="1" w:styleId="TableBodyTextBold">
    <w:name w:val="Table Body Text Bold"/>
    <w:basedOn w:val="TableBodyText"/>
    <w:qFormat/>
    <w:rsid w:val="00B752AC"/>
    <w:rPr>
      <w:rFonts w:asciiTheme="majorHAnsi" w:hAnsiTheme="majorHAnsi"/>
      <w:b/>
    </w:rPr>
  </w:style>
  <w:style w:type="paragraph" w:customStyle="1" w:styleId="PullOutBoxHeading">
    <w:name w:val="Pull Out Box Heading"/>
    <w:basedOn w:val="PullOutBoxBodyText"/>
    <w:next w:val="PullOutBoxBodyText"/>
    <w:qFormat/>
    <w:rsid w:val="004807F0"/>
    <w:rPr>
      <w:rFonts w:asciiTheme="majorHAnsi" w:hAnsiTheme="majorHAnsi"/>
      <w:b/>
    </w:rPr>
  </w:style>
  <w:style w:type="paragraph" w:customStyle="1" w:styleId="FigureSource">
    <w:name w:val="Figure Source"/>
    <w:basedOn w:val="Source"/>
    <w:next w:val="BodyText"/>
    <w:rsid w:val="00F67A1A"/>
    <w:pPr>
      <w:spacing w:after="120"/>
    </w:pPr>
  </w:style>
  <w:style w:type="table" w:styleId="LightGrid-Accent6">
    <w:name w:val="Light Grid Accent 6"/>
    <w:basedOn w:val="TableNormal"/>
    <w:uiPriority w:val="62"/>
    <w:rsid w:val="0095594E"/>
    <w:pPr>
      <w:spacing w:line="240" w:lineRule="auto"/>
    </w:pPr>
    <w:tblPr>
      <w:tblStyleRowBandSize w:val="1"/>
      <w:tblStyleColBandSize w:val="1"/>
      <w:tblBorders>
        <w:top w:val="single" w:sz="8" w:space="0" w:color="878686" w:themeColor="accent6"/>
        <w:left w:val="single" w:sz="8" w:space="0" w:color="878686" w:themeColor="accent6"/>
        <w:bottom w:val="single" w:sz="8" w:space="0" w:color="878686" w:themeColor="accent6"/>
        <w:right w:val="single" w:sz="8" w:space="0" w:color="878686" w:themeColor="accent6"/>
        <w:insideH w:val="single" w:sz="8" w:space="0" w:color="878686" w:themeColor="accent6"/>
        <w:insideV w:val="single" w:sz="8" w:space="0" w:color="87868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78686" w:themeColor="accent6"/>
          <w:left w:val="single" w:sz="8" w:space="0" w:color="878686" w:themeColor="accent6"/>
          <w:bottom w:val="single" w:sz="18" w:space="0" w:color="878686" w:themeColor="accent6"/>
          <w:right w:val="single" w:sz="8" w:space="0" w:color="878686" w:themeColor="accent6"/>
          <w:insideH w:val="nil"/>
          <w:insideV w:val="single" w:sz="8" w:space="0" w:color="87868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78686" w:themeColor="accent6"/>
          <w:left w:val="single" w:sz="8" w:space="0" w:color="878686" w:themeColor="accent6"/>
          <w:bottom w:val="single" w:sz="8" w:space="0" w:color="878686" w:themeColor="accent6"/>
          <w:right w:val="single" w:sz="8" w:space="0" w:color="878686" w:themeColor="accent6"/>
          <w:insideH w:val="nil"/>
          <w:insideV w:val="single" w:sz="8" w:space="0" w:color="87868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78686" w:themeColor="accent6"/>
          <w:left w:val="single" w:sz="8" w:space="0" w:color="878686" w:themeColor="accent6"/>
          <w:bottom w:val="single" w:sz="8" w:space="0" w:color="878686" w:themeColor="accent6"/>
          <w:right w:val="single" w:sz="8" w:space="0" w:color="878686" w:themeColor="accent6"/>
        </w:tcBorders>
      </w:tcPr>
    </w:tblStylePr>
    <w:tblStylePr w:type="band1Vert">
      <w:tblPr/>
      <w:tcPr>
        <w:tcBorders>
          <w:top w:val="single" w:sz="8" w:space="0" w:color="878686" w:themeColor="accent6"/>
          <w:left w:val="single" w:sz="8" w:space="0" w:color="878686" w:themeColor="accent6"/>
          <w:bottom w:val="single" w:sz="8" w:space="0" w:color="878686" w:themeColor="accent6"/>
          <w:right w:val="single" w:sz="8" w:space="0" w:color="878686" w:themeColor="accent6"/>
        </w:tcBorders>
        <w:shd w:val="clear" w:color="auto" w:fill="E1E1E1" w:themeFill="accent6" w:themeFillTint="3F"/>
      </w:tcPr>
    </w:tblStylePr>
    <w:tblStylePr w:type="band1Horz">
      <w:tblPr/>
      <w:tcPr>
        <w:tcBorders>
          <w:top w:val="single" w:sz="8" w:space="0" w:color="878686" w:themeColor="accent6"/>
          <w:left w:val="single" w:sz="8" w:space="0" w:color="878686" w:themeColor="accent6"/>
          <w:bottom w:val="single" w:sz="8" w:space="0" w:color="878686" w:themeColor="accent6"/>
          <w:right w:val="single" w:sz="8" w:space="0" w:color="878686" w:themeColor="accent6"/>
          <w:insideV w:val="single" w:sz="8" w:space="0" w:color="878686" w:themeColor="accent6"/>
        </w:tcBorders>
        <w:shd w:val="clear" w:color="auto" w:fill="E1E1E1" w:themeFill="accent6" w:themeFillTint="3F"/>
      </w:tcPr>
    </w:tblStylePr>
    <w:tblStylePr w:type="band2Horz">
      <w:tblPr/>
      <w:tcPr>
        <w:tcBorders>
          <w:top w:val="single" w:sz="8" w:space="0" w:color="878686" w:themeColor="accent6"/>
          <w:left w:val="single" w:sz="8" w:space="0" w:color="878686" w:themeColor="accent6"/>
          <w:bottom w:val="single" w:sz="8" w:space="0" w:color="878686" w:themeColor="accent6"/>
          <w:right w:val="single" w:sz="8" w:space="0" w:color="878686" w:themeColor="accent6"/>
          <w:insideV w:val="single" w:sz="8" w:space="0" w:color="878686" w:themeColor="accent6"/>
        </w:tcBorders>
      </w:tcPr>
    </w:tblStylePr>
  </w:style>
  <w:style w:type="character" w:customStyle="1" w:styleId="Bold">
    <w:name w:val="Bold"/>
    <w:rsid w:val="000946E4"/>
    <w:rPr>
      <w:b/>
    </w:rPr>
  </w:style>
  <w:style w:type="paragraph" w:styleId="NormalWeb">
    <w:name w:val="Normal (Web)"/>
    <w:basedOn w:val="Normal"/>
    <w:uiPriority w:val="99"/>
    <w:unhideWhenUsed/>
    <w:rsid w:val="00B93EA8"/>
    <w:pPr>
      <w:spacing w:before="100" w:beforeAutospacing="1" w:after="100" w:afterAutospacing="1"/>
    </w:pPr>
    <w:rPr>
      <w:rFonts w:asciiTheme="minorHAnsi" w:eastAsiaTheme="minorEastAsia" w:hAnsiTheme="minorHAnsi" w:cs="Times New Roman"/>
      <w:color w:val="000000" w:themeColor="text1"/>
      <w:sz w:val="20"/>
      <w:lang w:eastAsia="en-AU"/>
    </w:rPr>
  </w:style>
  <w:style w:type="paragraph" w:customStyle="1" w:styleId="StyleSourceAfter6pt">
    <w:name w:val="Style Source + After:  6 pt"/>
    <w:basedOn w:val="Source"/>
    <w:rsid w:val="00335083"/>
    <w:pPr>
      <w:spacing w:after="120"/>
      <w:ind w:left="567" w:hanging="567"/>
    </w:pPr>
  </w:style>
  <w:style w:type="character" w:customStyle="1" w:styleId="MySuperscriptItalics">
    <w:name w:val="MySuperscript&amp;Italics"/>
    <w:semiHidden/>
    <w:rsid w:val="00BF5582"/>
    <w:rPr>
      <w:b w:val="0"/>
      <w:i/>
      <w:vertAlign w:val="superscript"/>
    </w:rPr>
  </w:style>
  <w:style w:type="character" w:customStyle="1" w:styleId="MySubscriptItalics">
    <w:name w:val="MySubscript&amp;Italics"/>
    <w:semiHidden/>
    <w:rsid w:val="00BF5582"/>
    <w:rPr>
      <w:b w:val="0"/>
      <w:i/>
      <w:vertAlign w:val="subscript"/>
    </w:rPr>
  </w:style>
  <w:style w:type="character" w:customStyle="1" w:styleId="MySuperscript">
    <w:name w:val="MySuperscript"/>
    <w:semiHidden/>
    <w:rsid w:val="00BF5582"/>
    <w:rPr>
      <w:b w:val="0"/>
      <w:i w:val="0"/>
      <w:vertAlign w:val="superscript"/>
    </w:rPr>
  </w:style>
  <w:style w:type="character" w:customStyle="1" w:styleId="MySubscript">
    <w:name w:val="MySubscript"/>
    <w:semiHidden/>
    <w:rsid w:val="00BF5582"/>
    <w:rPr>
      <w:b w:val="0"/>
      <w:i w:val="0"/>
      <w:vertAlign w:val="subscript"/>
    </w:rPr>
  </w:style>
  <w:style w:type="character" w:customStyle="1" w:styleId="BoldAndItalics">
    <w:name w:val="Bold And Italics"/>
    <w:rsid w:val="00BF5582"/>
    <w:rPr>
      <w:b/>
      <w:i/>
      <w:vertAlign w:val="baseline"/>
    </w:rPr>
  </w:style>
  <w:style w:type="character" w:customStyle="1" w:styleId="Italics">
    <w:name w:val="Italics"/>
    <w:rsid w:val="00BF5582"/>
    <w:rPr>
      <w:b w:val="0"/>
      <w:i/>
      <w:vertAlign w:val="baseline"/>
    </w:rPr>
  </w:style>
  <w:style w:type="table" w:customStyle="1" w:styleId="PullOutBox">
    <w:name w:val="Pull Out Box"/>
    <w:basedOn w:val="TableNormal"/>
    <w:uiPriority w:val="99"/>
    <w:rsid w:val="003C34DF"/>
    <w:pPr>
      <w:spacing w:line="240" w:lineRule="auto"/>
    </w:pPr>
    <w:tblPr>
      <w:tblBorders>
        <w:top w:val="single" w:sz="4" w:space="0" w:color="277BB4" w:themeColor="text2"/>
        <w:left w:val="single" w:sz="4" w:space="0" w:color="277BB4" w:themeColor="text2"/>
        <w:bottom w:val="single" w:sz="4" w:space="0" w:color="277BB4" w:themeColor="text2"/>
        <w:right w:val="single" w:sz="4" w:space="0" w:color="277BB4" w:themeColor="text2"/>
      </w:tblBorders>
      <w:tblCellMar>
        <w:top w:w="113" w:type="dxa"/>
        <w:left w:w="0" w:type="dxa"/>
        <w:bottom w:w="113" w:type="dxa"/>
        <w:right w:w="0" w:type="dxa"/>
      </w:tblCellMar>
    </w:tblPr>
    <w:tcPr>
      <w:shd w:val="clear" w:color="auto" w:fill="auto"/>
    </w:tcPr>
  </w:style>
  <w:style w:type="paragraph" w:customStyle="1" w:styleId="PullOutBoxBullet2">
    <w:name w:val="Pull Out Box Bullet 2"/>
    <w:basedOn w:val="Normal"/>
    <w:rsid w:val="004807F0"/>
    <w:pPr>
      <w:numPr>
        <w:ilvl w:val="1"/>
        <w:numId w:val="16"/>
      </w:numPr>
      <w:spacing w:line="288" w:lineRule="auto"/>
    </w:pPr>
    <w:rPr>
      <w:rFonts w:asciiTheme="minorHAnsi" w:hAnsiTheme="minorHAnsi" w:cs="Times New Roman"/>
      <w:color w:val="000000" w:themeColor="text1"/>
      <w:sz w:val="20"/>
      <w:szCs w:val="20"/>
      <w:lang w:eastAsia="en-AU"/>
    </w:rPr>
  </w:style>
  <w:style w:type="paragraph" w:customStyle="1" w:styleId="TableBodyTextRight">
    <w:name w:val="Table Body Text Right"/>
    <w:basedOn w:val="TableBodyText"/>
    <w:qFormat/>
    <w:rsid w:val="00A34DDF"/>
    <w:pPr>
      <w:jc w:val="right"/>
    </w:pPr>
  </w:style>
  <w:style w:type="table" w:customStyle="1" w:styleId="TableAMinimalLines">
    <w:name w:val="Table A Minimal Lines"/>
    <w:basedOn w:val="TableNormal"/>
    <w:uiPriority w:val="99"/>
    <w:rsid w:val="003C34DF"/>
    <w:pPr>
      <w:ind w:left="28" w:right="113"/>
    </w:pPr>
    <w:rPr>
      <w:sz w:val="18"/>
    </w:rPr>
    <w:tblPr>
      <w:tblBorders>
        <w:top w:val="single" w:sz="4" w:space="0" w:color="277BB4" w:themeColor="text2"/>
        <w:bottom w:val="single" w:sz="4" w:space="0" w:color="277BB4" w:themeColor="text2"/>
      </w:tblBorders>
      <w:tblCellMar>
        <w:top w:w="57" w:type="dxa"/>
        <w:left w:w="0" w:type="dxa"/>
        <w:bottom w:w="28" w:type="dxa"/>
        <w:right w:w="0" w:type="dxa"/>
      </w:tblCellMar>
    </w:tblPr>
    <w:trPr>
      <w:cantSplit/>
    </w:trPr>
    <w:tblStylePr w:type="firstRow">
      <w:pPr>
        <w:keepNext/>
        <w:wordWrap/>
        <w:jc w:val="left"/>
      </w:pPr>
      <w:rPr>
        <w:b w:val="0"/>
        <w:color w:val="auto"/>
      </w:rPr>
      <w:tblPr/>
      <w:trPr>
        <w:cantSplit w:val="0"/>
        <w:tblHeader/>
      </w:trPr>
      <w:tcPr>
        <w:tcBorders>
          <w:top w:val="single" w:sz="4" w:space="0" w:color="277BB4" w:themeColor="text2"/>
          <w:left w:val="nil"/>
          <w:bottom w:val="single" w:sz="4" w:space="0" w:color="277BB4" w:themeColor="text2"/>
          <w:right w:val="nil"/>
          <w:insideH w:val="nil"/>
          <w:insideV w:val="nil"/>
          <w:tl2br w:val="nil"/>
          <w:tr2bl w:val="nil"/>
        </w:tcBorders>
        <w:vAlign w:val="bottom"/>
      </w:tcPr>
    </w:tblStylePr>
    <w:tblStylePr w:type="firstCol">
      <w:pPr>
        <w:jc w:val="left"/>
      </w:pPr>
    </w:tblStylePr>
    <w:tblStylePr w:type="nwCell">
      <w:pPr>
        <w:jc w:val="left"/>
      </w:pPr>
      <w:tblPr/>
      <w:tcPr>
        <w:vAlign w:val="center"/>
      </w:tcPr>
    </w:tblStylePr>
  </w:style>
  <w:style w:type="table" w:styleId="Table3Deffects1">
    <w:name w:val="Table 3D effects 1"/>
    <w:basedOn w:val="TableNormal"/>
    <w:rsid w:val="00037589"/>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MyBoldItalicsUnderline">
    <w:name w:val="MyBoldItalicsUnderline"/>
    <w:semiHidden/>
    <w:rsid w:val="00B3393F"/>
    <w:rPr>
      <w:b/>
      <w:i/>
      <w:u w:val="single"/>
      <w:vertAlign w:val="baseline"/>
    </w:rPr>
  </w:style>
  <w:style w:type="character" w:customStyle="1" w:styleId="MyBoldUnderline">
    <w:name w:val="MyBoldUnderline"/>
    <w:semiHidden/>
    <w:rsid w:val="00B3393F"/>
    <w:rPr>
      <w:b/>
      <w:i/>
      <w:u w:val="single"/>
      <w:vertAlign w:val="baseline"/>
    </w:rPr>
  </w:style>
  <w:style w:type="character" w:customStyle="1" w:styleId="MyItalicsUnderline">
    <w:name w:val="MyItalicsUnderline"/>
    <w:semiHidden/>
    <w:rsid w:val="00B3393F"/>
    <w:rPr>
      <w:b/>
      <w:i/>
      <w:u w:val="single"/>
      <w:vertAlign w:val="baseline"/>
    </w:rPr>
  </w:style>
  <w:style w:type="character" w:customStyle="1" w:styleId="MyUnderline">
    <w:name w:val="MyUnderline"/>
    <w:semiHidden/>
    <w:rsid w:val="00B3393F"/>
    <w:rPr>
      <w:b w:val="0"/>
      <w:i w:val="0"/>
      <w:u w:val="single"/>
      <w:vertAlign w:val="baseline"/>
    </w:rPr>
  </w:style>
  <w:style w:type="paragraph" w:customStyle="1" w:styleId="ReferenceText">
    <w:name w:val="Reference Text"/>
    <w:basedOn w:val="BodyText"/>
    <w:qFormat/>
    <w:rsid w:val="00F25E60"/>
    <w:pPr>
      <w:spacing w:before="120" w:after="120"/>
      <w:ind w:left="425" w:hanging="425"/>
    </w:pPr>
  </w:style>
  <w:style w:type="paragraph" w:customStyle="1" w:styleId="BodyTextSmall">
    <w:name w:val="Body Text Small"/>
    <w:basedOn w:val="Normal"/>
    <w:qFormat/>
    <w:rsid w:val="00F25E60"/>
    <w:pPr>
      <w:spacing w:before="120" w:after="120" w:line="288" w:lineRule="auto"/>
    </w:pPr>
    <w:rPr>
      <w:rFonts w:asciiTheme="minorHAnsi" w:hAnsiTheme="minorHAnsi" w:cs="Times New Roman"/>
      <w:color w:val="000000" w:themeColor="text1"/>
      <w:sz w:val="18"/>
      <w:szCs w:val="20"/>
      <w:lang w:eastAsia="en-AU"/>
    </w:rPr>
  </w:style>
  <w:style w:type="paragraph" w:customStyle="1" w:styleId="PullOutBoxBullet3">
    <w:name w:val="Pull Out Box Bullet 3"/>
    <w:basedOn w:val="BodyText"/>
    <w:rsid w:val="004807F0"/>
    <w:pPr>
      <w:numPr>
        <w:ilvl w:val="2"/>
        <w:numId w:val="16"/>
      </w:numPr>
      <w:spacing w:before="120" w:after="120" w:line="240" w:lineRule="auto"/>
    </w:pPr>
  </w:style>
  <w:style w:type="paragraph" w:customStyle="1" w:styleId="PullOutBoxNumber">
    <w:name w:val="Pull Out Box Number"/>
    <w:basedOn w:val="PullOutBoxBodyText"/>
    <w:qFormat/>
    <w:rsid w:val="004807F0"/>
    <w:pPr>
      <w:numPr>
        <w:numId w:val="17"/>
      </w:numPr>
      <w:spacing w:line="240" w:lineRule="auto"/>
    </w:pPr>
  </w:style>
  <w:style w:type="paragraph" w:customStyle="1" w:styleId="PullOutBoxNumber2">
    <w:name w:val="Pull Out Box Number 2"/>
    <w:basedOn w:val="PullOutBoxBodyText"/>
    <w:qFormat/>
    <w:rsid w:val="004807F0"/>
    <w:pPr>
      <w:numPr>
        <w:ilvl w:val="1"/>
        <w:numId w:val="17"/>
      </w:numPr>
    </w:pPr>
  </w:style>
  <w:style w:type="paragraph" w:customStyle="1" w:styleId="PullOutBoxNumber3">
    <w:name w:val="Pull Out Box Number 3"/>
    <w:basedOn w:val="PullOutBoxBodyText"/>
    <w:qFormat/>
    <w:rsid w:val="004807F0"/>
    <w:pPr>
      <w:numPr>
        <w:ilvl w:val="2"/>
        <w:numId w:val="17"/>
      </w:numPr>
      <w:spacing w:line="240" w:lineRule="auto"/>
    </w:pPr>
  </w:style>
  <w:style w:type="numbering" w:customStyle="1" w:styleId="PullOutBoxNumbering">
    <w:name w:val="Pull Out Box Numbering"/>
    <w:uiPriority w:val="99"/>
    <w:rsid w:val="004807F0"/>
    <w:pPr>
      <w:numPr>
        <w:numId w:val="14"/>
      </w:numPr>
    </w:pPr>
  </w:style>
  <w:style w:type="paragraph" w:customStyle="1" w:styleId="PhotoCredit">
    <w:name w:val="Photo Credit"/>
    <w:basedOn w:val="BodyText"/>
    <w:qFormat/>
    <w:rsid w:val="00662E98"/>
    <w:pPr>
      <w:spacing w:before="40" w:after="280" w:line="180" w:lineRule="atLeast"/>
    </w:pPr>
    <w:rPr>
      <w:i/>
      <w:sz w:val="16"/>
    </w:rPr>
  </w:style>
  <w:style w:type="paragraph" w:customStyle="1" w:styleId="BodyTextBold">
    <w:name w:val="Body Text Bold"/>
    <w:basedOn w:val="BodyText"/>
    <w:qFormat/>
    <w:rsid w:val="003667EB"/>
    <w:rPr>
      <w:b/>
    </w:rPr>
  </w:style>
  <w:style w:type="paragraph" w:customStyle="1" w:styleId="BodyTextItalics">
    <w:name w:val="Body Text Italics"/>
    <w:basedOn w:val="BodyText"/>
    <w:qFormat/>
    <w:rsid w:val="003667EB"/>
    <w:rPr>
      <w:i/>
    </w:rPr>
  </w:style>
  <w:style w:type="paragraph" w:customStyle="1" w:styleId="ListAlpha">
    <w:name w:val="List Alpha"/>
    <w:basedOn w:val="Normal"/>
    <w:qFormat/>
    <w:rsid w:val="00D02C00"/>
    <w:pPr>
      <w:numPr>
        <w:numId w:val="15"/>
      </w:numPr>
      <w:spacing w:before="120" w:after="120" w:line="288" w:lineRule="auto"/>
    </w:pPr>
    <w:rPr>
      <w:rFonts w:asciiTheme="minorHAnsi" w:hAnsiTheme="minorHAnsi" w:cs="Times New Roman"/>
      <w:color w:val="000000" w:themeColor="text1"/>
      <w:sz w:val="20"/>
      <w:szCs w:val="20"/>
      <w:lang w:eastAsia="en-AU"/>
    </w:rPr>
  </w:style>
  <w:style w:type="paragraph" w:customStyle="1" w:styleId="ListAlpha2">
    <w:name w:val="List Alpha 2"/>
    <w:basedOn w:val="Normal"/>
    <w:qFormat/>
    <w:rsid w:val="00D02C00"/>
    <w:pPr>
      <w:numPr>
        <w:ilvl w:val="1"/>
        <w:numId w:val="15"/>
      </w:numPr>
      <w:spacing w:before="120" w:after="120" w:line="288" w:lineRule="auto"/>
    </w:pPr>
    <w:rPr>
      <w:rFonts w:asciiTheme="minorHAnsi" w:hAnsiTheme="minorHAnsi" w:cs="Times New Roman"/>
      <w:color w:val="000000" w:themeColor="text1"/>
      <w:sz w:val="20"/>
      <w:szCs w:val="20"/>
      <w:lang w:eastAsia="en-AU"/>
    </w:rPr>
  </w:style>
  <w:style w:type="paragraph" w:customStyle="1" w:styleId="ListAlpha3">
    <w:name w:val="List Alpha 3"/>
    <w:basedOn w:val="Normal"/>
    <w:qFormat/>
    <w:rsid w:val="00D02C00"/>
    <w:pPr>
      <w:numPr>
        <w:ilvl w:val="2"/>
        <w:numId w:val="15"/>
      </w:numPr>
      <w:spacing w:before="120" w:after="120" w:line="288" w:lineRule="auto"/>
    </w:pPr>
    <w:rPr>
      <w:rFonts w:asciiTheme="minorHAnsi" w:hAnsiTheme="minorHAnsi" w:cs="Times New Roman"/>
      <w:color w:val="000000" w:themeColor="text1"/>
      <w:sz w:val="20"/>
      <w:szCs w:val="20"/>
      <w:lang w:eastAsia="en-AU"/>
    </w:rPr>
  </w:style>
  <w:style w:type="paragraph" w:customStyle="1" w:styleId="FooterPageNumber">
    <w:name w:val="Footer Page Number"/>
    <w:basedOn w:val="Footer"/>
    <w:rsid w:val="007D62D8"/>
    <w:pPr>
      <w:jc w:val="right"/>
    </w:pPr>
    <w:rPr>
      <w:rFonts w:ascii="Arial" w:hAnsi="Arial"/>
      <w:color w:val="000000"/>
    </w:rPr>
  </w:style>
  <w:style w:type="paragraph" w:customStyle="1" w:styleId="HeaderCoverPage">
    <w:name w:val="Header Cover Page"/>
    <w:basedOn w:val="Header"/>
    <w:next w:val="BodyText"/>
    <w:uiPriority w:val="99"/>
    <w:rsid w:val="00E526EB"/>
    <w:pPr>
      <w:spacing w:after="2640"/>
      <w:jc w:val="right"/>
    </w:pPr>
  </w:style>
  <w:style w:type="paragraph" w:customStyle="1" w:styleId="HighlightBoxBodyText">
    <w:name w:val="Highlight Box Body Text"/>
    <w:basedOn w:val="BodyText"/>
    <w:qFormat/>
    <w:rsid w:val="006755F5"/>
    <w:pPr>
      <w:pBdr>
        <w:top w:val="single" w:sz="4" w:space="12" w:color="F4F8FB"/>
        <w:left w:val="single" w:sz="4" w:space="12" w:color="F4F8FB"/>
        <w:bottom w:val="single" w:sz="4" w:space="12" w:color="F4F8FB"/>
        <w:right w:val="single" w:sz="4" w:space="12" w:color="F4F8FB"/>
      </w:pBdr>
      <w:shd w:val="clear" w:color="auto" w:fill="F4F8FB"/>
      <w:spacing w:before="120" w:after="120"/>
      <w:ind w:left="284" w:right="284"/>
    </w:pPr>
  </w:style>
  <w:style w:type="paragraph" w:customStyle="1" w:styleId="HighlightBoxBullet">
    <w:name w:val="Highlight Box Bullet"/>
    <w:basedOn w:val="HighlightBoxBodyText"/>
    <w:qFormat/>
    <w:rsid w:val="006755F5"/>
    <w:pPr>
      <w:numPr>
        <w:numId w:val="18"/>
      </w:numPr>
      <w:ind w:left="681" w:hanging="397"/>
    </w:pPr>
  </w:style>
  <w:style w:type="paragraph" w:customStyle="1" w:styleId="NoteText">
    <w:name w:val="Note Text"/>
    <w:basedOn w:val="BodyText"/>
    <w:qFormat/>
    <w:rsid w:val="00065F04"/>
    <w:pPr>
      <w:spacing w:before="60" w:after="60"/>
    </w:pPr>
    <w:rPr>
      <w:sz w:val="16"/>
    </w:rPr>
  </w:style>
  <w:style w:type="paragraph" w:styleId="Quote">
    <w:name w:val="Quote"/>
    <w:basedOn w:val="Normal"/>
    <w:link w:val="QuoteChar"/>
    <w:qFormat/>
    <w:rsid w:val="00693432"/>
    <w:pPr>
      <w:tabs>
        <w:tab w:val="left" w:pos="1134"/>
        <w:tab w:val="left" w:pos="1701"/>
        <w:tab w:val="left" w:pos="2268"/>
        <w:tab w:val="left" w:pos="2835"/>
        <w:tab w:val="left" w:pos="3402"/>
        <w:tab w:val="left" w:pos="3969"/>
        <w:tab w:val="left" w:pos="4536"/>
      </w:tabs>
      <w:spacing w:before="120" w:after="120" w:line="288" w:lineRule="auto"/>
      <w:ind w:left="567" w:right="567"/>
      <w:jc w:val="both"/>
    </w:pPr>
    <w:rPr>
      <w:rFonts w:asciiTheme="minorHAnsi" w:hAnsiTheme="minorHAnsi"/>
      <w:iCs/>
      <w:sz w:val="20"/>
      <w:szCs w:val="18"/>
      <w:lang w:eastAsia="en-AU"/>
    </w:rPr>
  </w:style>
  <w:style w:type="character" w:customStyle="1" w:styleId="QuoteChar">
    <w:name w:val="Quote Char"/>
    <w:basedOn w:val="DefaultParagraphFont"/>
    <w:link w:val="Quote"/>
    <w:rsid w:val="00693432"/>
    <w:rPr>
      <w:rFonts w:cs="Arial"/>
      <w:iCs/>
      <w:color w:val="auto"/>
      <w:szCs w:val="18"/>
    </w:rPr>
  </w:style>
  <w:style w:type="paragraph" w:customStyle="1" w:styleId="QuoteBullet">
    <w:name w:val="Quote Bullet"/>
    <w:basedOn w:val="Quote"/>
    <w:qFormat/>
    <w:rsid w:val="00693432"/>
    <w:pPr>
      <w:numPr>
        <w:numId w:val="19"/>
      </w:numPr>
    </w:pPr>
  </w:style>
  <w:style w:type="paragraph" w:customStyle="1" w:styleId="QuoteBullet2">
    <w:name w:val="Quote Bullet 2"/>
    <w:basedOn w:val="Quote"/>
    <w:qFormat/>
    <w:rsid w:val="00693432"/>
    <w:pPr>
      <w:numPr>
        <w:ilvl w:val="1"/>
        <w:numId w:val="19"/>
      </w:numPr>
    </w:pPr>
  </w:style>
  <w:style w:type="paragraph" w:customStyle="1" w:styleId="QuoteHangingIndent1">
    <w:name w:val="Quote Hanging Indent 1"/>
    <w:basedOn w:val="Quote"/>
    <w:qFormat/>
    <w:rsid w:val="00693432"/>
    <w:pPr>
      <w:ind w:left="1134" w:hanging="567"/>
    </w:pPr>
  </w:style>
  <w:style w:type="paragraph" w:customStyle="1" w:styleId="QuoteHangingIndent2">
    <w:name w:val="Quote Hanging Indent 2"/>
    <w:basedOn w:val="QuoteHangingIndent1"/>
    <w:qFormat/>
    <w:rsid w:val="00693432"/>
    <w:pPr>
      <w:tabs>
        <w:tab w:val="clear" w:pos="1134"/>
      </w:tabs>
      <w:ind w:left="1701"/>
    </w:pPr>
  </w:style>
  <w:style w:type="paragraph" w:customStyle="1" w:styleId="QuoteHangingIndent3">
    <w:name w:val="Quote Hanging Indent 3"/>
    <w:basedOn w:val="QuoteHangingIndent2"/>
    <w:qFormat/>
    <w:rsid w:val="00693432"/>
    <w:pPr>
      <w:tabs>
        <w:tab w:val="clear" w:pos="1701"/>
      </w:tabs>
      <w:ind w:left="2268"/>
    </w:pPr>
  </w:style>
  <w:style w:type="paragraph" w:styleId="EndnoteText">
    <w:name w:val="endnote text"/>
    <w:basedOn w:val="Normal"/>
    <w:link w:val="EndnoteTextChar"/>
    <w:rsid w:val="0032656F"/>
    <w:rPr>
      <w:rFonts w:asciiTheme="minorHAnsi" w:hAnsiTheme="minorHAnsi" w:cs="Times New Roman"/>
      <w:color w:val="000000" w:themeColor="text1"/>
      <w:sz w:val="20"/>
      <w:szCs w:val="20"/>
      <w:lang w:eastAsia="en-AU"/>
    </w:rPr>
  </w:style>
  <w:style w:type="character" w:customStyle="1" w:styleId="EndnoteTextChar">
    <w:name w:val="Endnote Text Char"/>
    <w:basedOn w:val="DefaultParagraphFont"/>
    <w:link w:val="EndnoteText"/>
    <w:rsid w:val="0032656F"/>
  </w:style>
  <w:style w:type="character" w:styleId="EndnoteReference">
    <w:name w:val="endnote reference"/>
    <w:basedOn w:val="DefaultParagraphFont"/>
    <w:rsid w:val="0032656F"/>
    <w:rPr>
      <w:vertAlign w:val="superscript"/>
    </w:rPr>
  </w:style>
  <w:style w:type="character" w:customStyle="1" w:styleId="apple-converted-space">
    <w:name w:val="apple-converted-space"/>
    <w:basedOn w:val="DefaultParagraphFont"/>
    <w:rsid w:val="00B3127D"/>
  </w:style>
  <w:style w:type="character" w:customStyle="1" w:styleId="ilfuvd">
    <w:name w:val="ilfuvd"/>
    <w:basedOn w:val="DefaultParagraphFont"/>
    <w:rsid w:val="00B3127D"/>
  </w:style>
  <w:style w:type="character" w:styleId="BookTitle">
    <w:name w:val="Book Title"/>
    <w:basedOn w:val="DefaultParagraphFont"/>
    <w:uiPriority w:val="33"/>
    <w:qFormat/>
    <w:rsid w:val="0066358A"/>
    <w:rPr>
      <w:b/>
      <w:bCs/>
      <w:i/>
      <w:iCs/>
      <w:spacing w:val="5"/>
    </w:rPr>
  </w:style>
  <w:style w:type="character" w:styleId="CommentReference">
    <w:name w:val="annotation reference"/>
    <w:basedOn w:val="DefaultParagraphFont"/>
    <w:uiPriority w:val="99"/>
    <w:semiHidden/>
    <w:unhideWhenUsed/>
    <w:rsid w:val="00574250"/>
    <w:rPr>
      <w:sz w:val="16"/>
      <w:szCs w:val="16"/>
    </w:rPr>
  </w:style>
  <w:style w:type="character" w:styleId="Emphasis">
    <w:name w:val="Emphasis"/>
    <w:basedOn w:val="DefaultParagraphFont"/>
    <w:uiPriority w:val="20"/>
    <w:qFormat/>
    <w:rsid w:val="003C6A9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279321">
      <w:bodyDiv w:val="1"/>
      <w:marLeft w:val="0"/>
      <w:marRight w:val="0"/>
      <w:marTop w:val="0"/>
      <w:marBottom w:val="0"/>
      <w:divBdr>
        <w:top w:val="none" w:sz="0" w:space="0" w:color="auto"/>
        <w:left w:val="none" w:sz="0" w:space="0" w:color="auto"/>
        <w:bottom w:val="none" w:sz="0" w:space="0" w:color="auto"/>
        <w:right w:val="none" w:sz="0" w:space="0" w:color="auto"/>
      </w:divBdr>
      <w:divsChild>
        <w:div w:id="280499001">
          <w:marLeft w:val="0"/>
          <w:marRight w:val="0"/>
          <w:marTop w:val="0"/>
          <w:marBottom w:val="0"/>
          <w:divBdr>
            <w:top w:val="none" w:sz="0" w:space="0" w:color="auto"/>
            <w:left w:val="none" w:sz="0" w:space="0" w:color="auto"/>
            <w:bottom w:val="none" w:sz="0" w:space="0" w:color="auto"/>
            <w:right w:val="none" w:sz="0" w:space="0" w:color="auto"/>
          </w:divBdr>
          <w:divsChild>
            <w:div w:id="1503474061">
              <w:marLeft w:val="0"/>
              <w:marRight w:val="0"/>
              <w:marTop w:val="0"/>
              <w:marBottom w:val="0"/>
              <w:divBdr>
                <w:top w:val="none" w:sz="0" w:space="0" w:color="auto"/>
                <w:left w:val="none" w:sz="0" w:space="0" w:color="auto"/>
                <w:bottom w:val="none" w:sz="0" w:space="0" w:color="auto"/>
                <w:right w:val="none" w:sz="0" w:space="0" w:color="auto"/>
              </w:divBdr>
              <w:divsChild>
                <w:div w:id="1173911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92552">
      <w:bodyDiv w:val="1"/>
      <w:marLeft w:val="0"/>
      <w:marRight w:val="0"/>
      <w:marTop w:val="0"/>
      <w:marBottom w:val="0"/>
      <w:divBdr>
        <w:top w:val="none" w:sz="0" w:space="0" w:color="auto"/>
        <w:left w:val="none" w:sz="0" w:space="0" w:color="auto"/>
        <w:bottom w:val="none" w:sz="0" w:space="0" w:color="auto"/>
        <w:right w:val="none" w:sz="0" w:space="0" w:color="auto"/>
      </w:divBdr>
    </w:div>
    <w:div w:id="282349695">
      <w:bodyDiv w:val="1"/>
      <w:marLeft w:val="0"/>
      <w:marRight w:val="0"/>
      <w:marTop w:val="0"/>
      <w:marBottom w:val="0"/>
      <w:divBdr>
        <w:top w:val="none" w:sz="0" w:space="0" w:color="auto"/>
        <w:left w:val="none" w:sz="0" w:space="0" w:color="auto"/>
        <w:bottom w:val="none" w:sz="0" w:space="0" w:color="auto"/>
        <w:right w:val="none" w:sz="0" w:space="0" w:color="auto"/>
      </w:divBdr>
    </w:div>
    <w:div w:id="330838298">
      <w:bodyDiv w:val="1"/>
      <w:marLeft w:val="0"/>
      <w:marRight w:val="0"/>
      <w:marTop w:val="0"/>
      <w:marBottom w:val="0"/>
      <w:divBdr>
        <w:top w:val="none" w:sz="0" w:space="0" w:color="auto"/>
        <w:left w:val="none" w:sz="0" w:space="0" w:color="auto"/>
        <w:bottom w:val="none" w:sz="0" w:space="0" w:color="auto"/>
        <w:right w:val="none" w:sz="0" w:space="0" w:color="auto"/>
      </w:divBdr>
    </w:div>
    <w:div w:id="377897022">
      <w:bodyDiv w:val="1"/>
      <w:marLeft w:val="0"/>
      <w:marRight w:val="0"/>
      <w:marTop w:val="0"/>
      <w:marBottom w:val="0"/>
      <w:divBdr>
        <w:top w:val="none" w:sz="0" w:space="0" w:color="auto"/>
        <w:left w:val="none" w:sz="0" w:space="0" w:color="auto"/>
        <w:bottom w:val="none" w:sz="0" w:space="0" w:color="auto"/>
        <w:right w:val="none" w:sz="0" w:space="0" w:color="auto"/>
      </w:divBdr>
      <w:divsChild>
        <w:div w:id="522717352">
          <w:marLeft w:val="0"/>
          <w:marRight w:val="0"/>
          <w:marTop w:val="0"/>
          <w:marBottom w:val="0"/>
          <w:divBdr>
            <w:top w:val="none" w:sz="0" w:space="0" w:color="auto"/>
            <w:left w:val="none" w:sz="0" w:space="0" w:color="auto"/>
            <w:bottom w:val="none" w:sz="0" w:space="0" w:color="auto"/>
            <w:right w:val="none" w:sz="0" w:space="0" w:color="auto"/>
          </w:divBdr>
          <w:divsChild>
            <w:div w:id="1938243739">
              <w:marLeft w:val="0"/>
              <w:marRight w:val="0"/>
              <w:marTop w:val="0"/>
              <w:marBottom w:val="0"/>
              <w:divBdr>
                <w:top w:val="none" w:sz="0" w:space="0" w:color="auto"/>
                <w:left w:val="none" w:sz="0" w:space="0" w:color="auto"/>
                <w:bottom w:val="none" w:sz="0" w:space="0" w:color="auto"/>
                <w:right w:val="none" w:sz="0" w:space="0" w:color="auto"/>
              </w:divBdr>
              <w:divsChild>
                <w:div w:id="890192964">
                  <w:marLeft w:val="0"/>
                  <w:marRight w:val="0"/>
                  <w:marTop w:val="0"/>
                  <w:marBottom w:val="0"/>
                  <w:divBdr>
                    <w:top w:val="none" w:sz="0" w:space="0" w:color="auto"/>
                    <w:left w:val="none" w:sz="0" w:space="0" w:color="auto"/>
                    <w:bottom w:val="none" w:sz="0" w:space="0" w:color="auto"/>
                    <w:right w:val="none" w:sz="0" w:space="0" w:color="auto"/>
                  </w:divBdr>
                  <w:divsChild>
                    <w:div w:id="77255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390539">
      <w:bodyDiv w:val="1"/>
      <w:marLeft w:val="0"/>
      <w:marRight w:val="0"/>
      <w:marTop w:val="0"/>
      <w:marBottom w:val="0"/>
      <w:divBdr>
        <w:top w:val="none" w:sz="0" w:space="0" w:color="auto"/>
        <w:left w:val="none" w:sz="0" w:space="0" w:color="auto"/>
        <w:bottom w:val="none" w:sz="0" w:space="0" w:color="auto"/>
        <w:right w:val="none" w:sz="0" w:space="0" w:color="auto"/>
      </w:divBdr>
      <w:divsChild>
        <w:div w:id="680201024">
          <w:marLeft w:val="0"/>
          <w:marRight w:val="0"/>
          <w:marTop w:val="0"/>
          <w:marBottom w:val="0"/>
          <w:divBdr>
            <w:top w:val="none" w:sz="0" w:space="0" w:color="auto"/>
            <w:left w:val="none" w:sz="0" w:space="0" w:color="auto"/>
            <w:bottom w:val="none" w:sz="0" w:space="0" w:color="auto"/>
            <w:right w:val="none" w:sz="0" w:space="0" w:color="auto"/>
          </w:divBdr>
          <w:divsChild>
            <w:div w:id="1463572734">
              <w:marLeft w:val="0"/>
              <w:marRight w:val="0"/>
              <w:marTop w:val="0"/>
              <w:marBottom w:val="0"/>
              <w:divBdr>
                <w:top w:val="none" w:sz="0" w:space="0" w:color="auto"/>
                <w:left w:val="none" w:sz="0" w:space="0" w:color="auto"/>
                <w:bottom w:val="none" w:sz="0" w:space="0" w:color="auto"/>
                <w:right w:val="none" w:sz="0" w:space="0" w:color="auto"/>
              </w:divBdr>
              <w:divsChild>
                <w:div w:id="1170489184">
                  <w:marLeft w:val="0"/>
                  <w:marRight w:val="0"/>
                  <w:marTop w:val="0"/>
                  <w:marBottom w:val="0"/>
                  <w:divBdr>
                    <w:top w:val="none" w:sz="0" w:space="0" w:color="auto"/>
                    <w:left w:val="none" w:sz="0" w:space="0" w:color="auto"/>
                    <w:bottom w:val="none" w:sz="0" w:space="0" w:color="auto"/>
                    <w:right w:val="none" w:sz="0" w:space="0" w:color="auto"/>
                  </w:divBdr>
                  <w:divsChild>
                    <w:div w:id="51781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6161653">
      <w:bodyDiv w:val="1"/>
      <w:marLeft w:val="0"/>
      <w:marRight w:val="0"/>
      <w:marTop w:val="0"/>
      <w:marBottom w:val="0"/>
      <w:divBdr>
        <w:top w:val="none" w:sz="0" w:space="0" w:color="auto"/>
        <w:left w:val="none" w:sz="0" w:space="0" w:color="auto"/>
        <w:bottom w:val="none" w:sz="0" w:space="0" w:color="auto"/>
        <w:right w:val="none" w:sz="0" w:space="0" w:color="auto"/>
      </w:divBdr>
    </w:div>
    <w:div w:id="833565416">
      <w:bodyDiv w:val="1"/>
      <w:marLeft w:val="0"/>
      <w:marRight w:val="0"/>
      <w:marTop w:val="0"/>
      <w:marBottom w:val="0"/>
      <w:divBdr>
        <w:top w:val="none" w:sz="0" w:space="0" w:color="auto"/>
        <w:left w:val="none" w:sz="0" w:space="0" w:color="auto"/>
        <w:bottom w:val="none" w:sz="0" w:space="0" w:color="auto"/>
        <w:right w:val="none" w:sz="0" w:space="0" w:color="auto"/>
      </w:divBdr>
    </w:div>
    <w:div w:id="836383222">
      <w:bodyDiv w:val="1"/>
      <w:marLeft w:val="0"/>
      <w:marRight w:val="0"/>
      <w:marTop w:val="0"/>
      <w:marBottom w:val="0"/>
      <w:divBdr>
        <w:top w:val="none" w:sz="0" w:space="0" w:color="auto"/>
        <w:left w:val="none" w:sz="0" w:space="0" w:color="auto"/>
        <w:bottom w:val="none" w:sz="0" w:space="0" w:color="auto"/>
        <w:right w:val="none" w:sz="0" w:space="0" w:color="auto"/>
      </w:divBdr>
    </w:div>
    <w:div w:id="836387799">
      <w:bodyDiv w:val="1"/>
      <w:marLeft w:val="0"/>
      <w:marRight w:val="0"/>
      <w:marTop w:val="0"/>
      <w:marBottom w:val="0"/>
      <w:divBdr>
        <w:top w:val="none" w:sz="0" w:space="0" w:color="auto"/>
        <w:left w:val="none" w:sz="0" w:space="0" w:color="auto"/>
        <w:bottom w:val="none" w:sz="0" w:space="0" w:color="auto"/>
        <w:right w:val="none" w:sz="0" w:space="0" w:color="auto"/>
      </w:divBdr>
      <w:divsChild>
        <w:div w:id="1709454304">
          <w:marLeft w:val="0"/>
          <w:marRight w:val="0"/>
          <w:marTop w:val="0"/>
          <w:marBottom w:val="0"/>
          <w:divBdr>
            <w:top w:val="none" w:sz="0" w:space="0" w:color="auto"/>
            <w:left w:val="none" w:sz="0" w:space="0" w:color="auto"/>
            <w:bottom w:val="none" w:sz="0" w:space="0" w:color="auto"/>
            <w:right w:val="none" w:sz="0" w:space="0" w:color="auto"/>
          </w:divBdr>
          <w:divsChild>
            <w:div w:id="961423058">
              <w:marLeft w:val="0"/>
              <w:marRight w:val="0"/>
              <w:marTop w:val="0"/>
              <w:marBottom w:val="0"/>
              <w:divBdr>
                <w:top w:val="none" w:sz="0" w:space="0" w:color="auto"/>
                <w:left w:val="none" w:sz="0" w:space="0" w:color="auto"/>
                <w:bottom w:val="none" w:sz="0" w:space="0" w:color="auto"/>
                <w:right w:val="none" w:sz="0" w:space="0" w:color="auto"/>
              </w:divBdr>
              <w:divsChild>
                <w:div w:id="1542093207">
                  <w:marLeft w:val="0"/>
                  <w:marRight w:val="0"/>
                  <w:marTop w:val="0"/>
                  <w:marBottom w:val="0"/>
                  <w:divBdr>
                    <w:top w:val="none" w:sz="0" w:space="0" w:color="auto"/>
                    <w:left w:val="none" w:sz="0" w:space="0" w:color="auto"/>
                    <w:bottom w:val="none" w:sz="0" w:space="0" w:color="auto"/>
                    <w:right w:val="none" w:sz="0" w:space="0" w:color="auto"/>
                  </w:divBdr>
                  <w:divsChild>
                    <w:div w:id="1925609689">
                      <w:marLeft w:val="0"/>
                      <w:marRight w:val="0"/>
                      <w:marTop w:val="0"/>
                      <w:marBottom w:val="0"/>
                      <w:divBdr>
                        <w:top w:val="none" w:sz="0" w:space="0" w:color="auto"/>
                        <w:left w:val="none" w:sz="0" w:space="0" w:color="auto"/>
                        <w:bottom w:val="none" w:sz="0" w:space="0" w:color="auto"/>
                        <w:right w:val="none" w:sz="0" w:space="0" w:color="auto"/>
                      </w:divBdr>
                      <w:divsChild>
                        <w:div w:id="1591811981">
                          <w:marLeft w:val="0"/>
                          <w:marRight w:val="0"/>
                          <w:marTop w:val="0"/>
                          <w:marBottom w:val="0"/>
                          <w:divBdr>
                            <w:top w:val="none" w:sz="0" w:space="0" w:color="auto"/>
                            <w:left w:val="none" w:sz="0" w:space="0" w:color="auto"/>
                            <w:bottom w:val="none" w:sz="0" w:space="0" w:color="auto"/>
                            <w:right w:val="none" w:sz="0" w:space="0" w:color="auto"/>
                          </w:divBdr>
                          <w:divsChild>
                            <w:div w:id="42560619">
                              <w:marLeft w:val="0"/>
                              <w:marRight w:val="5"/>
                              <w:marTop w:val="0"/>
                              <w:marBottom w:val="600"/>
                              <w:divBdr>
                                <w:top w:val="none" w:sz="0" w:space="0" w:color="auto"/>
                                <w:left w:val="none" w:sz="0" w:space="0" w:color="auto"/>
                                <w:bottom w:val="none" w:sz="0" w:space="0" w:color="auto"/>
                                <w:right w:val="none" w:sz="0" w:space="0" w:color="auto"/>
                              </w:divBdr>
                              <w:divsChild>
                                <w:div w:id="665327311">
                                  <w:marLeft w:val="0"/>
                                  <w:marRight w:val="0"/>
                                  <w:marTop w:val="0"/>
                                  <w:marBottom w:val="0"/>
                                  <w:divBdr>
                                    <w:top w:val="none" w:sz="0" w:space="0" w:color="auto"/>
                                    <w:left w:val="none" w:sz="0" w:space="0" w:color="auto"/>
                                    <w:bottom w:val="none" w:sz="0" w:space="0" w:color="auto"/>
                                    <w:right w:val="none" w:sz="0" w:space="0" w:color="auto"/>
                                  </w:divBdr>
                                  <w:divsChild>
                                    <w:div w:id="1149515714">
                                      <w:marLeft w:val="0"/>
                                      <w:marRight w:val="0"/>
                                      <w:marTop w:val="0"/>
                                      <w:marBottom w:val="0"/>
                                      <w:divBdr>
                                        <w:top w:val="none" w:sz="0" w:space="0" w:color="auto"/>
                                        <w:left w:val="none" w:sz="0" w:space="0" w:color="auto"/>
                                        <w:bottom w:val="none" w:sz="0" w:space="0" w:color="auto"/>
                                        <w:right w:val="none" w:sz="0" w:space="0" w:color="auto"/>
                                      </w:divBdr>
                                      <w:divsChild>
                                        <w:div w:id="1418164698">
                                          <w:marLeft w:val="0"/>
                                          <w:marRight w:val="0"/>
                                          <w:marTop w:val="0"/>
                                          <w:marBottom w:val="0"/>
                                          <w:divBdr>
                                            <w:top w:val="none" w:sz="0" w:space="0" w:color="auto"/>
                                            <w:left w:val="none" w:sz="0" w:space="0" w:color="auto"/>
                                            <w:bottom w:val="none" w:sz="0" w:space="0" w:color="auto"/>
                                            <w:right w:val="none" w:sz="0" w:space="0" w:color="auto"/>
                                          </w:divBdr>
                                          <w:divsChild>
                                            <w:div w:id="643856715">
                                              <w:marLeft w:val="0"/>
                                              <w:marRight w:val="0"/>
                                              <w:marTop w:val="0"/>
                                              <w:marBottom w:val="0"/>
                                              <w:divBdr>
                                                <w:top w:val="none" w:sz="0" w:space="0" w:color="auto"/>
                                                <w:left w:val="none" w:sz="0" w:space="0" w:color="auto"/>
                                                <w:bottom w:val="none" w:sz="0" w:space="0" w:color="auto"/>
                                                <w:right w:val="none" w:sz="0" w:space="0" w:color="auto"/>
                                              </w:divBdr>
                                              <w:divsChild>
                                                <w:div w:id="454058512">
                                                  <w:marLeft w:val="0"/>
                                                  <w:marRight w:val="0"/>
                                                  <w:marTop w:val="0"/>
                                                  <w:marBottom w:val="0"/>
                                                  <w:divBdr>
                                                    <w:top w:val="none" w:sz="0" w:space="0" w:color="auto"/>
                                                    <w:left w:val="none" w:sz="0" w:space="0" w:color="auto"/>
                                                    <w:bottom w:val="none" w:sz="0" w:space="0" w:color="auto"/>
                                                    <w:right w:val="none" w:sz="0" w:space="0" w:color="auto"/>
                                                  </w:divBdr>
                                                  <w:divsChild>
                                                    <w:div w:id="1063413261">
                                                      <w:marLeft w:val="0"/>
                                                      <w:marRight w:val="0"/>
                                                      <w:marTop w:val="0"/>
                                                      <w:marBottom w:val="0"/>
                                                      <w:divBdr>
                                                        <w:top w:val="none" w:sz="0" w:space="0" w:color="auto"/>
                                                        <w:left w:val="none" w:sz="0" w:space="0" w:color="auto"/>
                                                        <w:bottom w:val="none" w:sz="0" w:space="0" w:color="auto"/>
                                                        <w:right w:val="none" w:sz="0" w:space="0" w:color="auto"/>
                                                      </w:divBdr>
                                                      <w:divsChild>
                                                        <w:div w:id="1550264982">
                                                          <w:marLeft w:val="0"/>
                                                          <w:marRight w:val="0"/>
                                                          <w:marTop w:val="0"/>
                                                          <w:marBottom w:val="0"/>
                                                          <w:divBdr>
                                                            <w:top w:val="none" w:sz="0" w:space="0" w:color="auto"/>
                                                            <w:left w:val="none" w:sz="0" w:space="0" w:color="auto"/>
                                                            <w:bottom w:val="none" w:sz="0" w:space="0" w:color="auto"/>
                                                            <w:right w:val="none" w:sz="0" w:space="0" w:color="auto"/>
                                                          </w:divBdr>
                                                          <w:divsChild>
                                                            <w:div w:id="1480347316">
                                                              <w:marLeft w:val="0"/>
                                                              <w:marRight w:val="0"/>
                                                              <w:marTop w:val="0"/>
                                                              <w:marBottom w:val="0"/>
                                                              <w:divBdr>
                                                                <w:top w:val="none" w:sz="0" w:space="0" w:color="auto"/>
                                                                <w:left w:val="none" w:sz="0" w:space="0" w:color="auto"/>
                                                                <w:bottom w:val="none" w:sz="0" w:space="0" w:color="auto"/>
                                                                <w:right w:val="none" w:sz="0" w:space="0" w:color="auto"/>
                                                              </w:divBdr>
                                                              <w:divsChild>
                                                                <w:div w:id="1369573963">
                                                                  <w:marLeft w:val="0"/>
                                                                  <w:marRight w:val="0"/>
                                                                  <w:marTop w:val="0"/>
                                                                  <w:marBottom w:val="0"/>
                                                                  <w:divBdr>
                                                                    <w:top w:val="none" w:sz="0" w:space="0" w:color="auto"/>
                                                                    <w:left w:val="none" w:sz="0" w:space="0" w:color="auto"/>
                                                                    <w:bottom w:val="none" w:sz="0" w:space="0" w:color="auto"/>
                                                                    <w:right w:val="none" w:sz="0" w:space="0" w:color="auto"/>
                                                                  </w:divBdr>
                                                                  <w:divsChild>
                                                                    <w:div w:id="849879598">
                                                                      <w:marLeft w:val="0"/>
                                                                      <w:marRight w:val="0"/>
                                                                      <w:marTop w:val="0"/>
                                                                      <w:marBottom w:val="0"/>
                                                                      <w:divBdr>
                                                                        <w:top w:val="none" w:sz="0" w:space="0" w:color="auto"/>
                                                                        <w:left w:val="none" w:sz="0" w:space="0" w:color="auto"/>
                                                                        <w:bottom w:val="none" w:sz="0" w:space="0" w:color="auto"/>
                                                                        <w:right w:val="none" w:sz="0" w:space="0" w:color="auto"/>
                                                                      </w:divBdr>
                                                                      <w:divsChild>
                                                                        <w:div w:id="1667631239">
                                                                          <w:marLeft w:val="0"/>
                                                                          <w:marRight w:val="0"/>
                                                                          <w:marTop w:val="0"/>
                                                                          <w:marBottom w:val="0"/>
                                                                          <w:divBdr>
                                                                            <w:top w:val="none" w:sz="0" w:space="0" w:color="auto"/>
                                                                            <w:left w:val="none" w:sz="0" w:space="0" w:color="auto"/>
                                                                            <w:bottom w:val="none" w:sz="0" w:space="0" w:color="auto"/>
                                                                            <w:right w:val="none" w:sz="0" w:space="0" w:color="auto"/>
                                                                          </w:divBdr>
                                                                          <w:divsChild>
                                                                            <w:div w:id="224219381">
                                                                              <w:marLeft w:val="0"/>
                                                                              <w:marRight w:val="0"/>
                                                                              <w:marTop w:val="0"/>
                                                                              <w:marBottom w:val="0"/>
                                                                              <w:divBdr>
                                                                                <w:top w:val="none" w:sz="0" w:space="0" w:color="auto"/>
                                                                                <w:left w:val="none" w:sz="0" w:space="0" w:color="auto"/>
                                                                                <w:bottom w:val="none" w:sz="0" w:space="0" w:color="auto"/>
                                                                                <w:right w:val="none" w:sz="0" w:space="0" w:color="auto"/>
                                                                              </w:divBdr>
                                                                              <w:divsChild>
                                                                                <w:div w:id="140719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46286797">
      <w:bodyDiv w:val="1"/>
      <w:marLeft w:val="0"/>
      <w:marRight w:val="0"/>
      <w:marTop w:val="0"/>
      <w:marBottom w:val="0"/>
      <w:divBdr>
        <w:top w:val="none" w:sz="0" w:space="0" w:color="auto"/>
        <w:left w:val="none" w:sz="0" w:space="0" w:color="auto"/>
        <w:bottom w:val="none" w:sz="0" w:space="0" w:color="auto"/>
        <w:right w:val="none" w:sz="0" w:space="0" w:color="auto"/>
      </w:divBdr>
      <w:divsChild>
        <w:div w:id="1955474296">
          <w:marLeft w:val="0"/>
          <w:marRight w:val="0"/>
          <w:marTop w:val="0"/>
          <w:marBottom w:val="0"/>
          <w:divBdr>
            <w:top w:val="none" w:sz="0" w:space="0" w:color="auto"/>
            <w:left w:val="none" w:sz="0" w:space="0" w:color="auto"/>
            <w:bottom w:val="none" w:sz="0" w:space="0" w:color="auto"/>
            <w:right w:val="none" w:sz="0" w:space="0" w:color="auto"/>
          </w:divBdr>
          <w:divsChild>
            <w:div w:id="1873221617">
              <w:marLeft w:val="0"/>
              <w:marRight w:val="0"/>
              <w:marTop w:val="0"/>
              <w:marBottom w:val="0"/>
              <w:divBdr>
                <w:top w:val="none" w:sz="0" w:space="0" w:color="auto"/>
                <w:left w:val="none" w:sz="0" w:space="0" w:color="auto"/>
                <w:bottom w:val="none" w:sz="0" w:space="0" w:color="auto"/>
                <w:right w:val="none" w:sz="0" w:space="0" w:color="auto"/>
              </w:divBdr>
              <w:divsChild>
                <w:div w:id="442652517">
                  <w:marLeft w:val="0"/>
                  <w:marRight w:val="0"/>
                  <w:marTop w:val="0"/>
                  <w:marBottom w:val="0"/>
                  <w:divBdr>
                    <w:top w:val="none" w:sz="0" w:space="0" w:color="auto"/>
                    <w:left w:val="none" w:sz="0" w:space="0" w:color="auto"/>
                    <w:bottom w:val="none" w:sz="0" w:space="0" w:color="auto"/>
                    <w:right w:val="none" w:sz="0" w:space="0" w:color="auto"/>
                  </w:divBdr>
                  <w:divsChild>
                    <w:div w:id="166084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4537893">
      <w:bodyDiv w:val="1"/>
      <w:marLeft w:val="0"/>
      <w:marRight w:val="0"/>
      <w:marTop w:val="0"/>
      <w:marBottom w:val="0"/>
      <w:divBdr>
        <w:top w:val="none" w:sz="0" w:space="0" w:color="auto"/>
        <w:left w:val="none" w:sz="0" w:space="0" w:color="auto"/>
        <w:bottom w:val="none" w:sz="0" w:space="0" w:color="auto"/>
        <w:right w:val="none" w:sz="0" w:space="0" w:color="auto"/>
      </w:divBdr>
    </w:div>
    <w:div w:id="986394793">
      <w:bodyDiv w:val="1"/>
      <w:marLeft w:val="0"/>
      <w:marRight w:val="0"/>
      <w:marTop w:val="0"/>
      <w:marBottom w:val="0"/>
      <w:divBdr>
        <w:top w:val="none" w:sz="0" w:space="0" w:color="auto"/>
        <w:left w:val="none" w:sz="0" w:space="0" w:color="auto"/>
        <w:bottom w:val="none" w:sz="0" w:space="0" w:color="auto"/>
        <w:right w:val="none" w:sz="0" w:space="0" w:color="auto"/>
      </w:divBdr>
    </w:div>
    <w:div w:id="1259172350">
      <w:bodyDiv w:val="1"/>
      <w:marLeft w:val="0"/>
      <w:marRight w:val="0"/>
      <w:marTop w:val="0"/>
      <w:marBottom w:val="0"/>
      <w:divBdr>
        <w:top w:val="none" w:sz="0" w:space="0" w:color="auto"/>
        <w:left w:val="none" w:sz="0" w:space="0" w:color="auto"/>
        <w:bottom w:val="none" w:sz="0" w:space="0" w:color="auto"/>
        <w:right w:val="none" w:sz="0" w:space="0" w:color="auto"/>
      </w:divBdr>
    </w:div>
    <w:div w:id="1264876833">
      <w:bodyDiv w:val="1"/>
      <w:marLeft w:val="0"/>
      <w:marRight w:val="0"/>
      <w:marTop w:val="0"/>
      <w:marBottom w:val="0"/>
      <w:divBdr>
        <w:top w:val="none" w:sz="0" w:space="0" w:color="auto"/>
        <w:left w:val="none" w:sz="0" w:space="0" w:color="auto"/>
        <w:bottom w:val="none" w:sz="0" w:space="0" w:color="auto"/>
        <w:right w:val="none" w:sz="0" w:space="0" w:color="auto"/>
      </w:divBdr>
      <w:divsChild>
        <w:div w:id="2047631459">
          <w:marLeft w:val="0"/>
          <w:marRight w:val="0"/>
          <w:marTop w:val="0"/>
          <w:marBottom w:val="0"/>
          <w:divBdr>
            <w:top w:val="none" w:sz="0" w:space="0" w:color="auto"/>
            <w:left w:val="none" w:sz="0" w:space="0" w:color="auto"/>
            <w:bottom w:val="none" w:sz="0" w:space="0" w:color="auto"/>
            <w:right w:val="none" w:sz="0" w:space="0" w:color="auto"/>
          </w:divBdr>
          <w:divsChild>
            <w:div w:id="2006786367">
              <w:marLeft w:val="0"/>
              <w:marRight w:val="0"/>
              <w:marTop w:val="0"/>
              <w:marBottom w:val="0"/>
              <w:divBdr>
                <w:top w:val="none" w:sz="0" w:space="0" w:color="auto"/>
                <w:left w:val="none" w:sz="0" w:space="0" w:color="auto"/>
                <w:bottom w:val="none" w:sz="0" w:space="0" w:color="auto"/>
                <w:right w:val="none" w:sz="0" w:space="0" w:color="auto"/>
              </w:divBdr>
              <w:divsChild>
                <w:div w:id="1394431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558077">
      <w:bodyDiv w:val="1"/>
      <w:marLeft w:val="0"/>
      <w:marRight w:val="0"/>
      <w:marTop w:val="0"/>
      <w:marBottom w:val="0"/>
      <w:divBdr>
        <w:top w:val="none" w:sz="0" w:space="0" w:color="auto"/>
        <w:left w:val="none" w:sz="0" w:space="0" w:color="auto"/>
        <w:bottom w:val="none" w:sz="0" w:space="0" w:color="auto"/>
        <w:right w:val="none" w:sz="0" w:space="0" w:color="auto"/>
      </w:divBdr>
      <w:divsChild>
        <w:div w:id="553002129">
          <w:marLeft w:val="0"/>
          <w:marRight w:val="0"/>
          <w:marTop w:val="0"/>
          <w:marBottom w:val="0"/>
          <w:divBdr>
            <w:top w:val="none" w:sz="0" w:space="0" w:color="auto"/>
            <w:left w:val="none" w:sz="0" w:space="0" w:color="auto"/>
            <w:bottom w:val="none" w:sz="0" w:space="0" w:color="auto"/>
            <w:right w:val="none" w:sz="0" w:space="0" w:color="auto"/>
          </w:divBdr>
          <w:divsChild>
            <w:div w:id="1324118932">
              <w:marLeft w:val="0"/>
              <w:marRight w:val="0"/>
              <w:marTop w:val="0"/>
              <w:marBottom w:val="0"/>
              <w:divBdr>
                <w:top w:val="none" w:sz="0" w:space="0" w:color="auto"/>
                <w:left w:val="none" w:sz="0" w:space="0" w:color="auto"/>
                <w:bottom w:val="none" w:sz="0" w:space="0" w:color="auto"/>
                <w:right w:val="none" w:sz="0" w:space="0" w:color="auto"/>
              </w:divBdr>
              <w:divsChild>
                <w:div w:id="201904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507744">
      <w:bodyDiv w:val="1"/>
      <w:marLeft w:val="0"/>
      <w:marRight w:val="0"/>
      <w:marTop w:val="0"/>
      <w:marBottom w:val="0"/>
      <w:divBdr>
        <w:top w:val="none" w:sz="0" w:space="0" w:color="auto"/>
        <w:left w:val="none" w:sz="0" w:space="0" w:color="auto"/>
        <w:bottom w:val="none" w:sz="0" w:space="0" w:color="auto"/>
        <w:right w:val="none" w:sz="0" w:space="0" w:color="auto"/>
      </w:divBdr>
    </w:div>
    <w:div w:id="1929118373">
      <w:bodyDiv w:val="1"/>
      <w:marLeft w:val="0"/>
      <w:marRight w:val="0"/>
      <w:marTop w:val="0"/>
      <w:marBottom w:val="0"/>
      <w:divBdr>
        <w:top w:val="none" w:sz="0" w:space="0" w:color="auto"/>
        <w:left w:val="none" w:sz="0" w:space="0" w:color="auto"/>
        <w:bottom w:val="none" w:sz="0" w:space="0" w:color="auto"/>
        <w:right w:val="none" w:sz="0" w:space="0" w:color="auto"/>
      </w:divBdr>
      <w:divsChild>
        <w:div w:id="640773167">
          <w:marLeft w:val="0"/>
          <w:marRight w:val="0"/>
          <w:marTop w:val="0"/>
          <w:marBottom w:val="0"/>
          <w:divBdr>
            <w:top w:val="none" w:sz="0" w:space="0" w:color="auto"/>
            <w:left w:val="none" w:sz="0" w:space="0" w:color="auto"/>
            <w:bottom w:val="none" w:sz="0" w:space="0" w:color="auto"/>
            <w:right w:val="none" w:sz="0" w:space="0" w:color="auto"/>
          </w:divBdr>
          <w:divsChild>
            <w:div w:id="1507867543">
              <w:marLeft w:val="0"/>
              <w:marRight w:val="0"/>
              <w:marTop w:val="0"/>
              <w:marBottom w:val="0"/>
              <w:divBdr>
                <w:top w:val="none" w:sz="0" w:space="0" w:color="auto"/>
                <w:left w:val="none" w:sz="0" w:space="0" w:color="auto"/>
                <w:bottom w:val="none" w:sz="0" w:space="0" w:color="auto"/>
                <w:right w:val="none" w:sz="0" w:space="0" w:color="auto"/>
              </w:divBdr>
              <w:divsChild>
                <w:div w:id="1742823686">
                  <w:marLeft w:val="0"/>
                  <w:marRight w:val="0"/>
                  <w:marTop w:val="0"/>
                  <w:marBottom w:val="0"/>
                  <w:divBdr>
                    <w:top w:val="none" w:sz="0" w:space="0" w:color="auto"/>
                    <w:left w:val="none" w:sz="0" w:space="0" w:color="auto"/>
                    <w:bottom w:val="none" w:sz="0" w:space="0" w:color="auto"/>
                    <w:right w:val="none" w:sz="0" w:space="0" w:color="auto"/>
                  </w:divBdr>
                  <w:divsChild>
                    <w:div w:id="161817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4363945">
      <w:bodyDiv w:val="1"/>
      <w:marLeft w:val="0"/>
      <w:marRight w:val="0"/>
      <w:marTop w:val="0"/>
      <w:marBottom w:val="0"/>
      <w:divBdr>
        <w:top w:val="none" w:sz="0" w:space="0" w:color="auto"/>
        <w:left w:val="none" w:sz="0" w:space="0" w:color="auto"/>
        <w:bottom w:val="none" w:sz="0" w:space="0" w:color="auto"/>
        <w:right w:val="none" w:sz="0" w:space="0" w:color="auto"/>
      </w:divBdr>
    </w:div>
    <w:div w:id="2031224112">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hyperlink" Target="http://www.abs.gov.au/ausstats/abs@.nsf/Lookup/by%20Subject/4364.0.55.012~2011-12~Main%20Features~Lean%20meats%20and%20alternatives~13" TargetMode="External"/><Relationship Id="rId26" Type="http://schemas.openxmlformats.org/officeDocument/2006/relationships/hyperlink" Target="https://www-scopus-com.ezproxy.lib.rmit.edu.au/authid/detail.uri?origin=resultslist&amp;authorId=57188718071&amp;zone=" TargetMode="External"/><Relationship Id="rId3" Type="http://schemas.openxmlformats.org/officeDocument/2006/relationships/numbering" Target="numbering.xml"/><Relationship Id="rId21" Type="http://schemas.openxmlformats.org/officeDocument/2006/relationships/hyperlink" Target="http://www.climatechangeauthority.gov.au/reviews/light-vehicle-emissions-standards-australia/opportunities-reduce-light-vehicle-emissions" TargetMode="External"/><Relationship Id="rId34" Type="http://schemas.openxmlformats.org/officeDocument/2006/relationships/footer" Target="footer3.xml"/><Relationship Id="rId7" Type="http://schemas.openxmlformats.org/officeDocument/2006/relationships/webSettings" Target="webSettings.xml"/><Relationship Id="rId12" Type="http://schemas.openxmlformats.org/officeDocument/2006/relationships/image" Target="media/image2.jpg"/><Relationship Id="rId17" Type="http://schemas.openxmlformats.org/officeDocument/2006/relationships/hyperlink" Target="https://www.acf.org.au/think_global_act_local_on_climate_change" TargetMode="External"/><Relationship Id="rId25" Type="http://schemas.openxmlformats.org/officeDocument/2006/relationships/hyperlink" Target="https://www-ncbi-nlm-nih-gov.ezproxy.lib.rmit.edu.au/pmc/articles/PMC2569097/" TargetMode="External"/><Relationship Id="rId33" Type="http://schemas.openxmlformats.org/officeDocument/2006/relationships/header" Target="header2.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yperlink" Target="http://www.caha.org.au/globalgreen_healthyhospitals" TargetMode="External"/><Relationship Id="rId29" Type="http://schemas.openxmlformats.org/officeDocument/2006/relationships/hyperlink" Target="https://www.epa.gov/indoor-air-quality-iaq/health-energy-efficiency-and-climate-change"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hyperlink" Target="https://www.greenhospitals.net/action/" TargetMode="External"/><Relationship Id="rId32" Type="http://schemas.openxmlformats.org/officeDocument/2006/relationships/hyperlink" Target="https://www-sciencedirect-com.ezproxy.lib.rmit.edu.au/topics/earth-and-planetary-sciences/traffic-emission" TargetMode="External"/><Relationship Id="rId37"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3.tiff"/><Relationship Id="rId23" Type="http://schemas.openxmlformats.org/officeDocument/2006/relationships/hyperlink" Target="https://www.greenhospitals.net/who-we-are/" TargetMode="External"/><Relationship Id="rId28" Type="http://schemas.openxmlformats.org/officeDocument/2006/relationships/hyperlink" Target="https://www.phaa.net.au/documents/item/255" TargetMode="External"/><Relationship Id="rId36" Type="http://schemas.openxmlformats.org/officeDocument/2006/relationships/footer" Target="footer4.xml"/><Relationship Id="rId10" Type="http://schemas.openxmlformats.org/officeDocument/2006/relationships/image" Target="media/image1.jpeg"/><Relationship Id="rId19" Type="http://schemas.openxmlformats.org/officeDocument/2006/relationships/hyperlink" Target="https://www.cdph.ca.gov/Programs/OHE/Pages/CCHEP.aspx%20Accessed%2013%20June%202018" TargetMode="External"/><Relationship Id="rId31" Type="http://schemas.openxmlformats.org/officeDocument/2006/relationships/hyperlink" Target="http://www.who.int/airpollution/en/"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hyperlink" Target="http://australianbusinessroundtable.com.au/our-research/social-costs-report" TargetMode="External"/><Relationship Id="rId27" Type="http://schemas.openxmlformats.org/officeDocument/2006/relationships/hyperlink" Target="http://www.oecd.org/env/the-cost-of-air-pollution-9789264210448-en.htm" TargetMode="External"/><Relationship Id="rId30" Type="http://schemas.openxmlformats.org/officeDocument/2006/relationships/hyperlink" Target="https://theconversation.com/whos-been-affected-by-australias-extreme-heat-everyone-36116" TargetMode="External"/><Relationship Id="rId35" Type="http://schemas.openxmlformats.org/officeDocument/2006/relationships/header" Target="header3.xml"/></Relationships>
</file>

<file path=word/theme/theme1.xml><?xml version="1.0" encoding="utf-8"?>
<a:theme xmlns:a="http://schemas.openxmlformats.org/drawingml/2006/main" name="Office Theme">
  <a:themeElements>
    <a:clrScheme name="COM Report 2015">
      <a:dk1>
        <a:srgbClr val="000000"/>
      </a:dk1>
      <a:lt1>
        <a:sysClr val="window" lastClr="FFFFFF"/>
      </a:lt1>
      <a:dk2>
        <a:srgbClr val="277BB4"/>
      </a:dk2>
      <a:lt2>
        <a:srgbClr val="F4F8FB"/>
      </a:lt2>
      <a:accent1>
        <a:srgbClr val="277BB4"/>
      </a:accent1>
      <a:accent2>
        <a:srgbClr val="00B74F"/>
      </a:accent2>
      <a:accent3>
        <a:srgbClr val="F07B05"/>
      </a:accent3>
      <a:accent4>
        <a:srgbClr val="E30450"/>
      </a:accent4>
      <a:accent5>
        <a:srgbClr val="00AECB"/>
      </a:accent5>
      <a:accent6>
        <a:srgbClr val="878686"/>
      </a:accent6>
      <a:hlink>
        <a:srgbClr val="000000"/>
      </a:hlink>
      <a:folHlink>
        <a:srgbClr val="E3045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[Date]</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5EF1EB4-BE42-405A-9F46-24258C99CD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1</Pages>
  <Words>16085</Words>
  <Characters>91685</Characters>
  <Application>Microsoft Office Word</Application>
  <DocSecurity>0</DocSecurity>
  <Lines>764</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107555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Fiona Armstrong</dc:creator>
  <cp:lastModifiedBy>Karen Gardham</cp:lastModifiedBy>
  <cp:revision>6</cp:revision>
  <cp:lastPrinted>2018-06-28T07:02:00Z</cp:lastPrinted>
  <dcterms:created xsi:type="dcterms:W3CDTF">2018-08-29T01:11:00Z</dcterms:created>
  <dcterms:modified xsi:type="dcterms:W3CDTF">2018-08-29T05:27:00Z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AppendixName">
    <vt:lpwstr>Appendix</vt:lpwstr>
  </property>
  <property fmtid="{D5CDD505-2E9C-101B-9397-08002B2CF9AE}" pid="3" name="xTemplateVersion">
    <vt:lpwstr>1.1</vt:lpwstr>
  </property>
</Properties>
</file>