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20" w:rsidRPr="00EC5E20" w:rsidRDefault="00EC5E20" w:rsidP="00EC5E20">
      <w:pPr>
        <w:keepNext/>
        <w:keepLines/>
        <w:spacing w:after="400"/>
        <w:outlineLvl w:val="0"/>
        <w:rPr>
          <w:rFonts w:eastAsia="ＭＳ Ｐゴシック"/>
          <w:bCs/>
          <w:color w:val="277BB4"/>
          <w:spacing w:val="-10"/>
          <w:sz w:val="38"/>
          <w:szCs w:val="38"/>
        </w:rPr>
      </w:pPr>
      <w:bookmarkStart w:id="0" w:name="_Toc412402248"/>
      <w:bookmarkStart w:id="1" w:name="_Toc520749096"/>
      <w:bookmarkStart w:id="2" w:name="_Toc523238943"/>
      <w:r w:rsidRPr="00EC5E20">
        <w:rPr>
          <w:rFonts w:eastAsia="ＭＳ Ｐゴシック"/>
          <w:bCs/>
          <w:color w:val="277BB4"/>
          <w:spacing w:val="-10"/>
          <w:sz w:val="38"/>
          <w:szCs w:val="38"/>
        </w:rPr>
        <w:t>Executive Summary</w:t>
      </w:r>
      <w:bookmarkEnd w:id="0"/>
      <w:bookmarkEnd w:id="1"/>
      <w:bookmarkEnd w:id="2"/>
    </w:p>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r w:rsidRPr="00EC5E20">
        <w:rPr>
          <w:rFonts w:eastAsia="Times New Roman"/>
          <w:b/>
          <w:sz w:val="20"/>
          <w:szCs w:val="20"/>
        </w:rPr>
        <w:t>1. Local action, global leadership</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The global role of cities in stepping up to act on climate change was recognised in the 2015 Paris Climate Agreement. Since that time, national and state governments, cities, investors, businesses and communities have begun to take action to reduce greenhouse gas emissions to help avoid a global average temperature rise of 1.5</w:t>
      </w:r>
      <w:r w:rsidRPr="00EC5E20">
        <w:rPr>
          <w:rFonts w:eastAsia="Times New Roman" w:cs="Arial"/>
          <w:color w:val="000000"/>
          <w:sz w:val="20"/>
          <w:szCs w:val="20"/>
        </w:rPr>
        <w:t>ºC</w:t>
      </w:r>
      <w:r w:rsidRPr="00EC5E20">
        <w:rPr>
          <w:rFonts w:eastAsia="Times New Roman"/>
          <w:color w:val="000000"/>
          <w:sz w:val="20"/>
          <w:szCs w:val="20"/>
        </w:rPr>
        <w:t xml:space="preserve">.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In 2016, the City of Melbourne hosted the Future Melbourne deliberative democracy process to develop a community vision and set priorities for the city. Reducing greenhouse gas emissions from the municipality was identified as a top priority and this is reflected in our Council Plan 2017–2021. This view is shared across Victoria: 80 per cent of people are willing to act on climate change and 87 per cent think local government should be taking action.</w:t>
      </w:r>
      <w:r w:rsidRPr="00EC5E20">
        <w:rPr>
          <w:rFonts w:eastAsia="Times New Roman"/>
          <w:color w:val="000000"/>
          <w:sz w:val="20"/>
          <w:szCs w:val="20"/>
          <w:vertAlign w:val="superscript"/>
        </w:rPr>
        <w:footnoteReference w:id="1"/>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We will deliver on our commitment to the science-based targets in the Paris Climate Agreement by working with others to reduce emissions from the municipality. We have also joined seven cities in a C40 Climate Action Planning Pilot Program: Boston, Durban, Los Angeles, London, Mexico City, New York, and Paris. </w:t>
      </w:r>
    </w:p>
    <w:p w:rsidR="00EC5E20" w:rsidRPr="00EC5E20" w:rsidRDefault="00EC5E20" w:rsidP="00EC5E20">
      <w:pPr>
        <w:tabs>
          <w:tab w:val="left" w:pos="2268"/>
          <w:tab w:val="left" w:pos="4536"/>
          <w:tab w:val="left" w:pos="6804"/>
          <w:tab w:val="right" w:pos="9638"/>
        </w:tabs>
        <w:spacing w:before="200" w:line="288" w:lineRule="auto"/>
        <w:rPr>
          <w:rFonts w:eastAsia="Times New Roman" w:cs="Arial"/>
          <w:color w:val="000000"/>
          <w:sz w:val="20"/>
          <w:szCs w:val="20"/>
        </w:rPr>
      </w:pPr>
      <w:r w:rsidRPr="00EC5E20">
        <w:rPr>
          <w:rFonts w:eastAsia="Times New Roman" w:cs="Arial"/>
          <w:color w:val="000000"/>
          <w:sz w:val="20"/>
          <w:szCs w:val="20"/>
        </w:rPr>
        <w:t>This strategy is a draft for public comment. We will consult widely with the community, to support community participation and the fair distribution of benefits.</w:t>
      </w:r>
    </w:p>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r w:rsidRPr="00EC5E20">
        <w:rPr>
          <w:rFonts w:eastAsia="Times New Roman"/>
          <w:b/>
          <w:sz w:val="20"/>
          <w:szCs w:val="20"/>
        </w:rPr>
        <w:t>2. Raising our ambition</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In 2003, the City of Melbourne set an ambitious target of zero net emissions from the municipality by 2020. We were one of the first cities to set such an ambitious target and many other cities followed our lead. We are now part of a movement of cities around the world taking bold action for the benefit of our communities and for future generations.</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To align with the Paris Climate Agreement, we need to set ambitious emission reduction targets for 2030,</w:t>
      </w:r>
      <w:r w:rsidRPr="00EC5E20">
        <w:rPr>
          <w:rFonts w:eastAsia="Times New Roman"/>
          <w:color w:val="000000"/>
          <w:sz w:val="20"/>
          <w:szCs w:val="20"/>
          <w:vertAlign w:val="superscript"/>
        </w:rPr>
        <w:footnoteReference w:id="2"/>
      </w:r>
      <w:r w:rsidRPr="00EC5E20" w:rsidDel="00780BC2">
        <w:rPr>
          <w:rFonts w:eastAsia="Times New Roman" w:cs="Arial"/>
          <w:color w:val="000000"/>
          <w:sz w:val="20"/>
          <w:szCs w:val="20"/>
          <w:vertAlign w:val="superscript"/>
        </w:rPr>
        <w:t xml:space="preserve"> </w:t>
      </w:r>
      <w:r w:rsidRPr="00EC5E20">
        <w:rPr>
          <w:rFonts w:eastAsia="Times New Roman"/>
          <w:color w:val="000000"/>
          <w:sz w:val="20"/>
          <w:szCs w:val="20"/>
        </w:rPr>
        <w:t xml:space="preserve"> achieve net zero emissions before 2050 and align our strategy to the C40 Climate Action Plan Framework.</w:t>
      </w:r>
      <w:r w:rsidRPr="00EC5E20">
        <w:rPr>
          <w:rFonts w:eastAsia="Times New Roman"/>
          <w:color w:val="000000"/>
          <w:sz w:val="20"/>
          <w:szCs w:val="20"/>
          <w:vertAlign w:val="superscript"/>
        </w:rPr>
        <w:footnoteReference w:id="3"/>
      </w:r>
      <w:r w:rsidRPr="00EC5E20">
        <w:rPr>
          <w:rFonts w:eastAsia="Times New Roman"/>
          <w:color w:val="000000"/>
          <w:sz w:val="20"/>
          <w:szCs w:val="20"/>
        </w:rPr>
        <w:t xml:space="preserve">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The Australian Government has now ratified the Paris Climate Agreement and the Victorian Government has introduced the </w:t>
      </w:r>
      <w:r w:rsidRPr="00EC5E20">
        <w:rPr>
          <w:rFonts w:eastAsia="Times New Roman"/>
          <w:i/>
          <w:color w:val="000000"/>
          <w:sz w:val="20"/>
          <w:szCs w:val="20"/>
        </w:rPr>
        <w:t>Climate Change Act 2017.</w:t>
      </w:r>
      <w:r w:rsidRPr="00EC5E20">
        <w:rPr>
          <w:rFonts w:eastAsia="Times New Roman"/>
          <w:color w:val="000000"/>
          <w:sz w:val="20"/>
          <w:szCs w:val="20"/>
        </w:rPr>
        <w:t xml:space="preserve"> This provides a fresh opportunity for the City of Melbourne to act on the emissions that cause climate change. This draft strategy identifies the actions that we can take to leverage systemic change. </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olor w:val="000000"/>
          <w:sz w:val="20"/>
          <w:szCs w:val="20"/>
        </w:rPr>
        <w:t xml:space="preserve">For example, we want </w:t>
      </w:r>
      <w:r w:rsidRPr="00EC5E20">
        <w:rPr>
          <w:rFonts w:eastAsia="Times New Roman" w:cs="Arial"/>
          <w:color w:val="000000"/>
          <w:sz w:val="20"/>
          <w:szCs w:val="20"/>
        </w:rPr>
        <w:t>to pilot a virtual power plant powered by renewables in the city. We will expand the ground-breaking Melbourne Renewable Energy Project (MREP) to facilitate power purchase agreements for businesses across the city. This will generate investment in new renewable energy. We will also advocate for Victorian and Australian Government action to deliver 100 per cent renewable energy to our city and to increase the ambition of Australia’s climate policy.</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s="Arial"/>
          <w:color w:val="000000"/>
          <w:sz w:val="20"/>
          <w:szCs w:val="20"/>
        </w:rPr>
        <w:t xml:space="preserve">The City of Melbourne will partner with industry and the Victorian and Australian Governments to demonstrate zero emissions for the </w:t>
      </w:r>
      <w:proofErr w:type="spellStart"/>
      <w:r w:rsidRPr="00EC5E20">
        <w:rPr>
          <w:rFonts w:eastAsia="Times New Roman" w:cs="Arial"/>
          <w:color w:val="000000"/>
          <w:sz w:val="20"/>
          <w:szCs w:val="20"/>
        </w:rPr>
        <w:t>Fishermans</w:t>
      </w:r>
      <w:proofErr w:type="spellEnd"/>
      <w:r w:rsidRPr="00EC5E20">
        <w:rPr>
          <w:rFonts w:eastAsia="Times New Roman" w:cs="Arial"/>
          <w:color w:val="000000"/>
          <w:sz w:val="20"/>
          <w:szCs w:val="20"/>
        </w:rPr>
        <w:t xml:space="preserve"> Bend and Arden precincts and remove barriers to zero emissions buildings. We will advocate for effective building standards to reduce emissions.</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s="Arial"/>
          <w:color w:val="000000"/>
          <w:sz w:val="20"/>
          <w:szCs w:val="20"/>
        </w:rPr>
        <w:lastRenderedPageBreak/>
        <w:t>We will invest in better walking and cycling infrastructure and advocate for Melbourne’s public transport to be powered by 100 per cent renewable energy. We will apply a circular economy approach to reduce emissions from buildings and precincts.</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s="Arial"/>
          <w:color w:val="000000"/>
          <w:sz w:val="20"/>
          <w:szCs w:val="20"/>
        </w:rPr>
        <w:t xml:space="preserve">And we will collaborate with community organisations, businesses, cities, and government agencies to reduce climate risk to fulfil our future responsibilities under the </w:t>
      </w:r>
      <w:r w:rsidRPr="00EC5E20">
        <w:rPr>
          <w:rFonts w:eastAsia="Times New Roman" w:cs="Arial"/>
          <w:i/>
          <w:color w:val="000000"/>
          <w:sz w:val="20"/>
          <w:szCs w:val="20"/>
        </w:rPr>
        <w:t>Local Government Bill 2018</w:t>
      </w:r>
      <w:r w:rsidRPr="00EC5E20">
        <w:rPr>
          <w:rFonts w:eastAsia="Times New Roman" w:cs="Arial"/>
          <w:color w:val="000000"/>
          <w:sz w:val="20"/>
          <w:szCs w:val="20"/>
        </w:rPr>
        <w:t>.</w:t>
      </w:r>
    </w:p>
    <w:p w:rsidR="00EC5E20" w:rsidRPr="00EC5E20" w:rsidRDefault="00EC5E20" w:rsidP="00EC5E20">
      <w:pPr>
        <w:tabs>
          <w:tab w:val="left" w:pos="2268"/>
          <w:tab w:val="left" w:pos="4536"/>
          <w:tab w:val="left" w:pos="6804"/>
          <w:tab w:val="right" w:pos="9638"/>
        </w:tabs>
        <w:spacing w:before="200" w:line="288" w:lineRule="auto"/>
        <w:rPr>
          <w:rFonts w:eastAsia="Times New Roman"/>
          <w:color w:val="000000"/>
          <w:sz w:val="20"/>
          <w:szCs w:val="20"/>
        </w:rPr>
      </w:pPr>
      <w:r w:rsidRPr="00EC5E20">
        <w:rPr>
          <w:rFonts w:eastAsia="Times New Roman" w:cs="Arial"/>
          <w:sz w:val="20"/>
          <w:szCs w:val="20"/>
        </w:rPr>
        <w:t xml:space="preserve">The Victorian </w:t>
      </w:r>
      <w:r w:rsidRPr="00EC5E20">
        <w:rPr>
          <w:rFonts w:eastAsia="Times New Roman" w:cs="Arial"/>
          <w:i/>
          <w:sz w:val="20"/>
          <w:szCs w:val="20"/>
        </w:rPr>
        <w:t>Climate Change Act 2017</w:t>
      </w:r>
      <w:r w:rsidRPr="00EC5E20">
        <w:rPr>
          <w:rFonts w:eastAsia="Times New Roman" w:cs="Arial"/>
          <w:sz w:val="20"/>
          <w:szCs w:val="20"/>
        </w:rPr>
        <w:t xml:space="preserve"> provides a framework for local governments to make a voluntary Council Pledge to implement five-year Emission Reduction Plans for the municipality from 1 January 2021. </w:t>
      </w:r>
      <w:r w:rsidRPr="00EC5E20">
        <w:rPr>
          <w:rFonts w:eastAsia="Times New Roman"/>
          <w:color w:val="000000"/>
          <w:sz w:val="20"/>
          <w:szCs w:val="20"/>
        </w:rPr>
        <w:t xml:space="preserve">This strategy will be supported by a rolling five-year implementation plan that will be our first Council Pledge under the </w:t>
      </w:r>
      <w:r w:rsidRPr="00EC5E20">
        <w:rPr>
          <w:rFonts w:eastAsia="Times New Roman"/>
          <w:i/>
          <w:color w:val="000000"/>
          <w:sz w:val="20"/>
          <w:szCs w:val="20"/>
        </w:rPr>
        <w:t>Victorian Climate Change Act 2017</w:t>
      </w:r>
      <w:r w:rsidRPr="00EC5E20">
        <w:rPr>
          <w:rFonts w:eastAsia="Times New Roman"/>
          <w:color w:val="000000"/>
          <w:sz w:val="20"/>
          <w:szCs w:val="20"/>
        </w:rPr>
        <w:t xml:space="preserve">. </w:t>
      </w:r>
    </w:p>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r w:rsidRPr="00EC5E20">
        <w:rPr>
          <w:rFonts w:eastAsia="Times New Roman"/>
          <w:b/>
          <w:sz w:val="20"/>
          <w:szCs w:val="20"/>
        </w:rPr>
        <w:t xml:space="preserve">3. We need to take bold action together </w:t>
      </w:r>
    </w:p>
    <w:p w:rsidR="00EC5E20" w:rsidRPr="00EC5E20" w:rsidRDefault="00EC5E20" w:rsidP="00EC5E20">
      <w:pPr>
        <w:spacing w:before="200" w:line="288" w:lineRule="auto"/>
        <w:rPr>
          <w:rFonts w:eastAsia="Times New Roman" w:cs="Arial"/>
          <w:color w:val="000000"/>
          <w:sz w:val="20"/>
          <w:szCs w:val="20"/>
          <w:highlight w:val="yellow"/>
        </w:rPr>
      </w:pPr>
      <w:r w:rsidRPr="00EC5E20">
        <w:rPr>
          <w:rFonts w:eastAsia="Times New Roman" w:cs="Arial"/>
          <w:color w:val="000000"/>
          <w:sz w:val="20"/>
          <w:szCs w:val="20"/>
        </w:rPr>
        <w:t xml:space="preserve">Aligning to the </w:t>
      </w:r>
      <w:r w:rsidRPr="00EC5E20">
        <w:rPr>
          <w:rFonts w:eastAsia="Times New Roman"/>
          <w:color w:val="000000"/>
          <w:sz w:val="20"/>
          <w:szCs w:val="20"/>
        </w:rPr>
        <w:t>Paris Climate Change Agreement</w:t>
      </w:r>
      <w:r w:rsidRPr="00EC5E20">
        <w:rPr>
          <w:rFonts w:eastAsia="Times New Roman" w:cs="Arial"/>
          <w:color w:val="000000"/>
          <w:sz w:val="20"/>
          <w:szCs w:val="20"/>
        </w:rPr>
        <w:t xml:space="preserve"> requires a mix of delivery mechanisms: engaging, facilitating, collaborating and partnering. We will lead the delivery of actions within our powers and advocate for policy change and action from others.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To inform the development of the Climate Change Mitigation Strategy to 2050 we analysed four scenarios:</w:t>
      </w:r>
    </w:p>
    <w:p w:rsidR="00EC5E20" w:rsidRPr="00EC5E20" w:rsidRDefault="00EC5E20" w:rsidP="00EC5E20">
      <w:pPr>
        <w:numPr>
          <w:ilvl w:val="0"/>
          <w:numId w:val="2"/>
        </w:numPr>
        <w:spacing w:before="60" w:after="60" w:line="288" w:lineRule="auto"/>
        <w:rPr>
          <w:rFonts w:eastAsia="Times New Roman"/>
          <w:color w:val="000000"/>
          <w:sz w:val="20"/>
          <w:szCs w:val="20"/>
        </w:rPr>
      </w:pPr>
      <w:r w:rsidRPr="00EC5E20">
        <w:rPr>
          <w:rFonts w:eastAsia="Times New Roman"/>
          <w:color w:val="000000"/>
          <w:sz w:val="20"/>
          <w:szCs w:val="20"/>
        </w:rPr>
        <w:t>business as usual (BAU)</w:t>
      </w:r>
    </w:p>
    <w:p w:rsidR="00EC5E20" w:rsidRPr="00EC5E20" w:rsidRDefault="00EC5E20" w:rsidP="00EC5E20">
      <w:pPr>
        <w:numPr>
          <w:ilvl w:val="0"/>
          <w:numId w:val="3"/>
        </w:numPr>
        <w:spacing w:before="60" w:after="60" w:line="288" w:lineRule="auto"/>
        <w:rPr>
          <w:rFonts w:eastAsia="Times New Roman"/>
          <w:color w:val="000000"/>
          <w:sz w:val="20"/>
          <w:szCs w:val="20"/>
        </w:rPr>
      </w:pPr>
      <w:r w:rsidRPr="00EC5E20">
        <w:rPr>
          <w:rFonts w:eastAsia="Times New Roman"/>
          <w:color w:val="000000"/>
          <w:sz w:val="20"/>
          <w:szCs w:val="20"/>
        </w:rPr>
        <w:t>offsetting all remaining emissions from 2020</w:t>
      </w:r>
    </w:p>
    <w:p w:rsidR="00EC5E20" w:rsidRPr="00EC5E20" w:rsidRDefault="00EC5E20" w:rsidP="00EC5E20">
      <w:pPr>
        <w:numPr>
          <w:ilvl w:val="0"/>
          <w:numId w:val="3"/>
        </w:numPr>
        <w:spacing w:before="60" w:after="60" w:line="288" w:lineRule="auto"/>
        <w:rPr>
          <w:rFonts w:eastAsia="Times New Roman"/>
          <w:color w:val="000000"/>
          <w:sz w:val="20"/>
          <w:szCs w:val="20"/>
        </w:rPr>
      </w:pPr>
      <w:r w:rsidRPr="00EC5E20">
        <w:rPr>
          <w:rFonts w:eastAsia="Times New Roman"/>
          <w:color w:val="000000"/>
          <w:sz w:val="20"/>
          <w:szCs w:val="20"/>
        </w:rPr>
        <w:t xml:space="preserve">a significant action program to reduce emissions </w:t>
      </w:r>
    </w:p>
    <w:p w:rsidR="00EC5E20" w:rsidRPr="00EC5E20" w:rsidRDefault="00EC5E20" w:rsidP="00EC5E20">
      <w:pPr>
        <w:numPr>
          <w:ilvl w:val="0"/>
          <w:numId w:val="3"/>
        </w:numPr>
        <w:spacing w:before="60" w:after="60" w:line="288" w:lineRule="auto"/>
        <w:rPr>
          <w:rFonts w:eastAsia="Times New Roman"/>
          <w:color w:val="000000"/>
          <w:sz w:val="20"/>
          <w:szCs w:val="20"/>
        </w:rPr>
      </w:pPr>
      <w:proofErr w:type="gramStart"/>
      <w:r w:rsidRPr="00EC5E20">
        <w:rPr>
          <w:rFonts w:eastAsia="Times New Roman"/>
          <w:color w:val="000000"/>
          <w:sz w:val="20"/>
          <w:szCs w:val="20"/>
        </w:rPr>
        <w:t>an</w:t>
      </w:r>
      <w:proofErr w:type="gramEnd"/>
      <w:r w:rsidRPr="00EC5E20">
        <w:rPr>
          <w:rFonts w:eastAsia="Times New Roman"/>
          <w:color w:val="000000"/>
          <w:sz w:val="20"/>
          <w:szCs w:val="20"/>
        </w:rPr>
        <w:t xml:space="preserve"> accelerated action program.</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Both the significant and accelerated action scenarios require investors, businesses and the Victorian and Australian Governments to also take action.</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The chart below summarises the four scenarios. It illustrates the reduction in emissions needed as part of the international effort to stay below a 1.5</w:t>
      </w:r>
      <w:r w:rsidRPr="00EC5E20">
        <w:rPr>
          <w:rFonts w:eastAsia="Times New Roman" w:cs="Arial"/>
          <w:color w:val="000000"/>
          <w:sz w:val="20"/>
          <w:szCs w:val="20"/>
        </w:rPr>
        <w:t>ºC</w:t>
      </w:r>
      <w:r w:rsidRPr="00EC5E20">
        <w:rPr>
          <w:rFonts w:eastAsia="Times New Roman"/>
          <w:color w:val="000000"/>
          <w:sz w:val="20"/>
          <w:szCs w:val="20"/>
        </w:rPr>
        <w:t xml:space="preserve"> rise in global average temperatures.</w:t>
      </w:r>
    </w:p>
    <w:p w:rsidR="00EC5E20" w:rsidRPr="00EC5E20" w:rsidRDefault="00EC5E20" w:rsidP="00EC5E20">
      <w:pPr>
        <w:keepNext/>
        <w:keepLines/>
        <w:tabs>
          <w:tab w:val="left" w:pos="1276"/>
        </w:tabs>
        <w:spacing w:before="240" w:after="90" w:line="240" w:lineRule="auto"/>
        <w:rPr>
          <w:rFonts w:eastAsia="Times New Roman"/>
          <w:bCs/>
          <w:noProof/>
          <w:color w:val="000000"/>
          <w:spacing w:val="4"/>
          <w:sz w:val="18"/>
          <w:szCs w:val="20"/>
        </w:rPr>
      </w:pPr>
      <w:bookmarkStart w:id="3" w:name="_Toc522633196"/>
      <w:r w:rsidRPr="00EC5E20">
        <w:rPr>
          <w:rFonts w:eastAsia="Times New Roman"/>
          <w:bCs/>
          <w:color w:val="000000"/>
          <w:spacing w:val="4"/>
          <w:sz w:val="18"/>
          <w:szCs w:val="20"/>
        </w:rPr>
        <w:t xml:space="preserve">Figure </w:t>
      </w:r>
      <w:r w:rsidRPr="00EC5E20">
        <w:rPr>
          <w:rFonts w:eastAsia="Times New Roman"/>
          <w:bCs/>
          <w:color w:val="000000"/>
          <w:spacing w:val="4"/>
          <w:sz w:val="18"/>
          <w:szCs w:val="20"/>
        </w:rPr>
        <w:fldChar w:fldCharType="begin"/>
      </w:r>
      <w:r w:rsidRPr="00EC5E20">
        <w:rPr>
          <w:rFonts w:eastAsia="Times New Roman"/>
          <w:bCs/>
          <w:color w:val="000000"/>
          <w:spacing w:val="4"/>
          <w:sz w:val="18"/>
          <w:szCs w:val="20"/>
        </w:rPr>
        <w:instrText xml:space="preserve"> SEQ Figure \* ARABIC </w:instrText>
      </w:r>
      <w:r w:rsidRPr="00EC5E20">
        <w:rPr>
          <w:rFonts w:eastAsia="Times New Roman"/>
          <w:bCs/>
          <w:color w:val="000000"/>
          <w:spacing w:val="4"/>
          <w:sz w:val="18"/>
          <w:szCs w:val="20"/>
        </w:rPr>
        <w:fldChar w:fldCharType="separate"/>
      </w:r>
      <w:r w:rsidR="00C04695">
        <w:rPr>
          <w:rFonts w:eastAsia="Times New Roman"/>
          <w:bCs/>
          <w:noProof/>
          <w:color w:val="000000"/>
          <w:spacing w:val="4"/>
          <w:sz w:val="18"/>
          <w:szCs w:val="20"/>
        </w:rPr>
        <w:t>1</w:t>
      </w:r>
      <w:r w:rsidRPr="00EC5E20">
        <w:rPr>
          <w:rFonts w:eastAsia="Times New Roman"/>
          <w:bCs/>
          <w:noProof/>
          <w:color w:val="000000"/>
          <w:spacing w:val="4"/>
          <w:sz w:val="18"/>
          <w:szCs w:val="20"/>
        </w:rPr>
        <w:fldChar w:fldCharType="end"/>
      </w:r>
      <w:r w:rsidRPr="00EC5E20">
        <w:rPr>
          <w:rFonts w:eastAsia="Times New Roman"/>
          <w:bCs/>
          <w:color w:val="000000"/>
          <w:spacing w:val="4"/>
          <w:sz w:val="18"/>
          <w:szCs w:val="20"/>
        </w:rPr>
        <w:t xml:space="preserve"> Emissions reductions needed under each scen</w:t>
      </w:r>
      <w:r w:rsidRPr="00EC5E20">
        <w:rPr>
          <w:rFonts w:eastAsia="Times New Roman"/>
          <w:bCs/>
          <w:noProof/>
          <w:color w:val="000000"/>
          <w:spacing w:val="4"/>
          <w:sz w:val="18"/>
          <w:szCs w:val="20"/>
        </w:rPr>
        <w:t>ario</w:t>
      </w:r>
      <w:bookmarkEnd w:id="3"/>
    </w:p>
    <w:p w:rsidR="00EC5E20" w:rsidRPr="00EC5E20" w:rsidRDefault="00EC5E20" w:rsidP="00EC5E20">
      <w:pPr>
        <w:tabs>
          <w:tab w:val="left" w:pos="2268"/>
          <w:tab w:val="left" w:pos="4536"/>
          <w:tab w:val="left" w:pos="6804"/>
          <w:tab w:val="right" w:pos="9638"/>
        </w:tabs>
        <w:spacing w:before="200" w:line="288" w:lineRule="auto"/>
        <w:rPr>
          <w:rFonts w:eastAsia="Times New Roman"/>
          <w:color w:val="000000"/>
          <w:sz w:val="20"/>
          <w:szCs w:val="20"/>
        </w:rPr>
      </w:pPr>
      <w:r w:rsidRPr="00EC5E20">
        <w:rPr>
          <w:rFonts w:eastAsia="Times New Roman"/>
          <w:noProof/>
          <w:color w:val="000000"/>
          <w:sz w:val="20"/>
          <w:szCs w:val="20"/>
        </w:rPr>
        <mc:AlternateContent>
          <mc:Choice Requires="wps">
            <w:drawing>
              <wp:anchor distT="0" distB="0" distL="114300" distR="114300" simplePos="0" relativeHeight="251659264" behindDoc="0" locked="0" layoutInCell="1" allowOverlap="1" wp14:anchorId="6E7CE3C4" wp14:editId="483ACC84">
                <wp:simplePos x="0" y="0"/>
                <wp:positionH relativeFrom="column">
                  <wp:posOffset>-297000</wp:posOffset>
                </wp:positionH>
                <wp:positionV relativeFrom="paragraph">
                  <wp:posOffset>771664</wp:posOffset>
                </wp:positionV>
                <wp:extent cx="1454785" cy="1403985"/>
                <wp:effectExtent l="7938" t="0" r="952" b="953"/>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54785" cy="1403985"/>
                        </a:xfrm>
                        <a:prstGeom prst="rect">
                          <a:avLst/>
                        </a:prstGeom>
                        <a:solidFill>
                          <a:srgbClr val="FFFFFF"/>
                        </a:solidFill>
                        <a:ln w="9525">
                          <a:noFill/>
                          <a:miter lim="800000"/>
                          <a:headEnd/>
                          <a:tailEnd/>
                        </a:ln>
                      </wps:spPr>
                      <wps:txbx>
                        <w:txbxContent>
                          <w:p w:rsidR="00EC5E20" w:rsidRPr="008D6BCD" w:rsidRDefault="00EC5E20" w:rsidP="00EC5E20">
                            <w:pPr>
                              <w:rPr>
                                <w:sz w:val="18"/>
                                <w:szCs w:val="18"/>
                              </w:rPr>
                            </w:pPr>
                            <w:r w:rsidRPr="008D6BCD">
                              <w:rPr>
                                <w:sz w:val="18"/>
                                <w:szCs w:val="18"/>
                              </w:rPr>
                              <w:t xml:space="preserve">Emissions </w:t>
                            </w:r>
                            <w:proofErr w:type="gramStart"/>
                            <w:r w:rsidRPr="008D6BCD">
                              <w:rPr>
                                <w:sz w:val="18"/>
                                <w:szCs w:val="18"/>
                              </w:rPr>
                              <w:t>( tCO</w:t>
                            </w:r>
                            <w:r w:rsidRPr="008D6BCD">
                              <w:rPr>
                                <w:sz w:val="18"/>
                                <w:szCs w:val="18"/>
                                <w:vertAlign w:val="subscript"/>
                              </w:rPr>
                              <w:t>2</w:t>
                            </w:r>
                            <w:proofErr w:type="gramEnd"/>
                            <w:r w:rsidRPr="008D6BCD">
                              <w:rPr>
                                <w:sz w:val="18"/>
                                <w:szCs w:val="18"/>
                              </w:rPr>
                              <w:t xml:space="preserve"> -e)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pt;margin-top:60.75pt;width:114.55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" stroked="f">
                <v:textbox style="mso-fit-shape-to-text:t">
                  <w:txbxContent>
                    <w:p w:rsidR="00EC5E20" w:rsidRPr="008D6BCD" w:rsidRDefault="00EC5E20" w:rsidP="00EC5E20">
                      <w:pPr>
                        <w:rPr>
                          <w:sz w:val="18"/>
                          <w:szCs w:val="18"/>
                        </w:rPr>
                      </w:pPr>
                      <w:r w:rsidRPr="008D6BCD">
                        <w:rPr>
                          <w:sz w:val="18"/>
                          <w:szCs w:val="18"/>
                        </w:rPr>
                        <w:t xml:space="preserve">Emissions </w:t>
                      </w:r>
                      <w:proofErr w:type="gramStart"/>
                      <w:r w:rsidRPr="008D6BCD">
                        <w:rPr>
                          <w:sz w:val="18"/>
                          <w:szCs w:val="18"/>
                        </w:rPr>
                        <w:t>( tCO</w:t>
                      </w:r>
                      <w:r w:rsidRPr="008D6BCD">
                        <w:rPr>
                          <w:sz w:val="18"/>
                          <w:szCs w:val="18"/>
                          <w:vertAlign w:val="subscript"/>
                        </w:rPr>
                        <w:t>2</w:t>
                      </w:r>
                      <w:proofErr w:type="gramEnd"/>
                      <w:r w:rsidRPr="008D6BCD">
                        <w:rPr>
                          <w:sz w:val="18"/>
                          <w:szCs w:val="18"/>
                        </w:rPr>
                        <w:t xml:space="preserve"> -e)</w:t>
                      </w:r>
                    </w:p>
                  </w:txbxContent>
                </v:textbox>
              </v:shape>
            </w:pict>
          </mc:Fallback>
        </mc:AlternateContent>
      </w:r>
      <w:r w:rsidRPr="00EC5E20">
        <w:rPr>
          <w:rFonts w:eastAsia="Times New Roman"/>
          <w:noProof/>
          <w:color w:val="000000"/>
          <w:sz w:val="20"/>
          <w:szCs w:val="20"/>
        </w:rPr>
        <w:drawing>
          <wp:inline distT="0" distB="0" distL="0" distR="0" wp14:anchorId="12C4B69A" wp14:editId="1F9DF2D6">
            <wp:extent cx="5017273" cy="2759102"/>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04695" w:rsidRDefault="00C04695" w:rsidP="00EC5E20">
      <w:pPr>
        <w:spacing w:before="200" w:line="288" w:lineRule="auto"/>
        <w:rPr>
          <w:rFonts w:eastAsia="Times New Roman"/>
          <w:color w:val="000000"/>
          <w:sz w:val="20"/>
          <w:szCs w:val="20"/>
        </w:rPr>
      </w:pP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The City of Melbourne’s preferred approach is to deliver the actions needed to achieve the </w:t>
      </w:r>
      <w:r w:rsidRPr="00EC5E20">
        <w:rPr>
          <w:rFonts w:eastAsia="Times New Roman"/>
          <w:b/>
          <w:color w:val="000000"/>
          <w:sz w:val="20"/>
          <w:szCs w:val="20"/>
        </w:rPr>
        <w:t xml:space="preserve">significant action scenario </w:t>
      </w:r>
      <w:r w:rsidRPr="00EC5E20">
        <w:rPr>
          <w:rFonts w:eastAsia="Times New Roman"/>
          <w:color w:val="000000"/>
          <w:sz w:val="20"/>
          <w:szCs w:val="20"/>
        </w:rPr>
        <w:t xml:space="preserve">and pursue actions for the accelerated action scenario where there is the opportunity to go further.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lastRenderedPageBreak/>
        <w:t>This will require us to take bold action within our powers, collaborate and advocate for policy change from the Victorian and Australian Governments. Our approach aligns with the Paris Climate Agreement while acknowledging our limited powers and financial resources.</w:t>
      </w:r>
    </w:p>
    <w:p w:rsidR="00EC5E20" w:rsidRPr="00EC5E20" w:rsidRDefault="00EC5E20" w:rsidP="00EC5E20">
      <w:pPr>
        <w:keepNext/>
        <w:keepLines/>
        <w:tabs>
          <w:tab w:val="left" w:pos="1276"/>
        </w:tabs>
        <w:spacing w:before="240" w:after="90" w:line="240" w:lineRule="auto"/>
        <w:ind w:left="1276" w:hanging="1276"/>
        <w:rPr>
          <w:rFonts w:eastAsia="Times New Roman"/>
          <w:bCs/>
          <w:color w:val="000000"/>
          <w:spacing w:val="4"/>
          <w:sz w:val="18"/>
          <w:szCs w:val="20"/>
        </w:rPr>
      </w:pPr>
      <w:r w:rsidRPr="00EC5E20">
        <w:rPr>
          <w:rFonts w:eastAsia="Times New Roman"/>
          <w:bCs/>
          <w:color w:val="000000"/>
          <w:spacing w:val="4"/>
          <w:sz w:val="18"/>
          <w:szCs w:val="20"/>
        </w:rPr>
        <w:t>Table 1 Economic costs and benefits of each scenario compared to business as usual</w:t>
      </w:r>
    </w:p>
    <w:tbl>
      <w:tblPr>
        <w:tblW w:w="0" w:type="auto"/>
        <w:tblCellMar>
          <w:left w:w="0" w:type="dxa"/>
          <w:right w:w="0" w:type="dxa"/>
        </w:tblCellMar>
        <w:tblLook w:val="04A0" w:firstRow="1" w:lastRow="0" w:firstColumn="1" w:lastColumn="0" w:noHBand="0" w:noVBand="1"/>
      </w:tblPr>
      <w:tblGrid>
        <w:gridCol w:w="1716"/>
        <w:gridCol w:w="1418"/>
        <w:gridCol w:w="1175"/>
        <w:gridCol w:w="1417"/>
        <w:gridCol w:w="4395"/>
      </w:tblGrid>
      <w:tr w:rsidR="00EC5E20" w:rsidRPr="00EC5E20" w:rsidTr="00C23ABD">
        <w:trPr>
          <w:trHeight w:val="1034"/>
        </w:trPr>
        <w:tc>
          <w:tcPr>
            <w:tcW w:w="1716" w:type="dxa"/>
            <w:tcBorders>
              <w:top w:val="single" w:sz="8" w:space="0" w:color="FFFFFF"/>
              <w:left w:val="single" w:sz="8" w:space="0" w:color="FFFFFF"/>
              <w:bottom w:val="single" w:sz="24" w:space="0" w:color="FFFFFF"/>
              <w:right w:val="single" w:sz="8" w:space="0" w:color="FFFFFF"/>
            </w:tcBorders>
            <w:shd w:val="clear" w:color="auto" w:fill="4F81BD"/>
            <w:tcMar>
              <w:top w:w="57" w:type="dxa"/>
              <w:left w:w="15" w:type="dxa"/>
              <w:bottom w:w="28" w:type="dxa"/>
              <w:right w:w="15" w:type="dxa"/>
            </w:tcMar>
            <w:vAlign w:val="bottom"/>
            <w:hideMark/>
          </w:tcPr>
          <w:p w:rsidR="00EC5E20" w:rsidRPr="00EC5E20" w:rsidRDefault="00EC5E20" w:rsidP="00EC5E20">
            <w:pPr>
              <w:spacing w:before="40" w:after="0" w:line="288" w:lineRule="auto"/>
              <w:ind w:left="29" w:right="115"/>
              <w:rPr>
                <w:rFonts w:eastAsia="Times New Roman" w:cs="Arial"/>
                <w:sz w:val="20"/>
                <w:szCs w:val="20"/>
              </w:rPr>
            </w:pPr>
            <w:r w:rsidRPr="00EC5E20">
              <w:rPr>
                <w:rFonts w:eastAsia="Times New Roman" w:cs="Arial"/>
                <w:b/>
                <w:bCs/>
                <w:color w:val="FFFFFF"/>
                <w:kern w:val="24"/>
                <w:sz w:val="20"/>
                <w:szCs w:val="20"/>
              </w:rPr>
              <w:t>Scenario</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57" w:type="dxa"/>
              <w:left w:w="15" w:type="dxa"/>
              <w:bottom w:w="28" w:type="dxa"/>
              <w:right w:w="15" w:type="dxa"/>
            </w:tcMar>
            <w:vAlign w:val="bottom"/>
            <w:hideMark/>
          </w:tcPr>
          <w:p w:rsidR="00EC5E20" w:rsidRPr="00EC5E20" w:rsidRDefault="00EC5E20" w:rsidP="00EC5E20">
            <w:pPr>
              <w:spacing w:before="40" w:after="0" w:line="288" w:lineRule="auto"/>
              <w:ind w:left="29" w:right="115"/>
              <w:jc w:val="center"/>
              <w:rPr>
                <w:rFonts w:eastAsia="Times New Roman" w:cs="Arial"/>
                <w:sz w:val="20"/>
                <w:szCs w:val="20"/>
              </w:rPr>
            </w:pPr>
            <w:r w:rsidRPr="00EC5E20">
              <w:rPr>
                <w:rFonts w:eastAsia="Times New Roman" w:cs="Arial"/>
                <w:b/>
                <w:bCs/>
                <w:color w:val="FFFFFF"/>
                <w:kern w:val="24"/>
                <w:sz w:val="20"/>
                <w:szCs w:val="20"/>
              </w:rPr>
              <w:t>Target per person in 2030</w:t>
            </w:r>
          </w:p>
        </w:tc>
        <w:tc>
          <w:tcPr>
            <w:tcW w:w="1175" w:type="dxa"/>
            <w:tcBorders>
              <w:top w:val="single" w:sz="8" w:space="0" w:color="FFFFFF"/>
              <w:left w:val="single" w:sz="8" w:space="0" w:color="FFFFFF"/>
              <w:bottom w:val="single" w:sz="24" w:space="0" w:color="FFFFFF"/>
              <w:right w:val="single" w:sz="8" w:space="0" w:color="FFFFFF"/>
            </w:tcBorders>
            <w:shd w:val="clear" w:color="auto" w:fill="4F81BD"/>
            <w:tcMar>
              <w:top w:w="57" w:type="dxa"/>
              <w:left w:w="15" w:type="dxa"/>
              <w:bottom w:w="28" w:type="dxa"/>
              <w:right w:w="15" w:type="dxa"/>
            </w:tcMar>
            <w:vAlign w:val="bottom"/>
            <w:hideMark/>
          </w:tcPr>
          <w:p w:rsidR="00EC5E20" w:rsidRPr="00EC5E20" w:rsidRDefault="00EC5E20" w:rsidP="00EC5E20">
            <w:pPr>
              <w:spacing w:before="40" w:after="0" w:line="288" w:lineRule="auto"/>
              <w:ind w:left="29" w:right="115"/>
              <w:jc w:val="center"/>
              <w:rPr>
                <w:rFonts w:eastAsia="Times New Roman" w:cs="Arial"/>
                <w:sz w:val="20"/>
                <w:szCs w:val="20"/>
              </w:rPr>
            </w:pPr>
            <w:r w:rsidRPr="00EC5E20">
              <w:rPr>
                <w:rFonts w:eastAsia="Times New Roman" w:cs="Arial"/>
                <w:b/>
                <w:bCs/>
                <w:color w:val="FFFFFF"/>
                <w:kern w:val="24"/>
                <w:sz w:val="20"/>
                <w:szCs w:val="20"/>
              </w:rPr>
              <w:t>Net Zero Emissions</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57" w:type="dxa"/>
              <w:left w:w="15" w:type="dxa"/>
              <w:bottom w:w="28" w:type="dxa"/>
              <w:right w:w="15" w:type="dxa"/>
            </w:tcMar>
            <w:vAlign w:val="bottom"/>
            <w:hideMark/>
          </w:tcPr>
          <w:p w:rsidR="00EC5E20" w:rsidRPr="00EC5E20" w:rsidRDefault="00EC5E20" w:rsidP="00EC5E20">
            <w:pPr>
              <w:spacing w:before="40" w:after="0" w:line="288" w:lineRule="auto"/>
              <w:ind w:left="29" w:right="115"/>
              <w:jc w:val="center"/>
              <w:rPr>
                <w:rFonts w:eastAsia="Times New Roman" w:cs="Arial"/>
                <w:sz w:val="20"/>
                <w:szCs w:val="20"/>
              </w:rPr>
            </w:pPr>
            <w:r w:rsidRPr="00EC5E20">
              <w:rPr>
                <w:rFonts w:eastAsia="Times New Roman" w:cs="Arial"/>
                <w:b/>
                <w:bCs/>
                <w:color w:val="FFFFFF"/>
                <w:kern w:val="24"/>
                <w:sz w:val="20"/>
                <w:szCs w:val="20"/>
              </w:rPr>
              <w:t>Aligned to Paris Climate Agreement</w:t>
            </w:r>
          </w:p>
        </w:tc>
        <w:tc>
          <w:tcPr>
            <w:tcW w:w="4395" w:type="dxa"/>
            <w:tcBorders>
              <w:top w:val="single" w:sz="8" w:space="0" w:color="FFFFFF"/>
              <w:left w:val="single" w:sz="8" w:space="0" w:color="FFFFFF"/>
              <w:bottom w:val="single" w:sz="24" w:space="0" w:color="FFFFFF"/>
              <w:right w:val="single" w:sz="8" w:space="0" w:color="FFFFFF"/>
            </w:tcBorders>
            <w:shd w:val="clear" w:color="auto" w:fill="4F81BD"/>
            <w:tcMar>
              <w:top w:w="57" w:type="dxa"/>
              <w:left w:w="15" w:type="dxa"/>
              <w:bottom w:w="28" w:type="dxa"/>
              <w:right w:w="15" w:type="dxa"/>
            </w:tcMar>
            <w:vAlign w:val="bottom"/>
            <w:hideMark/>
          </w:tcPr>
          <w:p w:rsidR="00EC5E20" w:rsidRPr="00EC5E20" w:rsidRDefault="00EC5E20" w:rsidP="00EC5E20">
            <w:pPr>
              <w:spacing w:before="40" w:after="0" w:line="288" w:lineRule="auto"/>
              <w:ind w:left="29" w:right="115"/>
              <w:jc w:val="center"/>
              <w:rPr>
                <w:rFonts w:eastAsia="Times New Roman" w:cs="Arial"/>
                <w:sz w:val="20"/>
                <w:szCs w:val="20"/>
              </w:rPr>
            </w:pPr>
            <w:r w:rsidRPr="00EC5E20">
              <w:rPr>
                <w:rFonts w:eastAsia="Times New Roman" w:cs="Arial"/>
                <w:b/>
                <w:bCs/>
                <w:color w:val="FFFFFF"/>
                <w:kern w:val="24"/>
                <w:sz w:val="20"/>
                <w:szCs w:val="20"/>
              </w:rPr>
              <w:t>Economic Estimate</w:t>
            </w:r>
          </w:p>
        </w:tc>
      </w:tr>
      <w:tr w:rsidR="00EC5E20" w:rsidRPr="00EC5E20" w:rsidTr="00C23ABD">
        <w:trPr>
          <w:trHeight w:val="1034"/>
        </w:trPr>
        <w:tc>
          <w:tcPr>
            <w:tcW w:w="1716" w:type="dxa"/>
            <w:tcBorders>
              <w:top w:val="single" w:sz="24" w:space="0" w:color="FFFFFF"/>
              <w:left w:val="single" w:sz="8" w:space="0" w:color="FFFFFF"/>
              <w:bottom w:val="single" w:sz="8" w:space="0" w:color="FFFFFF"/>
              <w:right w:val="single" w:sz="8" w:space="0" w:color="FFFFFF"/>
            </w:tcBorders>
            <w:shd w:val="clear" w:color="auto" w:fill="4F81BD"/>
            <w:tcMar>
              <w:top w:w="57" w:type="dxa"/>
              <w:left w:w="15" w:type="dxa"/>
              <w:bottom w:w="28" w:type="dxa"/>
              <w:right w:w="15" w:type="dxa"/>
            </w:tcMar>
            <w:hideMark/>
          </w:tcPr>
          <w:p w:rsidR="00EC5E20" w:rsidRPr="00EC5E20" w:rsidRDefault="00EC5E20" w:rsidP="00EC5E20">
            <w:pPr>
              <w:spacing w:before="40" w:after="0" w:line="288" w:lineRule="auto"/>
              <w:ind w:left="29" w:right="115"/>
              <w:rPr>
                <w:rFonts w:eastAsia="Times New Roman" w:cs="Arial"/>
                <w:sz w:val="20"/>
                <w:szCs w:val="20"/>
              </w:rPr>
            </w:pPr>
            <w:r w:rsidRPr="00EC5E20">
              <w:rPr>
                <w:rFonts w:eastAsia="Times New Roman" w:cs="Arial"/>
                <w:b/>
                <w:bCs/>
                <w:color w:val="FFFFFF"/>
                <w:kern w:val="24"/>
                <w:sz w:val="20"/>
                <w:szCs w:val="20"/>
              </w:rPr>
              <w:t>Business as usual</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 xml:space="preserve">22.1 </w:t>
            </w: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17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never</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no</w:t>
            </w:r>
          </w:p>
        </w:tc>
        <w:tc>
          <w:tcPr>
            <w:tcW w:w="439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hideMark/>
          </w:tcPr>
          <w:p w:rsidR="00EC5E20" w:rsidRPr="00EC5E20" w:rsidRDefault="00EC5E20" w:rsidP="00EC5E20">
            <w:pPr>
              <w:spacing w:before="40" w:after="0" w:line="288" w:lineRule="auto"/>
              <w:ind w:left="29" w:right="115"/>
              <w:rPr>
                <w:rFonts w:eastAsia="Times New Roman" w:cs="Arial"/>
                <w:sz w:val="18"/>
                <w:szCs w:val="18"/>
              </w:rPr>
            </w:pPr>
            <w:r w:rsidRPr="00EC5E20">
              <w:rPr>
                <w:rFonts w:eastAsia="Times New Roman" w:cs="Arial"/>
                <w:color w:val="000000"/>
                <w:kern w:val="24"/>
                <w:sz w:val="18"/>
                <w:szCs w:val="18"/>
              </w:rPr>
              <w:t xml:space="preserve">Cost to the municipality economy (burden) would be $12.6 billion from increased maintenance, healthcare, business failure </w:t>
            </w:r>
            <w:proofErr w:type="spellStart"/>
            <w:r w:rsidRPr="00EC5E20">
              <w:rPr>
                <w:rFonts w:eastAsia="Times New Roman" w:cs="Arial"/>
                <w:color w:val="000000"/>
                <w:kern w:val="24"/>
                <w:sz w:val="18"/>
                <w:szCs w:val="18"/>
              </w:rPr>
              <w:t>etc</w:t>
            </w:r>
            <w:proofErr w:type="spellEnd"/>
            <w:r w:rsidRPr="00EC5E20">
              <w:rPr>
                <w:rFonts w:eastAsia="Times New Roman" w:cs="Arial"/>
                <w:color w:val="000000"/>
                <w:kern w:val="24"/>
                <w:sz w:val="18"/>
                <w:szCs w:val="18"/>
              </w:rPr>
              <w:t xml:space="preserve"> from the impacts of climate change </w:t>
            </w:r>
          </w:p>
        </w:tc>
      </w:tr>
      <w:tr w:rsidR="00EC5E20" w:rsidRPr="00EC5E20" w:rsidTr="00C23ABD">
        <w:trPr>
          <w:trHeight w:val="1034"/>
        </w:trPr>
        <w:tc>
          <w:tcPr>
            <w:tcW w:w="1716" w:type="dxa"/>
            <w:tcBorders>
              <w:top w:val="single" w:sz="24" w:space="0" w:color="FFFFFF"/>
              <w:left w:val="single" w:sz="8" w:space="0" w:color="FFFFFF"/>
              <w:bottom w:val="single" w:sz="8" w:space="0" w:color="FFFFFF"/>
              <w:right w:val="single" w:sz="8" w:space="0" w:color="FFFFFF"/>
            </w:tcBorders>
            <w:shd w:val="clear" w:color="auto" w:fill="4F81BD"/>
            <w:tcMar>
              <w:top w:w="57" w:type="dxa"/>
              <w:left w:w="15" w:type="dxa"/>
              <w:bottom w:w="28" w:type="dxa"/>
              <w:right w:w="15" w:type="dxa"/>
            </w:tcMar>
          </w:tcPr>
          <w:p w:rsidR="00EC5E20" w:rsidRPr="00EC5E20" w:rsidRDefault="00EC5E20" w:rsidP="00EC5E20">
            <w:pPr>
              <w:spacing w:before="40" w:after="0" w:line="288" w:lineRule="auto"/>
              <w:ind w:left="29" w:right="115"/>
              <w:rPr>
                <w:rFonts w:eastAsia="Times New Roman" w:cs="Arial"/>
                <w:b/>
                <w:bCs/>
                <w:color w:val="FFFFFF"/>
                <w:kern w:val="24"/>
                <w:sz w:val="20"/>
                <w:szCs w:val="20"/>
              </w:rPr>
            </w:pPr>
            <w:r w:rsidRPr="00EC5E20">
              <w:rPr>
                <w:rFonts w:eastAsia="Times New Roman" w:cs="Arial"/>
                <w:b/>
                <w:bCs/>
                <w:color w:val="FFFFFF"/>
                <w:kern w:val="24"/>
                <w:sz w:val="20"/>
                <w:szCs w:val="20"/>
              </w:rPr>
              <w:t>Purchasing offsets</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 xml:space="preserve">22.1 </w:t>
            </w: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17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2020</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no</w:t>
            </w:r>
          </w:p>
        </w:tc>
        <w:tc>
          <w:tcPr>
            <w:tcW w:w="439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rPr>
                <w:rFonts w:eastAsia="Times New Roman" w:cs="Arial"/>
                <w:color w:val="000000"/>
                <w:kern w:val="24"/>
                <w:sz w:val="18"/>
                <w:szCs w:val="18"/>
              </w:rPr>
            </w:pPr>
            <w:r w:rsidRPr="00EC5E20">
              <w:rPr>
                <w:rFonts w:eastAsia="Times New Roman" w:cs="Arial"/>
                <w:color w:val="000000"/>
                <w:kern w:val="24"/>
                <w:sz w:val="18"/>
                <w:szCs w:val="18"/>
              </w:rPr>
              <w:t xml:space="preserve">Cost to the City of Melbourne of $30 million per year. </w:t>
            </w:r>
            <w:proofErr w:type="gramStart"/>
            <w:r w:rsidRPr="00EC5E20">
              <w:rPr>
                <w:rFonts w:eastAsia="Times New Roman" w:cs="Arial"/>
                <w:color w:val="000000"/>
                <w:kern w:val="24"/>
                <w:sz w:val="18"/>
                <w:szCs w:val="18"/>
              </w:rPr>
              <w:t>increasing</w:t>
            </w:r>
            <w:proofErr w:type="gramEnd"/>
            <w:r w:rsidRPr="00EC5E20">
              <w:rPr>
                <w:rFonts w:eastAsia="Times New Roman" w:cs="Arial"/>
                <w:color w:val="000000"/>
                <w:kern w:val="24"/>
                <w:sz w:val="18"/>
                <w:szCs w:val="18"/>
              </w:rPr>
              <w:t xml:space="preserve"> due to supply demand pressures.  No reduction to municipality economic burden.</w:t>
            </w:r>
          </w:p>
        </w:tc>
      </w:tr>
      <w:tr w:rsidR="00EC5E20" w:rsidRPr="00EC5E20" w:rsidTr="00C23ABD">
        <w:trPr>
          <w:trHeight w:val="1034"/>
        </w:trPr>
        <w:tc>
          <w:tcPr>
            <w:tcW w:w="1716" w:type="dxa"/>
            <w:tcBorders>
              <w:top w:val="single" w:sz="24" w:space="0" w:color="FFFFFF"/>
              <w:left w:val="single" w:sz="8" w:space="0" w:color="FFFFFF"/>
              <w:bottom w:val="single" w:sz="8" w:space="0" w:color="FFFFFF"/>
              <w:right w:val="single" w:sz="8" w:space="0" w:color="FFFFFF"/>
            </w:tcBorders>
            <w:shd w:val="clear" w:color="auto" w:fill="4F81BD"/>
            <w:tcMar>
              <w:top w:w="57" w:type="dxa"/>
              <w:left w:w="15" w:type="dxa"/>
              <w:bottom w:w="28" w:type="dxa"/>
              <w:right w:w="15" w:type="dxa"/>
            </w:tcMar>
          </w:tcPr>
          <w:p w:rsidR="00EC5E20" w:rsidRPr="00EC5E20" w:rsidRDefault="00EC5E20" w:rsidP="00EC5E20">
            <w:pPr>
              <w:spacing w:before="40" w:after="0" w:line="288" w:lineRule="auto"/>
              <w:ind w:left="29" w:right="115"/>
              <w:rPr>
                <w:rFonts w:eastAsia="Times New Roman" w:cs="Arial"/>
                <w:b/>
                <w:bCs/>
                <w:color w:val="FFFFFF"/>
                <w:kern w:val="24"/>
                <w:sz w:val="20"/>
                <w:szCs w:val="20"/>
              </w:rPr>
            </w:pPr>
            <w:r w:rsidRPr="00EC5E20">
              <w:rPr>
                <w:rFonts w:eastAsia="Times New Roman" w:cs="Arial"/>
                <w:b/>
                <w:bCs/>
                <w:color w:val="FFFFFF"/>
                <w:kern w:val="24"/>
                <w:sz w:val="20"/>
                <w:szCs w:val="20"/>
              </w:rPr>
              <w:t>Significant action</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 xml:space="preserve">14.4 </w:t>
            </w: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17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2050</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jc w:val="center"/>
              <w:rPr>
                <w:rFonts w:eastAsia="Times New Roman" w:cs="Arial"/>
                <w:color w:val="000000"/>
                <w:kern w:val="24"/>
                <w:sz w:val="18"/>
                <w:szCs w:val="18"/>
              </w:rPr>
            </w:pPr>
            <w:r w:rsidRPr="00EC5E20">
              <w:rPr>
                <w:rFonts w:eastAsia="Times New Roman" w:cs="Arial"/>
                <w:color w:val="000000"/>
                <w:kern w:val="24"/>
                <w:sz w:val="18"/>
                <w:szCs w:val="18"/>
              </w:rPr>
              <w:t>yes</w:t>
            </w:r>
          </w:p>
        </w:tc>
        <w:tc>
          <w:tcPr>
            <w:tcW w:w="4395" w:type="dxa"/>
            <w:tcBorders>
              <w:top w:val="single" w:sz="24" w:space="0" w:color="FFFFFF"/>
              <w:left w:val="single" w:sz="8" w:space="0" w:color="FFFFFF"/>
              <w:bottom w:val="single" w:sz="8" w:space="0" w:color="FFFFFF"/>
              <w:right w:val="single" w:sz="8" w:space="0" w:color="FFFFFF"/>
            </w:tcBorders>
            <w:shd w:val="clear" w:color="auto" w:fill="D0D8E8"/>
            <w:tcMar>
              <w:top w:w="57" w:type="dxa"/>
              <w:left w:w="15" w:type="dxa"/>
              <w:bottom w:w="28" w:type="dxa"/>
              <w:right w:w="15" w:type="dxa"/>
            </w:tcMar>
          </w:tcPr>
          <w:p w:rsidR="00EC5E20" w:rsidRPr="00EC5E20" w:rsidRDefault="00EC5E20" w:rsidP="00EC5E20">
            <w:pPr>
              <w:spacing w:before="40" w:after="0" w:line="288" w:lineRule="auto"/>
              <w:ind w:left="29" w:right="115"/>
              <w:rPr>
                <w:rFonts w:eastAsia="Times New Roman" w:cs="Arial"/>
                <w:color w:val="000000"/>
                <w:kern w:val="24"/>
                <w:sz w:val="18"/>
                <w:szCs w:val="18"/>
              </w:rPr>
            </w:pPr>
            <w:r w:rsidRPr="00EC5E20">
              <w:rPr>
                <w:rFonts w:eastAsia="Times New Roman" w:cs="Arial"/>
                <w:color w:val="000000"/>
                <w:kern w:val="24"/>
                <w:sz w:val="18"/>
                <w:szCs w:val="18"/>
              </w:rPr>
              <w:t>Investment of $2.3 billion to implement, however reduces the municipality economic burden by       $3.1 billion</w:t>
            </w:r>
          </w:p>
        </w:tc>
      </w:tr>
      <w:tr w:rsidR="00EC5E20" w:rsidRPr="00EC5E20" w:rsidTr="00C23ABD">
        <w:trPr>
          <w:trHeight w:val="1034"/>
        </w:trPr>
        <w:tc>
          <w:tcPr>
            <w:tcW w:w="1716" w:type="dxa"/>
            <w:tcBorders>
              <w:top w:val="single" w:sz="8" w:space="0" w:color="FFFFFF"/>
              <w:left w:val="single" w:sz="8" w:space="0" w:color="FFFFFF"/>
              <w:bottom w:val="single" w:sz="8" w:space="0" w:color="FFFFFF"/>
              <w:right w:val="single" w:sz="8" w:space="0" w:color="FFFFFF"/>
            </w:tcBorders>
            <w:shd w:val="clear" w:color="auto" w:fill="4F81BD"/>
            <w:tcMar>
              <w:top w:w="57" w:type="dxa"/>
              <w:left w:w="15" w:type="dxa"/>
              <w:bottom w:w="28" w:type="dxa"/>
              <w:right w:w="15" w:type="dxa"/>
            </w:tcMar>
            <w:hideMark/>
          </w:tcPr>
          <w:p w:rsidR="00EC5E20" w:rsidRPr="00EC5E20" w:rsidRDefault="00EC5E20" w:rsidP="00EC5E20">
            <w:pPr>
              <w:spacing w:before="40" w:after="0" w:line="288" w:lineRule="auto"/>
              <w:ind w:left="29" w:right="115"/>
              <w:rPr>
                <w:rFonts w:eastAsia="Times New Roman" w:cs="Arial"/>
                <w:sz w:val="20"/>
                <w:szCs w:val="20"/>
              </w:rPr>
            </w:pPr>
            <w:r w:rsidRPr="00EC5E20">
              <w:rPr>
                <w:rFonts w:eastAsia="Times New Roman" w:cs="Arial"/>
                <w:b/>
                <w:bCs/>
                <w:color w:val="FFFFFF"/>
                <w:kern w:val="24"/>
                <w:sz w:val="20"/>
                <w:szCs w:val="20"/>
              </w:rPr>
              <w:t>Accelerated action</w:t>
            </w:r>
          </w:p>
        </w:tc>
        <w:tc>
          <w:tcPr>
            <w:tcW w:w="1418" w:type="dxa"/>
            <w:tcBorders>
              <w:top w:val="single" w:sz="8" w:space="0" w:color="FFFFFF"/>
              <w:left w:val="single" w:sz="8" w:space="0" w:color="FFFFFF"/>
              <w:bottom w:val="single" w:sz="8" w:space="0" w:color="FFFFFF"/>
              <w:right w:val="single" w:sz="8" w:space="0" w:color="FFFFFF"/>
            </w:tcBorders>
            <w:shd w:val="clear" w:color="auto" w:fill="E9EDF4"/>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 xml:space="preserve">10.2 </w:t>
            </w: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175" w:type="dxa"/>
            <w:tcBorders>
              <w:top w:val="single" w:sz="8" w:space="0" w:color="FFFFFF"/>
              <w:left w:val="single" w:sz="8" w:space="0" w:color="FFFFFF"/>
              <w:bottom w:val="single" w:sz="8" w:space="0" w:color="FFFFFF"/>
              <w:right w:val="single" w:sz="8" w:space="0" w:color="FFFFFF"/>
            </w:tcBorders>
            <w:shd w:val="clear" w:color="auto" w:fill="E9EDF4"/>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2043</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57" w:type="dxa"/>
              <w:left w:w="15" w:type="dxa"/>
              <w:bottom w:w="28" w:type="dxa"/>
              <w:right w:w="15" w:type="dxa"/>
            </w:tcMar>
            <w:hideMark/>
          </w:tcPr>
          <w:p w:rsidR="00EC5E20" w:rsidRPr="00EC5E20" w:rsidRDefault="00EC5E20" w:rsidP="00EC5E20">
            <w:pPr>
              <w:spacing w:before="40" w:after="0" w:line="288" w:lineRule="auto"/>
              <w:ind w:left="29" w:right="115"/>
              <w:jc w:val="center"/>
              <w:rPr>
                <w:rFonts w:eastAsia="Times New Roman" w:cs="Arial"/>
                <w:sz w:val="18"/>
                <w:szCs w:val="18"/>
              </w:rPr>
            </w:pPr>
            <w:r w:rsidRPr="00EC5E20">
              <w:rPr>
                <w:rFonts w:eastAsia="Times New Roman" w:cs="Arial"/>
                <w:color w:val="000000"/>
                <w:kern w:val="24"/>
                <w:sz w:val="18"/>
                <w:szCs w:val="18"/>
              </w:rPr>
              <w:t>yes</w:t>
            </w:r>
          </w:p>
        </w:tc>
        <w:tc>
          <w:tcPr>
            <w:tcW w:w="4395" w:type="dxa"/>
            <w:tcBorders>
              <w:top w:val="single" w:sz="8" w:space="0" w:color="FFFFFF"/>
              <w:left w:val="single" w:sz="8" w:space="0" w:color="FFFFFF"/>
              <w:bottom w:val="single" w:sz="8" w:space="0" w:color="FFFFFF"/>
              <w:right w:val="single" w:sz="8" w:space="0" w:color="FFFFFF"/>
            </w:tcBorders>
            <w:shd w:val="clear" w:color="auto" w:fill="E9EDF4"/>
            <w:tcMar>
              <w:top w:w="57" w:type="dxa"/>
              <w:left w:w="15" w:type="dxa"/>
              <w:bottom w:w="28" w:type="dxa"/>
              <w:right w:w="15" w:type="dxa"/>
            </w:tcMar>
            <w:hideMark/>
          </w:tcPr>
          <w:p w:rsidR="00EC5E20" w:rsidRPr="00EC5E20" w:rsidRDefault="00EC5E20" w:rsidP="00EC5E20">
            <w:pPr>
              <w:spacing w:before="40" w:after="0" w:line="288" w:lineRule="auto"/>
              <w:ind w:left="29" w:right="115"/>
              <w:rPr>
                <w:rFonts w:eastAsia="Times New Roman" w:cs="Arial"/>
                <w:sz w:val="18"/>
                <w:szCs w:val="18"/>
              </w:rPr>
            </w:pPr>
            <w:r w:rsidRPr="00EC5E20">
              <w:rPr>
                <w:rFonts w:eastAsia="Times New Roman" w:cs="Arial"/>
                <w:color w:val="000000"/>
                <w:kern w:val="24"/>
                <w:sz w:val="18"/>
                <w:szCs w:val="18"/>
              </w:rPr>
              <w:t>Investment of $2.9 billion to implement, however reduces the municipality economic burden (BAU) by $5.6 billion</w:t>
            </w:r>
          </w:p>
        </w:tc>
      </w:tr>
    </w:tbl>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If we do not act decisively to reduce emissions as part of the global effort, the impacts of climate change and missed economic opportunities of transitioning to a low carbon economy will cost the community $12.6 billion from 2020 to 2050 (business as usual scenario). The second scenario requires purchasing offsets to meet the target of zero net emissions. This does not address the causes of greenhouse gas emissions and provides no return on investment to the Melbourne community. For the reasons above, scenarios 1 and 2 do not appear to be in the best interests of the community.</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According to preliminary estimates, we will generate substantial social, economic and environmental benefits for the community by taking decisive action to reduce emissions. The preliminary estimate of the </w:t>
      </w:r>
      <w:r w:rsidRPr="00EC5E20">
        <w:rPr>
          <w:rFonts w:eastAsia="Times New Roman"/>
          <w:b/>
          <w:color w:val="000000"/>
          <w:sz w:val="20"/>
          <w:szCs w:val="20"/>
        </w:rPr>
        <w:t>net benefits</w:t>
      </w:r>
      <w:r w:rsidRPr="00EC5E20">
        <w:rPr>
          <w:rFonts w:eastAsia="Times New Roman"/>
          <w:color w:val="000000"/>
          <w:sz w:val="20"/>
          <w:szCs w:val="20"/>
        </w:rPr>
        <w:t xml:space="preserve"> to the community is $3.1 billion for the significant action scenario and $5.6 billion for the accelerated action scenario when compared to business as usual over the 2020–2050 </w:t>
      </w:r>
      <w:proofErr w:type="gramStart"/>
      <w:r w:rsidRPr="00EC5E20">
        <w:rPr>
          <w:rFonts w:eastAsia="Times New Roman"/>
          <w:color w:val="000000"/>
          <w:sz w:val="20"/>
          <w:szCs w:val="20"/>
        </w:rPr>
        <w:t>period</w:t>
      </w:r>
      <w:proofErr w:type="gramEnd"/>
      <w:r w:rsidRPr="00EC5E20">
        <w:rPr>
          <w:rFonts w:eastAsia="Times New Roman"/>
          <w:color w:val="000000"/>
          <w:sz w:val="20"/>
          <w:szCs w:val="20"/>
        </w:rPr>
        <w:t>. The benefits are generated by the reduced burden of climate impact on the economy if the science-based targets in the Paris Climate Agreement are achieved.</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The emission reduction targets that the significant and accelerated action scenarios could achieve in 2025, 2030 and 2050 are presented in the tables below. Both scenarios align to the science-based targets of the Paris Climate Agreement.</w:t>
      </w:r>
    </w:p>
    <w:p w:rsidR="00C04695" w:rsidRDefault="00C04695" w:rsidP="00EC5E20">
      <w:pPr>
        <w:keepNext/>
        <w:keepLines/>
        <w:tabs>
          <w:tab w:val="left" w:pos="1276"/>
        </w:tabs>
        <w:spacing w:before="240" w:after="90" w:line="240" w:lineRule="auto"/>
        <w:ind w:left="1276" w:hanging="1276"/>
        <w:rPr>
          <w:rFonts w:eastAsia="Times New Roman"/>
          <w:bCs/>
          <w:color w:val="000000"/>
          <w:spacing w:val="4"/>
          <w:sz w:val="18"/>
          <w:szCs w:val="20"/>
        </w:rPr>
      </w:pPr>
      <w:bookmarkStart w:id="4" w:name="_Toc522633209"/>
      <w:bookmarkStart w:id="5" w:name="_Toc518496799"/>
    </w:p>
    <w:p w:rsidR="00C04695" w:rsidRDefault="00C04695" w:rsidP="00EC5E20">
      <w:pPr>
        <w:keepNext/>
        <w:keepLines/>
        <w:tabs>
          <w:tab w:val="left" w:pos="1276"/>
        </w:tabs>
        <w:spacing w:before="240" w:after="90" w:line="240" w:lineRule="auto"/>
        <w:ind w:left="1276" w:hanging="1276"/>
        <w:rPr>
          <w:rFonts w:eastAsia="Times New Roman"/>
          <w:bCs/>
          <w:color w:val="000000"/>
          <w:spacing w:val="4"/>
          <w:sz w:val="18"/>
          <w:szCs w:val="20"/>
        </w:rPr>
      </w:pPr>
    </w:p>
    <w:p w:rsidR="00EC5E20" w:rsidRPr="00EC5E20" w:rsidRDefault="00EC5E20" w:rsidP="00EC5E20">
      <w:pPr>
        <w:keepNext/>
        <w:keepLines/>
        <w:tabs>
          <w:tab w:val="left" w:pos="1276"/>
        </w:tabs>
        <w:spacing w:before="240" w:after="90" w:line="240" w:lineRule="auto"/>
        <w:ind w:left="1276" w:hanging="1276"/>
        <w:rPr>
          <w:rFonts w:eastAsia="Times New Roman"/>
          <w:bCs/>
          <w:color w:val="000000"/>
          <w:spacing w:val="4"/>
          <w:sz w:val="18"/>
          <w:szCs w:val="20"/>
        </w:rPr>
      </w:pPr>
      <w:r w:rsidRPr="00EC5E20">
        <w:rPr>
          <w:rFonts w:eastAsia="Times New Roman"/>
          <w:bCs/>
          <w:color w:val="000000"/>
          <w:spacing w:val="4"/>
          <w:sz w:val="18"/>
          <w:szCs w:val="20"/>
        </w:rPr>
        <w:t xml:space="preserve">Table </w:t>
      </w:r>
      <w:r w:rsidRPr="00EC5E20">
        <w:rPr>
          <w:rFonts w:eastAsia="Times New Roman"/>
          <w:bCs/>
          <w:noProof/>
          <w:color w:val="000000"/>
          <w:spacing w:val="4"/>
          <w:sz w:val="18"/>
          <w:szCs w:val="20"/>
        </w:rPr>
        <w:t>2</w:t>
      </w:r>
      <w:r w:rsidRPr="00EC5E20">
        <w:rPr>
          <w:rFonts w:eastAsia="Times New Roman"/>
          <w:bCs/>
          <w:color w:val="000000"/>
          <w:spacing w:val="4"/>
          <w:sz w:val="18"/>
          <w:szCs w:val="20"/>
        </w:rPr>
        <w:t xml:space="preserve"> Proposed targets: significant action scenario</w:t>
      </w:r>
      <w:bookmarkEnd w:id="4"/>
    </w:p>
    <w:tbl>
      <w:tblPr>
        <w:tblW w:w="0" w:type="auto"/>
        <w:tblCellMar>
          <w:left w:w="0" w:type="dxa"/>
          <w:right w:w="0" w:type="dxa"/>
        </w:tblCellMar>
        <w:tblLook w:val="04A0" w:firstRow="1" w:lastRow="0" w:firstColumn="1" w:lastColumn="0" w:noHBand="0" w:noVBand="1"/>
      </w:tblPr>
      <w:tblGrid>
        <w:gridCol w:w="1555"/>
        <w:gridCol w:w="1417"/>
        <w:gridCol w:w="1418"/>
        <w:gridCol w:w="1842"/>
        <w:gridCol w:w="1843"/>
      </w:tblGrid>
      <w:tr w:rsidR="00EC5E20" w:rsidRPr="00EC5E20" w:rsidTr="00C23ABD">
        <w:tc>
          <w:tcPr>
            <w:tcW w:w="1555" w:type="dxa"/>
            <w:vMerge w:val="restart"/>
            <w:tcBorders>
              <w:top w:val="single" w:sz="8" w:space="0" w:color="FFFFFF"/>
              <w:left w:val="single" w:sz="8" w:space="0" w:color="FFFFFF"/>
              <w:bottom w:val="single" w:sz="8" w:space="0" w:color="7F7F7F"/>
              <w:right w:val="nil"/>
            </w:tcBorders>
            <w:tcMar>
              <w:top w:w="0" w:type="dxa"/>
              <w:left w:w="108" w:type="dxa"/>
              <w:bottom w:w="0" w:type="dxa"/>
              <w:right w:w="108" w:type="dxa"/>
            </w:tcMar>
            <w:hideMark/>
          </w:tcPr>
          <w:p w:rsidR="00EC5E20" w:rsidRPr="00EC5E20" w:rsidRDefault="00EC5E20" w:rsidP="00EC5E20">
            <w:pPr>
              <w:spacing w:after="0" w:line="240" w:lineRule="auto"/>
              <w:rPr>
                <w:rFonts w:ascii="Times New Roman" w:eastAsia="Times New Roman" w:hAnsi="Times New Roman"/>
                <w:sz w:val="20"/>
                <w:szCs w:val="20"/>
              </w:rPr>
            </w:pPr>
          </w:p>
        </w:tc>
        <w:tc>
          <w:tcPr>
            <w:tcW w:w="1417" w:type="dxa"/>
            <w:tcBorders>
              <w:top w:val="single" w:sz="8" w:space="0" w:color="7F7F7F"/>
              <w:left w:val="nil"/>
              <w:bottom w:val="single" w:sz="8" w:space="0" w:color="7F7F7F"/>
              <w:right w:val="nil"/>
            </w:tcBorders>
            <w:shd w:val="clear" w:color="auto" w:fill="323232"/>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b/>
                <w:bCs/>
                <w:color w:val="FFFFFF"/>
                <w:sz w:val="20"/>
                <w:szCs w:val="20"/>
                <w:lang w:val="en-US" w:eastAsia="en-US"/>
              </w:rPr>
            </w:pPr>
            <w:r w:rsidRPr="00EC5E20">
              <w:rPr>
                <w:rFonts w:eastAsia="Times New Roman"/>
                <w:b/>
                <w:bCs/>
                <w:color w:val="FFFFFF"/>
                <w:sz w:val="20"/>
                <w:szCs w:val="20"/>
                <w:lang w:val="en-US" w:eastAsia="en-US"/>
              </w:rPr>
              <w:t>Baseline</w:t>
            </w:r>
          </w:p>
        </w:tc>
        <w:tc>
          <w:tcPr>
            <w:tcW w:w="5103" w:type="dxa"/>
            <w:gridSpan w:val="3"/>
            <w:tcBorders>
              <w:top w:val="single" w:sz="8" w:space="0" w:color="7F7F7F"/>
              <w:left w:val="nil"/>
              <w:bottom w:val="single" w:sz="8" w:space="0" w:color="7F7F7F"/>
              <w:right w:val="nil"/>
            </w:tcBorders>
            <w:shd w:val="clear" w:color="auto" w:fill="B8CCE4" w:themeFill="accent1" w:themeFillTint="66"/>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b/>
                <w:bCs/>
                <w:color w:val="000000"/>
                <w:sz w:val="20"/>
                <w:szCs w:val="20"/>
                <w:lang w:val="en-US" w:eastAsia="en-US"/>
              </w:rPr>
            </w:pPr>
            <w:r w:rsidRPr="00EC5E20">
              <w:rPr>
                <w:rFonts w:eastAsia="Times New Roman"/>
                <w:b/>
                <w:bCs/>
                <w:color w:val="000000"/>
                <w:sz w:val="20"/>
                <w:szCs w:val="20"/>
                <w:lang w:val="en-US" w:eastAsia="en-US"/>
              </w:rPr>
              <w:t>significant action scenario</w:t>
            </w:r>
          </w:p>
        </w:tc>
      </w:tr>
      <w:tr w:rsidR="00EC5E20" w:rsidRPr="00EC5E20" w:rsidTr="00C23ABD">
        <w:tc>
          <w:tcPr>
            <w:tcW w:w="0" w:type="auto"/>
            <w:vMerge/>
            <w:tcBorders>
              <w:top w:val="single" w:sz="8" w:space="0" w:color="FFFFFF"/>
              <w:left w:val="single" w:sz="8" w:space="0" w:color="FFFFFF"/>
              <w:bottom w:val="single" w:sz="8" w:space="0" w:color="7F7F7F"/>
              <w:right w:val="nil"/>
            </w:tcBorders>
            <w:vAlign w:val="center"/>
            <w:hideMark/>
          </w:tcPr>
          <w:p w:rsidR="00EC5E20" w:rsidRPr="00EC5E20" w:rsidRDefault="00EC5E20" w:rsidP="00EC5E20">
            <w:pPr>
              <w:spacing w:after="0" w:line="240" w:lineRule="auto"/>
              <w:rPr>
                <w:rFonts w:ascii="Times New Roman" w:eastAsia="Times New Roman" w:hAnsi="Times New Roman"/>
                <w:sz w:val="20"/>
                <w:szCs w:val="20"/>
              </w:rPr>
            </w:pPr>
          </w:p>
        </w:tc>
        <w:tc>
          <w:tcPr>
            <w:tcW w:w="1417" w:type="dxa"/>
            <w:tcBorders>
              <w:top w:val="nil"/>
              <w:left w:val="nil"/>
              <w:bottom w:val="single" w:sz="8" w:space="0" w:color="7F7F7F"/>
              <w:right w:val="nil"/>
            </w:tcBorders>
            <w:shd w:val="clear" w:color="auto" w:fill="323232"/>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FFFFFF"/>
                <w:sz w:val="20"/>
                <w:szCs w:val="20"/>
                <w:lang w:val="en-US" w:eastAsia="en-US"/>
              </w:rPr>
            </w:pPr>
            <w:r w:rsidRPr="00EC5E20">
              <w:rPr>
                <w:rFonts w:eastAsia="Times New Roman"/>
                <w:color w:val="FFFFFF"/>
                <w:sz w:val="20"/>
                <w:szCs w:val="20"/>
                <w:lang w:val="en-US" w:eastAsia="en-US"/>
              </w:rPr>
              <w:t>2015</w:t>
            </w:r>
          </w:p>
        </w:tc>
        <w:tc>
          <w:tcPr>
            <w:tcW w:w="1418" w:type="dxa"/>
            <w:tcBorders>
              <w:top w:val="nil"/>
              <w:left w:val="nil"/>
              <w:bottom w:val="single" w:sz="8" w:space="0" w:color="7F7F7F"/>
              <w:right w:val="nil"/>
            </w:tcBorders>
            <w:shd w:val="clear" w:color="auto" w:fill="DBE5F1" w:themeFill="accent1" w:themeFillTint="33"/>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2025</w:t>
            </w:r>
          </w:p>
        </w:tc>
        <w:tc>
          <w:tcPr>
            <w:tcW w:w="1842" w:type="dxa"/>
            <w:tcBorders>
              <w:top w:val="nil"/>
              <w:left w:val="nil"/>
              <w:bottom w:val="single" w:sz="8" w:space="0" w:color="7F7F7F"/>
              <w:right w:val="nil"/>
            </w:tcBorders>
            <w:shd w:val="clear" w:color="auto" w:fill="DBE5F1" w:themeFill="accent1" w:themeFillTint="33"/>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2030</w:t>
            </w:r>
          </w:p>
        </w:tc>
        <w:tc>
          <w:tcPr>
            <w:tcW w:w="1843" w:type="dxa"/>
            <w:tcBorders>
              <w:top w:val="nil"/>
              <w:left w:val="nil"/>
              <w:bottom w:val="single" w:sz="8" w:space="0" w:color="7F7F7F"/>
              <w:right w:val="nil"/>
            </w:tcBorders>
            <w:shd w:val="clear" w:color="auto" w:fill="DBE5F1" w:themeFill="accent1" w:themeFillTint="33"/>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2050</w:t>
            </w:r>
          </w:p>
        </w:tc>
      </w:tr>
      <w:tr w:rsidR="00EC5E20" w:rsidRPr="00EC5E20" w:rsidTr="00C23ABD">
        <w:tc>
          <w:tcPr>
            <w:tcW w:w="1555" w:type="dxa"/>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b/>
                <w:bCs/>
                <w:color w:val="000000"/>
                <w:sz w:val="20"/>
                <w:szCs w:val="20"/>
                <w:lang w:val="en-US" w:eastAsia="en-US"/>
              </w:rPr>
            </w:pPr>
            <w:r w:rsidRPr="00EC5E20">
              <w:rPr>
                <w:rFonts w:eastAsia="Times New Roman"/>
                <w:b/>
                <w:bCs/>
                <w:color w:val="000000"/>
                <w:sz w:val="20"/>
                <w:szCs w:val="20"/>
                <w:lang w:val="en-US" w:eastAsia="en-US"/>
              </w:rPr>
              <w:t>Absolute emissions</w:t>
            </w:r>
          </w:p>
        </w:tc>
        <w:tc>
          <w:tcPr>
            <w:tcW w:w="1417" w:type="dxa"/>
            <w:vMerge w:val="restart"/>
            <w:tcBorders>
              <w:top w:val="nil"/>
              <w:left w:val="nil"/>
              <w:bottom w:val="single" w:sz="8" w:space="0" w:color="7F7F7F"/>
              <w:right w:val="nil"/>
            </w:tcBorders>
            <w:shd w:val="clear" w:color="auto" w:fill="323232"/>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FFFFFF"/>
                <w:sz w:val="20"/>
                <w:szCs w:val="20"/>
                <w:lang w:val="en-US" w:eastAsia="en-US"/>
              </w:rPr>
            </w:pPr>
            <w:r w:rsidRPr="00EC5E20">
              <w:rPr>
                <w:rFonts w:eastAsia="Times New Roman"/>
                <w:color w:val="FFFFFF"/>
                <w:sz w:val="20"/>
                <w:szCs w:val="20"/>
                <w:lang w:val="en-US" w:eastAsia="en-US"/>
              </w:rPr>
              <w:t xml:space="preserve">4.7 </w:t>
            </w:r>
          </w:p>
          <w:p w:rsidR="00EC5E20" w:rsidRPr="00EC5E20" w:rsidRDefault="00EC5E20" w:rsidP="00EC5E20">
            <w:pPr>
              <w:autoSpaceDE w:val="0"/>
              <w:autoSpaceDN w:val="0"/>
              <w:spacing w:after="0" w:line="288" w:lineRule="auto"/>
              <w:jc w:val="center"/>
              <w:rPr>
                <w:rFonts w:ascii="EYInterstate Light" w:eastAsia="Arial" w:hAnsi="EYInterstate Light"/>
                <w:color w:val="FFFFFF"/>
                <w:sz w:val="20"/>
                <w:szCs w:val="20"/>
                <w:lang w:val="en-US" w:eastAsia="en-US"/>
              </w:rPr>
            </w:pPr>
            <w:r w:rsidRPr="00EC5E20">
              <w:rPr>
                <w:rFonts w:eastAsia="Times New Roman"/>
                <w:color w:val="FFFFFF"/>
                <w:sz w:val="20"/>
                <w:szCs w:val="20"/>
                <w:lang w:val="en-US" w:eastAsia="en-US"/>
              </w:rPr>
              <w:t>MtCO</w:t>
            </w:r>
            <w:r w:rsidRPr="00EC5E20">
              <w:rPr>
                <w:rFonts w:eastAsia="Times New Roman"/>
                <w:color w:val="FFFFFF"/>
                <w:sz w:val="20"/>
                <w:szCs w:val="20"/>
                <w:vertAlign w:val="subscript"/>
                <w:lang w:val="en-US" w:eastAsia="en-US"/>
              </w:rPr>
              <w:t>2</w:t>
            </w:r>
            <w:r w:rsidRPr="00EC5E20">
              <w:rPr>
                <w:rFonts w:eastAsia="Times New Roman"/>
                <w:color w:val="FFFFFF"/>
                <w:sz w:val="20"/>
                <w:szCs w:val="20"/>
                <w:lang w:val="en-US" w:eastAsia="en-US"/>
              </w:rPr>
              <w:t>-e</w:t>
            </w:r>
          </w:p>
        </w:tc>
        <w:tc>
          <w:tcPr>
            <w:tcW w:w="1418" w:type="dxa"/>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4.2 </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MtCO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842" w:type="dxa"/>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3.4 </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MtCO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843" w:type="dxa"/>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0.5 </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MtCO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r>
      <w:tr w:rsidR="00EC5E20" w:rsidRPr="00EC5E20" w:rsidTr="00C23ABD">
        <w:tc>
          <w:tcPr>
            <w:tcW w:w="1555" w:type="dxa"/>
            <w:tcBorders>
              <w:top w:val="single" w:sz="8" w:space="0" w:color="7F7F7F"/>
              <w:left w:val="nil"/>
              <w:bottom w:val="single" w:sz="8" w:space="0" w:color="7F7F7F"/>
              <w:right w:val="nil"/>
            </w:tcBorders>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b/>
                <w:bCs/>
                <w:color w:val="000000"/>
                <w:sz w:val="20"/>
                <w:szCs w:val="20"/>
                <w:lang w:val="en-US" w:eastAsia="en-US"/>
              </w:rPr>
            </w:pPr>
            <w:r w:rsidRPr="00EC5E20">
              <w:rPr>
                <w:rFonts w:eastAsia="Times New Roman"/>
                <w:b/>
                <w:bCs/>
                <w:color w:val="000000"/>
                <w:sz w:val="20"/>
                <w:szCs w:val="20"/>
                <w:lang w:val="en-US" w:eastAsia="en-US"/>
              </w:rPr>
              <w:t xml:space="preserve">% reduction </w:t>
            </w:r>
            <w:r w:rsidRPr="00EC5E20">
              <w:rPr>
                <w:rFonts w:eastAsia="Times New Roman"/>
                <w:b/>
                <w:bCs/>
                <w:color w:val="000000"/>
                <w:sz w:val="20"/>
                <w:szCs w:val="20"/>
                <w:lang w:val="en-US" w:eastAsia="en-US"/>
              </w:rPr>
              <w:lastRenderedPageBreak/>
              <w:t>on 2015</w:t>
            </w:r>
          </w:p>
        </w:tc>
        <w:tc>
          <w:tcPr>
            <w:tcW w:w="0" w:type="auto"/>
            <w:vMerge/>
            <w:tcBorders>
              <w:top w:val="nil"/>
              <w:left w:val="nil"/>
              <w:bottom w:val="single" w:sz="8" w:space="0" w:color="7F7F7F"/>
              <w:right w:val="nil"/>
            </w:tcBorders>
            <w:vAlign w:val="center"/>
            <w:hideMark/>
          </w:tcPr>
          <w:p w:rsidR="00EC5E20" w:rsidRPr="00EC5E20" w:rsidRDefault="00EC5E20" w:rsidP="00EC5E20">
            <w:pPr>
              <w:spacing w:after="0" w:line="240" w:lineRule="auto"/>
              <w:rPr>
                <w:rFonts w:ascii="EYInterstate Light" w:eastAsia="Arial" w:hAnsi="EYInterstate Light"/>
                <w:color w:val="FFFFFF"/>
                <w:sz w:val="20"/>
                <w:szCs w:val="20"/>
                <w:lang w:val="en-US" w:eastAsia="en-US"/>
              </w:rPr>
            </w:pPr>
          </w:p>
        </w:tc>
        <w:tc>
          <w:tcPr>
            <w:tcW w:w="1418" w:type="dxa"/>
            <w:tcBorders>
              <w:top w:val="single" w:sz="8" w:space="0" w:color="7F7F7F"/>
              <w:left w:val="nil"/>
              <w:bottom w:val="single" w:sz="8" w:space="0" w:color="7F7F7F"/>
              <w:right w:val="nil"/>
            </w:tcBorders>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10% </w:t>
            </w:r>
          </w:p>
        </w:tc>
        <w:tc>
          <w:tcPr>
            <w:tcW w:w="1842" w:type="dxa"/>
            <w:tcBorders>
              <w:top w:val="single" w:sz="8" w:space="0" w:color="7F7F7F"/>
              <w:left w:val="nil"/>
              <w:bottom w:val="single" w:sz="8" w:space="0" w:color="7F7F7F"/>
              <w:right w:val="nil"/>
            </w:tcBorders>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29%</w:t>
            </w:r>
          </w:p>
        </w:tc>
        <w:tc>
          <w:tcPr>
            <w:tcW w:w="1843" w:type="dxa"/>
            <w:tcBorders>
              <w:top w:val="single" w:sz="8" w:space="0" w:color="7F7F7F"/>
              <w:left w:val="nil"/>
              <w:bottom w:val="single" w:sz="8" w:space="0" w:color="7F7F7F"/>
              <w:right w:val="nil"/>
            </w:tcBorders>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90%</w:t>
            </w:r>
          </w:p>
        </w:tc>
      </w:tr>
      <w:tr w:rsidR="00EC5E20" w:rsidRPr="00EC5E20" w:rsidTr="00C23ABD">
        <w:tc>
          <w:tcPr>
            <w:tcW w:w="1555" w:type="dxa"/>
            <w:tcBorders>
              <w:top w:val="nil"/>
              <w:left w:val="nil"/>
              <w:bottom w:val="single" w:sz="8" w:space="0" w:color="7F7F7F"/>
              <w:right w:val="nil"/>
            </w:tcBorders>
            <w:tcMar>
              <w:top w:w="0" w:type="dxa"/>
              <w:left w:w="108" w:type="dxa"/>
              <w:bottom w:w="0" w:type="dxa"/>
              <w:right w:w="108" w:type="dxa"/>
            </w:tcMar>
            <w:hideMark/>
          </w:tcPr>
          <w:p w:rsidR="00EC5E20" w:rsidRPr="00EC5E20" w:rsidRDefault="00EC5E20" w:rsidP="00EC5E20">
            <w:pPr>
              <w:autoSpaceDE w:val="0"/>
              <w:autoSpaceDN w:val="0"/>
              <w:spacing w:after="0" w:line="288" w:lineRule="auto"/>
              <w:jc w:val="center"/>
              <w:rPr>
                <w:rFonts w:ascii="EYInterstate Light" w:eastAsia="Arial" w:hAnsi="EYInterstate Light"/>
                <w:b/>
                <w:bCs/>
                <w:color w:val="000000"/>
                <w:sz w:val="20"/>
                <w:szCs w:val="20"/>
                <w:lang w:val="en-US" w:eastAsia="en-US"/>
              </w:rPr>
            </w:pPr>
            <w:r w:rsidRPr="00EC5E20">
              <w:rPr>
                <w:rFonts w:eastAsia="Times New Roman"/>
                <w:b/>
                <w:bCs/>
                <w:color w:val="000000"/>
                <w:sz w:val="20"/>
                <w:szCs w:val="20"/>
                <w:lang w:val="en-US" w:eastAsia="en-US"/>
              </w:rPr>
              <w:lastRenderedPageBreak/>
              <w:t>Per capita emissions</w:t>
            </w:r>
          </w:p>
        </w:tc>
        <w:tc>
          <w:tcPr>
            <w:tcW w:w="1417" w:type="dxa"/>
            <w:tcBorders>
              <w:top w:val="nil"/>
              <w:left w:val="nil"/>
              <w:bottom w:val="single" w:sz="8" w:space="0" w:color="7F7F7F"/>
              <w:right w:val="nil"/>
            </w:tcBorders>
            <w:shd w:val="clear" w:color="auto" w:fill="323232"/>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FFFFFF"/>
                <w:sz w:val="20"/>
                <w:szCs w:val="20"/>
                <w:lang w:val="en-US" w:eastAsia="en-US"/>
              </w:rPr>
            </w:pPr>
            <w:r w:rsidRPr="00EC5E20">
              <w:rPr>
                <w:rFonts w:eastAsia="Times New Roman"/>
                <w:color w:val="FFFFFF"/>
                <w:sz w:val="20"/>
                <w:szCs w:val="20"/>
                <w:lang w:val="en-US" w:eastAsia="en-US"/>
              </w:rPr>
              <w:t>33.8</w:t>
            </w:r>
          </w:p>
          <w:p w:rsidR="00EC5E20" w:rsidRPr="00EC5E20" w:rsidRDefault="00EC5E20" w:rsidP="00EC5E20">
            <w:pPr>
              <w:autoSpaceDE w:val="0"/>
              <w:autoSpaceDN w:val="0"/>
              <w:spacing w:after="0" w:line="288" w:lineRule="auto"/>
              <w:jc w:val="center"/>
              <w:rPr>
                <w:rFonts w:ascii="EYInterstate Light" w:eastAsia="Arial" w:hAnsi="EYInterstate Light"/>
                <w:color w:val="FFFFFF"/>
                <w:sz w:val="20"/>
                <w:szCs w:val="20"/>
                <w:lang w:val="en-US" w:eastAsia="en-US"/>
              </w:rPr>
            </w:pPr>
            <w:r w:rsidRPr="00EC5E20">
              <w:rPr>
                <w:rFonts w:eastAsia="Times New Roman"/>
                <w:color w:val="FFFFFF"/>
                <w:sz w:val="20"/>
                <w:szCs w:val="20"/>
                <w:lang w:val="en-US" w:eastAsia="en-US"/>
              </w:rPr>
              <w:t>tCO</w:t>
            </w:r>
            <w:r w:rsidRPr="00EC5E20">
              <w:rPr>
                <w:rFonts w:eastAsia="Times New Roman"/>
                <w:color w:val="FFFFFF"/>
                <w:sz w:val="20"/>
                <w:szCs w:val="20"/>
                <w:vertAlign w:val="subscript"/>
                <w:lang w:val="en-US" w:eastAsia="en-US"/>
              </w:rPr>
              <w:t>2</w:t>
            </w:r>
            <w:r w:rsidRPr="00EC5E20">
              <w:rPr>
                <w:rFonts w:eastAsia="Times New Roman"/>
                <w:color w:val="FFFFFF"/>
                <w:sz w:val="20"/>
                <w:szCs w:val="20"/>
                <w:lang w:val="en-US" w:eastAsia="en-US"/>
              </w:rPr>
              <w:t>-e</w:t>
            </w:r>
          </w:p>
        </w:tc>
        <w:tc>
          <w:tcPr>
            <w:tcW w:w="1418" w:type="dxa"/>
            <w:tcBorders>
              <w:top w:val="nil"/>
              <w:left w:val="nil"/>
              <w:bottom w:val="single" w:sz="8" w:space="0" w:color="7F7F7F"/>
              <w:right w:val="nil"/>
            </w:tcBorders>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20.2 </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842" w:type="dxa"/>
            <w:tcBorders>
              <w:top w:val="nil"/>
              <w:left w:val="nil"/>
              <w:bottom w:val="single" w:sz="8" w:space="0" w:color="7F7F7F"/>
              <w:right w:val="nil"/>
            </w:tcBorders>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 xml:space="preserve">14.4 </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c>
          <w:tcPr>
            <w:tcW w:w="1843" w:type="dxa"/>
            <w:tcBorders>
              <w:top w:val="nil"/>
              <w:left w:val="nil"/>
              <w:bottom w:val="single" w:sz="8" w:space="0" w:color="7F7F7F"/>
              <w:right w:val="nil"/>
            </w:tcBorders>
            <w:tcMar>
              <w:top w:w="0" w:type="dxa"/>
              <w:left w:w="108" w:type="dxa"/>
              <w:bottom w:w="0" w:type="dxa"/>
              <w:right w:w="108" w:type="dxa"/>
            </w:tcMar>
            <w:hideMark/>
          </w:tcPr>
          <w:p w:rsidR="00EC5E20" w:rsidRPr="00EC5E20" w:rsidRDefault="00EC5E20" w:rsidP="00EC5E20">
            <w:pPr>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1.3</w:t>
            </w:r>
          </w:p>
          <w:p w:rsidR="00EC5E20" w:rsidRPr="00EC5E20" w:rsidRDefault="00EC5E20" w:rsidP="00EC5E20">
            <w:pPr>
              <w:autoSpaceDE w:val="0"/>
              <w:autoSpaceDN w:val="0"/>
              <w:spacing w:after="0" w:line="288" w:lineRule="auto"/>
              <w:jc w:val="center"/>
              <w:rPr>
                <w:rFonts w:ascii="EYInterstate Light" w:eastAsia="Arial" w:hAnsi="EYInterstate Light"/>
                <w:color w:val="000000"/>
                <w:sz w:val="20"/>
                <w:szCs w:val="20"/>
                <w:lang w:val="en-US" w:eastAsia="en-US"/>
              </w:rPr>
            </w:pPr>
            <w:r w:rsidRPr="00EC5E20">
              <w:rPr>
                <w:rFonts w:eastAsia="Times New Roman"/>
                <w:color w:val="000000"/>
                <w:sz w:val="20"/>
                <w:szCs w:val="20"/>
                <w:lang w:val="en-US" w:eastAsia="en-US"/>
              </w:rPr>
              <w:t>tCO</w:t>
            </w:r>
            <w:r w:rsidRPr="00EC5E20">
              <w:rPr>
                <w:rFonts w:eastAsia="Times New Roman"/>
                <w:color w:val="000000"/>
                <w:sz w:val="20"/>
                <w:szCs w:val="20"/>
                <w:vertAlign w:val="subscript"/>
                <w:lang w:val="en-US" w:eastAsia="en-US"/>
              </w:rPr>
              <w:t>2</w:t>
            </w:r>
            <w:r w:rsidRPr="00EC5E20">
              <w:rPr>
                <w:rFonts w:eastAsia="Times New Roman"/>
                <w:color w:val="000000"/>
                <w:sz w:val="20"/>
                <w:szCs w:val="20"/>
                <w:lang w:val="en-US" w:eastAsia="en-US"/>
              </w:rPr>
              <w:t>-e</w:t>
            </w:r>
          </w:p>
        </w:tc>
      </w:tr>
      <w:bookmarkEnd w:id="5"/>
    </w:tbl>
    <w:p w:rsidR="00EC5E20" w:rsidRPr="00EC5E20" w:rsidRDefault="00EC5E20" w:rsidP="00EC5E20">
      <w:pPr>
        <w:keepNext/>
        <w:keepLines/>
        <w:tabs>
          <w:tab w:val="left" w:pos="1276"/>
        </w:tabs>
        <w:spacing w:before="240" w:after="90" w:line="240" w:lineRule="auto"/>
        <w:ind w:left="1276" w:hanging="1276"/>
        <w:rPr>
          <w:rFonts w:eastAsia="Times New Roman"/>
          <w:b/>
          <w:bCs/>
          <w:color w:val="000000"/>
          <w:spacing w:val="4"/>
          <w:sz w:val="20"/>
          <w:szCs w:val="20"/>
        </w:rPr>
      </w:pPr>
    </w:p>
    <w:p w:rsidR="00EC5E20" w:rsidRPr="00EC5E20" w:rsidRDefault="00EC5E20" w:rsidP="00EC5E20">
      <w:pPr>
        <w:keepNext/>
        <w:keepLines/>
        <w:tabs>
          <w:tab w:val="left" w:pos="1276"/>
        </w:tabs>
        <w:spacing w:before="240" w:after="90" w:line="240" w:lineRule="auto"/>
        <w:ind w:left="1276" w:hanging="1276"/>
        <w:rPr>
          <w:rFonts w:eastAsia="Times New Roman"/>
          <w:bCs/>
          <w:color w:val="000000"/>
          <w:spacing w:val="4"/>
          <w:sz w:val="18"/>
          <w:szCs w:val="20"/>
        </w:rPr>
      </w:pPr>
      <w:bookmarkStart w:id="6" w:name="_Toc522633210"/>
      <w:r w:rsidRPr="00EC5E20">
        <w:rPr>
          <w:rFonts w:eastAsia="Times New Roman"/>
          <w:bCs/>
          <w:color w:val="000000"/>
          <w:spacing w:val="4"/>
          <w:sz w:val="18"/>
          <w:szCs w:val="20"/>
        </w:rPr>
        <w:t xml:space="preserve">Table </w:t>
      </w:r>
      <w:r w:rsidRPr="00EC5E20">
        <w:rPr>
          <w:rFonts w:eastAsia="Times New Roman"/>
          <w:bCs/>
          <w:noProof/>
          <w:color w:val="000000"/>
          <w:spacing w:val="4"/>
          <w:sz w:val="18"/>
          <w:szCs w:val="20"/>
        </w:rPr>
        <w:t>3</w:t>
      </w:r>
      <w:r w:rsidRPr="00EC5E20">
        <w:rPr>
          <w:rFonts w:eastAsia="Times New Roman"/>
          <w:bCs/>
          <w:color w:val="000000"/>
          <w:spacing w:val="4"/>
          <w:sz w:val="18"/>
          <w:szCs w:val="20"/>
        </w:rPr>
        <w:t xml:space="preserve"> Proposed targets: accelerated action scenario</w:t>
      </w:r>
      <w:bookmarkEnd w:id="6"/>
    </w:p>
    <w:tbl>
      <w:tblPr>
        <w:tblStyle w:val="PlainTable21"/>
        <w:tblW w:w="0" w:type="auto"/>
        <w:tblLayout w:type="fixed"/>
        <w:tblLook w:val="04A0" w:firstRow="1" w:lastRow="0" w:firstColumn="1" w:lastColumn="0" w:noHBand="0" w:noVBand="1"/>
      </w:tblPr>
      <w:tblGrid>
        <w:gridCol w:w="1555"/>
        <w:gridCol w:w="1417"/>
        <w:gridCol w:w="1701"/>
        <w:gridCol w:w="1843"/>
        <w:gridCol w:w="1701"/>
      </w:tblGrid>
      <w:tr w:rsidR="00EC5E20" w:rsidRPr="00EC5E20" w:rsidTr="00C23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FFFFFF"/>
              <w:left w:val="single" w:sz="4" w:space="0" w:color="FFFFFF"/>
              <w:right w:val="nil"/>
            </w:tcBorders>
            <w:hideMark/>
          </w:tcPr>
          <w:p w:rsidR="00EC5E20" w:rsidRPr="00EC5E20" w:rsidRDefault="00EC5E20" w:rsidP="00EC5E20">
            <w:pPr>
              <w:spacing w:after="0" w:line="288" w:lineRule="auto"/>
              <w:rPr>
                <w:rFonts w:cs="Arial"/>
                <w:color w:val="000000"/>
                <w:sz w:val="20"/>
                <w:szCs w:val="20"/>
              </w:rPr>
            </w:pPr>
          </w:p>
        </w:tc>
        <w:tc>
          <w:tcPr>
            <w:tcW w:w="1417" w:type="dxa"/>
            <w:tcBorders>
              <w:top w:val="single" w:sz="4" w:space="0" w:color="7F7F7F"/>
              <w:left w:val="nil"/>
              <w:right w:val="nil"/>
            </w:tcBorders>
            <w:shd w:val="clear" w:color="auto" w:fill="323232"/>
            <w:hideMark/>
          </w:tcPr>
          <w:p w:rsidR="00EC5E20" w:rsidRPr="00EC5E20" w:rsidRDefault="00EC5E20" w:rsidP="00EC5E20">
            <w:pPr>
              <w:autoSpaceDE w:val="0"/>
              <w:autoSpaceDN w:val="0"/>
              <w:adjustRightInd w:val="0"/>
              <w:spacing w:after="0" w:line="288"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Baseline</w:t>
            </w:r>
          </w:p>
        </w:tc>
        <w:tc>
          <w:tcPr>
            <w:tcW w:w="5245" w:type="dxa"/>
            <w:gridSpan w:val="3"/>
            <w:tcBorders>
              <w:top w:val="single" w:sz="4" w:space="0" w:color="7F7F7F"/>
              <w:left w:val="nil"/>
              <w:right w:val="nil"/>
            </w:tcBorders>
            <w:shd w:val="clear" w:color="auto" w:fill="B8CCE4" w:themeFill="accent1" w:themeFillTint="66"/>
            <w:hideMark/>
          </w:tcPr>
          <w:p w:rsidR="00EC5E20" w:rsidRPr="00EC5E20" w:rsidRDefault="00EC5E20" w:rsidP="00EC5E20">
            <w:pPr>
              <w:autoSpaceDE w:val="0"/>
              <w:autoSpaceDN w:val="0"/>
              <w:adjustRightInd w:val="0"/>
              <w:spacing w:after="0" w:line="288" w:lineRule="auto"/>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accelerated action scenario</w:t>
            </w:r>
          </w:p>
        </w:tc>
      </w:tr>
      <w:tr w:rsidR="00EC5E20" w:rsidRPr="00EC5E20" w:rsidTr="00C23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FFFFFF"/>
              <w:left w:val="single" w:sz="4" w:space="0" w:color="FFFFFF"/>
              <w:right w:val="nil"/>
            </w:tcBorders>
            <w:vAlign w:val="center"/>
            <w:hideMark/>
          </w:tcPr>
          <w:p w:rsidR="00EC5E20" w:rsidRPr="00EC5E20" w:rsidRDefault="00EC5E20" w:rsidP="00EC5E20">
            <w:pPr>
              <w:spacing w:after="0" w:line="288" w:lineRule="auto"/>
              <w:rPr>
                <w:rFonts w:cs="Arial"/>
                <w:color w:val="000000"/>
                <w:sz w:val="20"/>
                <w:szCs w:val="20"/>
              </w:rPr>
            </w:pPr>
          </w:p>
        </w:tc>
        <w:tc>
          <w:tcPr>
            <w:tcW w:w="1417" w:type="dxa"/>
            <w:tcBorders>
              <w:left w:val="nil"/>
              <w:right w:val="nil"/>
            </w:tcBorders>
            <w:shd w:val="clear" w:color="auto" w:fill="323232"/>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7F7F7F"/>
                <w:sz w:val="20"/>
                <w:szCs w:val="20"/>
              </w:rPr>
            </w:pPr>
            <w:r w:rsidRPr="00EC5E20">
              <w:rPr>
                <w:rFonts w:cs="Arial"/>
                <w:color w:val="000000"/>
                <w:sz w:val="20"/>
                <w:szCs w:val="20"/>
              </w:rPr>
              <w:t>2015</w:t>
            </w:r>
          </w:p>
        </w:tc>
        <w:tc>
          <w:tcPr>
            <w:tcW w:w="1701" w:type="dxa"/>
            <w:tcBorders>
              <w:left w:val="nil"/>
              <w:right w:val="nil"/>
            </w:tcBorders>
            <w:shd w:val="clear" w:color="auto" w:fill="DBE5F1" w:themeFill="accent1" w:themeFillTint="33"/>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2025</w:t>
            </w:r>
          </w:p>
        </w:tc>
        <w:tc>
          <w:tcPr>
            <w:tcW w:w="1843" w:type="dxa"/>
            <w:tcBorders>
              <w:left w:val="nil"/>
              <w:right w:val="nil"/>
            </w:tcBorders>
            <w:shd w:val="clear" w:color="auto" w:fill="DBE5F1" w:themeFill="accent1" w:themeFillTint="33"/>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2030</w:t>
            </w:r>
          </w:p>
        </w:tc>
        <w:tc>
          <w:tcPr>
            <w:tcW w:w="1701" w:type="dxa"/>
            <w:tcBorders>
              <w:left w:val="nil"/>
              <w:right w:val="nil"/>
            </w:tcBorders>
            <w:shd w:val="clear" w:color="auto" w:fill="DBE5F1" w:themeFill="accent1" w:themeFillTint="33"/>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2050</w:t>
            </w:r>
          </w:p>
        </w:tc>
      </w:tr>
      <w:tr w:rsidR="00EC5E20" w:rsidRPr="00EC5E20" w:rsidTr="00C23ABD">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nil"/>
              <w:right w:val="nil"/>
            </w:tcBorders>
            <w:hideMark/>
          </w:tcPr>
          <w:p w:rsidR="00EC5E20" w:rsidRPr="00EC5E20" w:rsidRDefault="00EC5E20" w:rsidP="00EC5E20">
            <w:pPr>
              <w:autoSpaceDE w:val="0"/>
              <w:autoSpaceDN w:val="0"/>
              <w:adjustRightInd w:val="0"/>
              <w:spacing w:after="0" w:line="288" w:lineRule="auto"/>
              <w:jc w:val="center"/>
              <w:rPr>
                <w:rFonts w:cs="Arial"/>
                <w:color w:val="000000"/>
                <w:sz w:val="20"/>
                <w:szCs w:val="20"/>
              </w:rPr>
            </w:pPr>
            <w:r w:rsidRPr="00EC5E20">
              <w:rPr>
                <w:rFonts w:cs="Arial"/>
                <w:color w:val="000000"/>
                <w:sz w:val="20"/>
                <w:szCs w:val="20"/>
              </w:rPr>
              <w:t>Absolute emissions</w:t>
            </w:r>
          </w:p>
        </w:tc>
        <w:tc>
          <w:tcPr>
            <w:tcW w:w="1417" w:type="dxa"/>
            <w:vMerge w:val="restart"/>
            <w:tcBorders>
              <w:top w:val="nil"/>
              <w:left w:val="nil"/>
              <w:bottom w:val="single" w:sz="4" w:space="0" w:color="7F7F7F"/>
              <w:right w:val="nil"/>
            </w:tcBorders>
            <w:shd w:val="clear" w:color="auto" w:fill="323232"/>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4.7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MtCO</w:t>
            </w:r>
            <w:r w:rsidRPr="00EC5E20">
              <w:rPr>
                <w:rFonts w:cs="Arial"/>
                <w:color w:val="000000"/>
                <w:sz w:val="20"/>
                <w:szCs w:val="20"/>
                <w:vertAlign w:val="subscript"/>
              </w:rPr>
              <w:t>2</w:t>
            </w:r>
            <w:r w:rsidRPr="00EC5E20">
              <w:rPr>
                <w:rFonts w:cs="Arial"/>
                <w:color w:val="000000"/>
                <w:sz w:val="20"/>
                <w:szCs w:val="20"/>
              </w:rPr>
              <w:t>-e</w:t>
            </w:r>
          </w:p>
        </w:tc>
        <w:tc>
          <w:tcPr>
            <w:tcW w:w="1701" w:type="dxa"/>
            <w:tcBorders>
              <w:top w:val="nil"/>
              <w:left w:val="nil"/>
              <w:bottom w:val="nil"/>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3.7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MtCO</w:t>
            </w:r>
            <w:r w:rsidRPr="00EC5E20">
              <w:rPr>
                <w:rFonts w:cs="Arial"/>
                <w:color w:val="000000"/>
                <w:sz w:val="20"/>
                <w:szCs w:val="20"/>
                <w:vertAlign w:val="subscript"/>
              </w:rPr>
              <w:t>2</w:t>
            </w:r>
            <w:r w:rsidRPr="00EC5E20">
              <w:rPr>
                <w:rFonts w:cs="Arial"/>
                <w:color w:val="000000"/>
                <w:sz w:val="20"/>
                <w:szCs w:val="20"/>
              </w:rPr>
              <w:t>-e</w:t>
            </w:r>
          </w:p>
        </w:tc>
        <w:tc>
          <w:tcPr>
            <w:tcW w:w="1843" w:type="dxa"/>
            <w:tcBorders>
              <w:top w:val="nil"/>
              <w:left w:val="nil"/>
              <w:bottom w:val="nil"/>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2.4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MtCO</w:t>
            </w:r>
            <w:r w:rsidRPr="00EC5E20">
              <w:rPr>
                <w:rFonts w:cs="Arial"/>
                <w:color w:val="000000"/>
                <w:sz w:val="20"/>
                <w:szCs w:val="20"/>
                <w:vertAlign w:val="subscript"/>
              </w:rPr>
              <w:t>2</w:t>
            </w:r>
            <w:r w:rsidRPr="00EC5E20">
              <w:rPr>
                <w:rFonts w:cs="Arial"/>
                <w:color w:val="000000"/>
                <w:sz w:val="20"/>
                <w:szCs w:val="20"/>
              </w:rPr>
              <w:t>-e</w:t>
            </w:r>
          </w:p>
        </w:tc>
        <w:tc>
          <w:tcPr>
            <w:tcW w:w="1701" w:type="dxa"/>
            <w:tcBorders>
              <w:top w:val="nil"/>
              <w:left w:val="nil"/>
              <w:bottom w:val="nil"/>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0.2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MtCO</w:t>
            </w:r>
            <w:r w:rsidRPr="00EC5E20">
              <w:rPr>
                <w:rFonts w:cs="Arial"/>
                <w:color w:val="000000"/>
                <w:sz w:val="20"/>
                <w:szCs w:val="20"/>
                <w:vertAlign w:val="subscript"/>
              </w:rPr>
              <w:t>2</w:t>
            </w:r>
            <w:r w:rsidRPr="00EC5E20">
              <w:rPr>
                <w:rFonts w:cs="Arial"/>
                <w:color w:val="000000"/>
                <w:sz w:val="20"/>
                <w:szCs w:val="20"/>
              </w:rPr>
              <w:t>-e</w:t>
            </w:r>
          </w:p>
        </w:tc>
      </w:tr>
      <w:tr w:rsidR="00EC5E20" w:rsidRPr="00EC5E20" w:rsidTr="00C23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left w:val="nil"/>
              <w:right w:val="nil"/>
            </w:tcBorders>
            <w:hideMark/>
          </w:tcPr>
          <w:p w:rsidR="00EC5E20" w:rsidRPr="00EC5E20" w:rsidRDefault="00EC5E20" w:rsidP="00EC5E20">
            <w:pPr>
              <w:autoSpaceDE w:val="0"/>
              <w:autoSpaceDN w:val="0"/>
              <w:adjustRightInd w:val="0"/>
              <w:spacing w:after="0" w:line="288" w:lineRule="auto"/>
              <w:jc w:val="center"/>
              <w:rPr>
                <w:rFonts w:cs="Arial"/>
                <w:color w:val="000000"/>
                <w:sz w:val="20"/>
                <w:szCs w:val="20"/>
              </w:rPr>
            </w:pPr>
            <w:r w:rsidRPr="00EC5E20">
              <w:rPr>
                <w:rFonts w:cs="Arial"/>
                <w:color w:val="000000"/>
                <w:sz w:val="20"/>
                <w:szCs w:val="20"/>
              </w:rPr>
              <w:t>% reduction on 2015</w:t>
            </w:r>
          </w:p>
        </w:tc>
        <w:tc>
          <w:tcPr>
            <w:tcW w:w="1417" w:type="dxa"/>
            <w:vMerge/>
            <w:tcBorders>
              <w:top w:val="nil"/>
              <w:left w:val="nil"/>
              <w:right w:val="nil"/>
            </w:tcBorders>
            <w:vAlign w:val="center"/>
            <w:hideMark/>
          </w:tcPr>
          <w:p w:rsidR="00EC5E20" w:rsidRPr="00EC5E20" w:rsidRDefault="00EC5E20" w:rsidP="00EC5E20">
            <w:pPr>
              <w:spacing w:after="0" w:line="288"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701" w:type="dxa"/>
            <w:tcBorders>
              <w:left w:val="nil"/>
              <w:right w:val="nil"/>
            </w:tcBorders>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21%</w:t>
            </w:r>
          </w:p>
        </w:tc>
        <w:tc>
          <w:tcPr>
            <w:tcW w:w="1843" w:type="dxa"/>
            <w:tcBorders>
              <w:left w:val="nil"/>
              <w:right w:val="nil"/>
            </w:tcBorders>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50%</w:t>
            </w:r>
          </w:p>
        </w:tc>
        <w:tc>
          <w:tcPr>
            <w:tcW w:w="1701" w:type="dxa"/>
            <w:tcBorders>
              <w:left w:val="nil"/>
              <w:right w:val="nil"/>
            </w:tcBorders>
            <w:hideMark/>
          </w:tcPr>
          <w:p w:rsidR="00EC5E20" w:rsidRPr="00EC5E20" w:rsidRDefault="00EC5E20" w:rsidP="00EC5E20">
            <w:pPr>
              <w:autoSpaceDE w:val="0"/>
              <w:autoSpaceDN w:val="0"/>
              <w:adjustRightInd w:val="0"/>
              <w:spacing w:after="0" w:line="288"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C5E20">
              <w:rPr>
                <w:rFonts w:cs="Arial"/>
                <w:color w:val="000000"/>
                <w:sz w:val="20"/>
                <w:szCs w:val="20"/>
              </w:rPr>
              <w:t>94%</w:t>
            </w:r>
          </w:p>
        </w:tc>
      </w:tr>
      <w:tr w:rsidR="00EC5E20" w:rsidRPr="00EC5E20" w:rsidTr="00C23ABD">
        <w:tc>
          <w:tcPr>
            <w:cnfStyle w:val="001000000000" w:firstRow="0" w:lastRow="0" w:firstColumn="1" w:lastColumn="0" w:oddVBand="0" w:evenVBand="0" w:oddHBand="0" w:evenHBand="0" w:firstRowFirstColumn="0" w:firstRowLastColumn="0" w:lastRowFirstColumn="0" w:lastRowLastColumn="0"/>
            <w:tcW w:w="1555" w:type="dxa"/>
            <w:tcBorders>
              <w:top w:val="nil"/>
              <w:left w:val="nil"/>
              <w:bottom w:val="single" w:sz="4" w:space="0" w:color="7F7F7F"/>
              <w:right w:val="nil"/>
            </w:tcBorders>
            <w:hideMark/>
          </w:tcPr>
          <w:p w:rsidR="00EC5E20" w:rsidRPr="00EC5E20" w:rsidRDefault="00EC5E20" w:rsidP="00EC5E20">
            <w:pPr>
              <w:autoSpaceDE w:val="0"/>
              <w:autoSpaceDN w:val="0"/>
              <w:adjustRightInd w:val="0"/>
              <w:spacing w:after="0" w:line="288" w:lineRule="auto"/>
              <w:jc w:val="center"/>
              <w:rPr>
                <w:rFonts w:cs="Arial"/>
                <w:color w:val="000000"/>
                <w:sz w:val="20"/>
                <w:szCs w:val="20"/>
              </w:rPr>
            </w:pPr>
            <w:r w:rsidRPr="00EC5E20">
              <w:rPr>
                <w:rFonts w:cs="Arial"/>
                <w:color w:val="000000"/>
                <w:sz w:val="20"/>
                <w:szCs w:val="20"/>
              </w:rPr>
              <w:t>Per capita emissions</w:t>
            </w:r>
          </w:p>
        </w:tc>
        <w:tc>
          <w:tcPr>
            <w:tcW w:w="1417" w:type="dxa"/>
            <w:tcBorders>
              <w:top w:val="nil"/>
              <w:left w:val="nil"/>
              <w:bottom w:val="single" w:sz="4" w:space="0" w:color="7F7F7F"/>
              <w:right w:val="nil"/>
            </w:tcBorders>
            <w:shd w:val="clear" w:color="auto" w:fill="323232"/>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33.8</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tCO</w:t>
            </w:r>
            <w:r w:rsidRPr="00EC5E20">
              <w:rPr>
                <w:rFonts w:cs="Arial"/>
                <w:color w:val="000000"/>
                <w:sz w:val="20"/>
                <w:szCs w:val="20"/>
                <w:vertAlign w:val="subscript"/>
              </w:rPr>
              <w:t>2</w:t>
            </w:r>
            <w:r w:rsidRPr="00EC5E20">
              <w:rPr>
                <w:rFonts w:cs="Arial"/>
                <w:color w:val="000000"/>
                <w:sz w:val="20"/>
                <w:szCs w:val="20"/>
              </w:rPr>
              <w:t>-e</w:t>
            </w:r>
          </w:p>
        </w:tc>
        <w:tc>
          <w:tcPr>
            <w:tcW w:w="1701" w:type="dxa"/>
            <w:tcBorders>
              <w:top w:val="nil"/>
              <w:left w:val="nil"/>
              <w:bottom w:val="single" w:sz="4" w:space="0" w:color="7F7F7F"/>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17.7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tCO</w:t>
            </w:r>
            <w:r w:rsidRPr="00EC5E20">
              <w:rPr>
                <w:rFonts w:cs="Arial"/>
                <w:color w:val="000000"/>
                <w:sz w:val="20"/>
                <w:szCs w:val="20"/>
                <w:vertAlign w:val="subscript"/>
              </w:rPr>
              <w:t>2</w:t>
            </w:r>
            <w:r w:rsidRPr="00EC5E20">
              <w:rPr>
                <w:rFonts w:cs="Arial"/>
                <w:color w:val="000000"/>
                <w:sz w:val="20"/>
                <w:szCs w:val="20"/>
              </w:rPr>
              <w:t>-e</w:t>
            </w:r>
          </w:p>
        </w:tc>
        <w:tc>
          <w:tcPr>
            <w:tcW w:w="1843" w:type="dxa"/>
            <w:tcBorders>
              <w:top w:val="nil"/>
              <w:left w:val="nil"/>
              <w:bottom w:val="single" w:sz="4" w:space="0" w:color="7F7F7F"/>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 xml:space="preserve">10.2 </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tCO</w:t>
            </w:r>
            <w:r w:rsidRPr="00EC5E20">
              <w:rPr>
                <w:rFonts w:cs="Arial"/>
                <w:color w:val="000000"/>
                <w:sz w:val="20"/>
                <w:szCs w:val="20"/>
                <w:vertAlign w:val="subscript"/>
              </w:rPr>
              <w:t>2</w:t>
            </w:r>
            <w:r w:rsidRPr="00EC5E20">
              <w:rPr>
                <w:rFonts w:cs="Arial"/>
                <w:color w:val="000000"/>
                <w:sz w:val="20"/>
                <w:szCs w:val="20"/>
              </w:rPr>
              <w:t>-e</w:t>
            </w:r>
          </w:p>
        </w:tc>
        <w:tc>
          <w:tcPr>
            <w:tcW w:w="1701" w:type="dxa"/>
            <w:tcBorders>
              <w:top w:val="nil"/>
              <w:left w:val="nil"/>
              <w:bottom w:val="single" w:sz="4" w:space="0" w:color="7F7F7F"/>
              <w:right w:val="nil"/>
            </w:tcBorders>
            <w:hideMark/>
          </w:tcPr>
          <w:p w:rsidR="00EC5E20" w:rsidRPr="00EC5E20" w:rsidRDefault="00EC5E20" w:rsidP="00EC5E20">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0.7</w:t>
            </w:r>
          </w:p>
          <w:p w:rsidR="00EC5E20" w:rsidRPr="00EC5E20" w:rsidRDefault="00EC5E20" w:rsidP="00EC5E20">
            <w:pPr>
              <w:autoSpaceDE w:val="0"/>
              <w:autoSpaceDN w:val="0"/>
              <w:adjustRightInd w:val="0"/>
              <w:spacing w:after="0" w:line="288"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EC5E20">
              <w:rPr>
                <w:rFonts w:cs="Arial"/>
                <w:color w:val="000000"/>
                <w:sz w:val="20"/>
                <w:szCs w:val="20"/>
              </w:rPr>
              <w:t>tCO</w:t>
            </w:r>
            <w:r w:rsidRPr="00EC5E20">
              <w:rPr>
                <w:rFonts w:cs="Arial"/>
                <w:color w:val="000000"/>
                <w:sz w:val="20"/>
                <w:szCs w:val="20"/>
                <w:vertAlign w:val="subscript"/>
              </w:rPr>
              <w:t>2</w:t>
            </w:r>
            <w:r w:rsidRPr="00EC5E20">
              <w:rPr>
                <w:rFonts w:cs="Arial"/>
                <w:color w:val="000000"/>
                <w:sz w:val="20"/>
                <w:szCs w:val="20"/>
              </w:rPr>
              <w:t>-e</w:t>
            </w:r>
          </w:p>
        </w:tc>
      </w:tr>
    </w:tbl>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p>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r w:rsidRPr="00EC5E20">
        <w:rPr>
          <w:rFonts w:eastAsia="Times New Roman"/>
          <w:b/>
          <w:sz w:val="20"/>
          <w:szCs w:val="20"/>
        </w:rPr>
        <w:t>Strategic priorities and outcomes</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s="Arial"/>
          <w:color w:val="000000"/>
          <w:sz w:val="20"/>
          <w:szCs w:val="20"/>
        </w:rPr>
        <w:t>This draft strategy outlines four priorities the City of Melbourne will work towards:</w:t>
      </w:r>
    </w:p>
    <w:p w:rsidR="00EC5E20" w:rsidRPr="00EC5E20" w:rsidRDefault="00EC5E20" w:rsidP="00EC5E20">
      <w:pPr>
        <w:numPr>
          <w:ilvl w:val="0"/>
          <w:numId w:val="4"/>
        </w:numPr>
        <w:spacing w:before="60" w:after="60" w:line="288" w:lineRule="auto"/>
        <w:rPr>
          <w:rFonts w:eastAsia="Times New Roman"/>
          <w:color w:val="000000"/>
          <w:sz w:val="20"/>
          <w:szCs w:val="20"/>
        </w:rPr>
      </w:pPr>
      <w:r w:rsidRPr="00EC5E20">
        <w:rPr>
          <w:rFonts w:eastAsia="Times New Roman"/>
          <w:color w:val="000000"/>
          <w:sz w:val="20"/>
          <w:szCs w:val="20"/>
        </w:rPr>
        <w:t>100 per cent renewable energy</w:t>
      </w:r>
    </w:p>
    <w:p w:rsidR="00EC5E20" w:rsidRPr="00EC5E20" w:rsidRDefault="00EC5E20" w:rsidP="00EC5E20">
      <w:pPr>
        <w:numPr>
          <w:ilvl w:val="0"/>
          <w:numId w:val="3"/>
        </w:numPr>
        <w:spacing w:before="60" w:after="60" w:line="288" w:lineRule="auto"/>
        <w:rPr>
          <w:rFonts w:eastAsia="Times New Roman"/>
          <w:color w:val="000000"/>
          <w:sz w:val="20"/>
          <w:szCs w:val="20"/>
        </w:rPr>
      </w:pPr>
      <w:r w:rsidRPr="00EC5E20">
        <w:rPr>
          <w:rFonts w:eastAsia="Times New Roman"/>
          <w:color w:val="000000"/>
          <w:sz w:val="20"/>
          <w:szCs w:val="20"/>
        </w:rPr>
        <w:t>zero emissions buildings and precincts</w:t>
      </w:r>
    </w:p>
    <w:p w:rsidR="00EC5E20" w:rsidRPr="00EC5E20" w:rsidRDefault="00EC5E20" w:rsidP="00EC5E20">
      <w:pPr>
        <w:numPr>
          <w:ilvl w:val="0"/>
          <w:numId w:val="3"/>
        </w:numPr>
        <w:spacing w:before="60" w:after="60" w:line="288" w:lineRule="auto"/>
        <w:rPr>
          <w:rFonts w:eastAsia="Times New Roman"/>
          <w:color w:val="000000"/>
          <w:sz w:val="20"/>
          <w:szCs w:val="20"/>
        </w:rPr>
      </w:pPr>
      <w:r w:rsidRPr="00EC5E20">
        <w:rPr>
          <w:rFonts w:eastAsia="Times New Roman"/>
          <w:color w:val="000000"/>
          <w:sz w:val="20"/>
          <w:szCs w:val="20"/>
        </w:rPr>
        <w:t>zero emissions transport</w:t>
      </w:r>
    </w:p>
    <w:p w:rsidR="00EC5E20" w:rsidRPr="00EC5E20" w:rsidRDefault="00EC5E20" w:rsidP="00EC5E20">
      <w:pPr>
        <w:numPr>
          <w:ilvl w:val="0"/>
          <w:numId w:val="3"/>
        </w:numPr>
        <w:spacing w:before="60" w:after="60" w:line="288" w:lineRule="auto"/>
        <w:rPr>
          <w:rFonts w:eastAsia="Times New Roman"/>
          <w:color w:val="000000"/>
          <w:sz w:val="20"/>
          <w:szCs w:val="20"/>
        </w:rPr>
      </w:pPr>
      <w:proofErr w:type="gramStart"/>
      <w:r w:rsidRPr="00EC5E20">
        <w:rPr>
          <w:rFonts w:eastAsia="Times New Roman"/>
          <w:color w:val="000000"/>
          <w:sz w:val="20"/>
          <w:szCs w:val="20"/>
        </w:rPr>
        <w:t>reducing</w:t>
      </w:r>
      <w:proofErr w:type="gramEnd"/>
      <w:r w:rsidRPr="00EC5E20">
        <w:rPr>
          <w:rFonts w:eastAsia="Times New Roman"/>
          <w:color w:val="000000"/>
          <w:sz w:val="20"/>
          <w:szCs w:val="20"/>
        </w:rPr>
        <w:t xml:space="preserve"> the impact of waste.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To implement the strategy we will:</w:t>
      </w:r>
    </w:p>
    <w:p w:rsidR="00EC5E20" w:rsidRPr="00C04695" w:rsidRDefault="00EC5E20" w:rsidP="00C04695">
      <w:pPr>
        <w:pStyle w:val="ListParagraph"/>
        <w:numPr>
          <w:ilvl w:val="0"/>
          <w:numId w:val="5"/>
        </w:numPr>
        <w:tabs>
          <w:tab w:val="num" w:pos="794"/>
        </w:tabs>
        <w:spacing w:before="60" w:after="60" w:line="288" w:lineRule="auto"/>
        <w:rPr>
          <w:rFonts w:eastAsia="Times New Roman"/>
          <w:color w:val="000000"/>
          <w:sz w:val="20"/>
          <w:szCs w:val="20"/>
        </w:rPr>
      </w:pPr>
      <w:r w:rsidRPr="00C04695">
        <w:rPr>
          <w:rFonts w:eastAsia="Times New Roman"/>
          <w:color w:val="000000"/>
          <w:sz w:val="20"/>
          <w:szCs w:val="20"/>
        </w:rPr>
        <w:t xml:space="preserve">integrate climate adaptation and mitigation </w:t>
      </w:r>
    </w:p>
    <w:p w:rsidR="00EC5E20" w:rsidRPr="00C04695" w:rsidRDefault="00EC5E20" w:rsidP="00C04695">
      <w:pPr>
        <w:pStyle w:val="ListParagraph"/>
        <w:numPr>
          <w:ilvl w:val="0"/>
          <w:numId w:val="5"/>
        </w:numPr>
        <w:tabs>
          <w:tab w:val="num" w:pos="794"/>
        </w:tabs>
        <w:spacing w:before="60" w:after="60" w:line="288" w:lineRule="auto"/>
        <w:rPr>
          <w:rFonts w:eastAsia="Times New Roman"/>
          <w:color w:val="000000"/>
          <w:sz w:val="20"/>
          <w:szCs w:val="20"/>
        </w:rPr>
      </w:pPr>
      <w:r w:rsidRPr="00C04695">
        <w:rPr>
          <w:rFonts w:eastAsia="Times New Roman"/>
          <w:color w:val="000000"/>
          <w:sz w:val="20"/>
          <w:szCs w:val="20"/>
        </w:rPr>
        <w:t>deliver environmental, social and economic benefits to the community</w:t>
      </w:r>
    </w:p>
    <w:p w:rsidR="00EC5E20" w:rsidRPr="00C04695" w:rsidRDefault="00EC5E20" w:rsidP="00C04695">
      <w:pPr>
        <w:pStyle w:val="ListParagraph"/>
        <w:numPr>
          <w:ilvl w:val="0"/>
          <w:numId w:val="5"/>
        </w:numPr>
        <w:tabs>
          <w:tab w:val="num" w:pos="794"/>
        </w:tabs>
        <w:spacing w:before="60" w:after="60" w:line="288" w:lineRule="auto"/>
        <w:rPr>
          <w:rFonts w:eastAsia="Times New Roman"/>
          <w:color w:val="000000"/>
          <w:sz w:val="20"/>
          <w:szCs w:val="20"/>
        </w:rPr>
      </w:pPr>
      <w:proofErr w:type="gramStart"/>
      <w:r w:rsidRPr="00C04695">
        <w:rPr>
          <w:rFonts w:eastAsia="Times New Roman"/>
          <w:color w:val="000000"/>
          <w:sz w:val="20"/>
          <w:szCs w:val="20"/>
        </w:rPr>
        <w:t>support</w:t>
      </w:r>
      <w:proofErr w:type="gramEnd"/>
      <w:r w:rsidRPr="00C04695">
        <w:rPr>
          <w:rFonts w:eastAsia="Times New Roman"/>
          <w:color w:val="000000"/>
          <w:sz w:val="20"/>
          <w:szCs w:val="20"/>
        </w:rPr>
        <w:t xml:space="preserve"> innovation, knowledge sharing and transparency.</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Our aim is to reduce the largest sources of emissions in the municipality to achieve science-based targets and align our strategy to the Paris Climate Change Agreement and C40 Climate Action Plan Framework. </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 xml:space="preserve">The graphs on the following page show the potential contribution of actions that reduce emissions from energy supply, buildings, transport and waste in the significant and accelerated emission reduction scenarios. </w:t>
      </w:r>
    </w:p>
    <w:p w:rsidR="009A229F" w:rsidRDefault="009A229F" w:rsidP="00EC5E20">
      <w:pPr>
        <w:keepNext/>
        <w:keepLines/>
        <w:tabs>
          <w:tab w:val="left" w:pos="1276"/>
        </w:tabs>
        <w:spacing w:before="240" w:after="90" w:line="240" w:lineRule="auto"/>
        <w:rPr>
          <w:rFonts w:eastAsia="Times New Roman"/>
          <w:bCs/>
          <w:color w:val="000000"/>
          <w:spacing w:val="4"/>
          <w:sz w:val="18"/>
          <w:szCs w:val="20"/>
        </w:rPr>
      </w:pPr>
      <w:bookmarkStart w:id="7" w:name="_Toc522633197"/>
    </w:p>
    <w:p w:rsidR="00EC5E20" w:rsidRPr="00EC5E20" w:rsidRDefault="00EC5E20" w:rsidP="00EC5E20">
      <w:pPr>
        <w:keepNext/>
        <w:keepLines/>
        <w:tabs>
          <w:tab w:val="left" w:pos="1276"/>
        </w:tabs>
        <w:spacing w:before="240" w:after="90" w:line="240" w:lineRule="auto"/>
        <w:rPr>
          <w:rFonts w:eastAsia="Times New Roman"/>
          <w:bCs/>
          <w:color w:val="000000"/>
          <w:spacing w:val="4"/>
          <w:sz w:val="18"/>
          <w:szCs w:val="20"/>
        </w:rPr>
      </w:pPr>
      <w:r w:rsidRPr="00EC5E20">
        <w:rPr>
          <w:rFonts w:eastAsia="Times New Roman"/>
          <w:bCs/>
          <w:color w:val="000000"/>
          <w:spacing w:val="4"/>
          <w:sz w:val="18"/>
          <w:szCs w:val="20"/>
        </w:rPr>
        <w:t xml:space="preserve">Figure </w:t>
      </w:r>
      <w:r w:rsidRPr="00EC5E20">
        <w:rPr>
          <w:rFonts w:eastAsia="Times New Roman"/>
          <w:bCs/>
          <w:noProof/>
          <w:color w:val="000000"/>
          <w:spacing w:val="4"/>
          <w:sz w:val="18"/>
          <w:szCs w:val="20"/>
        </w:rPr>
        <w:fldChar w:fldCharType="begin"/>
      </w:r>
      <w:r w:rsidRPr="00EC5E20">
        <w:rPr>
          <w:rFonts w:eastAsia="Times New Roman"/>
          <w:bCs/>
          <w:noProof/>
          <w:color w:val="000000"/>
          <w:spacing w:val="4"/>
          <w:sz w:val="18"/>
          <w:szCs w:val="20"/>
        </w:rPr>
        <w:instrText xml:space="preserve"> SEQ Figure \* ARABIC </w:instrText>
      </w:r>
      <w:r w:rsidRPr="00EC5E20">
        <w:rPr>
          <w:rFonts w:eastAsia="Times New Roman"/>
          <w:bCs/>
          <w:noProof/>
          <w:color w:val="000000"/>
          <w:spacing w:val="4"/>
          <w:sz w:val="18"/>
          <w:szCs w:val="20"/>
        </w:rPr>
        <w:fldChar w:fldCharType="separate"/>
      </w:r>
      <w:r w:rsidR="00C04695">
        <w:rPr>
          <w:rFonts w:eastAsia="Times New Roman"/>
          <w:bCs/>
          <w:noProof/>
          <w:color w:val="000000"/>
          <w:spacing w:val="4"/>
          <w:sz w:val="18"/>
          <w:szCs w:val="20"/>
        </w:rPr>
        <w:t>2</w:t>
      </w:r>
      <w:r w:rsidRPr="00EC5E20">
        <w:rPr>
          <w:rFonts w:eastAsia="Times New Roman"/>
          <w:bCs/>
          <w:noProof/>
          <w:color w:val="000000"/>
          <w:spacing w:val="4"/>
          <w:sz w:val="18"/>
          <w:szCs w:val="20"/>
        </w:rPr>
        <w:fldChar w:fldCharType="end"/>
      </w:r>
      <w:r w:rsidRPr="00EC5E20">
        <w:rPr>
          <w:rFonts w:eastAsia="Times New Roman"/>
          <w:bCs/>
          <w:color w:val="000000"/>
          <w:spacing w:val="4"/>
          <w:sz w:val="18"/>
          <w:szCs w:val="20"/>
        </w:rPr>
        <w:t xml:space="preserve"> Emissions reductions needed under each scenario</w:t>
      </w:r>
      <w:bookmarkEnd w:id="7"/>
    </w:p>
    <w:p w:rsidR="00EC5E20" w:rsidRPr="00EC5E20" w:rsidRDefault="00EC5E20" w:rsidP="00EC5E20">
      <w:pPr>
        <w:spacing w:before="120" w:after="120" w:line="288" w:lineRule="auto"/>
        <w:rPr>
          <w:rFonts w:eastAsia="Times New Roman"/>
          <w:color w:val="000000"/>
          <w:sz w:val="20"/>
          <w:szCs w:val="20"/>
        </w:rPr>
      </w:pPr>
      <w:r w:rsidRPr="00EC5E20">
        <w:rPr>
          <w:rFonts w:eastAsia="Times New Roman"/>
          <w:color w:val="000000"/>
          <w:sz w:val="20"/>
          <w:szCs w:val="20"/>
        </w:rPr>
        <w:t>Significant action scenario</w:t>
      </w:r>
    </w:p>
    <w:p w:rsidR="00EC5E20" w:rsidRPr="00EC5E20" w:rsidRDefault="00EC5E20" w:rsidP="00EC5E20">
      <w:pPr>
        <w:spacing w:after="0" w:line="288" w:lineRule="auto"/>
        <w:rPr>
          <w:rFonts w:eastAsia="Times New Roman"/>
          <w:color w:val="000000"/>
          <w:sz w:val="20"/>
          <w:szCs w:val="20"/>
        </w:rPr>
      </w:pPr>
      <w:r w:rsidRPr="00EC5E20">
        <w:rPr>
          <w:rFonts w:eastAsia="Times New Roman"/>
          <w:noProof/>
          <w:color w:val="000000"/>
          <w:sz w:val="20"/>
          <w:szCs w:val="20"/>
        </w:rPr>
        <w:lastRenderedPageBreak/>
        <w:drawing>
          <wp:inline distT="0" distB="0" distL="0" distR="0" wp14:anchorId="674D4C77" wp14:editId="1B7B697E">
            <wp:extent cx="5094515" cy="2594759"/>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5E20" w:rsidRPr="00EC5E20" w:rsidRDefault="00EC5E20" w:rsidP="00EC5E20">
      <w:pPr>
        <w:keepNext/>
        <w:tabs>
          <w:tab w:val="left" w:pos="2268"/>
          <w:tab w:val="left" w:pos="4536"/>
          <w:tab w:val="left" w:pos="6804"/>
          <w:tab w:val="right" w:pos="9638"/>
        </w:tabs>
        <w:spacing w:before="200" w:line="288" w:lineRule="auto"/>
        <w:rPr>
          <w:rFonts w:eastAsia="Times New Roman"/>
          <w:sz w:val="20"/>
          <w:szCs w:val="20"/>
        </w:rPr>
      </w:pPr>
      <w:r w:rsidRPr="00EC5E20">
        <w:rPr>
          <w:rFonts w:eastAsia="Times New Roman"/>
          <w:sz w:val="20"/>
          <w:szCs w:val="20"/>
        </w:rPr>
        <w:t>Accelerated action scenario</w:t>
      </w:r>
    </w:p>
    <w:p w:rsidR="00EC5E20" w:rsidRPr="00EC5E20" w:rsidRDefault="00EC5E20" w:rsidP="00EC5E20">
      <w:pPr>
        <w:keepNext/>
        <w:tabs>
          <w:tab w:val="left" w:pos="2268"/>
          <w:tab w:val="left" w:pos="4536"/>
          <w:tab w:val="left" w:pos="6804"/>
          <w:tab w:val="right" w:pos="9638"/>
        </w:tabs>
        <w:spacing w:before="200" w:line="288" w:lineRule="auto"/>
        <w:rPr>
          <w:rFonts w:eastAsia="Times New Roman"/>
          <w:b/>
          <w:sz w:val="20"/>
          <w:szCs w:val="20"/>
        </w:rPr>
      </w:pPr>
      <w:r w:rsidRPr="00EC5E20">
        <w:rPr>
          <w:rFonts w:eastAsia="Times New Roman"/>
          <w:b/>
          <w:noProof/>
          <w:sz w:val="20"/>
          <w:szCs w:val="20"/>
        </w:rPr>
        <w:drawing>
          <wp:inline distT="0" distB="0" distL="0" distR="0" wp14:anchorId="75515CE6" wp14:editId="4D65DF56">
            <wp:extent cx="4821382" cy="267788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5E20" w:rsidRPr="00EC5E20" w:rsidRDefault="00EC5E20" w:rsidP="00EC5E20">
      <w:pPr>
        <w:keepNext/>
        <w:tabs>
          <w:tab w:val="left" w:pos="2268"/>
          <w:tab w:val="left" w:pos="4536"/>
          <w:tab w:val="left" w:pos="6804"/>
          <w:tab w:val="right" w:pos="9638"/>
        </w:tabs>
        <w:spacing w:before="200" w:line="288" w:lineRule="auto"/>
        <w:rPr>
          <w:rFonts w:eastAsia="Times New Roman" w:cs="Arial"/>
          <w:b/>
        </w:rPr>
      </w:pPr>
      <w:r w:rsidRPr="00EC5E20">
        <w:rPr>
          <w:rFonts w:eastAsia="Times New Roman"/>
          <w:b/>
          <w:sz w:val="20"/>
          <w:szCs w:val="20"/>
        </w:rPr>
        <w:t>Long-term thinking, short-term action</w:t>
      </w:r>
    </w:p>
    <w:p w:rsidR="00EC5E20" w:rsidRPr="00EC5E20" w:rsidRDefault="00EC5E20" w:rsidP="00EC5E20">
      <w:pPr>
        <w:spacing w:before="200" w:line="288" w:lineRule="auto"/>
        <w:rPr>
          <w:rFonts w:eastAsia="Times New Roman"/>
          <w:color w:val="000000"/>
          <w:sz w:val="20"/>
          <w:szCs w:val="20"/>
        </w:rPr>
      </w:pPr>
      <w:r w:rsidRPr="00EC5E20">
        <w:rPr>
          <w:rFonts w:eastAsia="Times New Roman"/>
          <w:color w:val="000000"/>
          <w:sz w:val="20"/>
          <w:szCs w:val="20"/>
        </w:rPr>
        <w:t>This Climate Change Mitigation Strategy to 2050 is one in a suite of strategies delivering step-change for our community as part of our Council Plan 2017–2021. These include Climate Change Adaptation, Nature in the City, Transport, and Waste and Resource Recovery strategies.</w:t>
      </w:r>
    </w:p>
    <w:p w:rsidR="00EC5E20" w:rsidRPr="00EC5E20" w:rsidRDefault="00EC5E20" w:rsidP="00EC5E20">
      <w:pPr>
        <w:spacing w:before="200" w:line="288" w:lineRule="auto"/>
        <w:rPr>
          <w:rFonts w:eastAsia="Times New Roman" w:cs="Arial"/>
          <w:color w:val="000000"/>
          <w:sz w:val="20"/>
          <w:szCs w:val="20"/>
        </w:rPr>
      </w:pPr>
      <w:r w:rsidRPr="00EC5E20">
        <w:rPr>
          <w:rFonts w:eastAsia="Times New Roman" w:cs="Arial"/>
          <w:color w:val="000000"/>
          <w:sz w:val="20"/>
          <w:szCs w:val="20"/>
        </w:rPr>
        <w:t>The proposed timeframe is:</w:t>
      </w:r>
    </w:p>
    <w:p w:rsidR="00EC5E20" w:rsidRPr="00EC5E20" w:rsidRDefault="00EC5E20" w:rsidP="00EC5E20">
      <w:pPr>
        <w:numPr>
          <w:ilvl w:val="0"/>
          <w:numId w:val="1"/>
        </w:numPr>
        <w:spacing w:before="60" w:after="60" w:line="240" w:lineRule="auto"/>
        <w:ind w:left="360"/>
        <w:contextualSpacing/>
        <w:rPr>
          <w:rFonts w:cs="Arial"/>
          <w:color w:val="000000"/>
          <w:sz w:val="20"/>
          <w:szCs w:val="20"/>
          <w:lang w:eastAsia="en-US"/>
        </w:rPr>
      </w:pPr>
      <w:r w:rsidRPr="00EC5E20">
        <w:rPr>
          <w:rFonts w:cs="Arial"/>
          <w:color w:val="000000"/>
          <w:sz w:val="20"/>
          <w:szCs w:val="20"/>
          <w:lang w:eastAsia="en-US"/>
        </w:rPr>
        <w:t xml:space="preserve">2020–2050 for this strategy with an interim target for 2030: aligned to the period of the Paris Climate Agreement </w:t>
      </w:r>
    </w:p>
    <w:p w:rsidR="009A229F" w:rsidRDefault="00EC5E20" w:rsidP="009A229F">
      <w:pPr>
        <w:numPr>
          <w:ilvl w:val="0"/>
          <w:numId w:val="1"/>
        </w:numPr>
        <w:spacing w:before="60" w:after="60" w:line="240" w:lineRule="auto"/>
        <w:ind w:left="360"/>
        <w:contextualSpacing/>
        <w:rPr>
          <w:rFonts w:cs="Arial"/>
          <w:i/>
          <w:color w:val="000000"/>
          <w:sz w:val="20"/>
          <w:szCs w:val="20"/>
          <w:lang w:eastAsia="en-US"/>
        </w:rPr>
      </w:pPr>
      <w:r w:rsidRPr="00EC5E20">
        <w:rPr>
          <w:rFonts w:cs="Arial"/>
          <w:color w:val="000000"/>
          <w:sz w:val="20"/>
          <w:szCs w:val="20"/>
          <w:lang w:eastAsia="en-US"/>
        </w:rPr>
        <w:t xml:space="preserve">2020–2025 for the rolling implementation plan: aligned to the Council Pledge requirements of the </w:t>
      </w:r>
      <w:r w:rsidRPr="00EC5E20">
        <w:rPr>
          <w:rFonts w:cs="Arial"/>
          <w:i/>
          <w:color w:val="000000"/>
          <w:sz w:val="20"/>
          <w:szCs w:val="20"/>
          <w:lang w:eastAsia="en-US"/>
        </w:rPr>
        <w:t>Climate Change Act 2017.</w:t>
      </w:r>
      <w:bookmarkStart w:id="8" w:name="_GoBack"/>
      <w:bookmarkEnd w:id="8"/>
    </w:p>
    <w:p w:rsidR="00EC5E20" w:rsidRPr="00EC5E20" w:rsidRDefault="00EC5E20" w:rsidP="009A229F">
      <w:pPr>
        <w:spacing w:before="60" w:after="60" w:line="240" w:lineRule="auto"/>
        <w:contextualSpacing/>
        <w:rPr>
          <w:rFonts w:cs="Arial"/>
          <w:i/>
          <w:color w:val="000000"/>
          <w:sz w:val="20"/>
          <w:szCs w:val="20"/>
          <w:lang w:eastAsia="en-US"/>
        </w:rPr>
      </w:pPr>
      <w:r w:rsidRPr="00EC5E20">
        <w:rPr>
          <w:rFonts w:eastAsia="Times New Roman"/>
          <w:color w:val="000000"/>
          <w:sz w:val="20"/>
          <w:szCs w:val="20"/>
        </w:rPr>
        <w:t xml:space="preserve">We will measure and report our progress to the community annually and evaluate the implementation of the strategy by 2025. </w:t>
      </w:r>
    </w:p>
    <w:p w:rsidR="00EC5E20" w:rsidRPr="00EC5E20" w:rsidRDefault="00EC5E20" w:rsidP="00EC5E20">
      <w:pPr>
        <w:keepNext/>
        <w:keepLines/>
        <w:tabs>
          <w:tab w:val="left" w:pos="1276"/>
        </w:tabs>
        <w:spacing w:before="240" w:after="90" w:line="240" w:lineRule="auto"/>
        <w:ind w:left="1276" w:hanging="1276"/>
        <w:jc w:val="both"/>
        <w:rPr>
          <w:rFonts w:eastAsia="Times New Roman"/>
          <w:bCs/>
          <w:color w:val="000000"/>
          <w:spacing w:val="4"/>
          <w:sz w:val="18"/>
          <w:szCs w:val="20"/>
        </w:rPr>
      </w:pPr>
      <w:bookmarkStart w:id="9" w:name="_Toc522633198"/>
      <w:r w:rsidRPr="00EC5E20">
        <w:rPr>
          <w:rFonts w:eastAsia="Times New Roman"/>
          <w:bCs/>
          <w:color w:val="000000"/>
          <w:spacing w:val="4"/>
          <w:sz w:val="18"/>
          <w:szCs w:val="20"/>
        </w:rPr>
        <w:lastRenderedPageBreak/>
        <w:t xml:space="preserve">Figure </w:t>
      </w:r>
      <w:r w:rsidRPr="00EC5E20">
        <w:rPr>
          <w:rFonts w:eastAsia="Times New Roman"/>
          <w:bCs/>
          <w:noProof/>
          <w:color w:val="000000"/>
          <w:spacing w:val="4"/>
          <w:sz w:val="18"/>
          <w:szCs w:val="20"/>
        </w:rPr>
        <w:fldChar w:fldCharType="begin"/>
      </w:r>
      <w:r w:rsidRPr="00EC5E20">
        <w:rPr>
          <w:rFonts w:eastAsia="Times New Roman"/>
          <w:bCs/>
          <w:noProof/>
          <w:color w:val="000000"/>
          <w:spacing w:val="4"/>
          <w:sz w:val="18"/>
          <w:szCs w:val="20"/>
        </w:rPr>
        <w:instrText xml:space="preserve"> SEQ Figure \* ARABIC </w:instrText>
      </w:r>
      <w:r w:rsidRPr="00EC5E20">
        <w:rPr>
          <w:rFonts w:eastAsia="Times New Roman"/>
          <w:bCs/>
          <w:noProof/>
          <w:color w:val="000000"/>
          <w:spacing w:val="4"/>
          <w:sz w:val="18"/>
          <w:szCs w:val="20"/>
        </w:rPr>
        <w:fldChar w:fldCharType="separate"/>
      </w:r>
      <w:proofErr w:type="gramStart"/>
      <w:r w:rsidR="00C04695">
        <w:rPr>
          <w:rFonts w:eastAsia="Times New Roman"/>
          <w:bCs/>
          <w:noProof/>
          <w:color w:val="000000"/>
          <w:spacing w:val="4"/>
          <w:sz w:val="18"/>
          <w:szCs w:val="20"/>
        </w:rPr>
        <w:t>3</w:t>
      </w:r>
      <w:r w:rsidRPr="00EC5E20">
        <w:rPr>
          <w:rFonts w:eastAsia="Times New Roman"/>
          <w:bCs/>
          <w:noProof/>
          <w:color w:val="000000"/>
          <w:spacing w:val="4"/>
          <w:sz w:val="18"/>
          <w:szCs w:val="20"/>
        </w:rPr>
        <w:fldChar w:fldCharType="end"/>
      </w:r>
      <w:r w:rsidRPr="00EC5E20">
        <w:rPr>
          <w:rFonts w:eastAsia="Times New Roman"/>
          <w:bCs/>
          <w:color w:val="000000"/>
          <w:spacing w:val="4"/>
          <w:sz w:val="18"/>
          <w:szCs w:val="20"/>
        </w:rPr>
        <w:t xml:space="preserve"> Potential contribution</w:t>
      </w:r>
      <w:proofErr w:type="gramEnd"/>
      <w:r w:rsidRPr="00EC5E20">
        <w:rPr>
          <w:rFonts w:eastAsia="Times New Roman"/>
          <w:bCs/>
          <w:color w:val="000000"/>
          <w:spacing w:val="4"/>
          <w:sz w:val="18"/>
          <w:szCs w:val="20"/>
        </w:rPr>
        <w:t xml:space="preserve"> of Australian and Victorian Government policies to Melbourne’s municipal emission reductions 2020–2050</w:t>
      </w:r>
      <w:bookmarkEnd w:id="9"/>
    </w:p>
    <w:p w:rsidR="00EC5E20" w:rsidRPr="00EC5E20" w:rsidRDefault="00EC5E20" w:rsidP="00EC5E20">
      <w:pPr>
        <w:keepNext/>
        <w:keepLines/>
        <w:tabs>
          <w:tab w:val="left" w:pos="1276"/>
        </w:tabs>
        <w:spacing w:before="240" w:after="90" w:line="240" w:lineRule="auto"/>
        <w:ind w:left="1276" w:hanging="1276"/>
        <w:rPr>
          <w:rFonts w:eastAsia="Times New Roman"/>
          <w:bCs/>
          <w:color w:val="000000"/>
          <w:spacing w:val="4"/>
          <w:sz w:val="20"/>
          <w:szCs w:val="20"/>
        </w:rPr>
      </w:pPr>
      <w:r w:rsidRPr="00EC5E20">
        <w:rPr>
          <w:rFonts w:eastAsia="Times New Roman"/>
          <w:bCs/>
          <w:color w:val="000000"/>
          <w:spacing w:val="4"/>
          <w:sz w:val="20"/>
          <w:szCs w:val="20"/>
        </w:rPr>
        <w:t>Significant action scenario</w:t>
      </w:r>
    </w:p>
    <w:p w:rsidR="00EC5E20" w:rsidRPr="00EC5E20" w:rsidRDefault="00EC5E20" w:rsidP="00EC5E20">
      <w:pPr>
        <w:tabs>
          <w:tab w:val="left" w:pos="2268"/>
          <w:tab w:val="left" w:pos="4536"/>
          <w:tab w:val="left" w:pos="6804"/>
          <w:tab w:val="right" w:pos="9638"/>
        </w:tabs>
        <w:spacing w:before="200" w:line="288" w:lineRule="auto"/>
        <w:rPr>
          <w:rFonts w:eastAsia="Times New Roman"/>
          <w:color w:val="000000"/>
          <w:sz w:val="20"/>
          <w:szCs w:val="20"/>
        </w:rPr>
      </w:pPr>
      <w:r w:rsidRPr="00EC5E20">
        <w:rPr>
          <w:rFonts w:eastAsia="Times New Roman"/>
          <w:noProof/>
          <w:color w:val="000000"/>
          <w:sz w:val="20"/>
          <w:szCs w:val="20"/>
        </w:rPr>
        <w:drawing>
          <wp:inline distT="0" distB="0" distL="0" distR="0" wp14:anchorId="67D1836E" wp14:editId="6BABFC4F">
            <wp:extent cx="5943600" cy="2768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5E20" w:rsidRPr="00EC5E20" w:rsidRDefault="00EC5E20" w:rsidP="00EC5E20">
      <w:pPr>
        <w:spacing w:before="240" w:after="90" w:line="288" w:lineRule="auto"/>
        <w:rPr>
          <w:rFonts w:eastAsia="Times New Roman"/>
          <w:color w:val="000000"/>
          <w:sz w:val="20"/>
          <w:szCs w:val="20"/>
        </w:rPr>
      </w:pPr>
      <w:r w:rsidRPr="00EC5E20">
        <w:rPr>
          <w:rFonts w:eastAsia="Times New Roman"/>
          <w:color w:val="000000"/>
          <w:sz w:val="20"/>
          <w:szCs w:val="20"/>
        </w:rPr>
        <w:t>Accelerated action scenario</w:t>
      </w:r>
    </w:p>
    <w:p w:rsidR="00EC5E20" w:rsidRPr="00EC5E20" w:rsidRDefault="00EC5E20" w:rsidP="00EC5E20">
      <w:pPr>
        <w:spacing w:before="240" w:after="90" w:line="288" w:lineRule="auto"/>
        <w:rPr>
          <w:rFonts w:eastAsia="Times New Roman"/>
          <w:color w:val="000000"/>
          <w:sz w:val="20"/>
          <w:szCs w:val="20"/>
        </w:rPr>
      </w:pPr>
      <w:r w:rsidRPr="00EC5E20">
        <w:rPr>
          <w:rFonts w:eastAsia="Times New Roman"/>
          <w:noProof/>
          <w:color w:val="000000"/>
          <w:sz w:val="20"/>
          <w:szCs w:val="20"/>
        </w:rPr>
        <w:drawing>
          <wp:inline distT="0" distB="0" distL="0" distR="0" wp14:anchorId="3537BD73" wp14:editId="366BAC56">
            <wp:extent cx="5943600" cy="263715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5E20" w:rsidRPr="00EC5E20" w:rsidRDefault="00EC5E20" w:rsidP="00EC5E20">
      <w:pPr>
        <w:spacing w:before="200" w:line="288" w:lineRule="auto"/>
        <w:rPr>
          <w:rFonts w:eastAsia="Times New Roman"/>
          <w:sz w:val="20"/>
          <w:szCs w:val="20"/>
        </w:rPr>
      </w:pPr>
      <w:r w:rsidRPr="00EC5E20">
        <w:rPr>
          <w:rFonts w:eastAsia="Times New Roman" w:cs="Arial"/>
          <w:color w:val="000000"/>
          <w:sz w:val="20"/>
          <w:szCs w:val="20"/>
        </w:rPr>
        <w:t xml:space="preserve">As shown above, without policy changes in state and national jurisdictions, the City of Melbourne will not be able to achieve alignment to the Paris Climate Agreement targets. </w:t>
      </w:r>
      <w:r w:rsidRPr="00EC5E20">
        <w:rPr>
          <w:rFonts w:eastAsia="Times New Roman"/>
          <w:sz w:val="20"/>
          <w:szCs w:val="20"/>
        </w:rPr>
        <w:t>These targets can only be achieved through collaborative action across all three levels of government.</w:t>
      </w:r>
    </w:p>
    <w:p w:rsidR="006A19AD" w:rsidRPr="00CF085A" w:rsidRDefault="00EC5E20" w:rsidP="00EC5E20">
      <w:r w:rsidRPr="00EC5E20">
        <w:rPr>
          <w:rFonts w:eastAsia="Times New Roman" w:cs="Arial"/>
          <w:color w:val="000000"/>
          <w:sz w:val="20"/>
          <w:szCs w:val="20"/>
        </w:rPr>
        <w:t>This strategy identifies opportunities within City of Melbourne’s control, together with opportunities outside of City of Melbourne’s control where the role of Council is to advocate and influence.  For example, the City of Melbourne does not operate public transport and does not have the power to regulate energy performance standards in buildings, energy supply or renewable energy targets for the city. The graphs show the emission reductions that can be delivered by the City of Melbourne aligned with the Victorian and Commonwealth Governments if a 2030 renewable energy target was set and/or an ambitious national climate and energy policy was endorsed.</w:t>
      </w:r>
    </w:p>
    <w:sectPr w:rsidR="006A19AD" w:rsidRPr="00CF085A" w:rsidSect="00C04695">
      <w:pgSz w:w="11906" w:h="16838"/>
      <w:pgMar w:top="1440" w:right="964" w:bottom="144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E20" w:rsidRDefault="00EC5E20" w:rsidP="00EC5E20">
      <w:pPr>
        <w:spacing w:after="0" w:line="240" w:lineRule="auto"/>
      </w:pPr>
      <w:r>
        <w:separator/>
      </w:r>
    </w:p>
  </w:endnote>
  <w:endnote w:type="continuationSeparator" w:id="0">
    <w:p w:rsidR="00EC5E20" w:rsidRDefault="00EC5E20" w:rsidP="00EC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Ｐゴシック">
    <w:charset w:val="4E"/>
    <w:family w:val="auto"/>
    <w:pitch w:val="variable"/>
    <w:sig w:usb0="E00002FF" w:usb1="6AC7FDFB" w:usb2="00000012" w:usb3="00000000" w:csb0="0002009F" w:csb1="00000000"/>
  </w:font>
  <w:font w:name="EYInterstate Light">
    <w:altName w:val="Calibri"/>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E20" w:rsidRDefault="00EC5E20" w:rsidP="00EC5E20">
      <w:pPr>
        <w:spacing w:after="0" w:line="240" w:lineRule="auto"/>
      </w:pPr>
      <w:r>
        <w:separator/>
      </w:r>
    </w:p>
  </w:footnote>
  <w:footnote w:type="continuationSeparator" w:id="0">
    <w:p w:rsidR="00EC5E20" w:rsidRDefault="00EC5E20" w:rsidP="00EC5E20">
      <w:pPr>
        <w:spacing w:after="0" w:line="240" w:lineRule="auto"/>
      </w:pPr>
      <w:r>
        <w:continuationSeparator/>
      </w:r>
    </w:p>
  </w:footnote>
  <w:footnote w:id="1">
    <w:p w:rsidR="00EC5E20" w:rsidRPr="008A76ED" w:rsidRDefault="00EC5E20" w:rsidP="00EC5E20">
      <w:pPr>
        <w:pStyle w:val="FootnoteText"/>
        <w:rPr>
          <w:szCs w:val="16"/>
        </w:rPr>
      </w:pPr>
      <w:r w:rsidRPr="00EC5E20">
        <w:rPr>
          <w:rFonts w:cs="Arial"/>
          <w:sz w:val="16"/>
          <w:szCs w:val="16"/>
        </w:rPr>
        <w:footnoteRef/>
      </w:r>
      <w:r w:rsidRPr="00EC5E20">
        <w:rPr>
          <w:rFonts w:cs="Arial"/>
          <w:sz w:val="16"/>
          <w:szCs w:val="16"/>
        </w:rPr>
        <w:t xml:space="preserve"> Sustainability Victoria Social Research on Climate Change 2016</w:t>
      </w:r>
    </w:p>
  </w:footnote>
  <w:footnote w:id="2">
    <w:p w:rsidR="00EC5E20" w:rsidRDefault="00EC5E20" w:rsidP="00C04695">
      <w:pPr>
        <w:spacing w:after="0"/>
      </w:pPr>
      <w:r>
        <w:rPr>
          <w:rStyle w:val="FootnoteReference"/>
        </w:rPr>
        <w:footnoteRef/>
      </w:r>
      <w:r>
        <w:t xml:space="preserve"> </w:t>
      </w:r>
      <w:r w:rsidRPr="008A76ED">
        <w:rPr>
          <w:rFonts w:cs="Arial"/>
          <w:sz w:val="16"/>
          <w:szCs w:val="16"/>
          <w:lang w:val="en-US"/>
        </w:rPr>
        <w:t xml:space="preserve">The calculation for 2030 needs to follows the C40 Deadline 2020 approach with contraction and convergence of emissions by 2030. </w:t>
      </w:r>
      <w:r w:rsidRPr="008A76ED">
        <w:rPr>
          <w:rFonts w:cs="Arial"/>
          <w:sz w:val="16"/>
          <w:szCs w:val="16"/>
        </w:rPr>
        <w:t xml:space="preserve">This means our target needs to be no more than </w:t>
      </w:r>
      <w:r w:rsidRPr="008A76ED">
        <w:rPr>
          <w:rFonts w:cstheme="minorHAnsi"/>
          <w:sz w:val="16"/>
          <w:szCs w:val="16"/>
        </w:rPr>
        <w:t>14.6 tonnes CO</w:t>
      </w:r>
      <w:r w:rsidRPr="00D44FCF">
        <w:rPr>
          <w:vertAlign w:val="subscript"/>
          <w:lang w:val="en-US" w:eastAsia="en-US"/>
        </w:rPr>
        <w:t>2</w:t>
      </w:r>
      <w:r w:rsidRPr="008A76ED">
        <w:rPr>
          <w:rFonts w:cstheme="minorHAnsi"/>
          <w:sz w:val="16"/>
          <w:szCs w:val="16"/>
        </w:rPr>
        <w:t xml:space="preserve"> equivalent per</w:t>
      </w:r>
      <w:r w:rsidRPr="008A76ED">
        <w:rPr>
          <w:rFonts w:cs="Arial"/>
          <w:sz w:val="16"/>
          <w:szCs w:val="16"/>
        </w:rPr>
        <w:t xml:space="preserve"> person by 2030.</w:t>
      </w:r>
    </w:p>
  </w:footnote>
  <w:footnote w:id="3">
    <w:p w:rsidR="00EC5E20" w:rsidRPr="008D4C41" w:rsidRDefault="00EC5E20" w:rsidP="00EC5E20">
      <w:pPr>
        <w:spacing w:line="240" w:lineRule="auto"/>
        <w:rPr>
          <w:rFonts w:cs="Arial"/>
          <w:sz w:val="16"/>
          <w:szCs w:val="16"/>
        </w:rPr>
      </w:pPr>
      <w:r>
        <w:rPr>
          <w:rStyle w:val="FootnoteReference"/>
        </w:rPr>
        <w:footnoteRef/>
      </w:r>
      <w:r>
        <w:t xml:space="preserve"> </w:t>
      </w:r>
      <w:r w:rsidRPr="008D4C41">
        <w:rPr>
          <w:rFonts w:cs="Arial"/>
          <w:sz w:val="16"/>
          <w:szCs w:val="16"/>
        </w:rPr>
        <w:t xml:space="preserve">The C40 Climate Action Planning Framework supports cities in developing climate action plans. It sets out the essential components of a climate action plan that is </w:t>
      </w:r>
      <w:r>
        <w:rPr>
          <w:rFonts w:cs="Arial"/>
          <w:sz w:val="16"/>
          <w:szCs w:val="16"/>
        </w:rPr>
        <w:t xml:space="preserve">deemed to be </w:t>
      </w:r>
      <w:r w:rsidRPr="008D4C41">
        <w:rPr>
          <w:rFonts w:cs="Arial"/>
          <w:sz w:val="16"/>
          <w:szCs w:val="16"/>
        </w:rPr>
        <w:t>compatible with the objectives of the Paris Agreement.</w:t>
      </w:r>
    </w:p>
    <w:p w:rsidR="00EC5E20" w:rsidRDefault="00EC5E20" w:rsidP="00EC5E2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77B2"/>
    <w:multiLevelType w:val="hybridMultilevel"/>
    <w:tmpl w:val="85268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7AA2C9B"/>
    <w:multiLevelType w:val="hybridMultilevel"/>
    <w:tmpl w:val="643A8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7E030DAE"/>
    <w:multiLevelType w:val="multilevel"/>
    <w:tmpl w:val="0EBCC1C4"/>
    <w:lvl w:ilvl="0">
      <w:start w:val="1"/>
      <w:numFmt w:val="decimal"/>
      <w:pStyle w:val="ListNumber1"/>
      <w:lvlText w:val="%1."/>
      <w:lvlJc w:val="left"/>
      <w:pPr>
        <w:tabs>
          <w:tab w:val="num" w:pos="397"/>
        </w:tabs>
        <w:ind w:left="397" w:hanging="397"/>
      </w:pPr>
      <w:rPr>
        <w:rFonts w:hint="default"/>
        <w:color w:val="000000" w:themeColor="text1"/>
        <w:sz w:val="20"/>
      </w:rPr>
    </w:lvl>
    <w:lvl w:ilvl="1">
      <w:start w:val="1"/>
      <w:numFmt w:val="lowerLetter"/>
      <w:pStyle w:val="ListNumber21"/>
      <w:lvlText w:val="%2."/>
      <w:lvlJc w:val="left"/>
      <w:pPr>
        <w:tabs>
          <w:tab w:val="num" w:pos="794"/>
        </w:tabs>
        <w:ind w:left="794" w:hanging="397"/>
      </w:pPr>
      <w:rPr>
        <w:rFonts w:hint="default"/>
        <w:color w:val="000000" w:themeColor="text1"/>
        <w:sz w:val="20"/>
      </w:rPr>
    </w:lvl>
    <w:lvl w:ilvl="2">
      <w:start w:val="1"/>
      <w:numFmt w:val="lowerRoman"/>
      <w:pStyle w:val="ListNumber31"/>
      <w:lvlText w:val="%3."/>
      <w:lvlJc w:val="left"/>
      <w:pPr>
        <w:tabs>
          <w:tab w:val="num" w:pos="1191"/>
        </w:tabs>
        <w:ind w:left="1191" w:hanging="397"/>
      </w:pPr>
      <w:rPr>
        <w:rFonts w:hint="default"/>
        <w:color w:val="000000" w:themeColor="text1"/>
        <w:sz w:val="20"/>
      </w:rPr>
    </w:lvl>
    <w:lvl w:ilvl="3">
      <w:start w:val="1"/>
      <w:numFmt w:val="none"/>
      <w:lvlText w:val=""/>
      <w:lvlJc w:val="left"/>
      <w:pPr>
        <w:tabs>
          <w:tab w:val="num" w:pos="1428"/>
        </w:tabs>
        <w:ind w:left="1428" w:hanging="357"/>
      </w:pPr>
      <w:rPr>
        <w:rFonts w:hint="default"/>
      </w:rPr>
    </w:lvl>
    <w:lvl w:ilvl="4">
      <w:start w:val="1"/>
      <w:numFmt w:val="none"/>
      <w:lvlText w:val=""/>
      <w:lvlJc w:val="left"/>
      <w:pPr>
        <w:tabs>
          <w:tab w:val="num" w:pos="1785"/>
        </w:tabs>
        <w:ind w:left="1785" w:hanging="357"/>
      </w:pPr>
      <w:rPr>
        <w:rFonts w:hint="default"/>
      </w:rPr>
    </w:lvl>
    <w:lvl w:ilvl="5">
      <w:start w:val="1"/>
      <w:numFmt w:val="none"/>
      <w:lvlText w:val=""/>
      <w:lvlJc w:val="righ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right"/>
      <w:pPr>
        <w:tabs>
          <w:tab w:val="num" w:pos="3213"/>
        </w:tabs>
        <w:ind w:left="3213" w:hanging="357"/>
      </w:pPr>
      <w:rPr>
        <w:rFont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E20"/>
    <w:rsid w:val="000521C5"/>
    <w:rsid w:val="0008133F"/>
    <w:rsid w:val="000F7D41"/>
    <w:rsid w:val="003A6FC1"/>
    <w:rsid w:val="0043143B"/>
    <w:rsid w:val="005F3710"/>
    <w:rsid w:val="00682BD5"/>
    <w:rsid w:val="006A19AD"/>
    <w:rsid w:val="008B5EB6"/>
    <w:rsid w:val="00996FEF"/>
    <w:rsid w:val="009A229F"/>
    <w:rsid w:val="00A36F5D"/>
    <w:rsid w:val="00B335B8"/>
    <w:rsid w:val="00B6108D"/>
    <w:rsid w:val="00C04695"/>
    <w:rsid w:val="00C742CD"/>
    <w:rsid w:val="00C863DF"/>
    <w:rsid w:val="00CF085A"/>
    <w:rsid w:val="00D533DB"/>
    <w:rsid w:val="00D5761B"/>
    <w:rsid w:val="00D811B1"/>
    <w:rsid w:val="00EC5E20"/>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5E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5E20"/>
  </w:style>
  <w:style w:type="paragraph" w:customStyle="1" w:styleId="ListNumber1">
    <w:name w:val="List Number1"/>
    <w:basedOn w:val="BodyText"/>
    <w:next w:val="ListNumber"/>
    <w:qFormat/>
    <w:rsid w:val="00EC5E20"/>
    <w:pPr>
      <w:numPr>
        <w:numId w:val="2"/>
      </w:numPr>
      <w:tabs>
        <w:tab w:val="clear" w:pos="397"/>
        <w:tab w:val="num" w:pos="360"/>
      </w:tabs>
      <w:spacing w:before="120" w:line="288" w:lineRule="auto"/>
      <w:ind w:left="0" w:firstLine="0"/>
    </w:pPr>
    <w:rPr>
      <w:rFonts w:eastAsia="Times New Roman"/>
      <w:color w:val="000000"/>
      <w:sz w:val="20"/>
      <w:szCs w:val="20"/>
    </w:rPr>
  </w:style>
  <w:style w:type="paragraph" w:customStyle="1" w:styleId="ListNumber21">
    <w:name w:val="List Number 21"/>
    <w:basedOn w:val="ListNumber"/>
    <w:next w:val="ListNumber2"/>
    <w:qFormat/>
    <w:rsid w:val="00EC5E20"/>
    <w:pPr>
      <w:numPr>
        <w:ilvl w:val="1"/>
        <w:numId w:val="2"/>
      </w:numPr>
      <w:tabs>
        <w:tab w:val="clear" w:pos="794"/>
        <w:tab w:val="num" w:pos="360"/>
      </w:tabs>
      <w:spacing w:before="120" w:after="120" w:line="288" w:lineRule="auto"/>
      <w:ind w:left="1440" w:hanging="360"/>
      <w:contextualSpacing w:val="0"/>
    </w:pPr>
    <w:rPr>
      <w:rFonts w:eastAsia="Times New Roman"/>
      <w:color w:val="000000"/>
      <w:sz w:val="20"/>
      <w:szCs w:val="20"/>
    </w:rPr>
  </w:style>
  <w:style w:type="paragraph" w:customStyle="1" w:styleId="ListNumber31">
    <w:name w:val="List Number 31"/>
    <w:basedOn w:val="ListNumber2"/>
    <w:next w:val="ListNumber3"/>
    <w:qFormat/>
    <w:rsid w:val="00EC5E20"/>
    <w:pPr>
      <w:numPr>
        <w:ilvl w:val="2"/>
      </w:numPr>
      <w:tabs>
        <w:tab w:val="clear" w:pos="1191"/>
        <w:tab w:val="num" w:pos="360"/>
      </w:tabs>
      <w:spacing w:before="120" w:after="120" w:line="288" w:lineRule="auto"/>
      <w:contextualSpacing w:val="0"/>
    </w:pPr>
    <w:rPr>
      <w:rFonts w:eastAsia="Times New Roman"/>
      <w:color w:val="000000"/>
      <w:sz w:val="20"/>
      <w:szCs w:val="20"/>
    </w:rPr>
  </w:style>
  <w:style w:type="character" w:styleId="FootnoteReference">
    <w:name w:val="footnote reference"/>
    <w:aliases w:val="fr,(NECG) Footnote Reference"/>
    <w:basedOn w:val="DefaultParagraphFont"/>
    <w:uiPriority w:val="99"/>
    <w:rsid w:val="00EC5E20"/>
    <w:rPr>
      <w:vertAlign w:val="superscript"/>
    </w:rPr>
  </w:style>
  <w:style w:type="table" w:customStyle="1" w:styleId="PlainTable21">
    <w:name w:val="Plain Table 21"/>
    <w:basedOn w:val="TableNormal"/>
    <w:uiPriority w:val="42"/>
    <w:rsid w:val="00EC5E20"/>
    <w:rPr>
      <w:rFonts w:ascii="Times New Roman" w:eastAsia="Times New Roman" w:hAnsi="Times New Roman"/>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odyText">
    <w:name w:val="Body Text"/>
    <w:basedOn w:val="Normal"/>
    <w:link w:val="BodyTextChar"/>
    <w:uiPriority w:val="99"/>
    <w:semiHidden/>
    <w:unhideWhenUsed/>
    <w:rsid w:val="00EC5E20"/>
    <w:pPr>
      <w:spacing w:after="120"/>
    </w:pPr>
  </w:style>
  <w:style w:type="character" w:customStyle="1" w:styleId="BodyTextChar">
    <w:name w:val="Body Text Char"/>
    <w:basedOn w:val="DefaultParagraphFont"/>
    <w:link w:val="BodyText"/>
    <w:uiPriority w:val="99"/>
    <w:semiHidden/>
    <w:rsid w:val="00EC5E20"/>
    <w:rPr>
      <w:sz w:val="22"/>
      <w:szCs w:val="22"/>
    </w:rPr>
  </w:style>
  <w:style w:type="paragraph" w:styleId="ListNumber">
    <w:name w:val="List Number"/>
    <w:basedOn w:val="Normal"/>
    <w:uiPriority w:val="99"/>
    <w:semiHidden/>
    <w:unhideWhenUsed/>
    <w:rsid w:val="00EC5E20"/>
    <w:pPr>
      <w:numPr>
        <w:numId w:val="1"/>
      </w:numPr>
      <w:contextualSpacing/>
    </w:pPr>
  </w:style>
  <w:style w:type="paragraph" w:styleId="ListNumber2">
    <w:name w:val="List Number 2"/>
    <w:basedOn w:val="Normal"/>
    <w:uiPriority w:val="99"/>
    <w:semiHidden/>
    <w:unhideWhenUsed/>
    <w:rsid w:val="00EC5E20"/>
    <w:pPr>
      <w:numPr>
        <w:numId w:val="2"/>
      </w:numPr>
      <w:contextualSpacing/>
    </w:pPr>
  </w:style>
  <w:style w:type="paragraph" w:styleId="ListNumber3">
    <w:name w:val="List Number 3"/>
    <w:basedOn w:val="Normal"/>
    <w:uiPriority w:val="99"/>
    <w:semiHidden/>
    <w:unhideWhenUsed/>
    <w:rsid w:val="00EC5E20"/>
    <w:pPr>
      <w:numPr>
        <w:numId w:val="3"/>
      </w:numPr>
      <w:contextualSpacing/>
    </w:pPr>
  </w:style>
  <w:style w:type="paragraph" w:styleId="BalloonText">
    <w:name w:val="Balloon Text"/>
    <w:basedOn w:val="Normal"/>
    <w:link w:val="BalloonTextChar"/>
    <w:uiPriority w:val="99"/>
    <w:semiHidden/>
    <w:unhideWhenUsed/>
    <w:rsid w:val="00EC5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E20"/>
    <w:rPr>
      <w:rFonts w:ascii="Tahoma" w:hAnsi="Tahoma" w:cs="Tahoma"/>
      <w:sz w:val="16"/>
      <w:szCs w:val="16"/>
    </w:rPr>
  </w:style>
  <w:style w:type="paragraph" w:styleId="ListParagraph">
    <w:name w:val="List Paragraph"/>
    <w:basedOn w:val="Normal"/>
    <w:uiPriority w:val="34"/>
    <w:qFormat/>
    <w:rsid w:val="00C046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5E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5E20"/>
  </w:style>
  <w:style w:type="paragraph" w:customStyle="1" w:styleId="ListNumber1">
    <w:name w:val="List Number1"/>
    <w:basedOn w:val="BodyText"/>
    <w:next w:val="ListNumber"/>
    <w:qFormat/>
    <w:rsid w:val="00EC5E20"/>
    <w:pPr>
      <w:numPr>
        <w:numId w:val="2"/>
      </w:numPr>
      <w:tabs>
        <w:tab w:val="clear" w:pos="397"/>
        <w:tab w:val="num" w:pos="360"/>
      </w:tabs>
      <w:spacing w:before="120" w:line="288" w:lineRule="auto"/>
      <w:ind w:left="0" w:firstLine="0"/>
    </w:pPr>
    <w:rPr>
      <w:rFonts w:eastAsia="Times New Roman"/>
      <w:color w:val="000000"/>
      <w:sz w:val="20"/>
      <w:szCs w:val="20"/>
    </w:rPr>
  </w:style>
  <w:style w:type="paragraph" w:customStyle="1" w:styleId="ListNumber21">
    <w:name w:val="List Number 21"/>
    <w:basedOn w:val="ListNumber"/>
    <w:next w:val="ListNumber2"/>
    <w:qFormat/>
    <w:rsid w:val="00EC5E20"/>
    <w:pPr>
      <w:numPr>
        <w:ilvl w:val="1"/>
        <w:numId w:val="2"/>
      </w:numPr>
      <w:tabs>
        <w:tab w:val="clear" w:pos="794"/>
        <w:tab w:val="num" w:pos="360"/>
      </w:tabs>
      <w:spacing w:before="120" w:after="120" w:line="288" w:lineRule="auto"/>
      <w:ind w:left="1440" w:hanging="360"/>
      <w:contextualSpacing w:val="0"/>
    </w:pPr>
    <w:rPr>
      <w:rFonts w:eastAsia="Times New Roman"/>
      <w:color w:val="000000"/>
      <w:sz w:val="20"/>
      <w:szCs w:val="20"/>
    </w:rPr>
  </w:style>
  <w:style w:type="paragraph" w:customStyle="1" w:styleId="ListNumber31">
    <w:name w:val="List Number 31"/>
    <w:basedOn w:val="ListNumber2"/>
    <w:next w:val="ListNumber3"/>
    <w:qFormat/>
    <w:rsid w:val="00EC5E20"/>
    <w:pPr>
      <w:numPr>
        <w:ilvl w:val="2"/>
      </w:numPr>
      <w:tabs>
        <w:tab w:val="clear" w:pos="1191"/>
        <w:tab w:val="num" w:pos="360"/>
      </w:tabs>
      <w:spacing w:before="120" w:after="120" w:line="288" w:lineRule="auto"/>
      <w:contextualSpacing w:val="0"/>
    </w:pPr>
    <w:rPr>
      <w:rFonts w:eastAsia="Times New Roman"/>
      <w:color w:val="000000"/>
      <w:sz w:val="20"/>
      <w:szCs w:val="20"/>
    </w:rPr>
  </w:style>
  <w:style w:type="character" w:styleId="FootnoteReference">
    <w:name w:val="footnote reference"/>
    <w:aliases w:val="fr,(NECG) Footnote Reference"/>
    <w:basedOn w:val="DefaultParagraphFont"/>
    <w:uiPriority w:val="99"/>
    <w:rsid w:val="00EC5E20"/>
    <w:rPr>
      <w:vertAlign w:val="superscript"/>
    </w:rPr>
  </w:style>
  <w:style w:type="table" w:customStyle="1" w:styleId="PlainTable21">
    <w:name w:val="Plain Table 21"/>
    <w:basedOn w:val="TableNormal"/>
    <w:uiPriority w:val="42"/>
    <w:rsid w:val="00EC5E20"/>
    <w:rPr>
      <w:rFonts w:ascii="Times New Roman" w:eastAsia="Times New Roman" w:hAnsi="Times New Roman"/>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odyText">
    <w:name w:val="Body Text"/>
    <w:basedOn w:val="Normal"/>
    <w:link w:val="BodyTextChar"/>
    <w:uiPriority w:val="99"/>
    <w:semiHidden/>
    <w:unhideWhenUsed/>
    <w:rsid w:val="00EC5E20"/>
    <w:pPr>
      <w:spacing w:after="120"/>
    </w:pPr>
  </w:style>
  <w:style w:type="character" w:customStyle="1" w:styleId="BodyTextChar">
    <w:name w:val="Body Text Char"/>
    <w:basedOn w:val="DefaultParagraphFont"/>
    <w:link w:val="BodyText"/>
    <w:uiPriority w:val="99"/>
    <w:semiHidden/>
    <w:rsid w:val="00EC5E20"/>
    <w:rPr>
      <w:sz w:val="22"/>
      <w:szCs w:val="22"/>
    </w:rPr>
  </w:style>
  <w:style w:type="paragraph" w:styleId="ListNumber">
    <w:name w:val="List Number"/>
    <w:basedOn w:val="Normal"/>
    <w:uiPriority w:val="99"/>
    <w:semiHidden/>
    <w:unhideWhenUsed/>
    <w:rsid w:val="00EC5E20"/>
    <w:pPr>
      <w:numPr>
        <w:numId w:val="1"/>
      </w:numPr>
      <w:contextualSpacing/>
    </w:pPr>
  </w:style>
  <w:style w:type="paragraph" w:styleId="ListNumber2">
    <w:name w:val="List Number 2"/>
    <w:basedOn w:val="Normal"/>
    <w:uiPriority w:val="99"/>
    <w:semiHidden/>
    <w:unhideWhenUsed/>
    <w:rsid w:val="00EC5E20"/>
    <w:pPr>
      <w:numPr>
        <w:numId w:val="2"/>
      </w:numPr>
      <w:contextualSpacing/>
    </w:pPr>
  </w:style>
  <w:style w:type="paragraph" w:styleId="ListNumber3">
    <w:name w:val="List Number 3"/>
    <w:basedOn w:val="Normal"/>
    <w:uiPriority w:val="99"/>
    <w:semiHidden/>
    <w:unhideWhenUsed/>
    <w:rsid w:val="00EC5E20"/>
    <w:pPr>
      <w:numPr>
        <w:numId w:val="3"/>
      </w:numPr>
      <w:contextualSpacing/>
    </w:pPr>
  </w:style>
  <w:style w:type="paragraph" w:styleId="BalloonText">
    <w:name w:val="Balloon Text"/>
    <w:basedOn w:val="Normal"/>
    <w:link w:val="BalloonTextChar"/>
    <w:uiPriority w:val="99"/>
    <w:semiHidden/>
    <w:unhideWhenUsed/>
    <w:rsid w:val="00EC5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E20"/>
    <w:rPr>
      <w:rFonts w:ascii="Tahoma" w:hAnsi="Tahoma" w:cs="Tahoma"/>
      <w:sz w:val="16"/>
      <w:szCs w:val="16"/>
    </w:rPr>
  </w:style>
  <w:style w:type="paragraph" w:styleId="ListParagraph">
    <w:name w:val="List Paragraph"/>
    <w:basedOn w:val="Normal"/>
    <w:uiPriority w:val="34"/>
    <w:qFormat/>
    <w:rsid w:val="00C046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'Zero Net Pathways'!$B$34</c:f>
              <c:strCache>
                <c:ptCount val="1"/>
                <c:pt idx="0">
                  <c:v>Significant</c:v>
                </c:pt>
              </c:strCache>
            </c:strRef>
          </c:tx>
          <c:spPr>
            <a:ln w="38100" cap="rnd">
              <a:solidFill>
                <a:schemeClr val="accent4"/>
              </a:solidFill>
              <a:round/>
            </a:ln>
            <a:effectLst/>
          </c:spPr>
          <c:marker>
            <c:symbol val="none"/>
          </c:marker>
          <c:cat>
            <c:numRef>
              <c:f>'Zero Net Pathways'!$C$32:$AL$32</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'Zero Net Pathways'!$C$34:$AL$34</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4571534.7318394212</c:v>
                </c:pt>
                <c:pt idx="7">
                  <c:v>4490357.9937950298</c:v>
                </c:pt>
                <c:pt idx="8">
                  <c:v>4404582.5184466504</c:v>
                </c:pt>
                <c:pt idx="9">
                  <c:v>4314111.0369169302</c:v>
                </c:pt>
                <c:pt idx="10">
                  <c:v>4223689.6032174313</c:v>
                </c:pt>
                <c:pt idx="11">
                  <c:v>4082950.082974901</c:v>
                </c:pt>
                <c:pt idx="12">
                  <c:v>4096276.56518781</c:v>
                </c:pt>
                <c:pt idx="13">
                  <c:v>3788567.035002064</c:v>
                </c:pt>
                <c:pt idx="14">
                  <c:v>3553418.3573113075</c:v>
                </c:pt>
                <c:pt idx="15">
                  <c:v>3339083.2338987831</c:v>
                </c:pt>
                <c:pt idx="16">
                  <c:v>3087613.1635764707</c:v>
                </c:pt>
                <c:pt idx="17">
                  <c:v>2933365.3285993161</c:v>
                </c:pt>
                <c:pt idx="18">
                  <c:v>2770269.2915973286</c:v>
                </c:pt>
                <c:pt idx="19">
                  <c:v>2541332.5626675761</c:v>
                </c:pt>
                <c:pt idx="20">
                  <c:v>2186903.9561544321</c:v>
                </c:pt>
                <c:pt idx="21">
                  <c:v>2077711.655214289</c:v>
                </c:pt>
                <c:pt idx="22">
                  <c:v>1970859.6813678998</c:v>
                </c:pt>
                <c:pt idx="23">
                  <c:v>1856274.6587258824</c:v>
                </c:pt>
                <c:pt idx="24">
                  <c:v>1738300.6425200328</c:v>
                </c:pt>
                <c:pt idx="25">
                  <c:v>1590637.1380599625</c:v>
                </c:pt>
                <c:pt idx="26">
                  <c:v>1482064.0347196646</c:v>
                </c:pt>
                <c:pt idx="27">
                  <c:v>1353481.8133389899</c:v>
                </c:pt>
                <c:pt idx="28">
                  <c:v>1221024.9243863034</c:v>
                </c:pt>
                <c:pt idx="29">
                  <c:v>1084502.1704429281</c:v>
                </c:pt>
                <c:pt idx="30">
                  <c:v>955565.93959695986</c:v>
                </c:pt>
                <c:pt idx="31">
                  <c:v>899268.76799750049</c:v>
                </c:pt>
                <c:pt idx="32">
                  <c:v>854657.68168984586</c:v>
                </c:pt>
                <c:pt idx="33">
                  <c:v>807302.80057462351</c:v>
                </c:pt>
                <c:pt idx="34">
                  <c:v>757044.75032253982</c:v>
                </c:pt>
                <c:pt idx="35">
                  <c:v>703714.0406885976</c:v>
                </c:pt>
              </c:numCache>
            </c:numRef>
          </c:val>
          <c:smooth val="0"/>
        </c:ser>
        <c:ser>
          <c:idx val="4"/>
          <c:order val="1"/>
          <c:tx>
            <c:strRef>
              <c:f>'Zero Net Pathways'!$B$35</c:f>
              <c:strCache>
                <c:ptCount val="1"/>
                <c:pt idx="0">
                  <c:v>Accelerated</c:v>
                </c:pt>
              </c:strCache>
            </c:strRef>
          </c:tx>
          <c:spPr>
            <a:ln w="38100" cap="rnd">
              <a:solidFill>
                <a:schemeClr val="accent5"/>
              </a:solidFill>
              <a:round/>
            </a:ln>
            <a:effectLst/>
          </c:spPr>
          <c:marker>
            <c:symbol val="none"/>
          </c:marker>
          <c:cat>
            <c:numRef>
              <c:f>'Zero Net Pathways'!$C$32:$AL$32</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'Zero Net Pathways'!$C$35:$AL$35</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4485049.2645214647</c:v>
                </c:pt>
                <c:pt idx="7">
                  <c:v>4319395.4426308852</c:v>
                </c:pt>
                <c:pt idx="8">
                  <c:v>4150727.3409125605</c:v>
                </c:pt>
                <c:pt idx="9">
                  <c:v>3978817.8218198856</c:v>
                </c:pt>
                <c:pt idx="10">
                  <c:v>3808892.2626495361</c:v>
                </c:pt>
                <c:pt idx="11">
                  <c:v>3616198.6795546627</c:v>
                </c:pt>
                <c:pt idx="12">
                  <c:v>3538394.5119108511</c:v>
                </c:pt>
                <c:pt idx="13">
                  <c:v>3134059.0172052123</c:v>
                </c:pt>
                <c:pt idx="14">
                  <c:v>2804207.6602098839</c:v>
                </c:pt>
                <c:pt idx="15">
                  <c:v>2500815.5439957492</c:v>
                </c:pt>
                <c:pt idx="16">
                  <c:v>2236895.5486129834</c:v>
                </c:pt>
                <c:pt idx="17">
                  <c:v>2082987.2505858531</c:v>
                </c:pt>
                <c:pt idx="18">
                  <c:v>1941603.2594246455</c:v>
                </c:pt>
                <c:pt idx="19">
                  <c:v>1742143.2339213425</c:v>
                </c:pt>
                <c:pt idx="20">
                  <c:v>1364636.3768618121</c:v>
                </c:pt>
                <c:pt idx="21">
                  <c:v>1232658.4641950736</c:v>
                </c:pt>
                <c:pt idx="22">
                  <c:v>1102621.9891827139</c:v>
                </c:pt>
                <c:pt idx="23">
                  <c:v>964662.42515710648</c:v>
                </c:pt>
                <c:pt idx="24">
                  <c:v>823114.30982106226</c:v>
                </c:pt>
                <c:pt idx="25">
                  <c:v>655534.93941322248</c:v>
                </c:pt>
                <c:pt idx="26">
                  <c:v>654974.34892797563</c:v>
                </c:pt>
                <c:pt idx="27">
                  <c:v>636797.35688114632</c:v>
                </c:pt>
                <c:pt idx="28">
                  <c:v>617236.11059749639</c:v>
                </c:pt>
                <c:pt idx="29">
                  <c:v>596198.056702503</c:v>
                </c:pt>
                <c:pt idx="30">
                  <c:v>585738.52491778648</c:v>
                </c:pt>
                <c:pt idx="31">
                  <c:v>547054.66786235617</c:v>
                </c:pt>
                <c:pt idx="32">
                  <c:v>520865.51971764769</c:v>
                </c:pt>
                <c:pt idx="33">
                  <c:v>492769.88928975351</c:v>
                </c:pt>
                <c:pt idx="34">
                  <c:v>462637.97365414817</c:v>
                </c:pt>
                <c:pt idx="35">
                  <c:v>430330.76334360242</c:v>
                </c:pt>
              </c:numCache>
            </c:numRef>
          </c:val>
          <c:smooth val="0"/>
        </c:ser>
        <c:ser>
          <c:idx val="0"/>
          <c:order val="2"/>
          <c:tx>
            <c:strRef>
              <c:f>'Zero Net Pathways'!$B$37</c:f>
              <c:strCache>
                <c:ptCount val="1"/>
                <c:pt idx="0">
                  <c:v>2020 offsets</c:v>
                </c:pt>
              </c:strCache>
            </c:strRef>
          </c:tx>
          <c:spPr>
            <a:ln w="38100" cap="rnd">
              <a:solidFill>
                <a:schemeClr val="accent1"/>
              </a:solidFill>
              <a:round/>
            </a:ln>
            <a:effectLst/>
          </c:spPr>
          <c:marker>
            <c:symbol val="none"/>
          </c:marker>
          <c:cat>
            <c:numRef>
              <c:f>'Zero Net Pathways'!$C$32:$AL$32</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'Zero Net Pathways'!$C$37:$AL$37</c:f>
              <c:numCache>
                <c:formatCode>_-* #,##0_-;\-* #,##0_-;_-* "-"??_-;_-@_-</c:formatCode>
                <c:ptCount val="36"/>
                <c:pt idx="0">
                  <c:v>4700672.0338636925</c:v>
                </c:pt>
                <c:pt idx="1">
                  <c:v>4696369.2346580112</c:v>
                </c:pt>
                <c:pt idx="2">
                  <c:v>4741394.2660014536</c:v>
                </c:pt>
                <c:pt idx="3">
                  <c:v>4673472.859191576</c:v>
                </c:pt>
                <c:pt idx="4">
                  <c:v>4660297.4720965521</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numCache>
            </c:numRef>
          </c:val>
          <c:smooth val="0"/>
        </c:ser>
        <c:ser>
          <c:idx val="2"/>
          <c:order val="3"/>
          <c:tx>
            <c:strRef>
              <c:f>'Zero Net Pathways'!$B$33</c:f>
              <c:strCache>
                <c:ptCount val="1"/>
                <c:pt idx="0">
                  <c:v>BAU</c:v>
                </c:pt>
              </c:strCache>
            </c:strRef>
          </c:tx>
          <c:spPr>
            <a:ln w="38100" cap="rnd">
              <a:solidFill>
                <a:srgbClr val="FFC000"/>
              </a:solidFill>
              <a:round/>
            </a:ln>
            <a:effectLst/>
          </c:spPr>
          <c:marker>
            <c:symbol val="none"/>
          </c:marker>
          <c:cat>
            <c:numRef>
              <c:f>'Zero Net Pathways'!$C$32:$AL$32</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'Zero Net Pathways'!$C$33:$AL$33</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4642890.7137661427</c:v>
                </c:pt>
                <c:pt idx="7">
                  <c:v>4632332.9970868519</c:v>
                </c:pt>
                <c:pt idx="8">
                  <c:v>4616270.8836241802</c:v>
                </c:pt>
                <c:pt idx="9">
                  <c:v>4594685.0072553838</c:v>
                </c:pt>
                <c:pt idx="10">
                  <c:v>4571846.7739768438</c:v>
                </c:pt>
                <c:pt idx="11">
                  <c:v>4543213.4843731821</c:v>
                </c:pt>
                <c:pt idx="12">
                  <c:v>4634368.8789914437</c:v>
                </c:pt>
                <c:pt idx="13">
                  <c:v>4594867.5550485309</c:v>
                </c:pt>
                <c:pt idx="14">
                  <c:v>4505432.4575895956</c:v>
                </c:pt>
                <c:pt idx="15">
                  <c:v>4412266.7716306318</c:v>
                </c:pt>
                <c:pt idx="16">
                  <c:v>4309352.5715974774</c:v>
                </c:pt>
                <c:pt idx="17">
                  <c:v>4275880.8768228898</c:v>
                </c:pt>
                <c:pt idx="18">
                  <c:v>4183799.5100896894</c:v>
                </c:pt>
                <c:pt idx="19">
                  <c:v>3999927.726037276</c:v>
                </c:pt>
                <c:pt idx="20">
                  <c:v>3801904.7604337926</c:v>
                </c:pt>
                <c:pt idx="21">
                  <c:v>3862147.8481064807</c:v>
                </c:pt>
                <c:pt idx="22">
                  <c:v>3928653.8962255539</c:v>
                </c:pt>
                <c:pt idx="23">
                  <c:v>3991201.2891816767</c:v>
                </c:pt>
                <c:pt idx="24">
                  <c:v>4054264.154867196</c:v>
                </c:pt>
                <c:pt idx="25">
                  <c:v>4117805.5253755567</c:v>
                </c:pt>
                <c:pt idx="26">
                  <c:v>4203587.6251553576</c:v>
                </c:pt>
                <c:pt idx="27">
                  <c:v>4273644.4212558176</c:v>
                </c:pt>
                <c:pt idx="28">
                  <c:v>4344249.5902041234</c:v>
                </c:pt>
                <c:pt idx="29">
                  <c:v>4415353.0654669004</c:v>
                </c:pt>
                <c:pt idx="30">
                  <c:v>4486899.2442879044</c:v>
                </c:pt>
                <c:pt idx="31">
                  <c:v>4546767.5256832177</c:v>
                </c:pt>
                <c:pt idx="32">
                  <c:v>4621293.569344312</c:v>
                </c:pt>
                <c:pt idx="33">
                  <c:v>4696123.8765626764</c:v>
                </c:pt>
                <c:pt idx="34">
                  <c:v>4771177.3962028772</c:v>
                </c:pt>
                <c:pt idx="35">
                  <c:v>4846364.9515051609</c:v>
                </c:pt>
              </c:numCache>
            </c:numRef>
          </c:val>
          <c:smooth val="0"/>
        </c:ser>
        <c:dLbls>
          <c:showLegendKey val="0"/>
          <c:showVal val="0"/>
          <c:showCatName val="0"/>
          <c:showSerName val="0"/>
          <c:showPercent val="0"/>
          <c:showBubbleSize val="0"/>
        </c:dLbls>
        <c:marker val="1"/>
        <c:smooth val="0"/>
        <c:axId val="207637504"/>
        <c:axId val="207663872"/>
      </c:lineChart>
      <c:catAx>
        <c:axId val="207637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7663872"/>
        <c:crosses val="autoZero"/>
        <c:auto val="1"/>
        <c:lblAlgn val="ctr"/>
        <c:lblOffset val="100"/>
        <c:tickLblSkip val="5"/>
        <c:noMultiLvlLbl val="0"/>
      </c:catAx>
      <c:valAx>
        <c:axId val="207663872"/>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 sourceLinked="0"/>
        <c:majorTickMark val="out"/>
        <c:minorTickMark val="none"/>
        <c:tickLblPos val="nextTo"/>
        <c:spPr>
          <a:noFill/>
          <a:effectLst/>
        </c:spPr>
        <c:txPr>
          <a:bodyPr rot="-60000000" vert="horz"/>
          <a:lstStyle/>
          <a:p>
            <a:pPr>
              <a:defRPr/>
            </a:pPr>
            <a:endParaRPr lang="en-US"/>
          </a:p>
        </c:txPr>
        <c:crossAx val="207637504"/>
        <c:crosses val="autoZero"/>
        <c:crossBetween val="between"/>
      </c:valAx>
      <c:spPr>
        <a:noFill/>
        <a:ln>
          <a:noFill/>
        </a:ln>
        <a:effectLst/>
      </c:spPr>
    </c:plotArea>
    <c:legend>
      <c:legendPos val="r"/>
      <c:layout/>
      <c:overlay val="0"/>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26791175896403"/>
          <c:y val="4.5128205128205132E-2"/>
          <c:w val="0.61202569059310763"/>
          <c:h val="0.86469743589743586"/>
        </c:manualLayout>
      </c:layout>
      <c:areaChart>
        <c:grouping val="stacked"/>
        <c:varyColors val="0"/>
        <c:ser>
          <c:idx val="5"/>
          <c:order val="0"/>
          <c:tx>
            <c:strRef>
              <c:f>'HIDDEN_Dashboard charts data'!$B$11</c:f>
              <c:strCache>
                <c:ptCount val="1"/>
                <c:pt idx="0">
                  <c:v>Trajectory</c:v>
                </c:pt>
              </c:strCache>
            </c:strRef>
          </c:tx>
          <c:spPr>
            <a:noFill/>
            <a:ln w="25400">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data'!$F$11:$AO$11</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4569755.9083100092</c:v>
                </c:pt>
                <c:pt idx="7">
                  <c:v>4486927.4055597363</c:v>
                </c:pt>
                <c:pt idx="8">
                  <c:v>4399627.2243290031</c:v>
                </c:pt>
                <c:pt idx="9">
                  <c:v>4307758.0957404599</c:v>
                </c:pt>
                <c:pt idx="10">
                  <c:v>4216066.0738056665</c:v>
                </c:pt>
                <c:pt idx="11">
                  <c:v>4082950.082974901</c:v>
                </c:pt>
                <c:pt idx="12">
                  <c:v>4096276.56518781</c:v>
                </c:pt>
                <c:pt idx="13">
                  <c:v>3788567.0350020635</c:v>
                </c:pt>
                <c:pt idx="14">
                  <c:v>3553418.3573113075</c:v>
                </c:pt>
                <c:pt idx="15">
                  <c:v>3339083.2338987836</c:v>
                </c:pt>
                <c:pt idx="16">
                  <c:v>3087613.1635764702</c:v>
                </c:pt>
                <c:pt idx="17">
                  <c:v>2933365.3285993156</c:v>
                </c:pt>
                <c:pt idx="18">
                  <c:v>2770269.2915973291</c:v>
                </c:pt>
                <c:pt idx="19">
                  <c:v>2541332.5626675757</c:v>
                </c:pt>
                <c:pt idx="20">
                  <c:v>2186903.9561544321</c:v>
                </c:pt>
                <c:pt idx="21">
                  <c:v>2077711.6552142885</c:v>
                </c:pt>
                <c:pt idx="22">
                  <c:v>1970859.6813678993</c:v>
                </c:pt>
                <c:pt idx="23">
                  <c:v>1856274.6587258829</c:v>
                </c:pt>
                <c:pt idx="24">
                  <c:v>1738300.6425200328</c:v>
                </c:pt>
                <c:pt idx="25">
                  <c:v>1590637.1380599621</c:v>
                </c:pt>
                <c:pt idx="26">
                  <c:v>1482064.0347196646</c:v>
                </c:pt>
                <c:pt idx="27">
                  <c:v>1353481.8133389903</c:v>
                </c:pt>
                <c:pt idx="28">
                  <c:v>1221024.9243863029</c:v>
                </c:pt>
                <c:pt idx="29">
                  <c:v>1084502.1704429276</c:v>
                </c:pt>
                <c:pt idx="30">
                  <c:v>955565.93959695986</c:v>
                </c:pt>
                <c:pt idx="31">
                  <c:v>899268.76799750002</c:v>
                </c:pt>
                <c:pt idx="32">
                  <c:v>854657.6816898454</c:v>
                </c:pt>
                <c:pt idx="33">
                  <c:v>807302.80057462351</c:v>
                </c:pt>
                <c:pt idx="34">
                  <c:v>757044.75032253889</c:v>
                </c:pt>
                <c:pt idx="35">
                  <c:v>703714.04068859806</c:v>
                </c:pt>
              </c:numCache>
            </c:numRef>
          </c:val>
          <c:extLst xmlns:c16r2="http://schemas.microsoft.com/office/drawing/2015/06/chart">
            <c:ext xmlns:c16="http://schemas.microsoft.com/office/drawing/2014/chart" uri="{C3380CC4-5D6E-409C-BE32-E72D297353CC}">
              <c16:uniqueId val="{00000000-937D-A743-910A-229FA2D339E8}"/>
            </c:ext>
          </c:extLst>
        </c:ser>
        <c:ser>
          <c:idx val="0"/>
          <c:order val="1"/>
          <c:tx>
            <c:strRef>
              <c:f>'HIDDEN_Dashboard charts data'!$B$7</c:f>
              <c:strCache>
                <c:ptCount val="1"/>
                <c:pt idx="0">
                  <c:v>Energy Supply</c:v>
                </c:pt>
              </c:strCache>
            </c:strRef>
          </c:tx>
          <c:spPr>
            <a:solidFill>
              <a:srgbClr val="0070C0"/>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data'!$F$7:$AO$7</c:f>
              <c:numCache>
                <c:formatCode>_-* #,##0_-;\-* #,##0_-;_-* "-"??_-;_-@_-</c:formatCode>
                <c:ptCount val="36"/>
                <c:pt idx="0">
                  <c:v>0</c:v>
                </c:pt>
                <c:pt idx="1">
                  <c:v>0</c:v>
                </c:pt>
                <c:pt idx="2">
                  <c:v>0</c:v>
                </c:pt>
                <c:pt idx="3">
                  <c:v>0</c:v>
                </c:pt>
                <c:pt idx="4">
                  <c:v>0</c:v>
                </c:pt>
                <c:pt idx="5">
                  <c:v>0</c:v>
                </c:pt>
                <c:pt idx="6">
                  <c:v>22399.835294117649</c:v>
                </c:pt>
                <c:pt idx="7">
                  <c:v>43199.682352941178</c:v>
                </c:pt>
                <c:pt idx="8">
                  <c:v>62399.541176470579</c:v>
                </c:pt>
                <c:pt idx="9">
                  <c:v>79999.411764705874</c:v>
                </c:pt>
                <c:pt idx="10">
                  <c:v>95999.294117647034</c:v>
                </c:pt>
                <c:pt idx="11">
                  <c:v>142771.96482546255</c:v>
                </c:pt>
                <c:pt idx="12">
                  <c:v>167024.78896888721</c:v>
                </c:pt>
                <c:pt idx="13">
                  <c:v>384622.60463739512</c:v>
                </c:pt>
                <c:pt idx="14">
                  <c:v>480952.40247720643</c:v>
                </c:pt>
                <c:pt idx="15">
                  <c:v>554395.31585750275</c:v>
                </c:pt>
                <c:pt idx="16">
                  <c:v>634699.7140005168</c:v>
                </c:pt>
                <c:pt idx="17">
                  <c:v>693450.73913363321</c:v>
                </c:pt>
                <c:pt idx="18">
                  <c:v>713966.00309516164</c:v>
                </c:pt>
                <c:pt idx="19">
                  <c:v>714357.01915990689</c:v>
                </c:pt>
                <c:pt idx="20">
                  <c:v>797849.98641276138</c:v>
                </c:pt>
                <c:pt idx="21">
                  <c:v>892170.22962003108</c:v>
                </c:pt>
                <c:pt idx="22">
                  <c:v>988191.22496037779</c:v>
                </c:pt>
                <c:pt idx="23">
                  <c:v>1086241.6420220097</c:v>
                </c:pt>
                <c:pt idx="24">
                  <c:v>1186397.4509601947</c:v>
                </c:pt>
                <c:pt idx="25">
                  <c:v>1311031.5185874624</c:v>
                </c:pt>
                <c:pt idx="26">
                  <c:v>1419469.2397614764</c:v>
                </c:pt>
                <c:pt idx="27">
                  <c:v>1530072.5003954889</c:v>
                </c:pt>
                <c:pt idx="28">
                  <c:v>1642915.1905094488</c:v>
                </c:pt>
                <c:pt idx="29">
                  <c:v>1758071.2829088108</c:v>
                </c:pt>
                <c:pt idx="30">
                  <c:v>1866462.7706082647</c:v>
                </c:pt>
                <c:pt idx="31">
                  <c:v>1885026.4142833317</c:v>
                </c:pt>
                <c:pt idx="32">
                  <c:v>1904038.9458241556</c:v>
                </c:pt>
                <c:pt idx="33">
                  <c:v>1923500.2841181336</c:v>
                </c:pt>
                <c:pt idx="34">
                  <c:v>1943410.1294394333</c:v>
                </c:pt>
                <c:pt idx="35">
                  <c:v>1963767.9522209221</c:v>
                </c:pt>
              </c:numCache>
            </c:numRef>
          </c:val>
          <c:extLst xmlns:c16r2="http://schemas.microsoft.com/office/drawing/2015/06/chart">
            <c:ext xmlns:c16="http://schemas.microsoft.com/office/drawing/2014/chart" uri="{C3380CC4-5D6E-409C-BE32-E72D297353CC}">
              <c16:uniqueId val="{00000001-937D-A743-910A-229FA2D339E8}"/>
            </c:ext>
          </c:extLst>
        </c:ser>
        <c:ser>
          <c:idx val="1"/>
          <c:order val="2"/>
          <c:tx>
            <c:strRef>
              <c:f>'HIDDEN_Dashboard charts data'!$B$8</c:f>
              <c:strCache>
                <c:ptCount val="1"/>
                <c:pt idx="0">
                  <c:v>Buildings</c:v>
                </c:pt>
              </c:strCache>
            </c:strRef>
          </c:tx>
          <c:spPr>
            <a:solidFill>
              <a:schemeClr val="accent2"/>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data'!$F$8:$AO$8</c:f>
              <c:numCache>
                <c:formatCode>_-* #,##0_-;\-* #,##0_-;_-* "-"??_-;_-@_-</c:formatCode>
                <c:ptCount val="36"/>
                <c:pt idx="0">
                  <c:v>0</c:v>
                </c:pt>
                <c:pt idx="1">
                  <c:v>0</c:v>
                </c:pt>
                <c:pt idx="2">
                  <c:v>0</c:v>
                </c:pt>
                <c:pt idx="3">
                  <c:v>0</c:v>
                </c:pt>
                <c:pt idx="4">
                  <c:v>0</c:v>
                </c:pt>
                <c:pt idx="5">
                  <c:v>0</c:v>
                </c:pt>
                <c:pt idx="6">
                  <c:v>27751.635869369064</c:v>
                </c:pt>
                <c:pt idx="7">
                  <c:v>56034.335350045993</c:v>
                </c:pt>
                <c:pt idx="8">
                  <c:v>84667.73654409415</c:v>
                </c:pt>
                <c:pt idx="9">
                  <c:v>113717.32890848999</c:v>
                </c:pt>
                <c:pt idx="10">
                  <c:v>142711.47552234103</c:v>
                </c:pt>
                <c:pt idx="11">
                  <c:v>176350.99399999311</c:v>
                </c:pt>
                <c:pt idx="12">
                  <c:v>205608.50529894492</c:v>
                </c:pt>
                <c:pt idx="13">
                  <c:v>231664.13128815033</c:v>
                </c:pt>
                <c:pt idx="14">
                  <c:v>256225.54782283894</c:v>
                </c:pt>
                <c:pt idx="15">
                  <c:v>278910.69860600075</c:v>
                </c:pt>
                <c:pt idx="16">
                  <c:v>323427.86887947191</c:v>
                </c:pt>
                <c:pt idx="17">
                  <c:v>361429.22407325613</c:v>
                </c:pt>
                <c:pt idx="18">
                  <c:v>387605.92872541689</c:v>
                </c:pt>
                <c:pt idx="19">
                  <c:v>407686.87461324048</c:v>
                </c:pt>
                <c:pt idx="20">
                  <c:v>455692.00212865078</c:v>
                </c:pt>
                <c:pt idx="21">
                  <c:v>505617.16124345677</c:v>
                </c:pt>
                <c:pt idx="22">
                  <c:v>557450.4630927071</c:v>
                </c:pt>
                <c:pt idx="23">
                  <c:v>610706.42613475292</c:v>
                </c:pt>
                <c:pt idx="24">
                  <c:v>665430.32812650059</c:v>
                </c:pt>
                <c:pt idx="25">
                  <c:v>725503.74476692337</c:v>
                </c:pt>
                <c:pt idx="26">
                  <c:v>784574.26528059249</c:v>
                </c:pt>
                <c:pt idx="27">
                  <c:v>845403.86486323178</c:v>
                </c:pt>
                <c:pt idx="28">
                  <c:v>908047.97276042635</c:v>
                </c:pt>
                <c:pt idx="29">
                  <c:v>972563.55077893869</c:v>
                </c:pt>
                <c:pt idx="30">
                  <c:v>1036310.1213127025</c:v>
                </c:pt>
                <c:pt idx="31">
                  <c:v>1105166.9871253537</c:v>
                </c:pt>
                <c:pt idx="32">
                  <c:v>1176134.9364392972</c:v>
                </c:pt>
                <c:pt idx="33">
                  <c:v>1249278.9954696926</c:v>
                </c:pt>
                <c:pt idx="34">
                  <c:v>1324666.0192146967</c:v>
                </c:pt>
                <c:pt idx="35">
                  <c:v>1402364.7420577267</c:v>
                </c:pt>
              </c:numCache>
            </c:numRef>
          </c:val>
          <c:extLst xmlns:c16r2="http://schemas.microsoft.com/office/drawing/2015/06/chart">
            <c:ext xmlns:c16="http://schemas.microsoft.com/office/drawing/2014/chart" uri="{C3380CC4-5D6E-409C-BE32-E72D297353CC}">
              <c16:uniqueId val="{00000002-937D-A743-910A-229FA2D339E8}"/>
            </c:ext>
          </c:extLst>
        </c:ser>
        <c:ser>
          <c:idx val="2"/>
          <c:order val="3"/>
          <c:tx>
            <c:strRef>
              <c:f>'HIDDEN_Dashboard charts data'!$B$9</c:f>
              <c:strCache>
                <c:ptCount val="1"/>
                <c:pt idx="0">
                  <c:v>Transport</c:v>
                </c:pt>
              </c:strCache>
            </c:strRef>
          </c:tx>
          <c:spPr>
            <a:solidFill>
              <a:srgbClr val="00A3AE"/>
            </a:solidFill>
            <a:ln>
              <a:solidFill>
                <a:srgbClr val="00A3AE"/>
              </a:solid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data'!$F$9:$AO$9</c:f>
              <c:numCache>
                <c:formatCode>_-* #,##0_-;\-* #,##0_-;_-* "-"??_-;_-@_-</c:formatCode>
                <c:ptCount val="36"/>
                <c:pt idx="0">
                  <c:v>0</c:v>
                </c:pt>
                <c:pt idx="1">
                  <c:v>0</c:v>
                </c:pt>
                <c:pt idx="2">
                  <c:v>0</c:v>
                </c:pt>
                <c:pt idx="3">
                  <c:v>0</c:v>
                </c:pt>
                <c:pt idx="4">
                  <c:v>0</c:v>
                </c:pt>
                <c:pt idx="5">
                  <c:v>0</c:v>
                </c:pt>
                <c:pt idx="6">
                  <c:v>19836.264939434979</c:v>
                </c:pt>
                <c:pt idx="7">
                  <c:v>39741.430011750403</c:v>
                </c:pt>
                <c:pt idx="8">
                  <c:v>59718.413492401436</c:v>
                </c:pt>
                <c:pt idx="9">
                  <c:v>79770.249696839077</c:v>
                </c:pt>
                <c:pt idx="10">
                  <c:v>99900.092577576157</c:v>
                </c:pt>
                <c:pt idx="11">
                  <c:v>120111.21942341313</c:v>
                </c:pt>
                <c:pt idx="12">
                  <c:v>140407.03466361668</c:v>
                </c:pt>
                <c:pt idx="13">
                  <c:v>160791.0737799182</c:v>
                </c:pt>
                <c:pt idx="14">
                  <c:v>181267.00732927618</c:v>
                </c:pt>
                <c:pt idx="15">
                  <c:v>201838.64508042519</c:v>
                </c:pt>
                <c:pt idx="16">
                  <c:v>222427.11208732717</c:v>
                </c:pt>
                <c:pt idx="17">
                  <c:v>243173.73853681906</c:v>
                </c:pt>
                <c:pt idx="18">
                  <c:v>264082.42637815815</c:v>
                </c:pt>
                <c:pt idx="19">
                  <c:v>285157.20138178789</c:v>
                </c:pt>
                <c:pt idx="20">
                  <c:v>306402.21677821735</c:v>
                </c:pt>
                <c:pt idx="21">
                  <c:v>327821.756998503</c:v>
                </c:pt>
                <c:pt idx="22">
                  <c:v>349420.24151908921</c:v>
                </c:pt>
                <c:pt idx="23">
                  <c:v>371202.22881383338</c:v>
                </c:pt>
                <c:pt idx="24">
                  <c:v>393172.42041612032</c:v>
                </c:pt>
                <c:pt idx="25">
                  <c:v>415335.66509404365</c:v>
                </c:pt>
                <c:pt idx="26">
                  <c:v>437696.96314171655</c:v>
                </c:pt>
                <c:pt idx="27">
                  <c:v>460261.47078984918</c:v>
                </c:pt>
                <c:pt idx="28">
                  <c:v>483034.50473881781</c:v>
                </c:pt>
                <c:pt idx="29">
                  <c:v>506021.5468175353</c:v>
                </c:pt>
                <c:pt idx="30">
                  <c:v>529228.248771518</c:v>
                </c:pt>
                <c:pt idx="31">
                  <c:v>552660.43718363857</c:v>
                </c:pt>
                <c:pt idx="32">
                  <c:v>576324.11853114131</c:v>
                </c:pt>
                <c:pt idx="33">
                  <c:v>600225.48438259528</c:v>
                </c:pt>
                <c:pt idx="34">
                  <c:v>624370.91673855809</c:v>
                </c:pt>
                <c:pt idx="35">
                  <c:v>648766.99351981701</c:v>
                </c:pt>
              </c:numCache>
            </c:numRef>
          </c:val>
          <c:extLst xmlns:c16r2="http://schemas.microsoft.com/office/drawing/2015/06/chart">
            <c:ext xmlns:c16="http://schemas.microsoft.com/office/drawing/2014/chart" uri="{C3380CC4-5D6E-409C-BE32-E72D297353CC}">
              <c16:uniqueId val="{00000003-937D-A743-910A-229FA2D339E8}"/>
            </c:ext>
          </c:extLst>
        </c:ser>
        <c:ser>
          <c:idx val="3"/>
          <c:order val="4"/>
          <c:tx>
            <c:strRef>
              <c:f>'HIDDEN_Dashboard charts data'!$B$10</c:f>
              <c:strCache>
                <c:ptCount val="1"/>
                <c:pt idx="0">
                  <c:v>Waste</c:v>
                </c:pt>
              </c:strCache>
            </c:strRef>
          </c:tx>
          <c:spPr>
            <a:solidFill>
              <a:schemeClr val="accent4"/>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data'!$F$10:$AO$10</c:f>
              <c:numCache>
                <c:formatCode>_-* #,##0_-;\-* #,##0_-;_-* "-"??_-;_-@_-</c:formatCode>
                <c:ptCount val="36"/>
                <c:pt idx="0">
                  <c:v>0</c:v>
                </c:pt>
                <c:pt idx="1">
                  <c:v>0</c:v>
                </c:pt>
                <c:pt idx="2">
                  <c:v>0</c:v>
                </c:pt>
                <c:pt idx="3">
                  <c:v>0</c:v>
                </c:pt>
                <c:pt idx="4">
                  <c:v>0</c:v>
                </c:pt>
                <c:pt idx="5">
                  <c:v>0</c:v>
                </c:pt>
                <c:pt idx="6">
                  <c:v>3147.0693532118166</c:v>
                </c:pt>
                <c:pt idx="7">
                  <c:v>6430.1438123781481</c:v>
                </c:pt>
                <c:pt idx="8">
                  <c:v>9857.9680822105875</c:v>
                </c:pt>
                <c:pt idx="9">
                  <c:v>13439.921144888867</c:v>
                </c:pt>
                <c:pt idx="10">
                  <c:v>17169.837953612834</c:v>
                </c:pt>
                <c:pt idx="11">
                  <c:v>21029.223149412115</c:v>
                </c:pt>
                <c:pt idx="12">
                  <c:v>25051.984872185058</c:v>
                </c:pt>
                <c:pt idx="13">
                  <c:v>29222.710341003673</c:v>
                </c:pt>
                <c:pt idx="14">
                  <c:v>33569.142648966423</c:v>
                </c:pt>
                <c:pt idx="15">
                  <c:v>38038.87818791953</c:v>
                </c:pt>
                <c:pt idx="16">
                  <c:v>41184.713053691259</c:v>
                </c:pt>
                <c:pt idx="17">
                  <c:v>44461.846479865642</c:v>
                </c:pt>
                <c:pt idx="18">
                  <c:v>47875.860293624042</c:v>
                </c:pt>
                <c:pt idx="19">
                  <c:v>51394.068214764826</c:v>
                </c:pt>
                <c:pt idx="20">
                  <c:v>55056.598959731193</c:v>
                </c:pt>
                <c:pt idx="21">
                  <c:v>58827.045030201021</c:v>
                </c:pt>
                <c:pt idx="22">
                  <c:v>62732.285285480291</c:v>
                </c:pt>
                <c:pt idx="23">
                  <c:v>66776.333485198047</c:v>
                </c:pt>
                <c:pt idx="24">
                  <c:v>70963.312844347471</c:v>
                </c:pt>
                <c:pt idx="25">
                  <c:v>75297.458867165144</c:v>
                </c:pt>
                <c:pt idx="26">
                  <c:v>79783.122251907684</c:v>
                </c:pt>
                <c:pt idx="27">
                  <c:v>84424.771868257158</c:v>
                </c:pt>
                <c:pt idx="28">
                  <c:v>89226.997809127366</c:v>
                </c:pt>
                <c:pt idx="29">
                  <c:v>94194.514518687269</c:v>
                </c:pt>
                <c:pt idx="30">
                  <c:v>99332.163998459262</c:v>
                </c:pt>
                <c:pt idx="31">
                  <c:v>104644.91909339372</c:v>
                </c:pt>
                <c:pt idx="32">
                  <c:v>110137.88685987232</c:v>
                </c:pt>
                <c:pt idx="33">
                  <c:v>115816.31201763121</c:v>
                </c:pt>
                <c:pt idx="34">
                  <c:v>121685.58048764968</c:v>
                </c:pt>
                <c:pt idx="35">
                  <c:v>127751.22301809693</c:v>
                </c:pt>
              </c:numCache>
            </c:numRef>
          </c:val>
          <c:extLst xmlns:c16r2="http://schemas.microsoft.com/office/drawing/2015/06/chart">
            <c:ext xmlns:c16="http://schemas.microsoft.com/office/drawing/2014/chart" uri="{C3380CC4-5D6E-409C-BE32-E72D297353CC}">
              <c16:uniqueId val="{00000004-937D-A743-910A-229FA2D339E8}"/>
            </c:ext>
          </c:extLst>
        </c:ser>
        <c:dLbls>
          <c:showLegendKey val="0"/>
          <c:showVal val="0"/>
          <c:showCatName val="0"/>
          <c:showSerName val="0"/>
          <c:showPercent val="0"/>
          <c:showBubbleSize val="0"/>
        </c:dLbls>
        <c:axId val="341660800"/>
        <c:axId val="341668608"/>
      </c:areaChart>
      <c:lineChart>
        <c:grouping val="standard"/>
        <c:varyColors val="0"/>
        <c:ser>
          <c:idx val="4"/>
          <c:order val="5"/>
          <c:tx>
            <c:strRef>
              <c:f>'HIDDEN_Dashboard charts data'!$B$7</c:f>
              <c:strCache>
                <c:ptCount val="1"/>
                <c:pt idx="0">
                  <c:v>Energy Supply</c:v>
                </c:pt>
              </c:strCache>
            </c:strRef>
          </c:tx>
          <c:spPr>
            <a:ln w="28575" cap="rnd">
              <a:solidFill>
                <a:schemeClr val="accent5"/>
              </a:solidFill>
              <a:prstDash val="dash"/>
              <a:round/>
            </a:ln>
            <a:effectLst/>
          </c:spPr>
          <c:marker>
            <c:symbol val="none"/>
          </c:marker>
          <c:val>
            <c:numRef>
              <c:f>'HIDDEN_Dashboard charts data'!$F$6:$AO$6</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4642890.7137661427</c:v>
                </c:pt>
                <c:pt idx="7">
                  <c:v>4632332.9970868519</c:v>
                </c:pt>
                <c:pt idx="8">
                  <c:v>4616270.8836241802</c:v>
                </c:pt>
                <c:pt idx="9">
                  <c:v>4594685.0072553838</c:v>
                </c:pt>
                <c:pt idx="10">
                  <c:v>4571846.7739768438</c:v>
                </c:pt>
                <c:pt idx="11">
                  <c:v>4543213.4843731821</c:v>
                </c:pt>
                <c:pt idx="12">
                  <c:v>4634368.8789914437</c:v>
                </c:pt>
                <c:pt idx="13">
                  <c:v>4594867.5550485309</c:v>
                </c:pt>
                <c:pt idx="14">
                  <c:v>4505432.4575895956</c:v>
                </c:pt>
                <c:pt idx="15">
                  <c:v>4412266.7716306318</c:v>
                </c:pt>
                <c:pt idx="16">
                  <c:v>4309352.5715974774</c:v>
                </c:pt>
                <c:pt idx="17">
                  <c:v>4275880.8768228898</c:v>
                </c:pt>
                <c:pt idx="18">
                  <c:v>4183799.5100896894</c:v>
                </c:pt>
                <c:pt idx="19">
                  <c:v>3999927.726037276</c:v>
                </c:pt>
                <c:pt idx="20">
                  <c:v>3801904.7604337926</c:v>
                </c:pt>
                <c:pt idx="21">
                  <c:v>3862147.8481064807</c:v>
                </c:pt>
                <c:pt idx="22">
                  <c:v>3928653.8962255539</c:v>
                </c:pt>
                <c:pt idx="23">
                  <c:v>3991201.2891816767</c:v>
                </c:pt>
                <c:pt idx="24">
                  <c:v>4054264.154867196</c:v>
                </c:pt>
                <c:pt idx="25">
                  <c:v>4117805.5253755567</c:v>
                </c:pt>
                <c:pt idx="26">
                  <c:v>4203587.6251553576</c:v>
                </c:pt>
                <c:pt idx="27">
                  <c:v>4273644.4212558176</c:v>
                </c:pt>
                <c:pt idx="28">
                  <c:v>4344249.5902041234</c:v>
                </c:pt>
                <c:pt idx="29">
                  <c:v>4415353.0654669004</c:v>
                </c:pt>
                <c:pt idx="30">
                  <c:v>4486899.2442879044</c:v>
                </c:pt>
                <c:pt idx="31">
                  <c:v>4546767.5256832177</c:v>
                </c:pt>
                <c:pt idx="32">
                  <c:v>4621293.569344312</c:v>
                </c:pt>
                <c:pt idx="33">
                  <c:v>4696123.8765626764</c:v>
                </c:pt>
                <c:pt idx="34">
                  <c:v>4771177.3962028772</c:v>
                </c:pt>
                <c:pt idx="35">
                  <c:v>4846364.9515051609</c:v>
                </c:pt>
              </c:numCache>
            </c:numRef>
          </c:val>
          <c:smooth val="0"/>
          <c:extLst xmlns:c16r2="http://schemas.microsoft.com/office/drawing/2015/06/chart">
            <c:ext xmlns:c16="http://schemas.microsoft.com/office/drawing/2014/chart" uri="{C3380CC4-5D6E-409C-BE32-E72D297353CC}">
              <c16:uniqueId val="{00000005-937D-A743-910A-229FA2D339E8}"/>
            </c:ext>
          </c:extLst>
        </c:ser>
        <c:ser>
          <c:idx val="6"/>
          <c:order val="6"/>
          <c:tx>
            <c:strRef>
              <c:f>'HIDDEN_Dashboard charts data'!$B$11</c:f>
              <c:strCache>
                <c:ptCount val="1"/>
                <c:pt idx="0">
                  <c:v>Trajectory</c:v>
                </c:pt>
              </c:strCache>
            </c:strRef>
          </c:tx>
          <c:spPr>
            <a:ln w="28575" cap="rnd">
              <a:solidFill>
                <a:schemeClr val="accent1">
                  <a:lumMod val="60000"/>
                </a:schemeClr>
              </a:solidFill>
              <a:round/>
            </a:ln>
            <a:effectLst/>
          </c:spPr>
          <c:marker>
            <c:symbol val="none"/>
          </c:marker>
          <c:val>
            <c:numRef>
              <c:f>'HIDDEN_Dashboard charts data'!$F$11:$AO$11</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4569755.9083100092</c:v>
                </c:pt>
                <c:pt idx="7">
                  <c:v>4486927.4055597363</c:v>
                </c:pt>
                <c:pt idx="8">
                  <c:v>4399627.2243290031</c:v>
                </c:pt>
                <c:pt idx="9">
                  <c:v>4307758.0957404599</c:v>
                </c:pt>
                <c:pt idx="10">
                  <c:v>4216066.0738056665</c:v>
                </c:pt>
                <c:pt idx="11">
                  <c:v>4082950.082974901</c:v>
                </c:pt>
                <c:pt idx="12">
                  <c:v>4096276.56518781</c:v>
                </c:pt>
                <c:pt idx="13">
                  <c:v>3788567.0350020635</c:v>
                </c:pt>
                <c:pt idx="14">
                  <c:v>3553418.3573113075</c:v>
                </c:pt>
                <c:pt idx="15">
                  <c:v>3339083.2338987836</c:v>
                </c:pt>
                <c:pt idx="16">
                  <c:v>3087613.1635764702</c:v>
                </c:pt>
                <c:pt idx="17">
                  <c:v>2933365.3285993156</c:v>
                </c:pt>
                <c:pt idx="18">
                  <c:v>2770269.2915973291</c:v>
                </c:pt>
                <c:pt idx="19">
                  <c:v>2541332.5626675757</c:v>
                </c:pt>
                <c:pt idx="20">
                  <c:v>2186903.9561544321</c:v>
                </c:pt>
                <c:pt idx="21">
                  <c:v>2077711.6552142885</c:v>
                </c:pt>
                <c:pt idx="22">
                  <c:v>1970859.6813678993</c:v>
                </c:pt>
                <c:pt idx="23">
                  <c:v>1856274.6587258829</c:v>
                </c:pt>
                <c:pt idx="24">
                  <c:v>1738300.6425200328</c:v>
                </c:pt>
                <c:pt idx="25">
                  <c:v>1590637.1380599621</c:v>
                </c:pt>
                <c:pt idx="26">
                  <c:v>1482064.0347196646</c:v>
                </c:pt>
                <c:pt idx="27">
                  <c:v>1353481.8133389903</c:v>
                </c:pt>
                <c:pt idx="28">
                  <c:v>1221024.9243863029</c:v>
                </c:pt>
                <c:pt idx="29">
                  <c:v>1084502.1704429276</c:v>
                </c:pt>
                <c:pt idx="30">
                  <c:v>955565.93959695986</c:v>
                </c:pt>
                <c:pt idx="31">
                  <c:v>899268.76799750002</c:v>
                </c:pt>
                <c:pt idx="32">
                  <c:v>854657.6816898454</c:v>
                </c:pt>
                <c:pt idx="33">
                  <c:v>807302.80057462351</c:v>
                </c:pt>
                <c:pt idx="34">
                  <c:v>757044.75032253889</c:v>
                </c:pt>
                <c:pt idx="35">
                  <c:v>703714.04068859806</c:v>
                </c:pt>
              </c:numCache>
            </c:numRef>
          </c:val>
          <c:smooth val="0"/>
          <c:extLst xmlns:c16r2="http://schemas.microsoft.com/office/drawing/2015/06/chart">
            <c:ext xmlns:c16="http://schemas.microsoft.com/office/drawing/2014/chart" uri="{C3380CC4-5D6E-409C-BE32-E72D297353CC}">
              <c16:uniqueId val="{00000006-937D-A743-910A-229FA2D339E8}"/>
            </c:ext>
          </c:extLst>
        </c:ser>
        <c:dLbls>
          <c:showLegendKey val="0"/>
          <c:showVal val="0"/>
          <c:showCatName val="0"/>
          <c:showSerName val="0"/>
          <c:showPercent val="0"/>
          <c:showBubbleSize val="0"/>
        </c:dLbls>
        <c:marker val="1"/>
        <c:smooth val="0"/>
        <c:axId val="341660800"/>
        <c:axId val="341668608"/>
      </c:lineChart>
      <c:catAx>
        <c:axId val="341660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a:lstStyle/>
          <a:p>
            <a:pPr>
              <a:defRPr/>
            </a:pPr>
            <a:endParaRPr lang="en-US"/>
          </a:p>
        </c:txPr>
        <c:crossAx val="341668608"/>
        <c:crosses val="autoZero"/>
        <c:auto val="1"/>
        <c:lblAlgn val="ctr"/>
        <c:lblOffset val="100"/>
        <c:tickLblSkip val="5"/>
        <c:noMultiLvlLbl val="0"/>
      </c:catAx>
      <c:valAx>
        <c:axId val="341668608"/>
        <c:scaling>
          <c:orientation val="minMax"/>
          <c:min val="0"/>
        </c:scaling>
        <c:delete val="0"/>
        <c:axPos val="l"/>
        <c:majorGridlines>
          <c:spPr>
            <a:ln w="9525" cap="flat" cmpd="sng" algn="ctr">
              <a:solidFill>
                <a:schemeClr val="tx1">
                  <a:lumMod val="15000"/>
                  <a:lumOff val="85000"/>
                </a:schemeClr>
              </a:solidFill>
              <a:prstDash val="sysDot"/>
              <a:round/>
            </a:ln>
            <a:effectLst/>
          </c:spPr>
        </c:majorGridlines>
        <c:title>
          <c:tx>
            <c:rich>
              <a:bodyPr rot="-5400000" vert="horz"/>
              <a:lstStyle/>
              <a:p>
                <a:pPr>
                  <a:defRPr/>
                </a:pPr>
                <a:r>
                  <a:rPr lang="en-AU"/>
                  <a:t>Emissions (tCO</a:t>
                </a:r>
                <a:r>
                  <a:rPr lang="en-US" sz="900" b="0" i="0" u="none" strike="noStrike" baseline="-25000">
                    <a:effectLst/>
                  </a:rPr>
                  <a:t>2</a:t>
                </a:r>
                <a:r>
                  <a:rPr lang="en-AU"/>
                  <a:t>-e)</a:t>
                </a:r>
              </a:p>
            </c:rich>
          </c:tx>
          <c:layout/>
          <c:overlay val="0"/>
        </c:title>
        <c:numFmt formatCode="_-* #,##0_-;\-* #,##0_-;_-* &quot;-&quot;??_-;_-@_-" sourceLinked="1"/>
        <c:majorTickMark val="out"/>
        <c:minorTickMark val="none"/>
        <c:tickLblPos val="nextTo"/>
        <c:spPr>
          <a:noFill/>
          <a:effectLst/>
        </c:spPr>
        <c:txPr>
          <a:bodyPr rot="-60000000" vert="horz"/>
          <a:lstStyle/>
          <a:p>
            <a:pPr>
              <a:defRPr/>
            </a:pPr>
            <a:endParaRPr lang="en-US"/>
          </a:p>
        </c:txPr>
        <c:crossAx val="341660800"/>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ayout/>
      <c:overlay val="0"/>
    </c:legend>
    <c:plotVisOnly val="1"/>
    <c:dispBlanksAs val="zero"/>
    <c:showDLblsOverMax val="0"/>
  </c:chart>
  <c:spPr>
    <a:noFill/>
    <a:ln w="9525" cap="flat" cmpd="sng" algn="ctr">
      <a:noFill/>
      <a:round/>
    </a:ln>
    <a:effectLst/>
  </c:spPr>
  <c:txPr>
    <a:bodyPr/>
    <a:lstStyle/>
    <a:p>
      <a:pPr>
        <a:defRPr sz="900" b="0">
          <a:latin typeface="+mn-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26791175896403"/>
          <c:y val="4.5128205128205132E-2"/>
          <c:w val="0.61202569059310763"/>
          <c:h val="0.86469743589743586"/>
        </c:manualLayout>
      </c:layout>
      <c:areaChart>
        <c:grouping val="stacked"/>
        <c:varyColors val="0"/>
        <c:ser>
          <c:idx val="5"/>
          <c:order val="0"/>
          <c:tx>
            <c:strRef>
              <c:f>'HIDDEN_Dashboard charts data'!$B$11</c:f>
              <c:strCache>
                <c:ptCount val="1"/>
                <c:pt idx="0">
                  <c:v>Trajectory</c:v>
                </c:pt>
              </c:strCache>
            </c:strRef>
          </c:tx>
          <c:spPr>
            <a:noFill/>
            <a:ln w="25400">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data'!$F$11:$AO$11</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4479712.7939332295</c:v>
                </c:pt>
                <c:pt idx="7">
                  <c:v>4309103.6779250028</c:v>
                </c:pt>
                <c:pt idx="8">
                  <c:v>4135861.4585596193</c:v>
                </c:pt>
                <c:pt idx="9">
                  <c:v>3959758.9982904736</c:v>
                </c:pt>
                <c:pt idx="10">
                  <c:v>3786021.6744142422</c:v>
                </c:pt>
                <c:pt idx="11">
                  <c:v>3588753.9736723099</c:v>
                </c:pt>
                <c:pt idx="12">
                  <c:v>3533709.5272443634</c:v>
                </c:pt>
                <c:pt idx="13">
                  <c:v>3134059.0172052123</c:v>
                </c:pt>
                <c:pt idx="14">
                  <c:v>2804207.6602098839</c:v>
                </c:pt>
                <c:pt idx="15">
                  <c:v>2500815.5439957501</c:v>
                </c:pt>
                <c:pt idx="16">
                  <c:v>2236895.548612983</c:v>
                </c:pt>
                <c:pt idx="17">
                  <c:v>2082987.2505858522</c:v>
                </c:pt>
                <c:pt idx="18">
                  <c:v>1941603.2594246455</c:v>
                </c:pt>
                <c:pt idx="19">
                  <c:v>1742143.2339213425</c:v>
                </c:pt>
                <c:pt idx="20">
                  <c:v>1364636.3768618116</c:v>
                </c:pt>
                <c:pt idx="21">
                  <c:v>1232658.464195074</c:v>
                </c:pt>
                <c:pt idx="22">
                  <c:v>1102621.989182713</c:v>
                </c:pt>
                <c:pt idx="23">
                  <c:v>964662.42515710788</c:v>
                </c:pt>
                <c:pt idx="24">
                  <c:v>823114.30982106179</c:v>
                </c:pt>
                <c:pt idx="25">
                  <c:v>655534.93941322155</c:v>
                </c:pt>
                <c:pt idx="26">
                  <c:v>654974.3489279761</c:v>
                </c:pt>
                <c:pt idx="27">
                  <c:v>636797.35688114585</c:v>
                </c:pt>
                <c:pt idx="28">
                  <c:v>617236.11059749639</c:v>
                </c:pt>
                <c:pt idx="29">
                  <c:v>596198.05670250254</c:v>
                </c:pt>
                <c:pt idx="30">
                  <c:v>585738.52491778648</c:v>
                </c:pt>
                <c:pt idx="31">
                  <c:v>547054.66786235571</c:v>
                </c:pt>
                <c:pt idx="32">
                  <c:v>520865.51971764676</c:v>
                </c:pt>
                <c:pt idx="33">
                  <c:v>492769.88928975537</c:v>
                </c:pt>
                <c:pt idx="34">
                  <c:v>462637.9736541491</c:v>
                </c:pt>
                <c:pt idx="35">
                  <c:v>430330.76334360335</c:v>
                </c:pt>
              </c:numCache>
            </c:numRef>
          </c:val>
          <c:extLst xmlns:c16r2="http://schemas.microsoft.com/office/drawing/2015/06/chart">
            <c:ext xmlns:c16="http://schemas.microsoft.com/office/drawing/2014/chart" uri="{C3380CC4-5D6E-409C-BE32-E72D297353CC}">
              <c16:uniqueId val="{00000000-414C-0043-ADB9-7E3B396EF1F2}"/>
            </c:ext>
          </c:extLst>
        </c:ser>
        <c:ser>
          <c:idx val="0"/>
          <c:order val="1"/>
          <c:tx>
            <c:strRef>
              <c:f>'HIDDEN_Dashboard charts data'!$B$7</c:f>
              <c:strCache>
                <c:ptCount val="1"/>
                <c:pt idx="0">
                  <c:v>Energy Supply</c:v>
                </c:pt>
              </c:strCache>
            </c:strRef>
          </c:tx>
          <c:spPr>
            <a:solidFill>
              <a:srgbClr val="0070C0"/>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data'!$F$7:$AO$7</c:f>
              <c:numCache>
                <c:formatCode>_-* #,##0_-;\-* #,##0_-;_-* "-"??_-;_-@_-</c:formatCode>
                <c:ptCount val="36"/>
                <c:pt idx="0">
                  <c:v>0</c:v>
                </c:pt>
                <c:pt idx="1">
                  <c:v>0</c:v>
                </c:pt>
                <c:pt idx="2">
                  <c:v>0</c:v>
                </c:pt>
                <c:pt idx="3">
                  <c:v>0</c:v>
                </c:pt>
                <c:pt idx="4">
                  <c:v>0</c:v>
                </c:pt>
                <c:pt idx="5">
                  <c:v>0</c:v>
                </c:pt>
                <c:pt idx="6">
                  <c:v>47281.269938823527</c:v>
                </c:pt>
                <c:pt idx="7">
                  <c:v>90507.629625882342</c:v>
                </c:pt>
                <c:pt idx="8">
                  <c:v>130406.95401882351</c:v>
                </c:pt>
                <c:pt idx="9">
                  <c:v>166979.24311764701</c:v>
                </c:pt>
                <c:pt idx="10">
                  <c:v>200224.49692235288</c:v>
                </c:pt>
                <c:pt idx="11">
                  <c:v>240148.92045176463</c:v>
                </c:pt>
                <c:pt idx="12">
                  <c:v>268222.49497513671</c:v>
                </c:pt>
                <c:pt idx="13">
                  <c:v>517683.38402361469</c:v>
                </c:pt>
                <c:pt idx="14">
                  <c:v>650701.31186766177</c:v>
                </c:pt>
                <c:pt idx="15">
                  <c:v>757673.59833858605</c:v>
                </c:pt>
                <c:pt idx="16">
                  <c:v>872278.56869469839</c:v>
                </c:pt>
                <c:pt idx="17">
                  <c:v>957011.67041532963</c:v>
                </c:pt>
                <c:pt idx="18">
                  <c:v>988548.89859446674</c:v>
                </c:pt>
                <c:pt idx="19">
                  <c:v>991707.66699992772</c:v>
                </c:pt>
                <c:pt idx="20">
                  <c:v>1110052.1550090588</c:v>
                </c:pt>
                <c:pt idx="21">
                  <c:v>1238993.2661573058</c:v>
                </c:pt>
                <c:pt idx="22">
                  <c:v>1370239.9624960485</c:v>
                </c:pt>
                <c:pt idx="23">
                  <c:v>1504247.2389429552</c:v>
                </c:pt>
                <c:pt idx="24">
                  <c:v>1641118.4679791173</c:v>
                </c:pt>
                <c:pt idx="25">
                  <c:v>1798317.569743864</c:v>
                </c:pt>
                <c:pt idx="26">
                  <c:v>1812907.3934415288</c:v>
                </c:pt>
                <c:pt idx="27">
                  <c:v>1827932.3513557329</c:v>
                </c:pt>
                <c:pt idx="28">
                  <c:v>1843392.1938767626</c:v>
                </c:pt>
                <c:pt idx="29">
                  <c:v>1859286.522152262</c:v>
                </c:pt>
                <c:pt idx="30">
                  <c:v>1866462.7706082631</c:v>
                </c:pt>
                <c:pt idx="31">
                  <c:v>1885026.4142833315</c:v>
                </c:pt>
                <c:pt idx="32">
                  <c:v>1904038.9458241556</c:v>
                </c:pt>
                <c:pt idx="33">
                  <c:v>1923500.2841181331</c:v>
                </c:pt>
                <c:pt idx="34">
                  <c:v>1943410.1294394333</c:v>
                </c:pt>
                <c:pt idx="35">
                  <c:v>1963767.9522209219</c:v>
                </c:pt>
              </c:numCache>
            </c:numRef>
          </c:val>
          <c:extLst xmlns:c16r2="http://schemas.microsoft.com/office/drawing/2015/06/chart">
            <c:ext xmlns:c16="http://schemas.microsoft.com/office/drawing/2014/chart" uri="{C3380CC4-5D6E-409C-BE32-E72D297353CC}">
              <c16:uniqueId val="{00000001-414C-0043-ADB9-7E3B396EF1F2}"/>
            </c:ext>
          </c:extLst>
        </c:ser>
        <c:ser>
          <c:idx val="1"/>
          <c:order val="2"/>
          <c:tx>
            <c:strRef>
              <c:f>'HIDDEN_Dashboard charts data'!$B$8</c:f>
              <c:strCache>
                <c:ptCount val="1"/>
                <c:pt idx="0">
                  <c:v>Buildings</c:v>
                </c:pt>
              </c:strCache>
            </c:strRef>
          </c:tx>
          <c:spPr>
            <a:solidFill>
              <a:srgbClr val="00B050"/>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data'!$F$8:$AO$8</c:f>
              <c:numCache>
                <c:formatCode>_-* #,##0_-;\-* #,##0_-;_-* "-"??_-;_-@_-</c:formatCode>
                <c:ptCount val="36"/>
                <c:pt idx="0">
                  <c:v>0</c:v>
                </c:pt>
                <c:pt idx="1">
                  <c:v>0</c:v>
                </c:pt>
                <c:pt idx="2">
                  <c:v>0</c:v>
                </c:pt>
                <c:pt idx="3">
                  <c:v>0</c:v>
                </c:pt>
                <c:pt idx="4">
                  <c:v>0</c:v>
                </c:pt>
                <c:pt idx="5">
                  <c:v>0</c:v>
                </c:pt>
                <c:pt idx="6">
                  <c:v>68443.301573679666</c:v>
                </c:pt>
                <c:pt idx="7">
                  <c:v>137451.28064623073</c:v>
                </c:pt>
                <c:pt idx="8">
                  <c:v>206663.21342177995</c:v>
                </c:pt>
                <c:pt idx="9">
                  <c:v>276224.44355875748</c:v>
                </c:pt>
                <c:pt idx="10">
                  <c:v>345184.51484313962</c:v>
                </c:pt>
                <c:pt idx="11">
                  <c:v>424911.44824259914</c:v>
                </c:pt>
                <c:pt idx="12">
                  <c:v>493709.44787963078</c:v>
                </c:pt>
                <c:pt idx="13">
                  <c:v>554740.63756647974</c:v>
                </c:pt>
                <c:pt idx="14">
                  <c:v>612105.64529511158</c:v>
                </c:pt>
                <c:pt idx="15">
                  <c:v>665020.49798828503</c:v>
                </c:pt>
                <c:pt idx="16">
                  <c:v>687549.54718043504</c:v>
                </c:pt>
                <c:pt idx="17">
                  <c:v>698988.75569108536</c:v>
                </c:pt>
                <c:pt idx="18">
                  <c:v>692081.48898935341</c:v>
                </c:pt>
                <c:pt idx="19">
                  <c:v>679478.1243554008</c:v>
                </c:pt>
                <c:pt idx="20">
                  <c:v>715153.82812786463</c:v>
                </c:pt>
                <c:pt idx="21">
                  <c:v>752596.61556466832</c:v>
                </c:pt>
                <c:pt idx="22">
                  <c:v>791632.00975656719</c:v>
                </c:pt>
                <c:pt idx="23">
                  <c:v>831436.15664765425</c:v>
                </c:pt>
                <c:pt idx="24">
                  <c:v>872033.17405785876</c:v>
                </c:pt>
                <c:pt idx="25">
                  <c:v>918352.43939458497</c:v>
                </c:pt>
                <c:pt idx="26">
                  <c:v>962030.50722998939</c:v>
                </c:pt>
                <c:pt idx="27">
                  <c:v>1006678.9715882801</c:v>
                </c:pt>
                <c:pt idx="28">
                  <c:v>1052326.103096195</c:v>
                </c:pt>
                <c:pt idx="29">
                  <c:v>1099000.9036504575</c:v>
                </c:pt>
                <c:pt idx="30">
                  <c:v>1143730.7370418953</c:v>
                </c:pt>
                <c:pt idx="31">
                  <c:v>1193077.7096664966</c:v>
                </c:pt>
                <c:pt idx="32">
                  <c:v>1243581.883361191</c:v>
                </c:pt>
                <c:pt idx="33">
                  <c:v>1295275.5439627063</c:v>
                </c:pt>
                <c:pt idx="34">
                  <c:v>1348191.8275480249</c:v>
                </c:pt>
                <c:pt idx="35">
                  <c:v>1402364.7420577267</c:v>
                </c:pt>
              </c:numCache>
            </c:numRef>
          </c:val>
          <c:extLst xmlns:c16r2="http://schemas.microsoft.com/office/drawing/2015/06/chart">
            <c:ext xmlns:c16="http://schemas.microsoft.com/office/drawing/2014/chart" uri="{C3380CC4-5D6E-409C-BE32-E72D297353CC}">
              <c16:uniqueId val="{00000002-414C-0043-ADB9-7E3B396EF1F2}"/>
            </c:ext>
          </c:extLst>
        </c:ser>
        <c:ser>
          <c:idx val="2"/>
          <c:order val="3"/>
          <c:tx>
            <c:strRef>
              <c:f>'HIDDEN_Dashboard charts data'!$B$9</c:f>
              <c:strCache>
                <c:ptCount val="1"/>
                <c:pt idx="0">
                  <c:v>Transport</c:v>
                </c:pt>
              </c:strCache>
            </c:strRef>
          </c:tx>
          <c:spPr>
            <a:solidFill>
              <a:srgbClr val="00A3AE"/>
            </a:solidFill>
            <a:ln>
              <a:solidFill>
                <a:srgbClr val="00A3AE"/>
              </a:solid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data'!$F$9:$AO$9</c:f>
              <c:numCache>
                <c:formatCode>_-* #,##0_-;\-* #,##0_-;_-* "-"??_-;_-@_-</c:formatCode>
                <c:ptCount val="36"/>
                <c:pt idx="0">
                  <c:v>0</c:v>
                </c:pt>
                <c:pt idx="1">
                  <c:v>0</c:v>
                </c:pt>
                <c:pt idx="2">
                  <c:v>0</c:v>
                </c:pt>
                <c:pt idx="3">
                  <c:v>0</c:v>
                </c:pt>
                <c:pt idx="4">
                  <c:v>0</c:v>
                </c:pt>
                <c:pt idx="5">
                  <c:v>0</c:v>
                </c:pt>
                <c:pt idx="6">
                  <c:v>42867.169967198322</c:v>
                </c:pt>
                <c:pt idx="7">
                  <c:v>85811.414077358117</c:v>
                </c:pt>
                <c:pt idx="8">
                  <c:v>128837.82573637781</c:v>
                </c:pt>
                <c:pt idx="9">
                  <c:v>171951.72503623407</c:v>
                </c:pt>
                <c:pt idx="10">
                  <c:v>215158.66591732198</c:v>
                </c:pt>
                <c:pt idx="11">
                  <c:v>258464.44353494866</c:v>
                </c:pt>
                <c:pt idx="12">
                  <c:v>301875.1018355639</c:v>
                </c:pt>
                <c:pt idx="13">
                  <c:v>345396.94134846237</c:v>
                </c:pt>
                <c:pt idx="14">
                  <c:v>389036.52719884447</c:v>
                </c:pt>
                <c:pt idx="15">
                  <c:v>432800.6973482793</c:v>
                </c:pt>
                <c:pt idx="16">
                  <c:v>449585.08194157551</c:v>
                </c:pt>
                <c:pt idx="17">
                  <c:v>466463.42076820653</c:v>
                </c:pt>
                <c:pt idx="18">
                  <c:v>483437.49890337139</c:v>
                </c:pt>
                <c:pt idx="19">
                  <c:v>500509.15592839022</c:v>
                </c:pt>
                <c:pt idx="20">
                  <c:v>517680.28748203715</c:v>
                </c:pt>
                <c:pt idx="21">
                  <c:v>534952.84685386182</c:v>
                </c:pt>
                <c:pt idx="22">
                  <c:v>552328.84662061289</c:v>
                </c:pt>
                <c:pt idx="23">
                  <c:v>569810.36032689596</c:v>
                </c:pt>
                <c:pt idx="24">
                  <c:v>587399.52421124047</c:v>
                </c:pt>
                <c:pt idx="25">
                  <c:v>605098.53897876642</c:v>
                </c:pt>
                <c:pt idx="26">
                  <c:v>622909.67162168841</c:v>
                </c:pt>
                <c:pt idx="27">
                  <c:v>640835.2572889101</c:v>
                </c:pt>
                <c:pt idx="28">
                  <c:v>658877.7012060089</c:v>
                </c:pt>
                <c:pt idx="29">
                  <c:v>677039.48064693774</c:v>
                </c:pt>
                <c:pt idx="30">
                  <c:v>695323.14695880306</c:v>
                </c:pt>
                <c:pt idx="31">
                  <c:v>713731.327641121</c:v>
                </c:pt>
                <c:pt idx="32">
                  <c:v>732266.7284809819</c:v>
                </c:pt>
                <c:pt idx="33">
                  <c:v>750932.1357455973</c:v>
                </c:pt>
                <c:pt idx="34">
                  <c:v>769730.41843373794</c:v>
                </c:pt>
                <c:pt idx="35">
                  <c:v>788664.53058760799</c:v>
                </c:pt>
              </c:numCache>
            </c:numRef>
          </c:val>
          <c:extLst xmlns:c16r2="http://schemas.microsoft.com/office/drawing/2015/06/chart">
            <c:ext xmlns:c16="http://schemas.microsoft.com/office/drawing/2014/chart" uri="{C3380CC4-5D6E-409C-BE32-E72D297353CC}">
              <c16:uniqueId val="{00000003-414C-0043-ADB9-7E3B396EF1F2}"/>
            </c:ext>
          </c:extLst>
        </c:ser>
        <c:ser>
          <c:idx val="3"/>
          <c:order val="4"/>
          <c:tx>
            <c:strRef>
              <c:f>'HIDDEN_Dashboard charts data'!$B$10</c:f>
              <c:strCache>
                <c:ptCount val="1"/>
                <c:pt idx="0">
                  <c:v>Waste</c:v>
                </c:pt>
              </c:strCache>
            </c:strRef>
          </c:tx>
          <c:spPr>
            <a:solidFill>
              <a:schemeClr val="accent4"/>
            </a:solidFill>
            <a:ln>
              <a:noFill/>
            </a:ln>
            <a:effectLst/>
          </c:spPr>
          <c:cat>
            <c:numRef>
              <c:f>'HIDDEN_Dashboard charts data'!$F$5:$AO$5</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data'!$F$10:$AO$10</c:f>
              <c:numCache>
                <c:formatCode>_-* #,##0_-;\-* #,##0_-;_-* "-"??_-;_-@_-</c:formatCode>
                <c:ptCount val="36"/>
                <c:pt idx="0">
                  <c:v>0</c:v>
                </c:pt>
                <c:pt idx="1">
                  <c:v>0</c:v>
                </c:pt>
                <c:pt idx="2">
                  <c:v>0</c:v>
                </c:pt>
                <c:pt idx="3">
                  <c:v>0</c:v>
                </c:pt>
                <c:pt idx="4">
                  <c:v>0</c:v>
                </c:pt>
                <c:pt idx="5">
                  <c:v>0</c:v>
                </c:pt>
                <c:pt idx="6">
                  <c:v>4586.1783532118134</c:v>
                </c:pt>
                <c:pt idx="7">
                  <c:v>9458.9948123781433</c:v>
                </c:pt>
                <c:pt idx="8">
                  <c:v>14501.431887579696</c:v>
                </c:pt>
                <c:pt idx="9">
                  <c:v>19770.597252271407</c:v>
                </c:pt>
                <c:pt idx="10">
                  <c:v>25257.421879787318</c:v>
                </c:pt>
                <c:pt idx="11">
                  <c:v>30934.698471559757</c:v>
                </c:pt>
                <c:pt idx="12">
                  <c:v>36852.307056748796</c:v>
                </c:pt>
                <c:pt idx="13">
                  <c:v>42987.574904762034</c:v>
                </c:pt>
                <c:pt idx="14">
                  <c:v>49381.313018093912</c:v>
                </c:pt>
                <c:pt idx="15">
                  <c:v>55956.433959731607</c:v>
                </c:pt>
                <c:pt idx="16">
                  <c:v>63043.825167785304</c:v>
                </c:pt>
                <c:pt idx="17">
                  <c:v>70429.779362416113</c:v>
                </c:pt>
                <c:pt idx="18">
                  <c:v>78128.364177852374</c:v>
                </c:pt>
                <c:pt idx="19">
                  <c:v>86089.544832214728</c:v>
                </c:pt>
                <c:pt idx="20">
                  <c:v>94382.112953020056</c:v>
                </c:pt>
                <c:pt idx="21">
                  <c:v>102946.65533557048</c:v>
                </c:pt>
                <c:pt idx="22">
                  <c:v>111831.08816961234</c:v>
                </c:pt>
                <c:pt idx="23">
                  <c:v>121045.10810706367</c:v>
                </c:pt>
                <c:pt idx="24">
                  <c:v>130598.67879791722</c:v>
                </c:pt>
                <c:pt idx="25">
                  <c:v>140502.03784511937</c:v>
                </c:pt>
                <c:pt idx="26">
                  <c:v>150765.70393417453</c:v>
                </c:pt>
                <c:pt idx="27">
                  <c:v>161400.48414174901</c:v>
                </c:pt>
                <c:pt idx="28">
                  <c:v>172417.48142766088</c:v>
                </c:pt>
                <c:pt idx="29">
                  <c:v>183828.10231474054</c:v>
                </c:pt>
                <c:pt idx="30">
                  <c:v>195644.06476115657</c:v>
                </c:pt>
                <c:pt idx="31">
                  <c:v>207877.40622991286</c:v>
                </c:pt>
                <c:pt idx="32">
                  <c:v>220540.49196033622</c:v>
                </c:pt>
                <c:pt idx="33">
                  <c:v>233646.02344648461</c:v>
                </c:pt>
                <c:pt idx="34">
                  <c:v>247207.04712753222</c:v>
                </c:pt>
                <c:pt idx="35">
                  <c:v>261236.96329530116</c:v>
                </c:pt>
              </c:numCache>
            </c:numRef>
          </c:val>
          <c:extLst xmlns:c16r2="http://schemas.microsoft.com/office/drawing/2015/06/chart">
            <c:ext xmlns:c16="http://schemas.microsoft.com/office/drawing/2014/chart" uri="{C3380CC4-5D6E-409C-BE32-E72D297353CC}">
              <c16:uniqueId val="{00000004-414C-0043-ADB9-7E3B396EF1F2}"/>
            </c:ext>
          </c:extLst>
        </c:ser>
        <c:dLbls>
          <c:showLegendKey val="0"/>
          <c:showVal val="0"/>
          <c:showCatName val="0"/>
          <c:showSerName val="0"/>
          <c:showPercent val="0"/>
          <c:showBubbleSize val="0"/>
        </c:dLbls>
        <c:axId val="363214720"/>
        <c:axId val="363216256"/>
      </c:areaChart>
      <c:lineChart>
        <c:grouping val="standard"/>
        <c:varyColors val="0"/>
        <c:ser>
          <c:idx val="4"/>
          <c:order val="5"/>
          <c:tx>
            <c:strRef>
              <c:f>'HIDDEN_Dashboard charts data'!$B$7</c:f>
              <c:strCache>
                <c:ptCount val="1"/>
                <c:pt idx="0">
                  <c:v>Energy Supply</c:v>
                </c:pt>
              </c:strCache>
            </c:strRef>
          </c:tx>
          <c:spPr>
            <a:ln w="28575" cap="rnd">
              <a:solidFill>
                <a:schemeClr val="accent5"/>
              </a:solidFill>
              <a:prstDash val="dash"/>
              <a:round/>
            </a:ln>
            <a:effectLst/>
          </c:spPr>
          <c:marker>
            <c:symbol val="none"/>
          </c:marker>
          <c:val>
            <c:numRef>
              <c:f>'HIDDEN_Dashboard charts data'!$F$6:$AO$6</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4642890.7137661427</c:v>
                </c:pt>
                <c:pt idx="7">
                  <c:v>4632332.9970868519</c:v>
                </c:pt>
                <c:pt idx="8">
                  <c:v>4616270.8836241802</c:v>
                </c:pt>
                <c:pt idx="9">
                  <c:v>4594685.0072553838</c:v>
                </c:pt>
                <c:pt idx="10">
                  <c:v>4571846.7739768438</c:v>
                </c:pt>
                <c:pt idx="11">
                  <c:v>4543213.4843731821</c:v>
                </c:pt>
                <c:pt idx="12">
                  <c:v>4634368.8789914437</c:v>
                </c:pt>
                <c:pt idx="13">
                  <c:v>4594867.5550485309</c:v>
                </c:pt>
                <c:pt idx="14">
                  <c:v>4505432.4575895956</c:v>
                </c:pt>
                <c:pt idx="15">
                  <c:v>4412266.7716306318</c:v>
                </c:pt>
                <c:pt idx="16">
                  <c:v>4309352.5715974774</c:v>
                </c:pt>
                <c:pt idx="17">
                  <c:v>4275880.8768228898</c:v>
                </c:pt>
                <c:pt idx="18">
                  <c:v>4183799.5100896894</c:v>
                </c:pt>
                <c:pt idx="19">
                  <c:v>3999927.726037276</c:v>
                </c:pt>
                <c:pt idx="20">
                  <c:v>3801904.7604337926</c:v>
                </c:pt>
                <c:pt idx="21">
                  <c:v>3862147.8481064807</c:v>
                </c:pt>
                <c:pt idx="22">
                  <c:v>3928653.8962255539</c:v>
                </c:pt>
                <c:pt idx="23">
                  <c:v>3991201.2891816767</c:v>
                </c:pt>
                <c:pt idx="24">
                  <c:v>4054264.154867196</c:v>
                </c:pt>
                <c:pt idx="25">
                  <c:v>4117805.5253755567</c:v>
                </c:pt>
                <c:pt idx="26">
                  <c:v>4203587.6251553576</c:v>
                </c:pt>
                <c:pt idx="27">
                  <c:v>4273644.4212558176</c:v>
                </c:pt>
                <c:pt idx="28">
                  <c:v>4344249.5902041234</c:v>
                </c:pt>
                <c:pt idx="29">
                  <c:v>4415353.0654669004</c:v>
                </c:pt>
                <c:pt idx="30">
                  <c:v>4486899.2442879044</c:v>
                </c:pt>
                <c:pt idx="31">
                  <c:v>4546767.5256832177</c:v>
                </c:pt>
                <c:pt idx="32">
                  <c:v>4621293.569344312</c:v>
                </c:pt>
                <c:pt idx="33">
                  <c:v>4696123.8765626764</c:v>
                </c:pt>
                <c:pt idx="34">
                  <c:v>4771177.3962028772</c:v>
                </c:pt>
                <c:pt idx="35">
                  <c:v>4846364.9515051609</c:v>
                </c:pt>
              </c:numCache>
            </c:numRef>
          </c:val>
          <c:smooth val="0"/>
          <c:extLst xmlns:c16r2="http://schemas.microsoft.com/office/drawing/2015/06/chart">
            <c:ext xmlns:c16="http://schemas.microsoft.com/office/drawing/2014/chart" uri="{C3380CC4-5D6E-409C-BE32-E72D297353CC}">
              <c16:uniqueId val="{00000005-414C-0043-ADB9-7E3B396EF1F2}"/>
            </c:ext>
          </c:extLst>
        </c:ser>
        <c:ser>
          <c:idx val="6"/>
          <c:order val="6"/>
          <c:tx>
            <c:strRef>
              <c:f>'HIDDEN_Dashboard charts data'!$B$11</c:f>
              <c:strCache>
                <c:ptCount val="1"/>
                <c:pt idx="0">
                  <c:v>Trajectory</c:v>
                </c:pt>
              </c:strCache>
            </c:strRef>
          </c:tx>
          <c:spPr>
            <a:ln w="28575" cap="rnd">
              <a:solidFill>
                <a:schemeClr val="accent1">
                  <a:lumMod val="60000"/>
                </a:schemeClr>
              </a:solidFill>
              <a:round/>
            </a:ln>
            <a:effectLst/>
          </c:spPr>
          <c:marker>
            <c:symbol val="none"/>
          </c:marker>
          <c:val>
            <c:numRef>
              <c:f>'HIDDEN_Dashboard charts data'!$F$11:$AO$11</c:f>
              <c:numCache>
                <c:formatCode>_-* #,##0_-;\-* #,##0_-;_-* "-"??_-;_-@_-</c:formatCode>
                <c:ptCount val="36"/>
                <c:pt idx="0">
                  <c:v>4700672.0338636925</c:v>
                </c:pt>
                <c:pt idx="1">
                  <c:v>4696369.2346580112</c:v>
                </c:pt>
                <c:pt idx="2">
                  <c:v>4741394.2660014536</c:v>
                </c:pt>
                <c:pt idx="3">
                  <c:v>4673472.859191576</c:v>
                </c:pt>
                <c:pt idx="4">
                  <c:v>4660297.4720965521</c:v>
                </c:pt>
                <c:pt idx="5">
                  <c:v>4649580.4904540591</c:v>
                </c:pt>
                <c:pt idx="6">
                  <c:v>4479712.7939332295</c:v>
                </c:pt>
                <c:pt idx="7">
                  <c:v>4309103.6779250028</c:v>
                </c:pt>
                <c:pt idx="8">
                  <c:v>4135861.4585596193</c:v>
                </c:pt>
                <c:pt idx="9">
                  <c:v>3959758.9982904736</c:v>
                </c:pt>
                <c:pt idx="10">
                  <c:v>3786021.6744142422</c:v>
                </c:pt>
                <c:pt idx="11">
                  <c:v>3588753.9736723099</c:v>
                </c:pt>
                <c:pt idx="12">
                  <c:v>3533709.5272443634</c:v>
                </c:pt>
                <c:pt idx="13">
                  <c:v>3134059.0172052123</c:v>
                </c:pt>
                <c:pt idx="14">
                  <c:v>2804207.6602098839</c:v>
                </c:pt>
                <c:pt idx="15">
                  <c:v>2500815.5439957501</c:v>
                </c:pt>
                <c:pt idx="16">
                  <c:v>2236895.548612983</c:v>
                </c:pt>
                <c:pt idx="17">
                  <c:v>2082987.2505858522</c:v>
                </c:pt>
                <c:pt idx="18">
                  <c:v>1941603.2594246455</c:v>
                </c:pt>
                <c:pt idx="19">
                  <c:v>1742143.2339213425</c:v>
                </c:pt>
                <c:pt idx="20">
                  <c:v>1364636.3768618116</c:v>
                </c:pt>
                <c:pt idx="21">
                  <c:v>1232658.464195074</c:v>
                </c:pt>
                <c:pt idx="22">
                  <c:v>1102621.989182713</c:v>
                </c:pt>
                <c:pt idx="23">
                  <c:v>964662.42515710788</c:v>
                </c:pt>
                <c:pt idx="24">
                  <c:v>823114.30982106179</c:v>
                </c:pt>
                <c:pt idx="25">
                  <c:v>655534.93941322155</c:v>
                </c:pt>
                <c:pt idx="26">
                  <c:v>654974.3489279761</c:v>
                </c:pt>
                <c:pt idx="27">
                  <c:v>636797.35688114585</c:v>
                </c:pt>
                <c:pt idx="28">
                  <c:v>617236.11059749639</c:v>
                </c:pt>
                <c:pt idx="29">
                  <c:v>596198.05670250254</c:v>
                </c:pt>
                <c:pt idx="30">
                  <c:v>585738.52491778648</c:v>
                </c:pt>
                <c:pt idx="31">
                  <c:v>547054.66786235571</c:v>
                </c:pt>
                <c:pt idx="32">
                  <c:v>520865.51971764676</c:v>
                </c:pt>
                <c:pt idx="33">
                  <c:v>492769.88928975537</c:v>
                </c:pt>
                <c:pt idx="34">
                  <c:v>462637.9736541491</c:v>
                </c:pt>
                <c:pt idx="35">
                  <c:v>430330.76334360335</c:v>
                </c:pt>
              </c:numCache>
            </c:numRef>
          </c:val>
          <c:smooth val="0"/>
          <c:extLst xmlns:c16r2="http://schemas.microsoft.com/office/drawing/2015/06/chart">
            <c:ext xmlns:c16="http://schemas.microsoft.com/office/drawing/2014/chart" uri="{C3380CC4-5D6E-409C-BE32-E72D297353CC}">
              <c16:uniqueId val="{00000006-414C-0043-ADB9-7E3B396EF1F2}"/>
            </c:ext>
          </c:extLst>
        </c:ser>
        <c:dLbls>
          <c:showLegendKey val="0"/>
          <c:showVal val="0"/>
          <c:showCatName val="0"/>
          <c:showSerName val="0"/>
          <c:showPercent val="0"/>
          <c:showBubbleSize val="0"/>
        </c:dLbls>
        <c:marker val="1"/>
        <c:smooth val="0"/>
        <c:axId val="363214720"/>
        <c:axId val="363216256"/>
      </c:lineChart>
      <c:catAx>
        <c:axId val="3632147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a:lstStyle/>
          <a:p>
            <a:pPr>
              <a:defRPr/>
            </a:pPr>
            <a:endParaRPr lang="en-US"/>
          </a:p>
        </c:txPr>
        <c:crossAx val="363216256"/>
        <c:crosses val="autoZero"/>
        <c:auto val="1"/>
        <c:lblAlgn val="ctr"/>
        <c:lblOffset val="100"/>
        <c:tickLblSkip val="5"/>
        <c:noMultiLvlLbl val="0"/>
      </c:catAx>
      <c:valAx>
        <c:axId val="363216256"/>
        <c:scaling>
          <c:orientation val="minMax"/>
          <c:min val="0"/>
        </c:scaling>
        <c:delete val="0"/>
        <c:axPos val="l"/>
        <c:majorGridlines>
          <c:spPr>
            <a:ln w="9525" cap="flat" cmpd="sng" algn="ctr">
              <a:solidFill>
                <a:schemeClr val="tx1">
                  <a:lumMod val="15000"/>
                  <a:lumOff val="85000"/>
                </a:schemeClr>
              </a:solidFill>
              <a:prstDash val="sysDot"/>
              <a:round/>
            </a:ln>
            <a:effectLst/>
          </c:spPr>
        </c:majorGridlines>
        <c:title>
          <c:tx>
            <c:rich>
              <a:bodyPr rot="-5400000" vert="horz"/>
              <a:lstStyle/>
              <a:p>
                <a:pPr>
                  <a:defRPr/>
                </a:pPr>
                <a:r>
                  <a:rPr lang="en-AU"/>
                  <a:t>Emissions (tCO</a:t>
                </a:r>
                <a:r>
                  <a:rPr lang="en-US" sz="900" b="0" i="0" u="none" strike="noStrike" baseline="-25000">
                    <a:effectLst/>
                  </a:rPr>
                  <a:t>2</a:t>
                </a:r>
                <a:r>
                  <a:rPr lang="en-AU"/>
                  <a:t>-e)</a:t>
                </a:r>
              </a:p>
            </c:rich>
          </c:tx>
          <c:layout/>
          <c:overlay val="0"/>
        </c:title>
        <c:numFmt formatCode="_-* #,##0_-;\-* #,##0_-;_-* &quot;-&quot;??_-;_-@_-" sourceLinked="1"/>
        <c:majorTickMark val="out"/>
        <c:minorTickMark val="none"/>
        <c:tickLblPos val="nextTo"/>
        <c:spPr>
          <a:noFill/>
          <a:effectLst/>
        </c:spPr>
        <c:txPr>
          <a:bodyPr rot="-60000000" vert="horz"/>
          <a:lstStyle/>
          <a:p>
            <a:pPr>
              <a:defRPr/>
            </a:pPr>
            <a:endParaRPr lang="en-US"/>
          </a:p>
        </c:txPr>
        <c:crossAx val="363214720"/>
        <c:crosses val="autoZero"/>
        <c:crossBetween val="midCat"/>
      </c:valAx>
      <c:spPr>
        <a:noFill/>
        <a:ln>
          <a:noFill/>
        </a:ln>
        <a:effectLst/>
      </c:spPr>
    </c:plotArea>
    <c:legend>
      <c:legendPos val="r"/>
      <c:legendEntry>
        <c:idx val="4"/>
        <c:delete val="1"/>
      </c:legendEntry>
      <c:legendEntry>
        <c:idx val="5"/>
        <c:delete val="1"/>
      </c:legendEntry>
      <c:legendEntry>
        <c:idx val="6"/>
        <c:delete val="1"/>
      </c:legendEntry>
      <c:layout/>
      <c:overlay val="0"/>
    </c:legend>
    <c:plotVisOnly val="1"/>
    <c:dispBlanksAs val="zero"/>
    <c:showDLblsOverMax val="0"/>
  </c:chart>
  <c:spPr>
    <a:noFill/>
    <a:ln w="9525" cap="flat" cmpd="sng" algn="ctr">
      <a:noFill/>
      <a:round/>
    </a:ln>
    <a:effectLst/>
  </c:spPr>
  <c:txPr>
    <a:bodyPr/>
    <a:lstStyle/>
    <a:p>
      <a:pPr>
        <a:defRPr sz="900" b="0">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3051954677334"/>
          <c:y val="4.8812804119143773E-2"/>
          <c:w val="0.55091261240564227"/>
          <c:h val="0.84824424152170164"/>
        </c:manualLayout>
      </c:layout>
      <c:areaChart>
        <c:grouping val="stacked"/>
        <c:varyColors val="0"/>
        <c:ser>
          <c:idx val="0"/>
          <c:order val="0"/>
          <c:tx>
            <c:strRef>
              <c:f>'HIDDEN_Dashboard charts data'!$E$37</c:f>
              <c:strCache>
                <c:ptCount val="1"/>
                <c:pt idx="0">
                  <c:v>City of Melbourne</c:v>
                </c:pt>
              </c:strCache>
            </c:strRef>
          </c:tx>
          <c:spPr>
            <a:solidFill>
              <a:schemeClr val="accent5">
                <a:lumMod val="75000"/>
              </a:schemeClr>
            </a:solidFill>
          </c:spPr>
          <c:cat>
            <c:numRef>
              <c:f>'HIDDEN_Dashboard charts data'!$F$13:$AO$13</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data'!$F$37:$AO$37</c:f>
              <c:numCache>
                <c:formatCode>_-* #,##0_-;\-* #,##0_-;_-* "-"??_-;_-@_-</c:formatCode>
                <c:ptCount val="36"/>
                <c:pt idx="0">
                  <c:v>0</c:v>
                </c:pt>
                <c:pt idx="1">
                  <c:v>0</c:v>
                </c:pt>
                <c:pt idx="2">
                  <c:v>0</c:v>
                </c:pt>
                <c:pt idx="3">
                  <c:v>0</c:v>
                </c:pt>
                <c:pt idx="4">
                  <c:v>0</c:v>
                </c:pt>
                <c:pt idx="5">
                  <c:v>0</c:v>
                </c:pt>
                <c:pt idx="6">
                  <c:v>27893.014409793974</c:v>
                </c:pt>
                <c:pt idx="7">
                  <c:v>54477.585058877499</c:v>
                </c:pt>
                <c:pt idx="8">
                  <c:v>79762.604134610723</c:v>
                </c:pt>
                <c:pt idx="9">
                  <c:v>103757.59878068314</c:v>
                </c:pt>
                <c:pt idx="10">
                  <c:v>126456.5527935952</c:v>
                </c:pt>
                <c:pt idx="11">
                  <c:v>152259.90857770361</c:v>
                </c:pt>
                <c:pt idx="12">
                  <c:v>173020.59778915637</c:v>
                </c:pt>
                <c:pt idx="13">
                  <c:v>190545.69459613157</c:v>
                </c:pt>
                <c:pt idx="14">
                  <c:v>206314.48705423958</c:v>
                </c:pt>
                <c:pt idx="15">
                  <c:v>220366.28050409895</c:v>
                </c:pt>
                <c:pt idx="16">
                  <c:v>225607.02830876922</c:v>
                </c:pt>
                <c:pt idx="17">
                  <c:v>227253.46736811762</c:v>
                </c:pt>
                <c:pt idx="18">
                  <c:v>223238.71471543465</c:v>
                </c:pt>
                <c:pt idx="19">
                  <c:v>217894.97089316486</c:v>
                </c:pt>
                <c:pt idx="20">
                  <c:v>227123.30040583797</c:v>
                </c:pt>
                <c:pt idx="21">
                  <c:v>236852.99145917367</c:v>
                </c:pt>
                <c:pt idx="22">
                  <c:v>246690.35114182599</c:v>
                </c:pt>
                <c:pt idx="23">
                  <c:v>256639.72674180433</c:v>
                </c:pt>
                <c:pt idx="24">
                  <c:v>266705.57249010797</c:v>
                </c:pt>
                <c:pt idx="25">
                  <c:v>278285.10304371337</c:v>
                </c:pt>
                <c:pt idx="26">
                  <c:v>288983.84889583359</c:v>
                </c:pt>
                <c:pt idx="27">
                  <c:v>299834.25614565436</c:v>
                </c:pt>
                <c:pt idx="28">
                  <c:v>310841.15845334111</c:v>
                </c:pt>
                <c:pt idx="29">
                  <c:v>322009.5109767426</c:v>
                </c:pt>
                <c:pt idx="30">
                  <c:v>332530.4833891117</c:v>
                </c:pt>
                <c:pt idx="31">
                  <c:v>344185.83172039216</c:v>
                </c:pt>
                <c:pt idx="32">
                  <c:v>356025.75576332066</c:v>
                </c:pt>
                <c:pt idx="33">
                  <c:v>368055.59242701594</c:v>
                </c:pt>
                <c:pt idx="34">
                  <c:v>380280.81982608442</c:v>
                </c:pt>
                <c:pt idx="35">
                  <c:v>392707.06090987392</c:v>
                </c:pt>
              </c:numCache>
            </c:numRef>
          </c:val>
        </c:ser>
        <c:ser>
          <c:idx val="1"/>
          <c:order val="1"/>
          <c:tx>
            <c:strRef>
              <c:f>'HIDDEN_Dashboard charts data'!$E$38</c:f>
              <c:strCache>
                <c:ptCount val="1"/>
                <c:pt idx="0">
                  <c:v>Victorian and Australian Governments</c:v>
                </c:pt>
              </c:strCache>
            </c:strRef>
          </c:tx>
          <c:cat>
            <c:numRef>
              <c:f>'HIDDEN_Dashboard charts data'!$F$13:$AO$13</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data'!$F$38:$AO$38</c:f>
              <c:numCache>
                <c:formatCode>_-* #,##0_-;\-* #,##0_-;_-* "-"??_-;_-@_-</c:formatCode>
                <c:ptCount val="36"/>
                <c:pt idx="0">
                  <c:v>0</c:v>
                </c:pt>
                <c:pt idx="1">
                  <c:v>0</c:v>
                </c:pt>
                <c:pt idx="2">
                  <c:v>0</c:v>
                </c:pt>
                <c:pt idx="3">
                  <c:v>0</c:v>
                </c:pt>
                <c:pt idx="4">
                  <c:v>0</c:v>
                </c:pt>
                <c:pt idx="5">
                  <c:v>0</c:v>
                </c:pt>
                <c:pt idx="6">
                  <c:v>43462.967516927762</c:v>
                </c:pt>
                <c:pt idx="7">
                  <c:v>87497.418232944096</c:v>
                </c:pt>
                <c:pt idx="8">
                  <c:v>131925.76104291898</c:v>
                </c:pt>
                <c:pt idx="9">
                  <c:v>176816.37155777009</c:v>
                </c:pt>
                <c:pt idx="10">
                  <c:v>221700.61796581713</c:v>
                </c:pt>
                <c:pt idx="11">
                  <c:v>298855.25752645964</c:v>
                </c:pt>
                <c:pt idx="12">
                  <c:v>354850.38302225876</c:v>
                </c:pt>
                <c:pt idx="13">
                  <c:v>604754.80337189487</c:v>
                </c:pt>
                <c:pt idx="14">
                  <c:v>734090.1096048411</c:v>
                </c:pt>
                <c:pt idx="15">
                  <c:v>840759.58169197605</c:v>
                </c:pt>
                <c:pt idx="16">
                  <c:v>982300.43780812481</c:v>
                </c:pt>
                <c:pt idx="17">
                  <c:v>1100210.8710401468</c:v>
                </c:pt>
                <c:pt idx="18">
                  <c:v>1174920.5140610521</c:v>
                </c:pt>
                <c:pt idx="19">
                  <c:v>1225482.2180819185</c:v>
                </c:pt>
                <c:pt idx="20">
                  <c:v>1371099.2560837152</c:v>
                </c:pt>
                <c:pt idx="21">
                  <c:v>1529203.8539473375</c:v>
                </c:pt>
                <c:pt idx="22">
                  <c:v>1691136.9518361886</c:v>
                </c:pt>
                <c:pt idx="23">
                  <c:v>1856745.862394806</c:v>
                </c:pt>
                <c:pt idx="24">
                  <c:v>2026156.1046947343</c:v>
                </c:pt>
                <c:pt idx="25">
                  <c:v>2223993.6249619164</c:v>
                </c:pt>
                <c:pt idx="26">
                  <c:v>2406039.1442466788</c:v>
                </c:pt>
                <c:pt idx="27">
                  <c:v>2592222.4363088575</c:v>
                </c:pt>
                <c:pt idx="28">
                  <c:v>2782677.8238404053</c:v>
                </c:pt>
                <c:pt idx="29">
                  <c:v>2977541.4140101508</c:v>
                </c:pt>
                <c:pt idx="30">
                  <c:v>3166074.4590297071</c:v>
                </c:pt>
                <c:pt idx="31">
                  <c:v>3268974.4466116978</c:v>
                </c:pt>
                <c:pt idx="32">
                  <c:v>3374663.9431258738</c:v>
                </c:pt>
                <c:pt idx="33">
                  <c:v>3483213.9803374112</c:v>
                </c:pt>
                <c:pt idx="34">
                  <c:v>3594697.3906983952</c:v>
                </c:pt>
                <c:pt idx="35">
                  <c:v>3709188.8522061608</c:v>
                </c:pt>
              </c:numCache>
            </c:numRef>
          </c:val>
        </c:ser>
        <c:dLbls>
          <c:showLegendKey val="0"/>
          <c:showVal val="0"/>
          <c:showCatName val="0"/>
          <c:showSerName val="0"/>
          <c:showPercent val="0"/>
          <c:showBubbleSize val="0"/>
        </c:dLbls>
        <c:axId val="409615744"/>
        <c:axId val="410002176"/>
      </c:areaChart>
      <c:catAx>
        <c:axId val="409615744"/>
        <c:scaling>
          <c:orientation val="minMax"/>
        </c:scaling>
        <c:delete val="0"/>
        <c:axPos val="b"/>
        <c:numFmt formatCode="General" sourceLinked="1"/>
        <c:majorTickMark val="out"/>
        <c:minorTickMark val="none"/>
        <c:tickLblPos val="nextTo"/>
        <c:txPr>
          <a:bodyPr rot="-60000000" vert="horz"/>
          <a:lstStyle/>
          <a:p>
            <a:pPr>
              <a:defRPr sz="900"/>
            </a:pPr>
            <a:endParaRPr lang="en-US"/>
          </a:p>
        </c:txPr>
        <c:crossAx val="410002176"/>
        <c:crosses val="autoZero"/>
        <c:auto val="1"/>
        <c:lblAlgn val="ctr"/>
        <c:lblOffset val="100"/>
        <c:tickLblSkip val="5"/>
        <c:noMultiLvlLbl val="0"/>
      </c:catAx>
      <c:valAx>
        <c:axId val="410002176"/>
        <c:scaling>
          <c:orientation val="minMax"/>
        </c:scaling>
        <c:delete val="0"/>
        <c:axPos val="l"/>
        <c:majorGridlines>
          <c:spPr>
            <a:ln>
              <a:solidFill>
                <a:schemeClr val="tx1">
                  <a:lumMod val="15000"/>
                  <a:lumOff val="85000"/>
                </a:schemeClr>
              </a:solidFill>
            </a:ln>
          </c:spPr>
        </c:majorGridlines>
        <c:title>
          <c:tx>
            <c:rich>
              <a:bodyPr rot="-5400000" vert="horz"/>
              <a:lstStyle/>
              <a:p>
                <a:pPr>
                  <a:defRPr b="0"/>
                </a:pPr>
                <a:r>
                  <a:rPr lang="en-AU" sz="900" b="0"/>
                  <a:t>Emissions</a:t>
                </a:r>
                <a:r>
                  <a:rPr lang="en-AU" b="0"/>
                  <a:t> (</a:t>
                </a:r>
                <a:r>
                  <a:rPr lang="en-AU" sz="900" b="0"/>
                  <a:t>tCO</a:t>
                </a:r>
                <a:r>
                  <a:rPr lang="en-AU" sz="900" b="0" baseline="-25000"/>
                  <a:t>2</a:t>
                </a:r>
                <a:r>
                  <a:rPr lang="en-AU" sz="900" b="0"/>
                  <a:t>-e</a:t>
                </a:r>
                <a:r>
                  <a:rPr lang="en-AU" b="0"/>
                  <a:t>)</a:t>
                </a:r>
              </a:p>
            </c:rich>
          </c:tx>
          <c:layout/>
          <c:overlay val="0"/>
        </c:title>
        <c:numFmt formatCode="_-* #,##0_-;\-* #,##0_-;_-* &quot;-&quot;??_-;_-@_-" sourceLinked="1"/>
        <c:majorTickMark val="out"/>
        <c:minorTickMark val="none"/>
        <c:tickLblPos val="nextTo"/>
        <c:spPr>
          <a:ln>
            <a:noFill/>
          </a:ln>
        </c:spPr>
        <c:txPr>
          <a:bodyPr rot="-60000000" vert="horz"/>
          <a:lstStyle/>
          <a:p>
            <a:pPr>
              <a:defRPr sz="900"/>
            </a:pPr>
            <a:endParaRPr lang="en-US"/>
          </a:p>
        </c:txPr>
        <c:crossAx val="409615744"/>
        <c:crosses val="autoZero"/>
        <c:crossBetween val="midCat"/>
      </c:valAx>
    </c:plotArea>
    <c:legend>
      <c:legendPos val="r"/>
      <c:layout>
        <c:manualLayout>
          <c:xMode val="edge"/>
          <c:yMode val="edge"/>
          <c:x val="0.70385438222882657"/>
          <c:y val="0.29642789506749584"/>
          <c:w val="0.28369724732388929"/>
          <c:h val="0.27845678376069422"/>
        </c:manualLayout>
      </c:layout>
      <c:overlay val="0"/>
      <c:txPr>
        <a:bodyPr/>
        <a:lstStyle/>
        <a:p>
          <a:pPr>
            <a:defRPr sz="900"/>
          </a:pPr>
          <a:endParaRPr lang="en-US"/>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4719599195695"/>
          <c:y val="4.8812804119143773E-2"/>
          <c:w val="0.56317882772109817"/>
          <c:h val="0.84824424152170164"/>
        </c:manualLayout>
      </c:layout>
      <c:areaChart>
        <c:grouping val="stacked"/>
        <c:varyColors val="0"/>
        <c:ser>
          <c:idx val="0"/>
          <c:order val="0"/>
          <c:tx>
            <c:strRef>
              <c:f>'HIDDEN_Dashboard charts data'!$E$37</c:f>
              <c:strCache>
                <c:ptCount val="1"/>
                <c:pt idx="0">
                  <c:v>City of Melbourne</c:v>
                </c:pt>
              </c:strCache>
            </c:strRef>
          </c:tx>
          <c:spPr>
            <a:solidFill>
              <a:schemeClr val="accent5">
                <a:lumMod val="75000"/>
              </a:schemeClr>
            </a:solidFill>
          </c:spPr>
          <c:cat>
            <c:numRef>
              <c:f>'HIDDEN_Dashboard charts data'!$F$13:$AO$13</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data'!$F$37:$AO$37</c:f>
              <c:numCache>
                <c:formatCode>_-* #,##0_-;\-* #,##0_-;_-* "-"??_-;_-@_-</c:formatCode>
                <c:ptCount val="36"/>
                <c:pt idx="0">
                  <c:v>0</c:v>
                </c:pt>
                <c:pt idx="1">
                  <c:v>0</c:v>
                </c:pt>
                <c:pt idx="2">
                  <c:v>0</c:v>
                </c:pt>
                <c:pt idx="3">
                  <c:v>0</c:v>
                </c:pt>
                <c:pt idx="4">
                  <c:v>0</c:v>
                </c:pt>
                <c:pt idx="5">
                  <c:v>0</c:v>
                </c:pt>
                <c:pt idx="6">
                  <c:v>27893.014409793974</c:v>
                </c:pt>
                <c:pt idx="7">
                  <c:v>54477.585058877499</c:v>
                </c:pt>
                <c:pt idx="8">
                  <c:v>79762.604134610723</c:v>
                </c:pt>
                <c:pt idx="9">
                  <c:v>103757.59878068314</c:v>
                </c:pt>
                <c:pt idx="10">
                  <c:v>126456.5527935952</c:v>
                </c:pt>
                <c:pt idx="11">
                  <c:v>152259.90857770361</c:v>
                </c:pt>
                <c:pt idx="12">
                  <c:v>173020.59778915637</c:v>
                </c:pt>
                <c:pt idx="13">
                  <c:v>190545.69459613157</c:v>
                </c:pt>
                <c:pt idx="14">
                  <c:v>206314.48705423958</c:v>
                </c:pt>
                <c:pt idx="15">
                  <c:v>220366.28050409895</c:v>
                </c:pt>
                <c:pt idx="16">
                  <c:v>225607.02830876922</c:v>
                </c:pt>
                <c:pt idx="17">
                  <c:v>227253.46736811762</c:v>
                </c:pt>
                <c:pt idx="18">
                  <c:v>223238.71471543465</c:v>
                </c:pt>
                <c:pt idx="19">
                  <c:v>217894.97089316486</c:v>
                </c:pt>
                <c:pt idx="20">
                  <c:v>227123.30040583797</c:v>
                </c:pt>
                <c:pt idx="21">
                  <c:v>236852.99145917367</c:v>
                </c:pt>
                <c:pt idx="22">
                  <c:v>246690.35114182599</c:v>
                </c:pt>
                <c:pt idx="23">
                  <c:v>256639.72674180433</c:v>
                </c:pt>
                <c:pt idx="24">
                  <c:v>266705.57249010797</c:v>
                </c:pt>
                <c:pt idx="25">
                  <c:v>278285.10304371337</c:v>
                </c:pt>
                <c:pt idx="26">
                  <c:v>288983.84889583359</c:v>
                </c:pt>
                <c:pt idx="27">
                  <c:v>299834.25614565436</c:v>
                </c:pt>
                <c:pt idx="28">
                  <c:v>310841.15845334111</c:v>
                </c:pt>
                <c:pt idx="29">
                  <c:v>322009.5109767426</c:v>
                </c:pt>
                <c:pt idx="30">
                  <c:v>332530.4833891117</c:v>
                </c:pt>
                <c:pt idx="31">
                  <c:v>344185.83172039216</c:v>
                </c:pt>
                <c:pt idx="32">
                  <c:v>356025.75576332066</c:v>
                </c:pt>
                <c:pt idx="33">
                  <c:v>368055.59242701594</c:v>
                </c:pt>
                <c:pt idx="34">
                  <c:v>380280.81982608442</c:v>
                </c:pt>
                <c:pt idx="35">
                  <c:v>392707.06090987392</c:v>
                </c:pt>
              </c:numCache>
            </c:numRef>
          </c:val>
        </c:ser>
        <c:ser>
          <c:idx val="1"/>
          <c:order val="1"/>
          <c:tx>
            <c:strRef>
              <c:f>'HIDDEN_Dashboard charts data'!$E$38</c:f>
              <c:strCache>
                <c:ptCount val="1"/>
                <c:pt idx="0">
                  <c:v>Victorian and Australian Governments</c:v>
                </c:pt>
              </c:strCache>
            </c:strRef>
          </c:tx>
          <c:cat>
            <c:numRef>
              <c:f>'HIDDEN_Dashboard charts data'!$F$13:$AO$13</c:f>
              <c:numCache>
                <c:formatCode>General</c:formatCode>
                <c:ptCount val="3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'HIDDEN_Dashboard charts data'!$F$38:$AO$38</c:f>
              <c:numCache>
                <c:formatCode>_-* #,##0_-;\-* #,##0_-;_-* "-"??_-;_-@_-</c:formatCode>
                <c:ptCount val="36"/>
                <c:pt idx="0">
                  <c:v>0</c:v>
                </c:pt>
                <c:pt idx="1">
                  <c:v>0</c:v>
                </c:pt>
                <c:pt idx="2">
                  <c:v>0</c:v>
                </c:pt>
                <c:pt idx="3">
                  <c:v>0</c:v>
                </c:pt>
                <c:pt idx="4">
                  <c:v>0</c:v>
                </c:pt>
                <c:pt idx="5">
                  <c:v>0</c:v>
                </c:pt>
                <c:pt idx="6">
                  <c:v>103060.60495712544</c:v>
                </c:pt>
                <c:pt idx="7">
                  <c:v>206706.00046588425</c:v>
                </c:pt>
                <c:pt idx="8">
                  <c:v>310580.26117100456</c:v>
                </c:pt>
                <c:pt idx="9">
                  <c:v>414833.75449987361</c:v>
                </c:pt>
                <c:pt idx="10">
                  <c:v>518521.28049226152</c:v>
                </c:pt>
                <c:pt idx="11">
                  <c:v>633016.35621508234</c:v>
                </c:pt>
                <c:pt idx="12">
                  <c:v>736628.92930584238</c:v>
                </c:pt>
                <c:pt idx="13">
                  <c:v>1061631.6934776374</c:v>
                </c:pt>
                <c:pt idx="14">
                  <c:v>1271014.6545734082</c:v>
                </c:pt>
                <c:pt idx="15">
                  <c:v>1454666.9624354723</c:v>
                </c:pt>
                <c:pt idx="16">
                  <c:v>1606259.2403030912</c:v>
                </c:pt>
                <c:pt idx="17">
                  <c:v>1725334.0453631766</c:v>
                </c:pt>
                <c:pt idx="18">
                  <c:v>1785938.6101643213</c:v>
                </c:pt>
                <c:pt idx="19">
                  <c:v>1815699.9996401984</c:v>
                </c:pt>
                <c:pt idx="20">
                  <c:v>1976605.6559526573</c:v>
                </c:pt>
                <c:pt idx="21">
                  <c:v>2149103.0944305388</c:v>
                </c:pt>
                <c:pt idx="22">
                  <c:v>2325672.8351864079</c:v>
                </c:pt>
                <c:pt idx="23">
                  <c:v>2505947.4306647154</c:v>
                </c:pt>
                <c:pt idx="24">
                  <c:v>2690055.8511703275</c:v>
                </c:pt>
                <c:pt idx="25">
                  <c:v>2897287.2864511237</c:v>
                </c:pt>
                <c:pt idx="26">
                  <c:v>2961696.2394635575</c:v>
                </c:pt>
                <c:pt idx="27">
                  <c:v>3027646.6679178006</c:v>
                </c:pt>
                <c:pt idx="28">
                  <c:v>3095168.5332337222</c:v>
                </c:pt>
                <c:pt idx="29">
                  <c:v>3164292.4573685061</c:v>
                </c:pt>
                <c:pt idx="30">
                  <c:v>3224703.6985376226</c:v>
                </c:pt>
                <c:pt idx="31">
                  <c:v>3299123.9422085211</c:v>
                </c:pt>
                <c:pt idx="32">
                  <c:v>3375280.5322272154</c:v>
                </c:pt>
                <c:pt idx="33">
                  <c:v>3453208.323645683</c:v>
                </c:pt>
                <c:pt idx="34">
                  <c:v>3532942.8861584752</c:v>
                </c:pt>
                <c:pt idx="35">
                  <c:v>3614520.5168039477</c:v>
                </c:pt>
              </c:numCache>
            </c:numRef>
          </c:val>
        </c:ser>
        <c:dLbls>
          <c:showLegendKey val="0"/>
          <c:showVal val="0"/>
          <c:showCatName val="0"/>
          <c:showSerName val="0"/>
          <c:showPercent val="0"/>
          <c:showBubbleSize val="0"/>
        </c:dLbls>
        <c:axId val="417257344"/>
        <c:axId val="417275264"/>
      </c:areaChart>
      <c:catAx>
        <c:axId val="417257344"/>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417275264"/>
        <c:crosses val="autoZero"/>
        <c:auto val="1"/>
        <c:lblAlgn val="ctr"/>
        <c:lblOffset val="100"/>
        <c:tickLblSkip val="5"/>
        <c:noMultiLvlLbl val="0"/>
      </c:catAx>
      <c:valAx>
        <c:axId val="417275264"/>
        <c:scaling>
          <c:orientation val="minMax"/>
        </c:scaling>
        <c:delete val="0"/>
        <c:axPos val="l"/>
        <c:majorGridlines>
          <c:spPr>
            <a:ln>
              <a:solidFill>
                <a:schemeClr val="tx1">
                  <a:lumMod val="15000"/>
                  <a:lumOff val="85000"/>
                </a:schemeClr>
              </a:solidFill>
            </a:ln>
          </c:spPr>
        </c:majorGridlines>
        <c:title>
          <c:tx>
            <c:rich>
              <a:bodyPr rot="-5400000" vert="horz"/>
              <a:lstStyle/>
              <a:p>
                <a:pPr>
                  <a:defRPr b="0"/>
                </a:pPr>
                <a:r>
                  <a:rPr lang="en-AU" b="0"/>
                  <a:t>Emissions</a:t>
                </a:r>
                <a:r>
                  <a:rPr lang="en-AU" b="0" baseline="0"/>
                  <a:t> (tCO</a:t>
                </a:r>
                <a:r>
                  <a:rPr lang="en-AU" b="0" baseline="-25000"/>
                  <a:t>2</a:t>
                </a:r>
                <a:r>
                  <a:rPr lang="en-AU" b="0" baseline="0"/>
                  <a:t>-e)</a:t>
                </a:r>
                <a:endParaRPr lang="en-AU" b="0"/>
              </a:p>
            </c:rich>
          </c:tx>
          <c:layout/>
          <c:overlay val="0"/>
        </c:title>
        <c:numFmt formatCode="_-* #,##0_-;\-* #,##0_-;_-* &quot;-&quot;??_-;_-@_-" sourceLinked="1"/>
        <c:majorTickMark val="out"/>
        <c:minorTickMark val="none"/>
        <c:tickLblPos val="nextTo"/>
        <c:spPr>
          <a:ln>
            <a:noFill/>
          </a:ln>
        </c:spPr>
        <c:txPr>
          <a:bodyPr rot="-60000000" vert="horz"/>
          <a:lstStyle/>
          <a:p>
            <a:pPr>
              <a:defRPr/>
            </a:pPr>
            <a:endParaRPr lang="en-US"/>
          </a:p>
        </c:txPr>
        <c:crossAx val="417257344"/>
        <c:crosses val="autoZero"/>
        <c:crossBetween val="midCat"/>
      </c:valAx>
    </c:plotArea>
    <c:legend>
      <c:legendPos val="r"/>
      <c:layout>
        <c:manualLayout>
          <c:xMode val="edge"/>
          <c:yMode val="edge"/>
          <c:x val="0.73665958053904335"/>
          <c:y val="0.34080249620450426"/>
          <c:w val="0.25055960197135563"/>
          <c:h val="0.23408136774116903"/>
        </c:manualLayout>
      </c:layout>
      <c:overlay val="0"/>
    </c:legend>
    <c:plotVisOnly val="1"/>
    <c:dispBlanksAs val="zero"/>
    <c:showDLblsOverMax val="0"/>
  </c:chart>
  <c:spPr>
    <a:ln>
      <a:noFill/>
    </a:ln>
  </c:spPr>
  <c:txPr>
    <a:bodyPr/>
    <a:lstStyle/>
    <a:p>
      <a:pPr>
        <a:defRPr sz="9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41</TotalTime>
  <Pages>6</Pages>
  <Words>1644</Words>
  <Characters>9372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Height</dc:creator>
  <cp:keywords/>
  <dc:description/>
  <cp:lastModifiedBy>Melissa Height</cp:lastModifiedBy>
  <cp:revision>1</cp:revision>
  <dcterms:created xsi:type="dcterms:W3CDTF">2018-09-11T00:28:00Z</dcterms:created>
  <dcterms:modified xsi:type="dcterms:W3CDTF">2018-09-11T01:32:00Z</dcterms:modified>
</cp:coreProperties>
</file>