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737A99" w:rsidP="00020B35">
      <w:pPr>
        <w:spacing w:after="0"/>
        <w:jc w:val="right"/>
      </w:pPr>
    </w:p>
    <w:p w:rsidR="00E5089C" w:rsidRPr="001B51BF" w:rsidRDefault="000018C8" w:rsidP="00020B35">
      <w:pPr>
        <w:pStyle w:val="DocumentTitle"/>
        <w:spacing w:before="3360"/>
      </w:pPr>
      <w:r>
        <w:t>Draft City River Strategy</w:t>
      </w:r>
    </w:p>
    <w:p w:rsidR="000F3535" w:rsidRDefault="000018C8" w:rsidP="001B51BF">
      <w:pPr>
        <w:pStyle w:val="Subtitle"/>
      </w:pPr>
      <w:r>
        <w:t>Analysis of Community Engagement Results</w:t>
      </w:r>
    </w:p>
    <w:p w:rsidR="000018C8" w:rsidRDefault="000018C8" w:rsidP="000018C8">
      <w:pPr>
        <w:pStyle w:val="Subtitle2"/>
      </w:pPr>
      <w:r>
        <w:t>Summary Report</w:t>
      </w:r>
      <w:r w:rsidR="00177BDC">
        <w:t xml:space="preserve"> </w:t>
      </w:r>
      <w:r>
        <w:t>28 August 2019</w:t>
      </w:r>
    </w:p>
    <w:p w:rsidR="007526EA" w:rsidRPr="007526EA" w:rsidRDefault="007526EA" w:rsidP="00177BDC">
      <w:pPr>
        <w:pStyle w:val="Subtitle2"/>
      </w:pPr>
      <w:r>
        <w:t>Prepared by Global Research Ltd for City of Melbourne</w:t>
      </w:r>
    </w:p>
    <w:p w:rsidR="000018C8" w:rsidRDefault="00020B35" w:rsidP="0075222B">
      <w:pPr>
        <w:pStyle w:val="Heading1"/>
        <w:rPr>
          <w:rFonts w:hint="eastAsia"/>
        </w:rPr>
      </w:pPr>
      <w:r>
        <w:br w:type="page"/>
      </w:r>
      <w:bookmarkStart w:id="0" w:name="_Hlk17814069"/>
      <w:bookmarkStart w:id="1" w:name="_Toc482024131"/>
      <w:bookmarkStart w:id="2" w:name="_Hlk496614311"/>
      <w:bookmarkStart w:id="3" w:name="_Toc403992346"/>
      <w:bookmarkStart w:id="4" w:name="_Toc403992581"/>
      <w:bookmarkStart w:id="5" w:name="_Toc419982220"/>
      <w:bookmarkStart w:id="6" w:name="_Toc419982306"/>
      <w:bookmarkEnd w:id="0"/>
      <w:r w:rsidR="000018C8" w:rsidRPr="00FD6F62">
        <w:t xml:space="preserve">Developing a </w:t>
      </w:r>
      <w:r w:rsidR="000018C8">
        <w:t>City River S</w:t>
      </w:r>
      <w:r w:rsidR="000018C8" w:rsidRPr="00FD6F62">
        <w:t xml:space="preserve">trategy </w:t>
      </w:r>
      <w:r w:rsidR="000018C8">
        <w:t>t</w:t>
      </w:r>
      <w:r w:rsidR="000018C8" w:rsidRPr="00FD6F62">
        <w:t xml:space="preserve">o </w:t>
      </w:r>
      <w:r w:rsidR="000018C8">
        <w:t>G</w:t>
      </w:r>
      <w:r w:rsidR="000018C8" w:rsidRPr="00FD6F62">
        <w:t xml:space="preserve">uide </w:t>
      </w:r>
      <w:r w:rsidR="000018C8">
        <w:t>F</w:t>
      </w:r>
      <w:r w:rsidR="000018C8" w:rsidRPr="00FD6F62">
        <w:t xml:space="preserve">uture </w:t>
      </w:r>
      <w:r w:rsidR="000018C8">
        <w:t>A</w:t>
      </w:r>
      <w:r w:rsidR="000018C8" w:rsidRPr="00FD6F62">
        <w:t xml:space="preserve">spirations </w:t>
      </w:r>
      <w:r w:rsidR="000018C8">
        <w:t>f</w:t>
      </w:r>
      <w:r w:rsidR="000018C8" w:rsidRPr="00FD6F62">
        <w:t xml:space="preserve">or </w:t>
      </w:r>
      <w:r w:rsidR="000018C8">
        <w:t>M</w:t>
      </w:r>
      <w:r w:rsidR="000018C8" w:rsidRPr="00FD6F62">
        <w:t xml:space="preserve">elbourne's </w:t>
      </w:r>
      <w:r w:rsidR="000018C8">
        <w:t>In</w:t>
      </w:r>
      <w:r w:rsidR="000018C8" w:rsidRPr="00FD6F62">
        <w:t>ner</w:t>
      </w:r>
      <w:r w:rsidR="000018C8">
        <w:t>-C</w:t>
      </w:r>
      <w:r w:rsidR="000018C8" w:rsidRPr="00FD6F62">
        <w:t xml:space="preserve">ity </w:t>
      </w:r>
      <w:r w:rsidR="000018C8">
        <w:t>R</w:t>
      </w:r>
      <w:r w:rsidR="000018C8" w:rsidRPr="00FD6F62">
        <w:t>iver</w:t>
      </w:r>
    </w:p>
    <w:p w:rsidR="007526EA" w:rsidRPr="00754CA1" w:rsidRDefault="007526EA" w:rsidP="007526EA">
      <w:pPr>
        <w:ind w:right="-111"/>
      </w:pPr>
      <w:r w:rsidRPr="00754CA1">
        <w:t>The Yarra River, traditionally known as the Birrarung, is one of the defining features of Melbourne. It's a recreational area and a destination for many activities that contribute to the life of the city.</w:t>
      </w:r>
      <w:r>
        <w:t xml:space="preserve"> </w:t>
      </w:r>
    </w:p>
    <w:p w:rsidR="007526EA" w:rsidRDefault="007526EA" w:rsidP="007526EA">
      <w:r w:rsidRPr="00754CA1">
        <w:t>As Melbourne continues to grow and change, sustaining and improving people’s experience of the Birrarung is an important priority.</w:t>
      </w:r>
    </w:p>
    <w:p w:rsidR="007526EA" w:rsidRDefault="007526EA" w:rsidP="007526EA">
      <w:r w:rsidRPr="001275AB">
        <w:t>The City of Melbourne is developing a</w:t>
      </w:r>
      <w:r>
        <w:t xml:space="preserve"> strategy </w:t>
      </w:r>
      <w:r w:rsidRPr="001275AB">
        <w:t>to guide Council’s future planning of the inner</w:t>
      </w:r>
      <w:r>
        <w:t>-</w:t>
      </w:r>
      <w:r w:rsidRPr="001275AB">
        <w:t>city section of the</w:t>
      </w:r>
      <w:r w:rsidR="0075222B">
        <w:t xml:space="preserve"> </w:t>
      </w:r>
      <w:r w:rsidR="0075222B" w:rsidRPr="001275AB">
        <w:t>river. It will outline opportunities to improve the way we use our river and its edges.</w:t>
      </w:r>
    </w:p>
    <w:p w:rsidR="0075222B" w:rsidRPr="00177BDC" w:rsidRDefault="0075222B" w:rsidP="00BF6128">
      <w:pPr>
        <w:pStyle w:val="Quote"/>
        <w:ind w:left="0"/>
        <w:jc w:val="left"/>
        <w:rPr>
          <w:rFonts w:ascii="Arial" w:hAnsi="Arial" w:cs="Arial"/>
          <w:color w:val="auto"/>
          <w:sz w:val="20"/>
          <w:szCs w:val="20"/>
          <w:lang w:eastAsia="en-US"/>
        </w:rPr>
      </w:pPr>
      <w:r w:rsidRPr="00177BDC">
        <w:rPr>
          <w:rFonts w:ascii="Arial" w:hAnsi="Arial" w:cs="Arial"/>
          <w:color w:val="auto"/>
          <w:sz w:val="20"/>
          <w:szCs w:val="20"/>
          <w:lang w:eastAsia="en-US"/>
        </w:rPr>
        <w:t>“The goal is to significantly raise the quality of the Birrarung environs in the central city stretch to be the centrepiece of Melbourne’s economy, culture and liveability”</w:t>
      </w:r>
    </w:p>
    <w:p w:rsidR="0075222B" w:rsidRPr="00940F30" w:rsidRDefault="0075222B" w:rsidP="0075222B">
      <w:pPr>
        <w:ind w:right="-111"/>
      </w:pPr>
      <w:r w:rsidRPr="00754CA1">
        <w:t>There are many projects, plans</w:t>
      </w:r>
      <w:r>
        <w:t>,</w:t>
      </w:r>
      <w:r w:rsidRPr="00754CA1">
        <w:t xml:space="preserve"> and strategies relating to the inner</w:t>
      </w:r>
      <w:r>
        <w:t>-</w:t>
      </w:r>
      <w:r w:rsidRPr="00754CA1">
        <w:t xml:space="preserve">city area of the Birrarung, </w:t>
      </w:r>
      <w:r>
        <w:t xml:space="preserve">that are </w:t>
      </w:r>
      <w:r w:rsidRPr="00754CA1">
        <w:t xml:space="preserve">currently being completed by various levels of government and private developers. This highlights a need to clearly define </w:t>
      </w:r>
      <w:r>
        <w:t>our preferences regarding the central city waterways and waterfront usage</w:t>
      </w:r>
      <w:r w:rsidRPr="00940F30">
        <w:t xml:space="preserve">. </w:t>
      </w:r>
    </w:p>
    <w:p w:rsidR="0075222B" w:rsidRDefault="0075222B" w:rsidP="0075222B">
      <w:pPr>
        <w:ind w:right="-111"/>
      </w:pPr>
      <w:r w:rsidRPr="00B5102F">
        <w:t xml:space="preserve">Between 17 April and 7 July 2019, a public consultation process was undertaken to communicate City of Melbourne’s </w:t>
      </w:r>
      <w:r>
        <w:t>emerging</w:t>
      </w:r>
      <w:r w:rsidRPr="00B5102F">
        <w:t xml:space="preserve"> vision for the City River. It gauged levels of support for fourteen proposed Strategic Directions, within the themes of Culture, Ecology, Movement, and Place.  </w:t>
      </w:r>
    </w:p>
    <w:p w:rsidR="0075222B" w:rsidRDefault="0075222B" w:rsidP="0075222B">
      <w:pPr>
        <w:ind w:right="-111"/>
      </w:pPr>
      <w:r>
        <w:t>It included online and face-to-face engagement activities, pop-ups along the river, an online survey, stakeholder meetings, posters in community facilities, social media posts and an ideas forum.</w:t>
      </w:r>
    </w:p>
    <w:p w:rsidR="0075222B" w:rsidRDefault="0075222B" w:rsidP="0075222B">
      <w:pPr>
        <w:ind w:right="-111"/>
      </w:pPr>
      <w:r w:rsidRPr="00B5102F">
        <w:t>This document presents a summary of the community engagement feedback received</w:t>
      </w:r>
      <w:r>
        <w:t xml:space="preserve"> from community members and other key stakeholders.</w:t>
      </w:r>
      <w:r w:rsidRPr="005A12D9">
        <w:t xml:space="preserve"> </w:t>
      </w:r>
      <w:r>
        <w:t>I</w:t>
      </w:r>
      <w:r w:rsidRPr="001E5705">
        <w:t xml:space="preserve">ndependent analysis and </w:t>
      </w:r>
      <w:r>
        <w:t>a detailed Community Engagement R</w:t>
      </w:r>
      <w:r w:rsidRPr="001E5705">
        <w:t xml:space="preserve">eport </w:t>
      </w:r>
      <w:proofErr w:type="gramStart"/>
      <w:r>
        <w:t>has</w:t>
      </w:r>
      <w:proofErr w:type="gramEnd"/>
      <w:r>
        <w:t xml:space="preserve"> been </w:t>
      </w:r>
      <w:r w:rsidRPr="001E5705">
        <w:t>prepared by Global Research.</w:t>
      </w:r>
    </w:p>
    <w:p w:rsidR="0075222B" w:rsidRPr="007526EA" w:rsidRDefault="0075222B" w:rsidP="0075222B">
      <w:pPr>
        <w:rPr>
          <w:lang w:val="en-US"/>
        </w:rPr>
      </w:pPr>
      <w:r>
        <w:t>A</w:t>
      </w:r>
      <w:r w:rsidRPr="00B5102F">
        <w:t xml:space="preserve"> Draft Strategy </w:t>
      </w:r>
      <w:proofErr w:type="gramStart"/>
      <w:r w:rsidRPr="00B5102F">
        <w:t>Overview,</w:t>
      </w:r>
      <w:proofErr w:type="gramEnd"/>
      <w:r w:rsidRPr="00B5102F">
        <w:t xml:space="preserve"> </w:t>
      </w:r>
      <w:r>
        <w:t xml:space="preserve">and the full Community Engagement Report </w:t>
      </w:r>
      <w:r w:rsidRPr="00B5102F">
        <w:t>can be accessed via</w:t>
      </w:r>
      <w:r w:rsidRPr="00B5102F">
        <w:rPr>
          <w:color w:val="C00000"/>
          <w:szCs w:val="20"/>
        </w:rPr>
        <w:t xml:space="preserve"> </w:t>
      </w:r>
      <w:hyperlink r:id="rId9" w:history="1">
        <w:r w:rsidRPr="002B5843">
          <w:t>https://participate.melbourne.vic.gov.au/city-river-strategy</w:t>
        </w:r>
      </w:hyperlink>
      <w:r w:rsidRPr="002B5843">
        <w:t>.</w:t>
      </w:r>
    </w:p>
    <w:bookmarkEnd w:id="1"/>
    <w:bookmarkEnd w:id="2"/>
    <w:p w:rsidR="000018C8" w:rsidRDefault="000018C8" w:rsidP="000018C8">
      <w:pPr>
        <w:pStyle w:val="Heading1"/>
        <w:rPr>
          <w:rFonts w:hint="eastAsia"/>
        </w:rPr>
      </w:pPr>
      <w:r>
        <w:t>Purpose of Engagement</w:t>
      </w:r>
    </w:p>
    <w:p w:rsidR="000018C8" w:rsidRDefault="000018C8" w:rsidP="000018C8">
      <w:r>
        <w:t>The purpose of the engagement was to gain feedback on the City of Melbourne’s future aspirations for Melbourne's inner-city Yarra River.</w:t>
      </w:r>
    </w:p>
    <w:p w:rsidR="000018C8" w:rsidRDefault="000018C8" w:rsidP="000018C8">
      <w:r>
        <w:t xml:space="preserve">The engagement aims were threefold: </w:t>
      </w:r>
    </w:p>
    <w:p w:rsidR="000018C8" w:rsidRDefault="000018C8" w:rsidP="00177BDC">
      <w:pPr>
        <w:pStyle w:val="ListParagraph"/>
        <w:numPr>
          <w:ilvl w:val="0"/>
          <w:numId w:val="32"/>
        </w:numPr>
        <w:spacing w:before="120" w:after="0" w:line="240" w:lineRule="auto"/>
      </w:pPr>
      <w:r>
        <w:t>To communicate City of Melbourne’s draft vision for the river.</w:t>
      </w:r>
    </w:p>
    <w:p w:rsidR="000018C8" w:rsidRDefault="000018C8" w:rsidP="00177BDC">
      <w:pPr>
        <w:pStyle w:val="ListParagraph"/>
        <w:numPr>
          <w:ilvl w:val="0"/>
          <w:numId w:val="32"/>
        </w:numPr>
        <w:spacing w:before="120" w:after="0" w:line="240" w:lineRule="auto"/>
      </w:pPr>
      <w:r>
        <w:t xml:space="preserve">To encourage the community to provide feedback on the draft City River Strategy. </w:t>
      </w:r>
    </w:p>
    <w:p w:rsidR="000018C8" w:rsidRDefault="000018C8" w:rsidP="00177BDC">
      <w:pPr>
        <w:pStyle w:val="ListParagraph"/>
        <w:numPr>
          <w:ilvl w:val="0"/>
          <w:numId w:val="32"/>
        </w:numPr>
        <w:spacing w:before="120" w:after="0" w:line="240" w:lineRule="auto"/>
      </w:pPr>
      <w:r>
        <w:t>To test the proposed strategic directions with key stakeholders and the community, so the final strategy will have community support.</w:t>
      </w:r>
    </w:p>
    <w:p w:rsidR="000018C8" w:rsidRPr="006F0CCA" w:rsidRDefault="000018C8" w:rsidP="0075222B">
      <w:pPr>
        <w:pStyle w:val="Heading1"/>
        <w:rPr>
          <w:rFonts w:hint="eastAsia"/>
        </w:rPr>
      </w:pPr>
      <w:r w:rsidRPr="006F0CCA">
        <w:t xml:space="preserve">The </w:t>
      </w:r>
      <w:r>
        <w:t>S</w:t>
      </w:r>
      <w:r w:rsidRPr="006F0CCA">
        <w:t xml:space="preserve">tudy </w:t>
      </w:r>
      <w:r>
        <w:t>A</w:t>
      </w:r>
      <w:r w:rsidRPr="006F0CCA">
        <w:t>rea</w:t>
      </w:r>
    </w:p>
    <w:p w:rsidR="000018C8" w:rsidRDefault="000018C8" w:rsidP="0075222B">
      <w:r>
        <w:t>The focus of the Strategy is the inner-city reaches of the Birrarung, covering 11kms of diverse river edges and urban settings (5.7km on the north bank and 5.6km on the south bank).</w:t>
      </w:r>
    </w:p>
    <w:p w:rsidR="000018C8" w:rsidRDefault="000018C8" w:rsidP="000018C8">
      <w:r w:rsidRPr="003A2F55">
        <w:t>Many people currently use the river and its surrounds within our city as a place to exercise, commute, relax and socialise.</w:t>
      </w:r>
      <w:r>
        <w:rPr>
          <w:rFonts w:cs="Arial"/>
        </w:rPr>
        <w:t xml:space="preserve"> </w:t>
      </w:r>
      <w:r>
        <w:t xml:space="preserve">Improvements to the areas outlined in the strategy are envisaged to create areas that are destinations, spaces which people can both actively and passively enjoy. </w:t>
      </w:r>
    </w:p>
    <w:p w:rsidR="000018C8" w:rsidRDefault="000018C8" w:rsidP="000018C8">
      <w:pPr>
        <w:pStyle w:val="Heading1"/>
        <w:rPr>
          <w:rFonts w:hint="eastAsia"/>
        </w:rPr>
      </w:pPr>
      <w:r>
        <w:t>The Strategy</w:t>
      </w:r>
    </w:p>
    <w:p w:rsidR="000018C8" w:rsidRDefault="000018C8" w:rsidP="000018C8">
      <w:pPr>
        <w:rPr>
          <w:lang w:eastAsia="en-AU"/>
        </w:rPr>
      </w:pPr>
      <w:r w:rsidRPr="00B960AB">
        <w:rPr>
          <w:lang w:eastAsia="en-AU"/>
        </w:rPr>
        <w:t>The City River Strategy proposes a design approach for the inner</w:t>
      </w:r>
      <w:r>
        <w:rPr>
          <w:lang w:eastAsia="en-AU"/>
        </w:rPr>
        <w:t>-</w:t>
      </w:r>
      <w:r w:rsidRPr="00B960AB">
        <w:rPr>
          <w:lang w:eastAsia="en-AU"/>
        </w:rPr>
        <w:t>city reach of the Birrarung. It is organised around four key themes</w:t>
      </w:r>
      <w:r>
        <w:rPr>
          <w:lang w:eastAsia="en-AU"/>
        </w:rPr>
        <w:t>,</w:t>
      </w:r>
      <w:r w:rsidRPr="00B960AB">
        <w:rPr>
          <w:lang w:eastAsia="en-AU"/>
        </w:rPr>
        <w:t xml:space="preserve"> within which key strategic directions are outlined to provide guidance on how the river and its edges should be planned for and managed. </w:t>
      </w:r>
    </w:p>
    <w:p w:rsidR="000018C8" w:rsidRDefault="000018C8" w:rsidP="000018C8">
      <w:pPr>
        <w:rPr>
          <w:lang w:eastAsia="en-AU"/>
        </w:rPr>
      </w:pPr>
      <w:r w:rsidRPr="00B960AB">
        <w:rPr>
          <w:lang w:eastAsia="en-AU"/>
        </w:rPr>
        <w:t xml:space="preserve">The four themes are: </w:t>
      </w:r>
    </w:p>
    <w:p w:rsidR="000018C8" w:rsidRPr="0075222B" w:rsidRDefault="000018C8" w:rsidP="000018C8">
      <w:pPr>
        <w:ind w:left="720"/>
        <w:rPr>
          <w:lang w:eastAsia="en-AU"/>
        </w:rPr>
      </w:pPr>
      <w:r w:rsidRPr="0075222B">
        <w:rPr>
          <w:rFonts w:ascii="Montserrat Medium" w:hAnsi="Montserrat Medium"/>
          <w:bCs/>
          <w:lang w:eastAsia="en-AU"/>
        </w:rPr>
        <w:t>Culture:</w:t>
      </w:r>
      <w:r w:rsidRPr="0075222B">
        <w:rPr>
          <w:lang w:eastAsia="en-AU"/>
        </w:rPr>
        <w:t xml:space="preserve"> Heritage and narrative. </w:t>
      </w:r>
      <w:proofErr w:type="gramStart"/>
      <w:r w:rsidRPr="0075222B">
        <w:rPr>
          <w:lang w:eastAsia="en-AU"/>
        </w:rPr>
        <w:t>Cultural values, stories, spiritual, genealogical, historical.</w:t>
      </w:r>
      <w:proofErr w:type="gramEnd"/>
      <w:r w:rsidRPr="0075222B">
        <w:rPr>
          <w:lang w:eastAsia="en-AU"/>
        </w:rPr>
        <w:t xml:space="preserve"> </w:t>
      </w:r>
    </w:p>
    <w:p w:rsidR="000018C8" w:rsidRPr="0075222B" w:rsidRDefault="000018C8" w:rsidP="000018C8">
      <w:pPr>
        <w:ind w:left="720"/>
        <w:rPr>
          <w:lang w:eastAsia="en-AU"/>
        </w:rPr>
      </w:pPr>
      <w:r w:rsidRPr="0075222B">
        <w:rPr>
          <w:rFonts w:ascii="Montserrat Medium" w:hAnsi="Montserrat Medium"/>
          <w:bCs/>
          <w:lang w:eastAsia="en-AU"/>
        </w:rPr>
        <w:t>Ecology:</w:t>
      </w:r>
      <w:r w:rsidRPr="0075222B">
        <w:rPr>
          <w:rFonts w:ascii="Montserrat Medium" w:hAnsi="Montserrat Medium"/>
          <w:lang w:eastAsia="en-AU"/>
        </w:rPr>
        <w:t xml:space="preserve"> </w:t>
      </w:r>
      <w:r w:rsidRPr="0075222B">
        <w:rPr>
          <w:lang w:eastAsia="en-AU"/>
        </w:rPr>
        <w:t xml:space="preserve">Habitat and water. Holistic urban waterways environment: landscape, ecology and water. </w:t>
      </w:r>
    </w:p>
    <w:p w:rsidR="000018C8" w:rsidRPr="0075222B" w:rsidRDefault="000018C8" w:rsidP="000018C8">
      <w:pPr>
        <w:ind w:left="720"/>
        <w:rPr>
          <w:lang w:eastAsia="en-AU"/>
        </w:rPr>
      </w:pPr>
      <w:r w:rsidRPr="0075222B">
        <w:rPr>
          <w:rFonts w:ascii="Montserrat Medium" w:hAnsi="Montserrat Medium"/>
          <w:bCs/>
          <w:lang w:eastAsia="en-AU"/>
        </w:rPr>
        <w:t>Movement</w:t>
      </w:r>
      <w:r w:rsidRPr="0075222B">
        <w:rPr>
          <w:b/>
          <w:bCs/>
          <w:lang w:eastAsia="en-AU"/>
        </w:rPr>
        <w:t>:</w:t>
      </w:r>
      <w:r w:rsidRPr="0075222B">
        <w:rPr>
          <w:lang w:eastAsia="en-AU"/>
        </w:rPr>
        <w:t xml:space="preserve"> Journey and connection. </w:t>
      </w:r>
      <w:proofErr w:type="gramStart"/>
      <w:r w:rsidRPr="0075222B">
        <w:rPr>
          <w:lang w:eastAsia="en-AU"/>
        </w:rPr>
        <w:t>Network of connections to and along the waterfront.</w:t>
      </w:r>
      <w:proofErr w:type="gramEnd"/>
      <w:r w:rsidRPr="0075222B">
        <w:rPr>
          <w:lang w:eastAsia="en-AU"/>
        </w:rPr>
        <w:t xml:space="preserve"> </w:t>
      </w:r>
    </w:p>
    <w:p w:rsidR="000018C8" w:rsidRPr="0075222B" w:rsidRDefault="000018C8" w:rsidP="000018C8">
      <w:pPr>
        <w:ind w:left="720"/>
        <w:rPr>
          <w:lang w:eastAsia="en-AU"/>
        </w:rPr>
      </w:pPr>
      <w:r w:rsidRPr="0075222B">
        <w:rPr>
          <w:rFonts w:ascii="Montserrat Medium" w:hAnsi="Montserrat Medium"/>
          <w:bCs/>
          <w:lang w:eastAsia="en-AU"/>
        </w:rPr>
        <w:t>Place:</w:t>
      </w:r>
      <w:r w:rsidRPr="0075222B">
        <w:rPr>
          <w:lang w:eastAsia="en-AU"/>
        </w:rPr>
        <w:t xml:space="preserve"> Activity and character. </w:t>
      </w:r>
      <w:proofErr w:type="gramStart"/>
      <w:r w:rsidRPr="0075222B">
        <w:rPr>
          <w:lang w:eastAsia="en-AU"/>
        </w:rPr>
        <w:t>Identity, quality, activation and economy of the urban environment.</w:t>
      </w:r>
      <w:proofErr w:type="gramEnd"/>
      <w:r w:rsidRPr="0075222B">
        <w:rPr>
          <w:lang w:eastAsia="en-AU"/>
        </w:rPr>
        <w:t xml:space="preserve"> </w:t>
      </w:r>
    </w:p>
    <w:p w:rsidR="000018C8" w:rsidRDefault="000018C8" w:rsidP="000018C8">
      <w:pPr>
        <w:rPr>
          <w:lang w:eastAsia="en-AU"/>
        </w:rPr>
      </w:pPr>
      <w:r w:rsidRPr="00B960AB">
        <w:rPr>
          <w:lang w:eastAsia="en-AU"/>
        </w:rPr>
        <w:t>The development of th</w:t>
      </w:r>
      <w:r>
        <w:rPr>
          <w:lang w:eastAsia="en-AU"/>
        </w:rPr>
        <w:t>e</w:t>
      </w:r>
      <w:r w:rsidRPr="00B960AB">
        <w:rPr>
          <w:lang w:eastAsia="en-AU"/>
        </w:rPr>
        <w:t xml:space="preserve"> </w:t>
      </w:r>
      <w:r>
        <w:rPr>
          <w:lang w:eastAsia="en-AU"/>
        </w:rPr>
        <w:t>d</w:t>
      </w:r>
      <w:r w:rsidRPr="00B960AB">
        <w:rPr>
          <w:lang w:eastAsia="en-AU"/>
        </w:rPr>
        <w:t xml:space="preserve">raft Strategy was based on the following approach: </w:t>
      </w:r>
    </w:p>
    <w:p w:rsidR="000018C8" w:rsidRPr="00367224" w:rsidRDefault="000018C8" w:rsidP="0075222B">
      <w:pPr>
        <w:pStyle w:val="ListParagraph"/>
        <w:numPr>
          <w:ilvl w:val="0"/>
          <w:numId w:val="26"/>
        </w:numPr>
        <w:spacing w:before="120" w:after="0" w:line="240" w:lineRule="auto"/>
        <w:rPr>
          <w:lang w:val="en-AU" w:eastAsia="en-AU"/>
        </w:rPr>
      </w:pPr>
      <w:r w:rsidRPr="00B960AB">
        <w:rPr>
          <w:lang w:eastAsia="en-AU"/>
        </w:rPr>
        <w:t>A review of relevant plans, strategies and policies that influence the planning and design of the waterways across the City of Melbourne municipality.</w:t>
      </w:r>
    </w:p>
    <w:p w:rsidR="000018C8" w:rsidRPr="00367224" w:rsidRDefault="000018C8" w:rsidP="0075222B">
      <w:pPr>
        <w:pStyle w:val="ListParagraph"/>
        <w:numPr>
          <w:ilvl w:val="0"/>
          <w:numId w:val="26"/>
        </w:numPr>
        <w:spacing w:before="120" w:after="0" w:line="240" w:lineRule="auto"/>
        <w:rPr>
          <w:lang w:val="en-AU" w:eastAsia="en-AU"/>
        </w:rPr>
      </w:pPr>
      <w:r w:rsidRPr="00B960AB">
        <w:rPr>
          <w:lang w:eastAsia="en-AU"/>
        </w:rPr>
        <w:t xml:space="preserve">Site visits involving </w:t>
      </w:r>
      <w:r>
        <w:rPr>
          <w:lang w:eastAsia="en-AU"/>
        </w:rPr>
        <w:t xml:space="preserve">the </w:t>
      </w:r>
      <w:r w:rsidRPr="00B960AB">
        <w:rPr>
          <w:lang w:eastAsia="en-AU"/>
        </w:rPr>
        <w:t>observ</w:t>
      </w:r>
      <w:r>
        <w:rPr>
          <w:lang w:eastAsia="en-AU"/>
        </w:rPr>
        <w:t>ation of</w:t>
      </w:r>
      <w:r w:rsidRPr="00B960AB">
        <w:rPr>
          <w:lang w:eastAsia="en-AU"/>
        </w:rPr>
        <w:t xml:space="preserve"> user </w:t>
      </w:r>
      <w:proofErr w:type="spellStart"/>
      <w:r w:rsidRPr="00B960AB">
        <w:rPr>
          <w:lang w:eastAsia="en-AU"/>
        </w:rPr>
        <w:t>behaviour</w:t>
      </w:r>
      <w:proofErr w:type="spellEnd"/>
      <w:r w:rsidRPr="00B960AB">
        <w:rPr>
          <w:lang w:eastAsia="en-AU"/>
        </w:rPr>
        <w:t xml:space="preserve"> and the influence of the physical environment on their </w:t>
      </w:r>
      <w:r w:rsidRPr="0075222B">
        <w:rPr>
          <w:lang w:val="en-AU" w:eastAsia="en-AU"/>
        </w:rPr>
        <w:t>behaviour</w:t>
      </w:r>
      <w:r w:rsidRPr="00B960AB">
        <w:rPr>
          <w:lang w:eastAsia="en-AU"/>
        </w:rPr>
        <w:t>.</w:t>
      </w:r>
    </w:p>
    <w:p w:rsidR="000018C8" w:rsidRPr="00367224" w:rsidRDefault="000018C8" w:rsidP="0075222B">
      <w:pPr>
        <w:pStyle w:val="ListParagraph"/>
        <w:numPr>
          <w:ilvl w:val="0"/>
          <w:numId w:val="26"/>
        </w:numPr>
        <w:spacing w:before="120" w:after="0" w:line="240" w:lineRule="auto"/>
        <w:rPr>
          <w:lang w:val="en-AU" w:eastAsia="en-AU"/>
        </w:rPr>
      </w:pPr>
      <w:r w:rsidRPr="00B960AB">
        <w:rPr>
          <w:lang w:eastAsia="en-AU"/>
        </w:rPr>
        <w:t>Reference to the City of Melbourne’s pedestrian counting</w:t>
      </w:r>
      <w:r>
        <w:rPr>
          <w:lang w:eastAsia="en-AU"/>
        </w:rPr>
        <w:t>-</w:t>
      </w:r>
      <w:r w:rsidRPr="00B960AB">
        <w:rPr>
          <w:lang w:eastAsia="en-AU"/>
        </w:rPr>
        <w:t>data at key locations across the corridor</w:t>
      </w:r>
      <w:r>
        <w:rPr>
          <w:lang w:eastAsia="en-AU"/>
        </w:rPr>
        <w:t>,</w:t>
      </w:r>
      <w:r w:rsidRPr="00B960AB">
        <w:rPr>
          <w:lang w:eastAsia="en-AU"/>
        </w:rPr>
        <w:t xml:space="preserve"> and reference to previous speed and volume surveys undertaken through recent studies.</w:t>
      </w:r>
    </w:p>
    <w:p w:rsidR="000018C8" w:rsidRPr="00367224" w:rsidRDefault="000018C8" w:rsidP="0075222B">
      <w:pPr>
        <w:pStyle w:val="ListParagraph"/>
        <w:numPr>
          <w:ilvl w:val="0"/>
          <w:numId w:val="26"/>
        </w:numPr>
        <w:spacing w:before="120" w:after="0" w:line="240" w:lineRule="auto"/>
        <w:rPr>
          <w:lang w:val="en-AU" w:eastAsia="en-AU"/>
        </w:rPr>
      </w:pPr>
      <w:r w:rsidRPr="00B960AB">
        <w:rPr>
          <w:lang w:eastAsia="en-AU"/>
        </w:rPr>
        <w:t>Pre-contact historical research of vegetation and landscape conditions.</w:t>
      </w:r>
    </w:p>
    <w:p w:rsidR="000018C8" w:rsidRPr="00367224" w:rsidRDefault="000018C8" w:rsidP="0075222B">
      <w:pPr>
        <w:pStyle w:val="ListParagraph"/>
        <w:numPr>
          <w:ilvl w:val="0"/>
          <w:numId w:val="26"/>
        </w:numPr>
        <w:spacing w:before="120" w:after="0" w:line="240" w:lineRule="auto"/>
        <w:rPr>
          <w:lang w:val="en-AU" w:eastAsia="en-AU"/>
        </w:rPr>
      </w:pPr>
      <w:r w:rsidRPr="00B960AB">
        <w:rPr>
          <w:lang w:eastAsia="en-AU"/>
        </w:rPr>
        <w:t>Multi-layered analysis of: biodiversity and urban forest; topography and flooding; place and urban design; access and movement; and</w:t>
      </w:r>
      <w:r>
        <w:rPr>
          <w:lang w:eastAsia="en-AU"/>
        </w:rPr>
        <w:t>,</w:t>
      </w:r>
      <w:r w:rsidRPr="00B960AB">
        <w:rPr>
          <w:lang w:eastAsia="en-AU"/>
        </w:rPr>
        <w:t xml:space="preserve"> activation and uses. </w:t>
      </w:r>
    </w:p>
    <w:p w:rsidR="000018C8" w:rsidRPr="00367224" w:rsidRDefault="000018C8" w:rsidP="0075222B">
      <w:pPr>
        <w:pStyle w:val="ListParagraph"/>
        <w:numPr>
          <w:ilvl w:val="0"/>
          <w:numId w:val="26"/>
        </w:numPr>
        <w:spacing w:before="120" w:after="0" w:line="240" w:lineRule="auto"/>
        <w:rPr>
          <w:lang w:val="en-AU" w:eastAsia="en-AU"/>
        </w:rPr>
      </w:pPr>
      <w:r w:rsidRPr="00B960AB">
        <w:rPr>
          <w:lang w:eastAsia="en-AU"/>
        </w:rPr>
        <w:t>A review of international best practice in urban waterfront developments.</w:t>
      </w:r>
    </w:p>
    <w:p w:rsidR="000018C8" w:rsidRPr="00367224" w:rsidRDefault="000018C8" w:rsidP="0075222B">
      <w:pPr>
        <w:pStyle w:val="ListParagraph"/>
        <w:numPr>
          <w:ilvl w:val="0"/>
          <w:numId w:val="26"/>
        </w:numPr>
        <w:spacing w:before="120" w:after="0" w:line="240" w:lineRule="auto"/>
        <w:rPr>
          <w:lang w:val="en-AU" w:eastAsia="en-AU"/>
        </w:rPr>
      </w:pPr>
      <w:r w:rsidRPr="00B960AB">
        <w:rPr>
          <w:lang w:eastAsia="en-AU"/>
        </w:rPr>
        <w:t>Key internal and external stakeholder engagement, including commencing discussions with the Traditional Owner groups</w:t>
      </w:r>
      <w:r>
        <w:rPr>
          <w:lang w:eastAsia="en-AU"/>
        </w:rPr>
        <w:t>.</w:t>
      </w:r>
    </w:p>
    <w:p w:rsidR="000018C8" w:rsidRPr="00C01FBE" w:rsidRDefault="000018C8" w:rsidP="000018C8">
      <w:pPr>
        <w:pStyle w:val="Heading1"/>
        <w:rPr>
          <w:rFonts w:hint="eastAsia"/>
        </w:rPr>
      </w:pPr>
      <w:r w:rsidRPr="00940F30">
        <w:t xml:space="preserve">How </w:t>
      </w:r>
      <w:r>
        <w:t>W</w:t>
      </w:r>
      <w:r w:rsidRPr="00940F30">
        <w:t xml:space="preserve">e </w:t>
      </w:r>
      <w:r>
        <w:t>E</w:t>
      </w:r>
      <w:r w:rsidRPr="00940F30">
        <w:t xml:space="preserve">ngaged </w:t>
      </w:r>
      <w:r>
        <w:t>w</w:t>
      </w:r>
      <w:r w:rsidRPr="00940F30">
        <w:t xml:space="preserve">ith </w:t>
      </w:r>
      <w:r>
        <w:t>the C</w:t>
      </w:r>
      <w:r w:rsidRPr="00940F30">
        <w:t>ommunity</w:t>
      </w:r>
    </w:p>
    <w:p w:rsidR="000018C8" w:rsidRDefault="000018C8" w:rsidP="000018C8">
      <w:pPr>
        <w:pStyle w:val="Heading3"/>
        <w:rPr>
          <w:rFonts w:hint="eastAsia"/>
        </w:rPr>
      </w:pPr>
      <w:r w:rsidRPr="00BF7640">
        <w:t>ENGAGEMENT REACH</w:t>
      </w:r>
    </w:p>
    <w:tbl>
      <w:tblPr>
        <w:tblStyle w:val="TableGrid"/>
        <w:tblW w:w="0" w:type="auto"/>
        <w:tblLook w:val="04A0" w:firstRow="1" w:lastRow="0" w:firstColumn="1" w:lastColumn="0" w:noHBand="0" w:noVBand="1"/>
      </w:tblPr>
      <w:tblGrid>
        <w:gridCol w:w="8279"/>
        <w:gridCol w:w="1614"/>
      </w:tblGrid>
      <w:tr w:rsidR="00203E82" w:rsidTr="00981EBA">
        <w:tc>
          <w:tcPr>
            <w:tcW w:w="8279" w:type="dxa"/>
            <w:vAlign w:val="center"/>
          </w:tcPr>
          <w:p w:rsidR="00203E82" w:rsidRPr="00981EBA" w:rsidRDefault="00981EBA" w:rsidP="00981EBA">
            <w:pPr>
              <w:pStyle w:val="TableofFigures"/>
            </w:pPr>
            <w:r w:rsidRPr="00981EBA">
              <w:t>ACCOUNTS REACHED (TWITTER, LINKEDIN AND FACEBOOK)</w:t>
            </w:r>
          </w:p>
        </w:tc>
        <w:tc>
          <w:tcPr>
            <w:tcW w:w="1614" w:type="dxa"/>
            <w:vAlign w:val="center"/>
          </w:tcPr>
          <w:p w:rsidR="00203E82" w:rsidRDefault="00A4128A" w:rsidP="00A4128A">
            <w:pPr>
              <w:pStyle w:val="TableofFigures"/>
            </w:pPr>
            <w:r>
              <w:t>42,683</w:t>
            </w:r>
          </w:p>
        </w:tc>
      </w:tr>
      <w:tr w:rsidR="00203E82" w:rsidTr="00981EBA">
        <w:tc>
          <w:tcPr>
            <w:tcW w:w="8279" w:type="dxa"/>
            <w:vAlign w:val="center"/>
          </w:tcPr>
          <w:p w:rsidR="00203E82" w:rsidRPr="00981EBA" w:rsidRDefault="00981EBA" w:rsidP="00981EBA">
            <w:pPr>
              <w:pStyle w:val="TableofFigures"/>
            </w:pPr>
            <w:r w:rsidRPr="00981EBA">
              <w:t>VISITORS TO THE CITY RIVER PAGE</w:t>
            </w:r>
          </w:p>
        </w:tc>
        <w:tc>
          <w:tcPr>
            <w:tcW w:w="1614" w:type="dxa"/>
            <w:vAlign w:val="center"/>
          </w:tcPr>
          <w:p w:rsidR="00203E82" w:rsidRDefault="00A4128A" w:rsidP="00A4128A">
            <w:pPr>
              <w:pStyle w:val="TableofFigures"/>
            </w:pPr>
            <w:r>
              <w:t>5,000+</w:t>
            </w:r>
          </w:p>
        </w:tc>
      </w:tr>
      <w:tr w:rsidR="00203E82" w:rsidTr="00981EBA">
        <w:tc>
          <w:tcPr>
            <w:tcW w:w="8279" w:type="dxa"/>
            <w:vAlign w:val="center"/>
          </w:tcPr>
          <w:p w:rsidR="00203E82" w:rsidRPr="00981EBA" w:rsidRDefault="00981EBA" w:rsidP="00981EBA">
            <w:pPr>
              <w:pStyle w:val="TableofFigures"/>
            </w:pPr>
            <w:r w:rsidRPr="00981EBA">
              <w:t>CLICKS ON PARTICIPATE MELBOURNE LINK TO VIEW THE PROJECT PAGE</w:t>
            </w:r>
          </w:p>
        </w:tc>
        <w:tc>
          <w:tcPr>
            <w:tcW w:w="1614" w:type="dxa"/>
            <w:vAlign w:val="center"/>
          </w:tcPr>
          <w:p w:rsidR="00203E82" w:rsidRDefault="00A4128A" w:rsidP="00A4128A">
            <w:pPr>
              <w:pStyle w:val="TableofFigures"/>
            </w:pPr>
            <w:r>
              <w:t>321</w:t>
            </w:r>
          </w:p>
        </w:tc>
      </w:tr>
    </w:tbl>
    <w:p w:rsidR="000018C8" w:rsidRPr="00637FF1" w:rsidRDefault="000018C8" w:rsidP="000018C8">
      <w:pPr>
        <w:pStyle w:val="Heading3"/>
        <w:rPr>
          <w:rFonts w:hint="eastAsia"/>
          <w:lang w:eastAsia="en-AU"/>
        </w:rPr>
      </w:pPr>
      <w:r w:rsidRPr="00637FF1">
        <w:rPr>
          <w:lang w:eastAsia="en-AU"/>
        </w:rPr>
        <w:t>HOW RESPONSES WERE COLLECTED</w:t>
      </w:r>
    </w:p>
    <w:tbl>
      <w:tblPr>
        <w:tblStyle w:val="TableGrid"/>
        <w:tblW w:w="0" w:type="auto"/>
        <w:tblLook w:val="04A0" w:firstRow="1" w:lastRow="0" w:firstColumn="1" w:lastColumn="0" w:noHBand="0" w:noVBand="1"/>
      </w:tblPr>
      <w:tblGrid>
        <w:gridCol w:w="8279"/>
        <w:gridCol w:w="1614"/>
      </w:tblGrid>
      <w:tr w:rsidR="00A4128A" w:rsidTr="00981EBA">
        <w:tc>
          <w:tcPr>
            <w:tcW w:w="8279" w:type="dxa"/>
            <w:vAlign w:val="center"/>
          </w:tcPr>
          <w:p w:rsidR="00A4128A" w:rsidRDefault="00A4128A" w:rsidP="00A4128A">
            <w:pPr>
              <w:pStyle w:val="TableofFigures"/>
              <w:rPr>
                <w:lang w:eastAsia="en-AU"/>
              </w:rPr>
            </w:pPr>
            <w:r w:rsidRPr="00637FF1">
              <w:t>IDEAS FORUM NOTIC</w:t>
            </w:r>
            <w:r w:rsidR="005352C3">
              <w:t xml:space="preserve">EBOARD FOR COMMENTS, ATTRACTING </w:t>
            </w:r>
            <w:r w:rsidRPr="005352C3">
              <w:rPr>
                <w:b/>
                <w:bCs/>
                <w:szCs w:val="20"/>
              </w:rPr>
              <w:t>1169</w:t>
            </w:r>
            <w:r w:rsidRPr="00637FF1">
              <w:t xml:space="preserve"> REACTIONS</w:t>
            </w:r>
          </w:p>
        </w:tc>
        <w:tc>
          <w:tcPr>
            <w:tcW w:w="1614" w:type="dxa"/>
            <w:vAlign w:val="center"/>
          </w:tcPr>
          <w:p w:rsidR="00A4128A" w:rsidRDefault="00981EBA" w:rsidP="00A4128A">
            <w:pPr>
              <w:pStyle w:val="TableofFigures"/>
              <w:rPr>
                <w:lang w:eastAsia="en-AU"/>
              </w:rPr>
            </w:pPr>
            <w:r>
              <w:rPr>
                <w:lang w:eastAsia="en-AU"/>
              </w:rPr>
              <w:t>128</w:t>
            </w:r>
          </w:p>
        </w:tc>
      </w:tr>
      <w:tr w:rsidR="00A4128A" w:rsidTr="00981EBA">
        <w:tc>
          <w:tcPr>
            <w:tcW w:w="8279" w:type="dxa"/>
            <w:vAlign w:val="center"/>
          </w:tcPr>
          <w:p w:rsidR="00A4128A" w:rsidRDefault="00981EBA" w:rsidP="00A4128A">
            <w:pPr>
              <w:pStyle w:val="TableofFigures"/>
              <w:rPr>
                <w:lang w:eastAsia="en-AU"/>
              </w:rPr>
            </w:pPr>
            <w:r w:rsidRPr="00637FF1">
              <w:t>FACE-TO-FACE POP-UP SESSION RESPONSES</w:t>
            </w:r>
          </w:p>
        </w:tc>
        <w:tc>
          <w:tcPr>
            <w:tcW w:w="1614" w:type="dxa"/>
            <w:vAlign w:val="center"/>
          </w:tcPr>
          <w:p w:rsidR="00A4128A" w:rsidRDefault="00981EBA" w:rsidP="00A4128A">
            <w:pPr>
              <w:pStyle w:val="TableofFigures"/>
              <w:rPr>
                <w:lang w:eastAsia="en-AU"/>
              </w:rPr>
            </w:pPr>
            <w:r>
              <w:rPr>
                <w:lang w:eastAsia="en-AU"/>
              </w:rPr>
              <w:t>100+</w:t>
            </w:r>
          </w:p>
        </w:tc>
      </w:tr>
      <w:tr w:rsidR="00A4128A" w:rsidTr="00981EBA">
        <w:tc>
          <w:tcPr>
            <w:tcW w:w="8279" w:type="dxa"/>
            <w:vAlign w:val="center"/>
          </w:tcPr>
          <w:p w:rsidR="00A4128A" w:rsidRDefault="00981EBA" w:rsidP="00A4128A">
            <w:pPr>
              <w:pStyle w:val="TableofFigures"/>
              <w:rPr>
                <w:lang w:eastAsia="en-AU"/>
              </w:rPr>
            </w:pPr>
            <w:r w:rsidRPr="00637FF1">
              <w:t>ONLINE SURVEYS</w:t>
            </w:r>
          </w:p>
        </w:tc>
        <w:tc>
          <w:tcPr>
            <w:tcW w:w="1614" w:type="dxa"/>
            <w:vAlign w:val="center"/>
          </w:tcPr>
          <w:p w:rsidR="00A4128A" w:rsidRDefault="00981EBA" w:rsidP="00A4128A">
            <w:pPr>
              <w:pStyle w:val="TableofFigures"/>
              <w:rPr>
                <w:lang w:eastAsia="en-AU"/>
              </w:rPr>
            </w:pPr>
            <w:r>
              <w:rPr>
                <w:lang w:eastAsia="en-AU"/>
              </w:rPr>
              <w:t>79</w:t>
            </w:r>
          </w:p>
        </w:tc>
      </w:tr>
      <w:tr w:rsidR="00A4128A" w:rsidTr="00981EBA">
        <w:tc>
          <w:tcPr>
            <w:tcW w:w="8279" w:type="dxa"/>
            <w:vAlign w:val="center"/>
          </w:tcPr>
          <w:p w:rsidR="00A4128A" w:rsidRPr="00981EBA" w:rsidRDefault="00981EBA" w:rsidP="00981EBA">
            <w:pPr>
              <w:pStyle w:val="TableofFigures"/>
            </w:pPr>
            <w:r w:rsidRPr="00637FF1">
              <w:t>STAKEHOLDER SUBMISSIONS</w:t>
            </w:r>
          </w:p>
        </w:tc>
        <w:tc>
          <w:tcPr>
            <w:tcW w:w="1614" w:type="dxa"/>
            <w:vAlign w:val="center"/>
          </w:tcPr>
          <w:p w:rsidR="00A4128A" w:rsidRDefault="00981EBA" w:rsidP="00A4128A">
            <w:pPr>
              <w:pStyle w:val="TableofFigures"/>
              <w:rPr>
                <w:lang w:eastAsia="en-AU"/>
              </w:rPr>
            </w:pPr>
            <w:r>
              <w:rPr>
                <w:lang w:eastAsia="en-AU"/>
              </w:rPr>
              <w:t>13</w:t>
            </w:r>
          </w:p>
        </w:tc>
      </w:tr>
    </w:tbl>
    <w:p w:rsidR="000018C8" w:rsidRDefault="000018C8" w:rsidP="000018C8">
      <w:pPr>
        <w:pStyle w:val="Heading1"/>
        <w:rPr>
          <w:rFonts w:hint="eastAsia"/>
        </w:rPr>
      </w:pPr>
      <w:r>
        <w:rPr>
          <w:lang w:val="en-AU" w:eastAsia="en-AU"/>
        </w:rPr>
        <w:t>Who Completed the Survey</w:t>
      </w:r>
    </w:p>
    <w:p w:rsidR="000018C8" w:rsidRDefault="000018C8" w:rsidP="000018C8">
      <w:pPr>
        <w:rPr>
          <w:szCs w:val="20"/>
          <w:lang w:eastAsia="en-AU"/>
        </w:rPr>
      </w:pPr>
      <w:r w:rsidRPr="008B5051">
        <w:rPr>
          <w:szCs w:val="20"/>
          <w:lang w:eastAsia="en-AU"/>
        </w:rPr>
        <w:t xml:space="preserve">In total 79 survey </w:t>
      </w:r>
      <w:r w:rsidRPr="00012D93">
        <w:rPr>
          <w:szCs w:val="20"/>
          <w:lang w:eastAsia="en-AU"/>
        </w:rPr>
        <w:t>respondents:</w:t>
      </w:r>
    </w:p>
    <w:p w:rsidR="000018C8" w:rsidRDefault="000018C8" w:rsidP="00981EBA">
      <w:pPr>
        <w:pStyle w:val="Heading3"/>
        <w:rPr>
          <w:rFonts w:hint="eastAsia"/>
          <w:lang w:eastAsia="en-AU"/>
        </w:rPr>
      </w:pPr>
      <w:r w:rsidRPr="00981EBA">
        <w:rPr>
          <w:lang w:eastAsia="en-AU"/>
        </w:rPr>
        <w:t>AGE OF SURVEY RESPONDENTS</w:t>
      </w:r>
    </w:p>
    <w:tbl>
      <w:tblPr>
        <w:tblStyle w:val="TableGrid"/>
        <w:tblW w:w="0" w:type="auto"/>
        <w:tblLook w:val="04A0" w:firstRow="1" w:lastRow="0" w:firstColumn="1" w:lastColumn="0" w:noHBand="0" w:noVBand="1"/>
      </w:tblPr>
      <w:tblGrid>
        <w:gridCol w:w="1414"/>
        <w:gridCol w:w="1414"/>
        <w:gridCol w:w="1413"/>
        <w:gridCol w:w="1413"/>
        <w:gridCol w:w="1413"/>
        <w:gridCol w:w="1413"/>
        <w:gridCol w:w="1413"/>
      </w:tblGrid>
      <w:tr w:rsidR="00952E5B" w:rsidTr="00016552">
        <w:tc>
          <w:tcPr>
            <w:tcW w:w="1414" w:type="dxa"/>
            <w:vAlign w:val="center"/>
          </w:tcPr>
          <w:p w:rsidR="00952E5B" w:rsidRPr="005352C3" w:rsidRDefault="00952E5B" w:rsidP="00952E5B">
            <w:pPr>
              <w:pStyle w:val="TableofFigures"/>
              <w:jc w:val="center"/>
              <w:rPr>
                <w:rFonts w:cs="Arial"/>
                <w:szCs w:val="20"/>
                <w:lang w:eastAsia="en-AU"/>
              </w:rPr>
            </w:pPr>
            <w:r w:rsidRPr="005352C3">
              <w:rPr>
                <w:rFonts w:cs="Arial"/>
                <w:szCs w:val="20"/>
                <w:lang w:eastAsia="en-AU"/>
              </w:rPr>
              <w:t>1</w:t>
            </w:r>
          </w:p>
        </w:tc>
        <w:tc>
          <w:tcPr>
            <w:tcW w:w="1414" w:type="dxa"/>
            <w:vAlign w:val="center"/>
          </w:tcPr>
          <w:p w:rsidR="00952E5B" w:rsidRPr="005352C3" w:rsidRDefault="00952E5B" w:rsidP="00952E5B">
            <w:pPr>
              <w:pStyle w:val="TableofFigures"/>
              <w:jc w:val="center"/>
              <w:rPr>
                <w:rFonts w:cs="Arial"/>
                <w:szCs w:val="20"/>
                <w:lang w:eastAsia="en-AU"/>
              </w:rPr>
            </w:pPr>
            <w:r w:rsidRPr="005352C3">
              <w:rPr>
                <w:rFonts w:cs="Arial"/>
                <w:szCs w:val="20"/>
                <w:lang w:eastAsia="en-AU"/>
              </w:rPr>
              <w:t>5</w:t>
            </w:r>
          </w:p>
        </w:tc>
        <w:tc>
          <w:tcPr>
            <w:tcW w:w="1413" w:type="dxa"/>
            <w:vAlign w:val="center"/>
          </w:tcPr>
          <w:p w:rsidR="00952E5B" w:rsidRPr="005352C3" w:rsidRDefault="00952E5B" w:rsidP="00952E5B">
            <w:pPr>
              <w:pStyle w:val="TableofFigures"/>
              <w:jc w:val="center"/>
              <w:rPr>
                <w:rFonts w:cs="Arial"/>
                <w:szCs w:val="20"/>
                <w:lang w:eastAsia="en-AU"/>
              </w:rPr>
            </w:pPr>
            <w:r w:rsidRPr="005352C3">
              <w:rPr>
                <w:rFonts w:cs="Arial"/>
                <w:szCs w:val="20"/>
                <w:lang w:eastAsia="en-AU"/>
              </w:rPr>
              <w:t>23</w:t>
            </w:r>
          </w:p>
        </w:tc>
        <w:tc>
          <w:tcPr>
            <w:tcW w:w="1413" w:type="dxa"/>
            <w:vAlign w:val="center"/>
          </w:tcPr>
          <w:p w:rsidR="00952E5B" w:rsidRPr="005352C3" w:rsidRDefault="00952E5B" w:rsidP="00952E5B">
            <w:pPr>
              <w:pStyle w:val="TableofFigures"/>
              <w:jc w:val="center"/>
              <w:rPr>
                <w:rFonts w:cs="Arial"/>
                <w:szCs w:val="20"/>
                <w:lang w:eastAsia="en-AU"/>
              </w:rPr>
            </w:pPr>
            <w:r w:rsidRPr="005352C3">
              <w:rPr>
                <w:rFonts w:cs="Arial"/>
                <w:szCs w:val="20"/>
                <w:lang w:eastAsia="en-AU"/>
              </w:rPr>
              <w:t>19</w:t>
            </w:r>
          </w:p>
        </w:tc>
        <w:tc>
          <w:tcPr>
            <w:tcW w:w="1413" w:type="dxa"/>
            <w:vAlign w:val="center"/>
          </w:tcPr>
          <w:p w:rsidR="00952E5B" w:rsidRPr="005352C3" w:rsidRDefault="00952E5B" w:rsidP="00952E5B">
            <w:pPr>
              <w:pStyle w:val="TableofFigures"/>
              <w:jc w:val="center"/>
              <w:rPr>
                <w:rFonts w:cs="Arial"/>
                <w:szCs w:val="20"/>
                <w:lang w:eastAsia="en-AU"/>
              </w:rPr>
            </w:pPr>
            <w:r w:rsidRPr="005352C3">
              <w:rPr>
                <w:rFonts w:cs="Arial"/>
                <w:szCs w:val="20"/>
                <w:lang w:eastAsia="en-AU"/>
              </w:rPr>
              <w:t>13</w:t>
            </w:r>
          </w:p>
        </w:tc>
        <w:tc>
          <w:tcPr>
            <w:tcW w:w="1413" w:type="dxa"/>
            <w:vAlign w:val="center"/>
          </w:tcPr>
          <w:p w:rsidR="00952E5B" w:rsidRPr="005352C3" w:rsidRDefault="00952E5B" w:rsidP="00952E5B">
            <w:pPr>
              <w:pStyle w:val="TableofFigures"/>
              <w:jc w:val="center"/>
              <w:rPr>
                <w:rFonts w:cs="Arial"/>
                <w:szCs w:val="20"/>
                <w:lang w:eastAsia="en-AU"/>
              </w:rPr>
            </w:pPr>
            <w:r w:rsidRPr="005352C3">
              <w:rPr>
                <w:rFonts w:cs="Arial"/>
                <w:szCs w:val="20"/>
                <w:lang w:eastAsia="en-AU"/>
              </w:rPr>
              <w:t>10</w:t>
            </w:r>
          </w:p>
        </w:tc>
        <w:tc>
          <w:tcPr>
            <w:tcW w:w="1413" w:type="dxa"/>
            <w:vAlign w:val="center"/>
          </w:tcPr>
          <w:p w:rsidR="00952E5B" w:rsidRPr="005352C3" w:rsidRDefault="00952E5B" w:rsidP="00952E5B">
            <w:pPr>
              <w:pStyle w:val="TableofFigures"/>
              <w:jc w:val="center"/>
              <w:rPr>
                <w:rFonts w:cs="Arial"/>
                <w:szCs w:val="20"/>
                <w:lang w:eastAsia="en-AU"/>
              </w:rPr>
            </w:pPr>
            <w:r w:rsidRPr="005352C3">
              <w:rPr>
                <w:rFonts w:cs="Arial"/>
                <w:szCs w:val="20"/>
                <w:lang w:eastAsia="en-AU"/>
              </w:rPr>
              <w:t>8</w:t>
            </w:r>
          </w:p>
        </w:tc>
      </w:tr>
      <w:tr w:rsidR="00952E5B" w:rsidTr="00016552">
        <w:tc>
          <w:tcPr>
            <w:tcW w:w="1414" w:type="dxa"/>
            <w:vAlign w:val="center"/>
          </w:tcPr>
          <w:p w:rsidR="00952E5B" w:rsidRPr="005352C3" w:rsidRDefault="00952E5B" w:rsidP="00952E5B">
            <w:pPr>
              <w:pStyle w:val="TableofFigures"/>
              <w:jc w:val="center"/>
              <w:rPr>
                <w:rFonts w:cs="Arial"/>
                <w:szCs w:val="20"/>
                <w:lang w:eastAsia="en-AU"/>
              </w:rPr>
            </w:pPr>
            <w:r w:rsidRPr="005352C3">
              <w:rPr>
                <w:rFonts w:cs="Arial"/>
                <w:szCs w:val="20"/>
                <w:lang w:val="en-AU" w:eastAsia="en-AU"/>
              </w:rPr>
              <w:t xml:space="preserve">UNDER 18 </w:t>
            </w:r>
            <w:r w:rsidRPr="005352C3">
              <w:rPr>
                <w:rFonts w:cs="Arial"/>
                <w:szCs w:val="20"/>
                <w:lang w:val="en-AU" w:eastAsia="en-AU"/>
              </w:rPr>
              <w:br/>
              <w:t>YEARS OF AGE</w:t>
            </w:r>
          </w:p>
        </w:tc>
        <w:tc>
          <w:tcPr>
            <w:tcW w:w="1414" w:type="dxa"/>
            <w:vAlign w:val="center"/>
          </w:tcPr>
          <w:p w:rsidR="00952E5B" w:rsidRPr="005352C3" w:rsidRDefault="00952E5B" w:rsidP="00952E5B">
            <w:pPr>
              <w:pStyle w:val="TableofFigures"/>
              <w:jc w:val="center"/>
              <w:rPr>
                <w:rFonts w:cs="Arial"/>
                <w:szCs w:val="20"/>
                <w:lang w:eastAsia="en-AU"/>
              </w:rPr>
            </w:pPr>
            <w:r w:rsidRPr="005352C3">
              <w:rPr>
                <w:rFonts w:cs="Arial"/>
                <w:szCs w:val="20"/>
                <w:lang w:val="en-AU" w:eastAsia="en-AU"/>
              </w:rPr>
              <w:t xml:space="preserve">18-24 </w:t>
            </w:r>
            <w:r w:rsidRPr="005352C3">
              <w:rPr>
                <w:rFonts w:cs="Arial"/>
                <w:szCs w:val="20"/>
                <w:lang w:val="en-AU" w:eastAsia="en-AU"/>
              </w:rPr>
              <w:br/>
              <w:t>YEARS OF AGE</w:t>
            </w:r>
          </w:p>
        </w:tc>
        <w:tc>
          <w:tcPr>
            <w:tcW w:w="1413" w:type="dxa"/>
            <w:vAlign w:val="center"/>
          </w:tcPr>
          <w:p w:rsidR="00952E5B" w:rsidRPr="005352C3" w:rsidRDefault="00952E5B" w:rsidP="00952E5B">
            <w:pPr>
              <w:pStyle w:val="TableofFigures"/>
              <w:jc w:val="center"/>
              <w:rPr>
                <w:rFonts w:cs="Arial"/>
                <w:szCs w:val="20"/>
                <w:lang w:eastAsia="en-AU"/>
              </w:rPr>
            </w:pPr>
            <w:r w:rsidRPr="005352C3">
              <w:rPr>
                <w:rFonts w:cs="Arial"/>
                <w:szCs w:val="20"/>
                <w:lang w:val="en-AU" w:eastAsia="en-AU"/>
              </w:rPr>
              <w:t xml:space="preserve">25-34 </w:t>
            </w:r>
            <w:r w:rsidRPr="005352C3">
              <w:rPr>
                <w:rFonts w:cs="Arial"/>
                <w:szCs w:val="20"/>
                <w:lang w:val="en-AU" w:eastAsia="en-AU"/>
              </w:rPr>
              <w:br/>
              <w:t>YEARS OF AGE</w:t>
            </w:r>
          </w:p>
        </w:tc>
        <w:tc>
          <w:tcPr>
            <w:tcW w:w="1413" w:type="dxa"/>
            <w:vAlign w:val="center"/>
          </w:tcPr>
          <w:p w:rsidR="00952E5B" w:rsidRPr="005352C3" w:rsidRDefault="00952E5B" w:rsidP="00952E5B">
            <w:pPr>
              <w:pStyle w:val="TableofFigures"/>
              <w:jc w:val="center"/>
              <w:rPr>
                <w:rFonts w:cs="Arial"/>
                <w:szCs w:val="20"/>
                <w:lang w:eastAsia="en-AU"/>
              </w:rPr>
            </w:pPr>
            <w:r w:rsidRPr="005352C3">
              <w:rPr>
                <w:rFonts w:cs="Arial"/>
                <w:szCs w:val="20"/>
                <w:lang w:val="en-AU" w:eastAsia="en-AU"/>
              </w:rPr>
              <w:t xml:space="preserve">35-44 </w:t>
            </w:r>
            <w:r w:rsidRPr="005352C3">
              <w:rPr>
                <w:rFonts w:cs="Arial"/>
                <w:szCs w:val="20"/>
                <w:lang w:val="en-AU" w:eastAsia="en-AU"/>
              </w:rPr>
              <w:br/>
              <w:t>YEARS OF AGE</w:t>
            </w:r>
          </w:p>
        </w:tc>
        <w:tc>
          <w:tcPr>
            <w:tcW w:w="1413" w:type="dxa"/>
            <w:vAlign w:val="center"/>
          </w:tcPr>
          <w:p w:rsidR="00952E5B" w:rsidRPr="005352C3" w:rsidRDefault="00952E5B" w:rsidP="00952E5B">
            <w:pPr>
              <w:pStyle w:val="TableofFigures"/>
              <w:jc w:val="center"/>
              <w:rPr>
                <w:rFonts w:cs="Arial"/>
                <w:szCs w:val="20"/>
                <w:lang w:eastAsia="en-AU"/>
              </w:rPr>
            </w:pPr>
            <w:r w:rsidRPr="005352C3">
              <w:rPr>
                <w:rFonts w:cs="Arial"/>
                <w:szCs w:val="20"/>
                <w:lang w:val="en-AU" w:eastAsia="en-AU"/>
              </w:rPr>
              <w:t xml:space="preserve">45-54 </w:t>
            </w:r>
            <w:r w:rsidRPr="005352C3">
              <w:rPr>
                <w:rFonts w:cs="Arial"/>
                <w:szCs w:val="20"/>
                <w:lang w:val="en-AU" w:eastAsia="en-AU"/>
              </w:rPr>
              <w:br/>
              <w:t>YEARS OF AGE</w:t>
            </w:r>
          </w:p>
        </w:tc>
        <w:tc>
          <w:tcPr>
            <w:tcW w:w="1413" w:type="dxa"/>
            <w:vAlign w:val="center"/>
          </w:tcPr>
          <w:p w:rsidR="00952E5B" w:rsidRPr="005352C3" w:rsidRDefault="00952E5B" w:rsidP="00952E5B">
            <w:pPr>
              <w:pStyle w:val="TableofFigures"/>
              <w:jc w:val="center"/>
              <w:rPr>
                <w:rFonts w:cs="Arial"/>
                <w:szCs w:val="20"/>
                <w:lang w:eastAsia="en-AU"/>
              </w:rPr>
            </w:pPr>
            <w:r w:rsidRPr="005352C3">
              <w:rPr>
                <w:rFonts w:cs="Arial"/>
                <w:szCs w:val="20"/>
                <w:lang w:val="en-AU" w:eastAsia="en-AU"/>
              </w:rPr>
              <w:t xml:space="preserve">55-64 </w:t>
            </w:r>
            <w:r w:rsidRPr="005352C3">
              <w:rPr>
                <w:rFonts w:cs="Arial"/>
                <w:szCs w:val="20"/>
                <w:lang w:val="en-AU" w:eastAsia="en-AU"/>
              </w:rPr>
              <w:br/>
              <w:t>YEARS OF AGE</w:t>
            </w:r>
          </w:p>
        </w:tc>
        <w:tc>
          <w:tcPr>
            <w:tcW w:w="1413" w:type="dxa"/>
            <w:vAlign w:val="center"/>
          </w:tcPr>
          <w:p w:rsidR="00952E5B" w:rsidRPr="005352C3" w:rsidRDefault="00952E5B" w:rsidP="00952E5B">
            <w:pPr>
              <w:pStyle w:val="TableofFigures"/>
              <w:jc w:val="center"/>
              <w:rPr>
                <w:rFonts w:cs="Arial"/>
                <w:szCs w:val="20"/>
                <w:lang w:eastAsia="en-AU"/>
              </w:rPr>
            </w:pPr>
            <w:r w:rsidRPr="005352C3">
              <w:rPr>
                <w:rFonts w:cs="Arial"/>
                <w:szCs w:val="20"/>
                <w:lang w:val="en-AU" w:eastAsia="en-AU"/>
              </w:rPr>
              <w:t xml:space="preserve">OVER 65 </w:t>
            </w:r>
            <w:r w:rsidRPr="005352C3">
              <w:rPr>
                <w:rFonts w:cs="Arial"/>
                <w:szCs w:val="20"/>
                <w:lang w:val="en-AU" w:eastAsia="en-AU"/>
              </w:rPr>
              <w:br/>
              <w:t>YEARS OF AGE</w:t>
            </w:r>
          </w:p>
        </w:tc>
      </w:tr>
    </w:tbl>
    <w:p w:rsidR="000018C8" w:rsidRPr="00981EBA" w:rsidRDefault="000018C8" w:rsidP="00981EBA">
      <w:pPr>
        <w:pStyle w:val="Heading3"/>
        <w:rPr>
          <w:rFonts w:hint="eastAsia"/>
          <w:lang w:eastAsia="en-AU"/>
        </w:rPr>
      </w:pPr>
      <w:r w:rsidRPr="00981EBA">
        <w:rPr>
          <w:lang w:eastAsia="en-AU"/>
        </w:rPr>
        <w:t>MAIN REASON SURVEY RESPONDENTS VISITED THE BIRRARUNG</w:t>
      </w:r>
    </w:p>
    <w:tbl>
      <w:tblPr>
        <w:tblStyle w:val="TableGrid"/>
        <w:tblW w:w="0" w:type="auto"/>
        <w:tblLook w:val="04A0" w:firstRow="1" w:lastRow="0" w:firstColumn="1" w:lastColumn="0" w:noHBand="0" w:noVBand="1"/>
      </w:tblPr>
      <w:tblGrid>
        <w:gridCol w:w="1981"/>
        <w:gridCol w:w="1978"/>
        <w:gridCol w:w="1971"/>
        <w:gridCol w:w="1993"/>
        <w:gridCol w:w="1970"/>
      </w:tblGrid>
      <w:tr w:rsidR="00981EBA" w:rsidTr="00952E5B">
        <w:tc>
          <w:tcPr>
            <w:tcW w:w="1999" w:type="dxa"/>
            <w:vAlign w:val="center"/>
          </w:tcPr>
          <w:p w:rsidR="00981EBA"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eastAsia="en-AU"/>
              </w:rPr>
              <w:t>52</w:t>
            </w:r>
          </w:p>
        </w:tc>
        <w:tc>
          <w:tcPr>
            <w:tcW w:w="1999" w:type="dxa"/>
            <w:vAlign w:val="center"/>
          </w:tcPr>
          <w:p w:rsidR="00981EBA"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eastAsia="en-AU"/>
              </w:rPr>
              <w:t>33</w:t>
            </w:r>
          </w:p>
        </w:tc>
        <w:tc>
          <w:tcPr>
            <w:tcW w:w="1999" w:type="dxa"/>
            <w:vAlign w:val="center"/>
          </w:tcPr>
          <w:p w:rsidR="00981EBA"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eastAsia="en-AU"/>
              </w:rPr>
              <w:t>36</w:t>
            </w:r>
          </w:p>
        </w:tc>
        <w:tc>
          <w:tcPr>
            <w:tcW w:w="1999" w:type="dxa"/>
            <w:vAlign w:val="center"/>
          </w:tcPr>
          <w:p w:rsidR="00981EBA"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eastAsia="en-AU"/>
              </w:rPr>
              <w:t>19</w:t>
            </w:r>
          </w:p>
        </w:tc>
        <w:tc>
          <w:tcPr>
            <w:tcW w:w="1999" w:type="dxa"/>
            <w:vAlign w:val="center"/>
          </w:tcPr>
          <w:p w:rsidR="00981EBA"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eastAsia="en-AU"/>
              </w:rPr>
              <w:t>18</w:t>
            </w:r>
          </w:p>
        </w:tc>
      </w:tr>
      <w:tr w:rsidR="00981EBA" w:rsidTr="00952E5B">
        <w:tc>
          <w:tcPr>
            <w:tcW w:w="1999" w:type="dxa"/>
            <w:vAlign w:val="center"/>
          </w:tcPr>
          <w:p w:rsidR="00981EBA"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val="en-AU" w:eastAsia="en-AU"/>
              </w:rPr>
              <w:t>RECREATION</w:t>
            </w:r>
          </w:p>
        </w:tc>
        <w:tc>
          <w:tcPr>
            <w:tcW w:w="1999" w:type="dxa"/>
            <w:vAlign w:val="center"/>
          </w:tcPr>
          <w:p w:rsidR="00981EBA"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val="en-AU" w:eastAsia="en-AU"/>
              </w:rPr>
              <w:t>TRANSPORT</w:t>
            </w:r>
          </w:p>
        </w:tc>
        <w:tc>
          <w:tcPr>
            <w:tcW w:w="1999" w:type="dxa"/>
            <w:vAlign w:val="center"/>
          </w:tcPr>
          <w:p w:rsidR="00981EBA"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val="en-AU" w:eastAsia="en-AU"/>
              </w:rPr>
              <w:t>EXERCISE</w:t>
            </w:r>
          </w:p>
        </w:tc>
        <w:tc>
          <w:tcPr>
            <w:tcW w:w="1999" w:type="dxa"/>
            <w:vAlign w:val="center"/>
          </w:tcPr>
          <w:p w:rsidR="00981EBA"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val="en-AU" w:eastAsia="en-AU"/>
              </w:rPr>
              <w:t>ENTERTAINMENT</w:t>
            </w:r>
          </w:p>
        </w:tc>
        <w:tc>
          <w:tcPr>
            <w:tcW w:w="1999" w:type="dxa"/>
            <w:vAlign w:val="center"/>
          </w:tcPr>
          <w:p w:rsidR="00981EBA"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val="en-AU" w:eastAsia="en-AU"/>
              </w:rPr>
              <w:t>OTHER REASONS</w:t>
            </w:r>
          </w:p>
        </w:tc>
      </w:tr>
    </w:tbl>
    <w:p w:rsidR="00952E5B" w:rsidRPr="00952E5B" w:rsidRDefault="00952E5B" w:rsidP="00952E5B">
      <w:pPr>
        <w:pStyle w:val="Heading3"/>
        <w:rPr>
          <w:rFonts w:hint="eastAsia"/>
          <w:lang w:eastAsia="en-AU"/>
        </w:rPr>
      </w:pPr>
      <w:r w:rsidRPr="00952E5B">
        <w:rPr>
          <w:lang w:eastAsia="en-AU"/>
        </w:rPr>
        <w:t>WHERE SURVEY RESPONDENTS LIVE</w:t>
      </w:r>
    </w:p>
    <w:tbl>
      <w:tblPr>
        <w:tblStyle w:val="TableGrid"/>
        <w:tblW w:w="0" w:type="auto"/>
        <w:tblLook w:val="04A0" w:firstRow="1" w:lastRow="0" w:firstColumn="1" w:lastColumn="0" w:noHBand="0" w:noVBand="1"/>
      </w:tblPr>
      <w:tblGrid>
        <w:gridCol w:w="3297"/>
        <w:gridCol w:w="3298"/>
        <w:gridCol w:w="3298"/>
      </w:tblGrid>
      <w:tr w:rsidR="00952E5B" w:rsidTr="00952E5B">
        <w:tc>
          <w:tcPr>
            <w:tcW w:w="3331" w:type="dxa"/>
            <w:vAlign w:val="center"/>
          </w:tcPr>
          <w:p w:rsidR="00952E5B"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eastAsia="en-AU"/>
              </w:rPr>
              <w:t>39</w:t>
            </w:r>
          </w:p>
        </w:tc>
        <w:tc>
          <w:tcPr>
            <w:tcW w:w="3332" w:type="dxa"/>
            <w:vAlign w:val="center"/>
          </w:tcPr>
          <w:p w:rsidR="00952E5B"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eastAsia="en-AU"/>
              </w:rPr>
              <w:t>39</w:t>
            </w:r>
          </w:p>
        </w:tc>
        <w:tc>
          <w:tcPr>
            <w:tcW w:w="3332" w:type="dxa"/>
            <w:vAlign w:val="center"/>
          </w:tcPr>
          <w:p w:rsidR="00952E5B"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eastAsia="en-AU"/>
              </w:rPr>
              <w:t>1</w:t>
            </w:r>
          </w:p>
        </w:tc>
      </w:tr>
      <w:tr w:rsidR="00952E5B" w:rsidTr="00952E5B">
        <w:tc>
          <w:tcPr>
            <w:tcW w:w="3331" w:type="dxa"/>
            <w:vAlign w:val="center"/>
          </w:tcPr>
          <w:p w:rsidR="00952E5B"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val="en-AU" w:eastAsia="en-AU"/>
              </w:rPr>
              <w:t>CITY OF MELBOURNE</w:t>
            </w:r>
          </w:p>
        </w:tc>
        <w:tc>
          <w:tcPr>
            <w:tcW w:w="3332" w:type="dxa"/>
            <w:vAlign w:val="center"/>
          </w:tcPr>
          <w:p w:rsidR="00952E5B"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val="en-AU" w:eastAsia="en-AU"/>
              </w:rPr>
              <w:t>GREATER MELBOURNE</w:t>
            </w:r>
          </w:p>
        </w:tc>
        <w:tc>
          <w:tcPr>
            <w:tcW w:w="3332" w:type="dxa"/>
            <w:vAlign w:val="center"/>
          </w:tcPr>
          <w:p w:rsidR="00952E5B"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val="en-AU" w:eastAsia="en-AU"/>
              </w:rPr>
              <w:t>INTERSTATE</w:t>
            </w:r>
          </w:p>
        </w:tc>
      </w:tr>
    </w:tbl>
    <w:p w:rsidR="00952E5B" w:rsidRPr="00952E5B" w:rsidRDefault="00952E5B" w:rsidP="00952E5B">
      <w:pPr>
        <w:pStyle w:val="Heading3"/>
        <w:rPr>
          <w:rFonts w:hint="eastAsia"/>
          <w:lang w:eastAsia="en-AU"/>
        </w:rPr>
      </w:pPr>
      <w:r w:rsidRPr="00952E5B">
        <w:rPr>
          <w:lang w:eastAsia="en-AU"/>
        </w:rPr>
        <w:t>HOW OFTEN SURVEY RESPONDENTS VISITED THE BIRRARUNG</w:t>
      </w:r>
    </w:p>
    <w:tbl>
      <w:tblPr>
        <w:tblStyle w:val="TableGrid"/>
        <w:tblW w:w="0" w:type="auto"/>
        <w:tblLook w:val="04A0" w:firstRow="1" w:lastRow="0" w:firstColumn="1" w:lastColumn="0" w:noHBand="0" w:noVBand="1"/>
      </w:tblPr>
      <w:tblGrid>
        <w:gridCol w:w="2467"/>
        <w:gridCol w:w="2472"/>
        <w:gridCol w:w="2475"/>
        <w:gridCol w:w="2479"/>
      </w:tblGrid>
      <w:tr w:rsidR="00952E5B" w:rsidTr="00952E5B">
        <w:tc>
          <w:tcPr>
            <w:tcW w:w="2498" w:type="dxa"/>
            <w:vAlign w:val="center"/>
          </w:tcPr>
          <w:p w:rsidR="00952E5B"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eastAsia="en-AU"/>
              </w:rPr>
              <w:t>28</w:t>
            </w:r>
          </w:p>
        </w:tc>
        <w:tc>
          <w:tcPr>
            <w:tcW w:w="2499" w:type="dxa"/>
            <w:vAlign w:val="center"/>
          </w:tcPr>
          <w:p w:rsidR="00952E5B"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eastAsia="en-AU"/>
              </w:rPr>
              <w:t>24</w:t>
            </w:r>
          </w:p>
        </w:tc>
        <w:tc>
          <w:tcPr>
            <w:tcW w:w="2499" w:type="dxa"/>
            <w:vAlign w:val="center"/>
          </w:tcPr>
          <w:p w:rsidR="00952E5B"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eastAsia="en-AU"/>
              </w:rPr>
              <w:t>23</w:t>
            </w:r>
          </w:p>
        </w:tc>
        <w:tc>
          <w:tcPr>
            <w:tcW w:w="2499" w:type="dxa"/>
            <w:vAlign w:val="center"/>
          </w:tcPr>
          <w:p w:rsidR="00952E5B"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eastAsia="en-AU"/>
              </w:rPr>
              <w:t>4</w:t>
            </w:r>
          </w:p>
        </w:tc>
      </w:tr>
      <w:tr w:rsidR="00952E5B" w:rsidTr="00952E5B">
        <w:tc>
          <w:tcPr>
            <w:tcW w:w="2498" w:type="dxa"/>
            <w:vAlign w:val="center"/>
          </w:tcPr>
          <w:p w:rsidR="00952E5B"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val="en-AU" w:eastAsia="en-AU"/>
              </w:rPr>
              <w:t>DAILY</w:t>
            </w:r>
          </w:p>
        </w:tc>
        <w:tc>
          <w:tcPr>
            <w:tcW w:w="2499" w:type="dxa"/>
            <w:vAlign w:val="center"/>
          </w:tcPr>
          <w:p w:rsidR="00952E5B"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val="en-AU" w:eastAsia="en-AU"/>
              </w:rPr>
              <w:t>WEEKLY</w:t>
            </w:r>
          </w:p>
        </w:tc>
        <w:tc>
          <w:tcPr>
            <w:tcW w:w="2499" w:type="dxa"/>
            <w:vAlign w:val="center"/>
          </w:tcPr>
          <w:p w:rsidR="00952E5B"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val="en-AU" w:eastAsia="en-AU"/>
              </w:rPr>
              <w:t>MONTHLY</w:t>
            </w:r>
          </w:p>
        </w:tc>
        <w:tc>
          <w:tcPr>
            <w:tcW w:w="2499" w:type="dxa"/>
            <w:vAlign w:val="center"/>
          </w:tcPr>
          <w:p w:rsidR="00952E5B" w:rsidRPr="005352C3" w:rsidRDefault="00952E5B" w:rsidP="00952E5B">
            <w:pPr>
              <w:pStyle w:val="TableofFigures"/>
              <w:jc w:val="center"/>
              <w:rPr>
                <w:rFonts w:cs="Arial"/>
                <w:color w:val="000000" w:themeColor="text1"/>
                <w:szCs w:val="20"/>
                <w:lang w:eastAsia="en-AU"/>
              </w:rPr>
            </w:pPr>
            <w:r w:rsidRPr="005352C3">
              <w:rPr>
                <w:rFonts w:cs="Arial"/>
                <w:color w:val="000000" w:themeColor="text1"/>
                <w:szCs w:val="20"/>
                <w:lang w:val="en-AU" w:eastAsia="en-AU"/>
              </w:rPr>
              <w:t>QUARTERLY</w:t>
            </w:r>
          </w:p>
        </w:tc>
      </w:tr>
    </w:tbl>
    <w:p w:rsidR="00016552" w:rsidRDefault="00016552">
      <w:pPr>
        <w:spacing w:after="0" w:line="240" w:lineRule="auto"/>
        <w:rPr>
          <w:b/>
          <w:bCs/>
          <w:szCs w:val="20"/>
          <w:lang w:eastAsia="en-AU"/>
        </w:rPr>
      </w:pPr>
      <w:r>
        <w:rPr>
          <w:b/>
          <w:bCs/>
          <w:szCs w:val="20"/>
          <w:lang w:eastAsia="en-AU"/>
        </w:rPr>
        <w:br w:type="page"/>
      </w:r>
    </w:p>
    <w:p w:rsidR="000018C8" w:rsidRDefault="000018C8" w:rsidP="000018C8">
      <w:pPr>
        <w:pStyle w:val="Heading1"/>
        <w:rPr>
          <w:rFonts w:hint="eastAsia"/>
          <w:lang w:val="en-AU" w:eastAsia="en-AU"/>
        </w:rPr>
      </w:pPr>
      <w:r w:rsidRPr="00012D93">
        <w:rPr>
          <w:lang w:val="en-AU" w:eastAsia="en-AU"/>
        </w:rPr>
        <w:t xml:space="preserve">The </w:t>
      </w:r>
      <w:r>
        <w:rPr>
          <w:lang w:val="en-AU" w:eastAsia="en-AU"/>
        </w:rPr>
        <w:t>M</w:t>
      </w:r>
      <w:r w:rsidRPr="00012D93">
        <w:rPr>
          <w:lang w:val="en-AU" w:eastAsia="en-AU"/>
        </w:rPr>
        <w:t xml:space="preserve">ajority </w:t>
      </w:r>
      <w:r>
        <w:rPr>
          <w:lang w:val="en-AU" w:eastAsia="en-AU"/>
        </w:rPr>
        <w:t>o</w:t>
      </w:r>
      <w:r w:rsidRPr="00012D93">
        <w:rPr>
          <w:lang w:val="en-AU" w:eastAsia="en-AU"/>
        </w:rPr>
        <w:t xml:space="preserve">f </w:t>
      </w:r>
      <w:r>
        <w:rPr>
          <w:lang w:val="en-AU" w:eastAsia="en-AU"/>
        </w:rPr>
        <w:t>R</w:t>
      </w:r>
      <w:r w:rsidRPr="00012D93">
        <w:rPr>
          <w:lang w:val="en-AU" w:eastAsia="en-AU"/>
        </w:rPr>
        <w:t xml:space="preserve">espondents </w:t>
      </w:r>
      <w:r>
        <w:rPr>
          <w:lang w:val="en-AU" w:eastAsia="en-AU"/>
        </w:rPr>
        <w:t>S</w:t>
      </w:r>
      <w:r w:rsidRPr="00012D93">
        <w:rPr>
          <w:lang w:val="en-AU" w:eastAsia="en-AU"/>
        </w:rPr>
        <w:t xml:space="preserve">upported </w:t>
      </w:r>
      <w:r>
        <w:rPr>
          <w:lang w:val="en-AU" w:eastAsia="en-AU"/>
        </w:rPr>
        <w:t>t</w:t>
      </w:r>
      <w:r w:rsidRPr="00012D93">
        <w:rPr>
          <w:lang w:val="en-AU" w:eastAsia="en-AU"/>
        </w:rPr>
        <w:t>he Strategy</w:t>
      </w:r>
    </w:p>
    <w:p w:rsidR="000018C8" w:rsidRDefault="000018C8" w:rsidP="000018C8">
      <w:pPr>
        <w:rPr>
          <w:b/>
          <w:bCs/>
        </w:rPr>
      </w:pPr>
      <w:r w:rsidRPr="00CC526A">
        <w:rPr>
          <w:b/>
          <w:bCs/>
        </w:rPr>
        <w:t>The strategic directions outlined in the draft City River Strategy were broadly supported by the majority of respondents.</w:t>
      </w:r>
    </w:p>
    <w:tbl>
      <w:tblPr>
        <w:tblStyle w:val="TableGrid"/>
        <w:tblW w:w="0" w:type="auto"/>
        <w:tblLook w:val="04A0" w:firstRow="1" w:lastRow="0" w:firstColumn="1" w:lastColumn="0" w:noHBand="0" w:noVBand="1"/>
      </w:tblPr>
      <w:tblGrid>
        <w:gridCol w:w="2474"/>
        <w:gridCol w:w="2473"/>
        <w:gridCol w:w="2473"/>
        <w:gridCol w:w="2473"/>
      </w:tblGrid>
      <w:tr w:rsidR="00016552" w:rsidTr="00016552">
        <w:tc>
          <w:tcPr>
            <w:tcW w:w="2498" w:type="dxa"/>
            <w:vAlign w:val="center"/>
          </w:tcPr>
          <w:p w:rsidR="00016552" w:rsidRPr="005352C3" w:rsidRDefault="00016552" w:rsidP="00016552">
            <w:pPr>
              <w:pStyle w:val="TableofFigures"/>
              <w:jc w:val="center"/>
              <w:rPr>
                <w:color w:val="000000" w:themeColor="text1"/>
                <w:szCs w:val="20"/>
                <w:lang w:eastAsia="en-AU"/>
              </w:rPr>
            </w:pPr>
            <w:r w:rsidRPr="005352C3">
              <w:rPr>
                <w:color w:val="000000" w:themeColor="text1"/>
                <w:szCs w:val="20"/>
                <w:lang w:eastAsia="en-AU"/>
              </w:rPr>
              <w:t>Culture</w:t>
            </w:r>
          </w:p>
        </w:tc>
        <w:tc>
          <w:tcPr>
            <w:tcW w:w="2499" w:type="dxa"/>
            <w:vAlign w:val="center"/>
          </w:tcPr>
          <w:p w:rsidR="00016552" w:rsidRPr="005352C3" w:rsidRDefault="00016552" w:rsidP="00016552">
            <w:pPr>
              <w:pStyle w:val="TableofFigures"/>
              <w:jc w:val="center"/>
              <w:rPr>
                <w:color w:val="000000" w:themeColor="text1"/>
                <w:szCs w:val="20"/>
                <w:lang w:eastAsia="en-AU"/>
              </w:rPr>
            </w:pPr>
            <w:r w:rsidRPr="005352C3">
              <w:rPr>
                <w:color w:val="000000" w:themeColor="text1"/>
                <w:szCs w:val="20"/>
                <w:lang w:eastAsia="en-AU"/>
              </w:rPr>
              <w:t>Ecology</w:t>
            </w:r>
          </w:p>
        </w:tc>
        <w:tc>
          <w:tcPr>
            <w:tcW w:w="2499" w:type="dxa"/>
            <w:vAlign w:val="center"/>
          </w:tcPr>
          <w:p w:rsidR="00016552" w:rsidRPr="005352C3" w:rsidRDefault="00016552" w:rsidP="00016552">
            <w:pPr>
              <w:pStyle w:val="TableofFigures"/>
              <w:jc w:val="center"/>
              <w:rPr>
                <w:color w:val="000000" w:themeColor="text1"/>
                <w:szCs w:val="20"/>
              </w:rPr>
            </w:pPr>
            <w:r w:rsidRPr="005352C3">
              <w:rPr>
                <w:color w:val="000000" w:themeColor="text1"/>
                <w:szCs w:val="20"/>
              </w:rPr>
              <w:t>Place</w:t>
            </w:r>
          </w:p>
        </w:tc>
        <w:tc>
          <w:tcPr>
            <w:tcW w:w="2499" w:type="dxa"/>
            <w:vAlign w:val="center"/>
          </w:tcPr>
          <w:p w:rsidR="00016552" w:rsidRPr="005352C3" w:rsidRDefault="00016552" w:rsidP="00016552">
            <w:pPr>
              <w:pStyle w:val="TableofFigures"/>
              <w:jc w:val="center"/>
              <w:rPr>
                <w:color w:val="000000" w:themeColor="text1"/>
                <w:szCs w:val="20"/>
              </w:rPr>
            </w:pPr>
            <w:r w:rsidRPr="005352C3">
              <w:rPr>
                <w:color w:val="000000" w:themeColor="text1"/>
                <w:szCs w:val="20"/>
              </w:rPr>
              <w:t>Movement</w:t>
            </w:r>
          </w:p>
        </w:tc>
      </w:tr>
      <w:tr w:rsidR="00016552" w:rsidTr="00016552">
        <w:tc>
          <w:tcPr>
            <w:tcW w:w="2498" w:type="dxa"/>
            <w:vAlign w:val="center"/>
          </w:tcPr>
          <w:p w:rsidR="00016552" w:rsidRPr="005352C3" w:rsidRDefault="00016552" w:rsidP="00016552">
            <w:pPr>
              <w:pStyle w:val="TableofFigures"/>
              <w:jc w:val="center"/>
              <w:rPr>
                <w:color w:val="000000" w:themeColor="text1"/>
                <w:szCs w:val="20"/>
              </w:rPr>
            </w:pPr>
            <w:r w:rsidRPr="005352C3">
              <w:rPr>
                <w:color w:val="000000" w:themeColor="text1"/>
                <w:szCs w:val="20"/>
              </w:rPr>
              <w:t>At least 87% of respondents ‘strongly agreed’ or ‘agreed’ with the directions.</w:t>
            </w:r>
          </w:p>
        </w:tc>
        <w:tc>
          <w:tcPr>
            <w:tcW w:w="2499" w:type="dxa"/>
            <w:vAlign w:val="center"/>
          </w:tcPr>
          <w:p w:rsidR="00016552" w:rsidRPr="005352C3" w:rsidRDefault="00016552" w:rsidP="00016552">
            <w:pPr>
              <w:pStyle w:val="TableofFigures"/>
              <w:jc w:val="center"/>
              <w:rPr>
                <w:color w:val="000000" w:themeColor="text1"/>
                <w:szCs w:val="20"/>
              </w:rPr>
            </w:pPr>
            <w:r w:rsidRPr="005352C3">
              <w:rPr>
                <w:color w:val="000000" w:themeColor="text1"/>
                <w:szCs w:val="20"/>
              </w:rPr>
              <w:t>At least 97% of respondents ‘strongly agreed’ or ‘agreed’ with the directions.</w:t>
            </w:r>
          </w:p>
        </w:tc>
        <w:tc>
          <w:tcPr>
            <w:tcW w:w="2499" w:type="dxa"/>
            <w:vAlign w:val="center"/>
          </w:tcPr>
          <w:p w:rsidR="00016552" w:rsidRPr="005352C3" w:rsidRDefault="00016552" w:rsidP="00016552">
            <w:pPr>
              <w:pStyle w:val="TableofFigures"/>
              <w:jc w:val="center"/>
              <w:rPr>
                <w:color w:val="000000" w:themeColor="text1"/>
                <w:szCs w:val="20"/>
              </w:rPr>
            </w:pPr>
            <w:r w:rsidRPr="005352C3">
              <w:rPr>
                <w:color w:val="000000" w:themeColor="text1"/>
                <w:szCs w:val="20"/>
              </w:rPr>
              <w:t>At least 90% of respondents ‘strongly agreed’ or ‘agreed’ with the directions.</w:t>
            </w:r>
          </w:p>
        </w:tc>
        <w:tc>
          <w:tcPr>
            <w:tcW w:w="2499" w:type="dxa"/>
            <w:vAlign w:val="center"/>
          </w:tcPr>
          <w:p w:rsidR="00016552" w:rsidRPr="005352C3" w:rsidRDefault="00016552" w:rsidP="00016552">
            <w:pPr>
              <w:pStyle w:val="TableofFigures"/>
              <w:jc w:val="center"/>
              <w:rPr>
                <w:color w:val="000000" w:themeColor="text1"/>
                <w:szCs w:val="20"/>
              </w:rPr>
            </w:pPr>
            <w:r w:rsidRPr="005352C3">
              <w:rPr>
                <w:color w:val="000000" w:themeColor="text1"/>
                <w:szCs w:val="20"/>
              </w:rPr>
              <w:t>At least 85% of respondents ‘strongly agreed’ or ‘agreed’ with the directions.</w:t>
            </w:r>
          </w:p>
        </w:tc>
      </w:tr>
    </w:tbl>
    <w:p w:rsidR="000018C8" w:rsidRPr="00BF6128" w:rsidRDefault="000018C8" w:rsidP="000018C8">
      <w:pPr>
        <w:pStyle w:val="Heading1"/>
        <w:rPr>
          <w:rFonts w:hint="eastAsia"/>
          <w:color w:val="000000" w:themeColor="text1"/>
        </w:rPr>
      </w:pPr>
      <w:r w:rsidRPr="00BF6128">
        <w:rPr>
          <w:noProof/>
          <w:color w:val="000000" w:themeColor="text1"/>
          <w:lang w:val="en-AU" w:eastAsia="en-AU"/>
        </w:rPr>
        <w:drawing>
          <wp:anchor distT="0" distB="0" distL="114300" distR="114300" simplePos="0" relativeHeight="251668480" behindDoc="0" locked="0" layoutInCell="1" allowOverlap="1" wp14:anchorId="4E77B3D9" wp14:editId="613B6E10">
            <wp:simplePos x="0" y="0"/>
            <wp:positionH relativeFrom="margin">
              <wp:posOffset>7293610</wp:posOffset>
            </wp:positionH>
            <wp:positionV relativeFrom="margin">
              <wp:posOffset>173990</wp:posOffset>
            </wp:positionV>
            <wp:extent cx="2295525" cy="1911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5525" cy="191135"/>
                    </a:xfrm>
                    <a:prstGeom prst="rect">
                      <a:avLst/>
                    </a:prstGeom>
                  </pic:spPr>
                </pic:pic>
              </a:graphicData>
            </a:graphic>
            <wp14:sizeRelH relativeFrom="margin">
              <wp14:pctWidth>0</wp14:pctWidth>
            </wp14:sizeRelH>
            <wp14:sizeRelV relativeFrom="margin">
              <wp14:pctHeight>0</wp14:pctHeight>
            </wp14:sizeRelV>
          </wp:anchor>
        </w:drawing>
      </w:r>
      <w:r w:rsidRPr="00BF6128">
        <w:rPr>
          <w:color w:val="000000" w:themeColor="text1"/>
        </w:rPr>
        <w:t xml:space="preserve">Summary of Opinions on Strategy Directions </w:t>
      </w:r>
    </w:p>
    <w:p w:rsidR="000D0643" w:rsidRPr="00B97183" w:rsidRDefault="000D0643" w:rsidP="000D0643">
      <w:pPr>
        <w:pStyle w:val="Heading2"/>
        <w:rPr>
          <w:rFonts w:hint="eastAsia"/>
          <w:color w:val="0D0D0D" w:themeColor="text1" w:themeTint="F2"/>
        </w:rPr>
      </w:pPr>
      <w:r w:rsidRPr="00B97183">
        <w:rPr>
          <w:color w:val="0D0D0D" w:themeColor="text1" w:themeTint="F2"/>
        </w:rPr>
        <w:t xml:space="preserve">Culture </w:t>
      </w:r>
      <w:r w:rsidR="00B643A4">
        <w:rPr>
          <w:color w:val="0D0D0D" w:themeColor="text1" w:themeTint="F2"/>
        </w:rPr>
        <w:t xml:space="preserve">- </w:t>
      </w:r>
      <w:r w:rsidRPr="00B97183">
        <w:rPr>
          <w:color w:val="0D0D0D" w:themeColor="text1" w:themeTint="F2"/>
        </w:rPr>
        <w:t>Heritage and Narrative</w:t>
      </w:r>
    </w:p>
    <w:tbl>
      <w:tblPr>
        <w:tblStyle w:val="TableGrid"/>
        <w:tblW w:w="0" w:type="auto"/>
        <w:tblLook w:val="04A0" w:firstRow="1" w:lastRow="0" w:firstColumn="1" w:lastColumn="0" w:noHBand="0" w:noVBand="1"/>
      </w:tblPr>
      <w:tblGrid>
        <w:gridCol w:w="5302"/>
        <w:gridCol w:w="1418"/>
        <w:gridCol w:w="1418"/>
        <w:gridCol w:w="1418"/>
      </w:tblGrid>
      <w:tr w:rsidR="00002BD0" w:rsidTr="00002BD0">
        <w:tc>
          <w:tcPr>
            <w:tcW w:w="5302" w:type="dxa"/>
          </w:tcPr>
          <w:p w:rsidR="00002BD0" w:rsidRPr="00002BD0" w:rsidRDefault="00002BD0" w:rsidP="000D0643">
            <w:pPr>
              <w:rPr>
                <w:color w:val="0D0D0D" w:themeColor="text1" w:themeTint="F2"/>
                <w:lang w:val="en-US"/>
              </w:rPr>
            </w:pPr>
            <w:r w:rsidRPr="00002BD0">
              <w:rPr>
                <w:color w:val="0D0D0D" w:themeColor="text1" w:themeTint="F2"/>
              </w:rPr>
              <w:t>Collaborative (C1): Ongoing collaboration with Traditional Owners to tell the Aboriginal story.</w:t>
            </w:r>
          </w:p>
        </w:tc>
        <w:tc>
          <w:tcPr>
            <w:tcW w:w="1418" w:type="dxa"/>
          </w:tcPr>
          <w:p w:rsidR="00002BD0" w:rsidRDefault="00147808" w:rsidP="00002BD0">
            <w:pPr>
              <w:rPr>
                <w:lang w:val="en-US"/>
              </w:rPr>
            </w:pPr>
            <w:r>
              <w:rPr>
                <w:lang w:val="en-US"/>
              </w:rPr>
              <w:t>69</w:t>
            </w:r>
            <w:r w:rsidR="00002BD0">
              <w:rPr>
                <w:lang w:val="en-US"/>
              </w:rPr>
              <w:t xml:space="preserve">% Strongly Agree </w:t>
            </w:r>
          </w:p>
        </w:tc>
        <w:tc>
          <w:tcPr>
            <w:tcW w:w="1418" w:type="dxa"/>
          </w:tcPr>
          <w:p w:rsidR="00002BD0" w:rsidRDefault="00147808" w:rsidP="000D0643">
            <w:pPr>
              <w:rPr>
                <w:lang w:val="en-US"/>
              </w:rPr>
            </w:pPr>
            <w:r>
              <w:rPr>
                <w:lang w:val="en-US"/>
              </w:rPr>
              <w:t>22</w:t>
            </w:r>
            <w:r w:rsidR="00002BD0">
              <w:rPr>
                <w:lang w:val="en-US"/>
              </w:rPr>
              <w:t>% Agree</w:t>
            </w:r>
          </w:p>
        </w:tc>
        <w:tc>
          <w:tcPr>
            <w:tcW w:w="1418" w:type="dxa"/>
          </w:tcPr>
          <w:p w:rsidR="00002BD0" w:rsidRDefault="00147808" w:rsidP="000D0643">
            <w:pPr>
              <w:rPr>
                <w:lang w:val="en-US"/>
              </w:rPr>
            </w:pPr>
            <w:r>
              <w:rPr>
                <w:lang w:val="en-US"/>
              </w:rPr>
              <w:t>9</w:t>
            </w:r>
            <w:r w:rsidR="00002BD0">
              <w:rPr>
                <w:lang w:val="en-US"/>
              </w:rPr>
              <w:t>% Disagree</w:t>
            </w:r>
          </w:p>
        </w:tc>
      </w:tr>
      <w:tr w:rsidR="00002BD0" w:rsidTr="00002BD0">
        <w:tc>
          <w:tcPr>
            <w:tcW w:w="5302" w:type="dxa"/>
          </w:tcPr>
          <w:p w:rsidR="00002BD0" w:rsidRPr="00002BD0" w:rsidRDefault="00002BD0" w:rsidP="000D0643">
            <w:pPr>
              <w:rPr>
                <w:color w:val="0D0D0D" w:themeColor="text1" w:themeTint="F2"/>
                <w:lang w:val="en-US"/>
              </w:rPr>
            </w:pPr>
            <w:r w:rsidRPr="00002BD0">
              <w:rPr>
                <w:color w:val="0D0D0D" w:themeColor="text1" w:themeTint="F2"/>
              </w:rPr>
              <w:t>Visible (C2): Increase visibility of Aboriginal intangible heritage and history.</w:t>
            </w:r>
          </w:p>
        </w:tc>
        <w:tc>
          <w:tcPr>
            <w:tcW w:w="1418" w:type="dxa"/>
          </w:tcPr>
          <w:p w:rsidR="00002BD0" w:rsidRDefault="00147808" w:rsidP="00002BD0">
            <w:pPr>
              <w:rPr>
                <w:lang w:val="en-US"/>
              </w:rPr>
            </w:pPr>
            <w:r>
              <w:rPr>
                <w:lang w:val="en-US"/>
              </w:rPr>
              <w:t>69</w:t>
            </w:r>
            <w:r w:rsidR="00002BD0">
              <w:rPr>
                <w:lang w:val="en-US"/>
              </w:rPr>
              <w:t xml:space="preserve">% Strongly Agree </w:t>
            </w:r>
          </w:p>
        </w:tc>
        <w:tc>
          <w:tcPr>
            <w:tcW w:w="1418" w:type="dxa"/>
          </w:tcPr>
          <w:p w:rsidR="00002BD0" w:rsidRDefault="00147808" w:rsidP="000D0643">
            <w:pPr>
              <w:rPr>
                <w:lang w:val="en-US"/>
              </w:rPr>
            </w:pPr>
            <w:r>
              <w:rPr>
                <w:lang w:val="en-US"/>
              </w:rPr>
              <w:t>24</w:t>
            </w:r>
            <w:r w:rsidR="00002BD0">
              <w:rPr>
                <w:lang w:val="en-US"/>
              </w:rPr>
              <w:t>% Agree</w:t>
            </w:r>
          </w:p>
        </w:tc>
        <w:tc>
          <w:tcPr>
            <w:tcW w:w="1418" w:type="dxa"/>
          </w:tcPr>
          <w:p w:rsidR="00002BD0" w:rsidRDefault="00147808" w:rsidP="000D0643">
            <w:pPr>
              <w:rPr>
                <w:lang w:val="en-US"/>
              </w:rPr>
            </w:pPr>
            <w:r>
              <w:rPr>
                <w:lang w:val="en-US"/>
              </w:rPr>
              <w:t>8</w:t>
            </w:r>
            <w:r w:rsidR="00002BD0">
              <w:rPr>
                <w:lang w:val="en-US"/>
              </w:rPr>
              <w:t>% Disagree</w:t>
            </w:r>
          </w:p>
        </w:tc>
      </w:tr>
      <w:tr w:rsidR="00002BD0" w:rsidTr="00002BD0">
        <w:tc>
          <w:tcPr>
            <w:tcW w:w="5302" w:type="dxa"/>
          </w:tcPr>
          <w:p w:rsidR="00002BD0" w:rsidRPr="00002BD0" w:rsidRDefault="00002BD0" w:rsidP="000D0643">
            <w:pPr>
              <w:rPr>
                <w:color w:val="0D0D0D" w:themeColor="text1" w:themeTint="F2"/>
                <w:lang w:val="en-US"/>
              </w:rPr>
            </w:pPr>
            <w:r w:rsidRPr="00002BD0">
              <w:rPr>
                <w:color w:val="0D0D0D" w:themeColor="text1" w:themeTint="F2"/>
              </w:rPr>
              <w:t>Maritime (C3): Recognise maritime, historical and contemporary importance.</w:t>
            </w:r>
          </w:p>
        </w:tc>
        <w:tc>
          <w:tcPr>
            <w:tcW w:w="1418" w:type="dxa"/>
          </w:tcPr>
          <w:p w:rsidR="00002BD0" w:rsidRDefault="00147808" w:rsidP="000D0643">
            <w:pPr>
              <w:rPr>
                <w:lang w:val="en-US"/>
              </w:rPr>
            </w:pPr>
            <w:r>
              <w:rPr>
                <w:lang w:val="en-US"/>
              </w:rPr>
              <w:t>41</w:t>
            </w:r>
            <w:r w:rsidR="00002BD0">
              <w:rPr>
                <w:lang w:val="en-US"/>
              </w:rPr>
              <w:t>% Strongly Agree</w:t>
            </w:r>
          </w:p>
        </w:tc>
        <w:tc>
          <w:tcPr>
            <w:tcW w:w="1418" w:type="dxa"/>
          </w:tcPr>
          <w:p w:rsidR="00002BD0" w:rsidRDefault="00147808" w:rsidP="000D0643">
            <w:pPr>
              <w:rPr>
                <w:lang w:val="en-US"/>
              </w:rPr>
            </w:pPr>
            <w:r>
              <w:rPr>
                <w:lang w:val="en-US"/>
              </w:rPr>
              <w:t>46</w:t>
            </w:r>
            <w:r w:rsidR="00002BD0">
              <w:rPr>
                <w:lang w:val="en-US"/>
              </w:rPr>
              <w:t>% Agree</w:t>
            </w:r>
          </w:p>
        </w:tc>
        <w:tc>
          <w:tcPr>
            <w:tcW w:w="1418" w:type="dxa"/>
          </w:tcPr>
          <w:p w:rsidR="00002BD0" w:rsidRDefault="00147808" w:rsidP="000D0643">
            <w:pPr>
              <w:rPr>
                <w:lang w:val="en-US"/>
              </w:rPr>
            </w:pPr>
            <w:r>
              <w:rPr>
                <w:lang w:val="en-US"/>
              </w:rPr>
              <w:t>13</w:t>
            </w:r>
            <w:r w:rsidR="00002BD0">
              <w:rPr>
                <w:lang w:val="en-US"/>
              </w:rPr>
              <w:t>% Disagree</w:t>
            </w:r>
          </w:p>
        </w:tc>
      </w:tr>
    </w:tbl>
    <w:p w:rsidR="000018C8" w:rsidRDefault="000018C8" w:rsidP="000018C8">
      <w:pPr>
        <w:pStyle w:val="Heading3"/>
        <w:rPr>
          <w:rFonts w:hint="eastAsia"/>
        </w:rPr>
      </w:pPr>
      <w:r w:rsidRPr="008D1BEF">
        <w:t>You said</w:t>
      </w:r>
      <w:r>
        <w:t>:</w:t>
      </w:r>
    </w:p>
    <w:p w:rsidR="009930E2" w:rsidRDefault="009930E2" w:rsidP="000018C8">
      <w:r>
        <w:t>“Maintaining Aboriginal history alive, especially in such an essential location as the Birrarung, is crucial to actually being able to re-tell the story of the river.”</w:t>
      </w:r>
    </w:p>
    <w:p w:rsidR="000018C8" w:rsidRPr="00940F30" w:rsidRDefault="000018C8" w:rsidP="000018C8">
      <w:pPr>
        <w:pStyle w:val="Heading3"/>
        <w:rPr>
          <w:rFonts w:hint="eastAsia"/>
        </w:rPr>
      </w:pPr>
      <w:r w:rsidRPr="00940F30">
        <w:t>We heard</w:t>
      </w:r>
      <w:r>
        <w:t>:</w:t>
      </w:r>
    </w:p>
    <w:p w:rsidR="000018C8" w:rsidRPr="00B5102F" w:rsidRDefault="000018C8" w:rsidP="009930E2">
      <w:pPr>
        <w:pStyle w:val="ListParagraph"/>
        <w:numPr>
          <w:ilvl w:val="0"/>
          <w:numId w:val="27"/>
        </w:numPr>
        <w:spacing w:before="120" w:after="0" w:line="240" w:lineRule="auto"/>
      </w:pPr>
      <w:bookmarkStart w:id="7" w:name="_Toc9933701"/>
      <w:r>
        <w:t>T</w:t>
      </w:r>
      <w:r w:rsidRPr="00B5102F">
        <w:t xml:space="preserve">raditional </w:t>
      </w:r>
      <w:r>
        <w:t>O</w:t>
      </w:r>
      <w:r w:rsidRPr="00B5102F">
        <w:t xml:space="preserve">wners </w:t>
      </w:r>
      <w:r>
        <w:t xml:space="preserve">must </w:t>
      </w:r>
      <w:r w:rsidRPr="00B5102F">
        <w:t xml:space="preserve">be acknowledged via a visible presence in any changes to the river or its banks. </w:t>
      </w:r>
    </w:p>
    <w:p w:rsidR="000018C8" w:rsidRPr="00B5102F" w:rsidRDefault="000018C8" w:rsidP="009930E2">
      <w:pPr>
        <w:pStyle w:val="ListParagraph"/>
        <w:numPr>
          <w:ilvl w:val="0"/>
          <w:numId w:val="27"/>
        </w:numPr>
        <w:spacing w:before="120" w:after="0" w:line="240" w:lineRule="auto"/>
      </w:pPr>
      <w:r w:rsidRPr="00B5102F">
        <w:t>First Peoples’ input</w:t>
      </w:r>
      <w:r>
        <w:t xml:space="preserve"> is valued</w:t>
      </w:r>
      <w:r w:rsidRPr="00B5102F">
        <w:t>, equating it with returning to more environmentally sound principles.</w:t>
      </w:r>
    </w:p>
    <w:p w:rsidR="000018C8" w:rsidRPr="00B5102F" w:rsidRDefault="000018C8" w:rsidP="009930E2">
      <w:pPr>
        <w:pStyle w:val="ListParagraph"/>
        <w:numPr>
          <w:ilvl w:val="0"/>
          <w:numId w:val="27"/>
        </w:numPr>
        <w:spacing w:before="120" w:after="0" w:line="240" w:lineRule="auto"/>
      </w:pPr>
      <w:r>
        <w:t>H</w:t>
      </w:r>
      <w:r w:rsidRPr="00B5102F">
        <w:t xml:space="preserve">istorical connections to the river </w:t>
      </w:r>
      <w:r>
        <w:t xml:space="preserve">should </w:t>
      </w:r>
      <w:r w:rsidRPr="00B5102F">
        <w:t xml:space="preserve">be </w:t>
      </w:r>
      <w:r w:rsidRPr="003E31B3">
        <w:rPr>
          <w:lang w:val="en-AU"/>
        </w:rPr>
        <w:t>recognised</w:t>
      </w:r>
      <w:r w:rsidRPr="00B5102F">
        <w:t xml:space="preserve"> and a strong narrative </w:t>
      </w:r>
      <w:r>
        <w:t xml:space="preserve">should </w:t>
      </w:r>
      <w:r w:rsidRPr="00B5102F">
        <w:t xml:space="preserve">be present and accessible to river visitors. </w:t>
      </w:r>
    </w:p>
    <w:p w:rsidR="003E31B3" w:rsidRDefault="000018C8" w:rsidP="003E31B3">
      <w:pPr>
        <w:pStyle w:val="ListParagraph"/>
        <w:numPr>
          <w:ilvl w:val="0"/>
          <w:numId w:val="27"/>
        </w:numPr>
        <w:spacing w:before="120" w:after="160" w:line="259" w:lineRule="auto"/>
      </w:pPr>
      <w:r>
        <w:t>We should celebrate post-contact m</w:t>
      </w:r>
      <w:r w:rsidRPr="00B5102F">
        <w:t xml:space="preserve">aritime history alongside </w:t>
      </w:r>
      <w:r>
        <w:t>Aboriginal</w:t>
      </w:r>
      <w:r w:rsidRPr="00B5102F">
        <w:t xml:space="preserve"> history</w:t>
      </w:r>
      <w:r>
        <w:t>, as well as</w:t>
      </w:r>
      <w:r w:rsidRPr="00B5102F">
        <w:t xml:space="preserve"> the histories of trade, immigration, and recreation as valuable </w:t>
      </w:r>
      <w:r>
        <w:t>aspects</w:t>
      </w:r>
      <w:r w:rsidRPr="00B5102F">
        <w:t xml:space="preserve"> of the river’s story.</w:t>
      </w:r>
    </w:p>
    <w:p w:rsidR="003E31B3" w:rsidRPr="00B97183" w:rsidRDefault="00147808" w:rsidP="003E31B3">
      <w:pPr>
        <w:pStyle w:val="Heading2"/>
        <w:rPr>
          <w:rFonts w:hint="eastAsia"/>
          <w:color w:val="0D0D0D" w:themeColor="text1" w:themeTint="F2"/>
        </w:rPr>
      </w:pPr>
      <w:r>
        <w:rPr>
          <w:color w:val="0D0D0D" w:themeColor="text1" w:themeTint="F2"/>
        </w:rPr>
        <w:t xml:space="preserve">Ecology - </w:t>
      </w:r>
      <w:r w:rsidR="003E31B3" w:rsidRPr="00B97183">
        <w:rPr>
          <w:color w:val="0D0D0D" w:themeColor="text1" w:themeTint="F2"/>
        </w:rPr>
        <w:t>Habitat and Water</w:t>
      </w:r>
    </w:p>
    <w:tbl>
      <w:tblPr>
        <w:tblStyle w:val="TableGrid"/>
        <w:tblW w:w="0" w:type="auto"/>
        <w:tblLook w:val="04A0" w:firstRow="1" w:lastRow="0" w:firstColumn="1" w:lastColumn="0" w:noHBand="0" w:noVBand="1"/>
      </w:tblPr>
      <w:tblGrid>
        <w:gridCol w:w="5586"/>
        <w:gridCol w:w="1417"/>
        <w:gridCol w:w="1418"/>
        <w:gridCol w:w="1417"/>
      </w:tblGrid>
      <w:tr w:rsidR="00B97183" w:rsidTr="00B97183">
        <w:tc>
          <w:tcPr>
            <w:tcW w:w="5586" w:type="dxa"/>
          </w:tcPr>
          <w:p w:rsidR="00B97183" w:rsidRPr="00B97183" w:rsidRDefault="00B97183" w:rsidP="000018C8">
            <w:pPr>
              <w:spacing w:after="160" w:line="259" w:lineRule="auto"/>
              <w:rPr>
                <w:rFonts w:ascii="Montserrat Medium" w:eastAsia="Calibri" w:hAnsi="Montserrat Medium"/>
                <w:noProof/>
                <w:color w:val="0D0D0D" w:themeColor="text1" w:themeTint="F2"/>
                <w:sz w:val="28"/>
                <w:szCs w:val="28"/>
              </w:rPr>
            </w:pPr>
            <w:r w:rsidRPr="00B97183">
              <w:rPr>
                <w:color w:val="0D0D0D" w:themeColor="text1" w:themeTint="F2"/>
              </w:rPr>
              <w:t xml:space="preserve">Ecology </w:t>
            </w:r>
            <w:r w:rsidRPr="00B97183">
              <w:rPr>
                <w:rFonts w:ascii="Calibri" w:hAnsi="Calibri" w:cs="Calibri"/>
                <w:color w:val="0D0D0D" w:themeColor="text1" w:themeTint="F2"/>
              </w:rPr>
              <w:t>–</w:t>
            </w:r>
            <w:r w:rsidRPr="00B97183">
              <w:rPr>
                <w:color w:val="0D0D0D" w:themeColor="text1" w:themeTint="F2"/>
              </w:rPr>
              <w:t xml:space="preserve"> E1 Riparian greening: Re-introduce riparian zone, improving water habitat, biodiversity and a healthy river ecosystem.</w:t>
            </w:r>
          </w:p>
        </w:tc>
        <w:tc>
          <w:tcPr>
            <w:tcW w:w="1417" w:type="dxa"/>
          </w:tcPr>
          <w:p w:rsidR="00B97183" w:rsidRDefault="00B97183" w:rsidP="00C42FDB">
            <w:pPr>
              <w:rPr>
                <w:lang w:val="en-US"/>
              </w:rPr>
            </w:pPr>
            <w:r>
              <w:rPr>
                <w:lang w:val="en-US"/>
              </w:rPr>
              <w:t xml:space="preserve">87% Strongly Agree </w:t>
            </w:r>
          </w:p>
        </w:tc>
        <w:tc>
          <w:tcPr>
            <w:tcW w:w="1418" w:type="dxa"/>
          </w:tcPr>
          <w:p w:rsidR="00B97183" w:rsidRDefault="00B97183" w:rsidP="00C42FDB">
            <w:pPr>
              <w:rPr>
                <w:lang w:val="en-US"/>
              </w:rPr>
            </w:pPr>
            <w:r>
              <w:rPr>
                <w:lang w:val="en-US"/>
              </w:rPr>
              <w:t>10% Agree</w:t>
            </w:r>
          </w:p>
        </w:tc>
        <w:tc>
          <w:tcPr>
            <w:tcW w:w="1417" w:type="dxa"/>
          </w:tcPr>
          <w:p w:rsidR="00B97183" w:rsidRDefault="00B97183" w:rsidP="00C42FDB">
            <w:pPr>
              <w:rPr>
                <w:lang w:val="en-US"/>
              </w:rPr>
            </w:pPr>
            <w:r>
              <w:rPr>
                <w:lang w:val="en-US"/>
              </w:rPr>
              <w:t>3% Disagree</w:t>
            </w:r>
          </w:p>
        </w:tc>
      </w:tr>
      <w:tr w:rsidR="00B97183" w:rsidTr="00B97183">
        <w:tc>
          <w:tcPr>
            <w:tcW w:w="5586" w:type="dxa"/>
          </w:tcPr>
          <w:p w:rsidR="00B97183" w:rsidRPr="00B97183" w:rsidRDefault="00B97183" w:rsidP="000018C8">
            <w:pPr>
              <w:spacing w:after="160" w:line="259" w:lineRule="auto"/>
              <w:rPr>
                <w:rFonts w:ascii="Montserrat Medium" w:eastAsia="Calibri" w:hAnsi="Montserrat Medium"/>
                <w:noProof/>
                <w:color w:val="0D0D0D" w:themeColor="text1" w:themeTint="F2"/>
                <w:sz w:val="28"/>
                <w:szCs w:val="28"/>
              </w:rPr>
            </w:pPr>
            <w:r w:rsidRPr="00B97183">
              <w:rPr>
                <w:color w:val="0D0D0D" w:themeColor="text1" w:themeTint="F2"/>
              </w:rPr>
              <w:t xml:space="preserve">Ecology </w:t>
            </w:r>
            <w:r w:rsidRPr="00B97183">
              <w:rPr>
                <w:rFonts w:ascii="Calibri" w:hAnsi="Calibri" w:cs="Calibri"/>
                <w:color w:val="0D0D0D" w:themeColor="text1" w:themeTint="F2"/>
              </w:rPr>
              <w:t>–</w:t>
            </w:r>
            <w:r w:rsidRPr="00B97183">
              <w:rPr>
                <w:color w:val="0D0D0D" w:themeColor="text1" w:themeTint="F2"/>
              </w:rPr>
              <w:t xml:space="preserve"> E2 Connected: Optimise urban river bank vegetation, prioritising Indigenous, improving biodiversity and ecological networks.</w:t>
            </w:r>
          </w:p>
        </w:tc>
        <w:tc>
          <w:tcPr>
            <w:tcW w:w="1417" w:type="dxa"/>
          </w:tcPr>
          <w:p w:rsidR="00B97183" w:rsidRDefault="00B97183" w:rsidP="00C42FDB">
            <w:pPr>
              <w:rPr>
                <w:lang w:val="en-US"/>
              </w:rPr>
            </w:pPr>
            <w:r>
              <w:rPr>
                <w:lang w:val="en-US"/>
              </w:rPr>
              <w:t xml:space="preserve">87% Strongly Agree </w:t>
            </w:r>
          </w:p>
        </w:tc>
        <w:tc>
          <w:tcPr>
            <w:tcW w:w="1418" w:type="dxa"/>
          </w:tcPr>
          <w:p w:rsidR="00B97183" w:rsidRDefault="00B97183" w:rsidP="00C42FDB">
            <w:pPr>
              <w:rPr>
                <w:lang w:val="en-US"/>
              </w:rPr>
            </w:pPr>
            <w:r>
              <w:rPr>
                <w:lang w:val="en-US"/>
              </w:rPr>
              <w:t>10% Agree</w:t>
            </w:r>
          </w:p>
        </w:tc>
        <w:tc>
          <w:tcPr>
            <w:tcW w:w="1417" w:type="dxa"/>
          </w:tcPr>
          <w:p w:rsidR="00B97183" w:rsidRDefault="00B97183" w:rsidP="00C42FDB">
            <w:pPr>
              <w:rPr>
                <w:lang w:val="en-US"/>
              </w:rPr>
            </w:pPr>
            <w:r>
              <w:rPr>
                <w:lang w:val="en-US"/>
              </w:rPr>
              <w:t>3% Disagree</w:t>
            </w:r>
          </w:p>
        </w:tc>
      </w:tr>
      <w:tr w:rsidR="00B97183" w:rsidTr="00B97183">
        <w:tc>
          <w:tcPr>
            <w:tcW w:w="5586" w:type="dxa"/>
          </w:tcPr>
          <w:p w:rsidR="00B97183" w:rsidRPr="00B97183" w:rsidRDefault="00B97183" w:rsidP="000018C8">
            <w:pPr>
              <w:spacing w:after="160" w:line="259" w:lineRule="auto"/>
              <w:rPr>
                <w:rFonts w:ascii="Montserrat Medium" w:eastAsia="Calibri" w:hAnsi="Montserrat Medium"/>
                <w:noProof/>
                <w:color w:val="0D0D0D" w:themeColor="text1" w:themeTint="F2"/>
                <w:sz w:val="28"/>
                <w:szCs w:val="28"/>
              </w:rPr>
            </w:pPr>
            <w:r w:rsidRPr="00B97183">
              <w:rPr>
                <w:color w:val="0D0D0D" w:themeColor="text1" w:themeTint="F2"/>
              </w:rPr>
              <w:t xml:space="preserve">Ecology </w:t>
            </w:r>
            <w:r w:rsidRPr="00B97183">
              <w:rPr>
                <w:rFonts w:ascii="Calibri" w:hAnsi="Calibri" w:cs="Calibri"/>
                <w:color w:val="0D0D0D" w:themeColor="text1" w:themeTint="F2"/>
              </w:rPr>
              <w:t>–</w:t>
            </w:r>
            <w:r w:rsidRPr="00B97183">
              <w:rPr>
                <w:color w:val="0D0D0D" w:themeColor="text1" w:themeTint="F2"/>
              </w:rPr>
              <w:t xml:space="preserve"> E3 Resilient: Address flood risk and improve water quality.</w:t>
            </w:r>
          </w:p>
        </w:tc>
        <w:tc>
          <w:tcPr>
            <w:tcW w:w="1417" w:type="dxa"/>
          </w:tcPr>
          <w:p w:rsidR="00B97183" w:rsidRPr="00B97183" w:rsidRDefault="00B97183" w:rsidP="00B97183">
            <w:pPr>
              <w:rPr>
                <w:lang w:val="en-US"/>
              </w:rPr>
            </w:pPr>
            <w:r w:rsidRPr="00B97183">
              <w:rPr>
                <w:lang w:val="en-US"/>
              </w:rPr>
              <w:t>84% Strongly Agree</w:t>
            </w:r>
          </w:p>
        </w:tc>
        <w:tc>
          <w:tcPr>
            <w:tcW w:w="1418" w:type="dxa"/>
          </w:tcPr>
          <w:p w:rsidR="00B97183" w:rsidRPr="00B97183" w:rsidRDefault="00B97183" w:rsidP="00B97183">
            <w:pPr>
              <w:rPr>
                <w:lang w:val="en-US"/>
              </w:rPr>
            </w:pPr>
            <w:r>
              <w:rPr>
                <w:lang w:val="en-US"/>
              </w:rPr>
              <w:t>16% Agree</w:t>
            </w:r>
          </w:p>
        </w:tc>
        <w:tc>
          <w:tcPr>
            <w:tcW w:w="1417" w:type="dxa"/>
          </w:tcPr>
          <w:p w:rsidR="00B97183" w:rsidRPr="00B97183" w:rsidRDefault="00B97183" w:rsidP="00B97183">
            <w:pPr>
              <w:rPr>
                <w:lang w:val="en-US"/>
              </w:rPr>
            </w:pPr>
            <w:r>
              <w:rPr>
                <w:lang w:val="en-US"/>
              </w:rPr>
              <w:t>0% Disagree</w:t>
            </w:r>
          </w:p>
        </w:tc>
      </w:tr>
    </w:tbl>
    <w:bookmarkEnd w:id="7"/>
    <w:p w:rsidR="000018C8" w:rsidRDefault="000018C8" w:rsidP="000018C8">
      <w:pPr>
        <w:pStyle w:val="Heading3"/>
        <w:rPr>
          <w:rFonts w:hint="eastAsia"/>
        </w:rPr>
      </w:pPr>
      <w:r w:rsidRPr="00FC1CA5">
        <w:t>You said:</w:t>
      </w:r>
    </w:p>
    <w:p w:rsidR="003E31B3" w:rsidRPr="003E31B3" w:rsidRDefault="003E31B3" w:rsidP="003E31B3">
      <w:pPr>
        <w:rPr>
          <w:lang w:val="en-US"/>
        </w:rPr>
      </w:pPr>
      <w:r>
        <w:rPr>
          <w:lang w:val="en-US"/>
        </w:rPr>
        <w:t>“The ecology of the river is crucial to promote and restore urban ecology within the city, for both local fauna and for the benefit of humans.”</w:t>
      </w:r>
    </w:p>
    <w:p w:rsidR="000018C8" w:rsidRPr="0019663E" w:rsidRDefault="000018C8" w:rsidP="000018C8">
      <w:pPr>
        <w:pStyle w:val="Heading3"/>
        <w:rPr>
          <w:rFonts w:hint="eastAsia"/>
        </w:rPr>
      </w:pPr>
      <w:r w:rsidRPr="0019663E">
        <w:t>We heard:</w:t>
      </w:r>
    </w:p>
    <w:p w:rsidR="000018C8" w:rsidRPr="00326DF0" w:rsidRDefault="000018C8" w:rsidP="003E31B3">
      <w:pPr>
        <w:pStyle w:val="ListParagraph"/>
        <w:numPr>
          <w:ilvl w:val="0"/>
          <w:numId w:val="28"/>
        </w:numPr>
        <w:spacing w:before="120" w:after="0" w:line="240" w:lineRule="auto"/>
      </w:pPr>
      <w:r>
        <w:t>It’s important that we have a</w:t>
      </w:r>
      <w:r w:rsidRPr="00B5102F">
        <w:t xml:space="preserve"> healthy and useable river</w:t>
      </w:r>
      <w:r w:rsidRPr="00326DF0">
        <w:t>; ideally one we can swim in one day</w:t>
      </w:r>
      <w:r>
        <w:t>.</w:t>
      </w:r>
      <w:r w:rsidRPr="00326DF0">
        <w:t xml:space="preserve"> </w:t>
      </w:r>
    </w:p>
    <w:p w:rsidR="000018C8" w:rsidRPr="00B5102F" w:rsidRDefault="000018C8" w:rsidP="003E31B3">
      <w:pPr>
        <w:pStyle w:val="ListParagraph"/>
        <w:numPr>
          <w:ilvl w:val="0"/>
          <w:numId w:val="28"/>
        </w:numPr>
        <w:spacing w:before="120" w:after="0" w:line="240" w:lineRule="auto"/>
      </w:pPr>
      <w:r>
        <w:t>A</w:t>
      </w:r>
      <w:r w:rsidRPr="00B5102F">
        <w:t xml:space="preserve"> healthy river </w:t>
      </w:r>
      <w:r>
        <w:t>is</w:t>
      </w:r>
      <w:r w:rsidRPr="00B5102F">
        <w:t xml:space="preserve"> one that is ecologically robust, biologically diverse, and in many cases planted with native vegetation</w:t>
      </w:r>
      <w:r>
        <w:t xml:space="preserve"> </w:t>
      </w:r>
      <w:r>
        <w:rPr>
          <w:rFonts w:ascii="Calibri" w:hAnsi="Calibri" w:cs="Calibri"/>
        </w:rPr>
        <w:t>–</w:t>
      </w:r>
      <w:r>
        <w:t xml:space="preserve"> </w:t>
      </w:r>
      <w:r w:rsidRPr="00B5102F">
        <w:t>resembling as close</w:t>
      </w:r>
      <w:r>
        <w:t>ly</w:t>
      </w:r>
      <w:r w:rsidRPr="00B5102F">
        <w:t xml:space="preserve"> as possible pre-European </w:t>
      </w:r>
      <w:r>
        <w:t xml:space="preserve">settlement </w:t>
      </w:r>
      <w:r w:rsidRPr="00B5102F">
        <w:t xml:space="preserve">states. </w:t>
      </w:r>
    </w:p>
    <w:p w:rsidR="000018C8" w:rsidRPr="00B5102F" w:rsidRDefault="000018C8" w:rsidP="003E31B3">
      <w:pPr>
        <w:pStyle w:val="ListParagraph"/>
        <w:numPr>
          <w:ilvl w:val="0"/>
          <w:numId w:val="28"/>
        </w:numPr>
        <w:spacing w:before="120" w:after="0" w:line="240" w:lineRule="auto"/>
      </w:pPr>
      <w:r>
        <w:t xml:space="preserve">A whole-of-river-system approach, with appropriate planting is necessary, </w:t>
      </w:r>
      <w:r w:rsidRPr="00B5102F">
        <w:t>as opposed to piecemeal river modifications.</w:t>
      </w:r>
    </w:p>
    <w:p w:rsidR="003E31B3" w:rsidRDefault="000018C8" w:rsidP="003E31B3">
      <w:pPr>
        <w:pStyle w:val="ListParagraph"/>
        <w:numPr>
          <w:ilvl w:val="0"/>
          <w:numId w:val="28"/>
        </w:numPr>
        <w:spacing w:before="120" w:after="160" w:line="259" w:lineRule="auto"/>
      </w:pPr>
      <w:r>
        <w:t xml:space="preserve">We need to be </w:t>
      </w:r>
      <w:r w:rsidRPr="00B5102F">
        <w:t>environmental</w:t>
      </w:r>
      <w:r>
        <w:t>ly</w:t>
      </w:r>
      <w:r w:rsidRPr="00B5102F">
        <w:t xml:space="preserve"> responsible</w:t>
      </w:r>
      <w:r>
        <w:t>. This will</w:t>
      </w:r>
      <w:r w:rsidRPr="00B5102F">
        <w:t xml:space="preserve"> have positive outcomes and benefits to communities.</w:t>
      </w:r>
    </w:p>
    <w:p w:rsidR="003E31B3" w:rsidRPr="00175760" w:rsidRDefault="003E31B3" w:rsidP="003E31B3">
      <w:pPr>
        <w:pStyle w:val="Heading2"/>
        <w:rPr>
          <w:rFonts w:hint="eastAsia"/>
          <w:color w:val="0D0D0D" w:themeColor="text1" w:themeTint="F2"/>
        </w:rPr>
      </w:pPr>
      <w:r w:rsidRPr="00175760">
        <w:rPr>
          <w:color w:val="0D0D0D" w:themeColor="text1" w:themeTint="F2"/>
        </w:rPr>
        <w:t xml:space="preserve">Place </w:t>
      </w:r>
      <w:r w:rsidR="00147808">
        <w:rPr>
          <w:color w:val="0D0D0D" w:themeColor="text1" w:themeTint="F2"/>
        </w:rPr>
        <w:t>-</w:t>
      </w:r>
      <w:r w:rsidRPr="00175760">
        <w:rPr>
          <w:color w:val="0D0D0D" w:themeColor="text1" w:themeTint="F2"/>
        </w:rPr>
        <w:t xml:space="preserve"> Activity and Character</w:t>
      </w:r>
    </w:p>
    <w:tbl>
      <w:tblPr>
        <w:tblStyle w:val="TableGrid"/>
        <w:tblW w:w="0" w:type="auto"/>
        <w:tblLook w:val="04A0" w:firstRow="1" w:lastRow="0" w:firstColumn="1" w:lastColumn="0" w:noHBand="0" w:noVBand="1"/>
      </w:tblPr>
      <w:tblGrid>
        <w:gridCol w:w="5586"/>
        <w:gridCol w:w="1417"/>
        <w:gridCol w:w="1418"/>
        <w:gridCol w:w="1472"/>
      </w:tblGrid>
      <w:tr w:rsidR="00DC319F" w:rsidTr="00DC319F">
        <w:tc>
          <w:tcPr>
            <w:tcW w:w="5586" w:type="dxa"/>
          </w:tcPr>
          <w:p w:rsidR="00DC319F" w:rsidRPr="0085741C" w:rsidRDefault="00DC319F" w:rsidP="000018C8">
            <w:pPr>
              <w:spacing w:after="160" w:line="259" w:lineRule="auto"/>
              <w:rPr>
                <w:color w:val="0D0D0D" w:themeColor="text1" w:themeTint="F2"/>
              </w:rPr>
            </w:pPr>
            <w:r w:rsidRPr="0085741C">
              <w:rPr>
                <w:bCs/>
                <w:color w:val="0D0D0D" w:themeColor="text1" w:themeTint="F2"/>
                <w:lang w:val="en-NZ"/>
              </w:rPr>
              <w:t xml:space="preserve">Place </w:t>
            </w:r>
            <w:r w:rsidRPr="0085741C">
              <w:rPr>
                <w:rFonts w:ascii="Calibri" w:hAnsi="Calibri" w:cs="Calibri"/>
                <w:bCs/>
                <w:color w:val="0D0D0D" w:themeColor="text1" w:themeTint="F2"/>
                <w:lang w:val="en-NZ"/>
              </w:rPr>
              <w:t>–</w:t>
            </w:r>
            <w:r w:rsidRPr="0085741C">
              <w:rPr>
                <w:bCs/>
                <w:color w:val="0D0D0D" w:themeColor="text1" w:themeTint="F2"/>
                <w:lang w:val="en-NZ"/>
              </w:rPr>
              <w:t xml:space="preserve"> P1 Inviting: Prioritise </w:t>
            </w:r>
            <w:proofErr w:type="spellStart"/>
            <w:r w:rsidRPr="0085741C">
              <w:rPr>
                <w:bCs/>
                <w:color w:val="0D0D0D" w:themeColor="text1" w:themeTint="F2"/>
                <w:lang w:val="en-NZ"/>
              </w:rPr>
              <w:t>Northbank</w:t>
            </w:r>
            <w:proofErr w:type="spellEnd"/>
            <w:r w:rsidRPr="0085741C">
              <w:rPr>
                <w:bCs/>
                <w:color w:val="0D0D0D" w:themeColor="text1" w:themeTint="F2"/>
                <w:lang w:val="en-NZ"/>
              </w:rPr>
              <w:t xml:space="preserve"> renewal to create an inviting backdrop to the City.</w:t>
            </w:r>
          </w:p>
        </w:tc>
        <w:tc>
          <w:tcPr>
            <w:tcW w:w="1417" w:type="dxa"/>
          </w:tcPr>
          <w:p w:rsidR="00DC319F" w:rsidRDefault="00DC319F" w:rsidP="000018C8">
            <w:pPr>
              <w:spacing w:after="160" w:line="259" w:lineRule="auto"/>
            </w:pPr>
            <w:r>
              <w:t>57% Strongly Agree</w:t>
            </w:r>
          </w:p>
        </w:tc>
        <w:tc>
          <w:tcPr>
            <w:tcW w:w="1418" w:type="dxa"/>
          </w:tcPr>
          <w:p w:rsidR="00DC319F" w:rsidRDefault="00DC319F" w:rsidP="000018C8">
            <w:pPr>
              <w:spacing w:after="160" w:line="259" w:lineRule="auto"/>
            </w:pPr>
            <w:r>
              <w:t>41% Agree</w:t>
            </w:r>
          </w:p>
        </w:tc>
        <w:tc>
          <w:tcPr>
            <w:tcW w:w="1472" w:type="dxa"/>
          </w:tcPr>
          <w:p w:rsidR="00DC319F" w:rsidRDefault="00DC319F" w:rsidP="000018C8">
            <w:pPr>
              <w:spacing w:after="160" w:line="259" w:lineRule="auto"/>
            </w:pPr>
            <w:r>
              <w:t>2% Disagree</w:t>
            </w:r>
          </w:p>
        </w:tc>
      </w:tr>
      <w:tr w:rsidR="00DC319F" w:rsidTr="00DC319F">
        <w:tc>
          <w:tcPr>
            <w:tcW w:w="5586" w:type="dxa"/>
          </w:tcPr>
          <w:p w:rsidR="00DC319F" w:rsidRPr="0085741C" w:rsidRDefault="00DC319F" w:rsidP="000018C8">
            <w:pPr>
              <w:spacing w:after="160" w:line="259" w:lineRule="auto"/>
              <w:rPr>
                <w:color w:val="0D0D0D" w:themeColor="text1" w:themeTint="F2"/>
              </w:rPr>
            </w:pPr>
            <w:r w:rsidRPr="0085741C">
              <w:rPr>
                <w:bCs/>
                <w:color w:val="0D0D0D" w:themeColor="text1" w:themeTint="F2"/>
                <w:lang w:val="en-NZ"/>
              </w:rPr>
              <w:t xml:space="preserve">Place </w:t>
            </w:r>
            <w:r w:rsidRPr="0085741C">
              <w:rPr>
                <w:rFonts w:ascii="Calibri" w:hAnsi="Calibri" w:cs="Calibri"/>
                <w:bCs/>
                <w:color w:val="0D0D0D" w:themeColor="text1" w:themeTint="F2"/>
                <w:lang w:val="en-NZ"/>
              </w:rPr>
              <w:t>–</w:t>
            </w:r>
            <w:r w:rsidRPr="0085741C">
              <w:rPr>
                <w:bCs/>
                <w:color w:val="0D0D0D" w:themeColor="text1" w:themeTint="F2"/>
                <w:lang w:val="en-NZ"/>
              </w:rPr>
              <w:t xml:space="preserve"> P2 Multi-functional: Celebrate character areas and encourage new economies: a range of civic, educational, cultural, hospitality and water-dependant uses.</w:t>
            </w:r>
          </w:p>
        </w:tc>
        <w:tc>
          <w:tcPr>
            <w:tcW w:w="1417" w:type="dxa"/>
          </w:tcPr>
          <w:p w:rsidR="00DC319F" w:rsidRDefault="00DC319F" w:rsidP="000018C8">
            <w:pPr>
              <w:spacing w:after="160" w:line="259" w:lineRule="auto"/>
            </w:pPr>
            <w:r>
              <w:t>69% Strongly Agree</w:t>
            </w:r>
          </w:p>
        </w:tc>
        <w:tc>
          <w:tcPr>
            <w:tcW w:w="1418" w:type="dxa"/>
          </w:tcPr>
          <w:p w:rsidR="00DC319F" w:rsidRDefault="00DC319F" w:rsidP="00DC319F">
            <w:pPr>
              <w:spacing w:after="160" w:line="259" w:lineRule="auto"/>
            </w:pPr>
            <w:r>
              <w:t>26% Agree</w:t>
            </w:r>
          </w:p>
        </w:tc>
        <w:tc>
          <w:tcPr>
            <w:tcW w:w="1472" w:type="dxa"/>
          </w:tcPr>
          <w:p w:rsidR="00DC319F" w:rsidRDefault="00DC319F" w:rsidP="000018C8">
            <w:pPr>
              <w:spacing w:after="160" w:line="259" w:lineRule="auto"/>
            </w:pPr>
            <w:r>
              <w:t>5% Disagree</w:t>
            </w:r>
          </w:p>
        </w:tc>
      </w:tr>
      <w:tr w:rsidR="00DC319F" w:rsidTr="00DC319F">
        <w:tc>
          <w:tcPr>
            <w:tcW w:w="5586" w:type="dxa"/>
          </w:tcPr>
          <w:p w:rsidR="00DC319F" w:rsidRPr="0085741C" w:rsidRDefault="00DC319F" w:rsidP="000018C8">
            <w:pPr>
              <w:spacing w:after="160" w:line="259" w:lineRule="auto"/>
              <w:rPr>
                <w:color w:val="0D0D0D" w:themeColor="text1" w:themeTint="F2"/>
              </w:rPr>
            </w:pPr>
            <w:r w:rsidRPr="0085741C">
              <w:rPr>
                <w:bCs/>
                <w:color w:val="0D0D0D" w:themeColor="text1" w:themeTint="F2"/>
                <w:lang w:val="en-NZ"/>
              </w:rPr>
              <w:t xml:space="preserve">Place </w:t>
            </w:r>
            <w:r w:rsidRPr="0085741C">
              <w:rPr>
                <w:rFonts w:ascii="Calibri" w:hAnsi="Calibri" w:cs="Calibri"/>
                <w:bCs/>
                <w:color w:val="0D0D0D" w:themeColor="text1" w:themeTint="F2"/>
                <w:lang w:val="en-NZ"/>
              </w:rPr>
              <w:t>–</w:t>
            </w:r>
            <w:r w:rsidRPr="0085741C">
              <w:rPr>
                <w:bCs/>
                <w:color w:val="0D0D0D" w:themeColor="text1" w:themeTint="F2"/>
                <w:lang w:val="en-NZ"/>
              </w:rPr>
              <w:t xml:space="preserve"> P3 Public: Sustain the civic focus by encouraging activation that offers broader inclusion and supports a public waterfront.</w:t>
            </w:r>
          </w:p>
        </w:tc>
        <w:tc>
          <w:tcPr>
            <w:tcW w:w="1417" w:type="dxa"/>
          </w:tcPr>
          <w:p w:rsidR="00DC319F" w:rsidRDefault="00DC319F" w:rsidP="000018C8">
            <w:pPr>
              <w:spacing w:after="160" w:line="259" w:lineRule="auto"/>
            </w:pPr>
            <w:r>
              <w:t>54% Strongly Agree</w:t>
            </w:r>
          </w:p>
        </w:tc>
        <w:tc>
          <w:tcPr>
            <w:tcW w:w="1418" w:type="dxa"/>
          </w:tcPr>
          <w:p w:rsidR="00DC319F" w:rsidRDefault="00DC319F" w:rsidP="00DC319F">
            <w:pPr>
              <w:spacing w:after="160" w:line="259" w:lineRule="auto"/>
            </w:pPr>
            <w:r>
              <w:t>36% Agree</w:t>
            </w:r>
          </w:p>
        </w:tc>
        <w:tc>
          <w:tcPr>
            <w:tcW w:w="1472" w:type="dxa"/>
          </w:tcPr>
          <w:p w:rsidR="00DC319F" w:rsidRDefault="00DC319F" w:rsidP="000018C8">
            <w:pPr>
              <w:spacing w:after="160" w:line="259" w:lineRule="auto"/>
            </w:pPr>
            <w:r>
              <w:t>10% Disagree</w:t>
            </w:r>
          </w:p>
        </w:tc>
      </w:tr>
      <w:tr w:rsidR="00DC319F" w:rsidTr="00DC319F">
        <w:tc>
          <w:tcPr>
            <w:tcW w:w="5586" w:type="dxa"/>
          </w:tcPr>
          <w:p w:rsidR="00DC319F" w:rsidRPr="0085741C" w:rsidRDefault="00DC319F" w:rsidP="000018C8">
            <w:pPr>
              <w:spacing w:after="160" w:line="259" w:lineRule="auto"/>
              <w:rPr>
                <w:color w:val="0D0D0D" w:themeColor="text1" w:themeTint="F2"/>
              </w:rPr>
            </w:pPr>
            <w:r w:rsidRPr="0085741C">
              <w:rPr>
                <w:bCs/>
                <w:color w:val="0D0D0D" w:themeColor="text1" w:themeTint="F2"/>
                <w:lang w:val="en-NZ"/>
              </w:rPr>
              <w:t xml:space="preserve">Place </w:t>
            </w:r>
            <w:r w:rsidRPr="0085741C">
              <w:rPr>
                <w:rFonts w:ascii="Calibri" w:hAnsi="Calibri" w:cs="Calibri"/>
                <w:bCs/>
                <w:color w:val="0D0D0D" w:themeColor="text1" w:themeTint="F2"/>
                <w:lang w:val="en-NZ"/>
              </w:rPr>
              <w:t>–</w:t>
            </w:r>
            <w:r w:rsidRPr="0085741C">
              <w:rPr>
                <w:bCs/>
                <w:color w:val="0D0D0D" w:themeColor="text1" w:themeTint="F2"/>
                <w:lang w:val="en-NZ"/>
              </w:rPr>
              <w:t xml:space="preserve"> P4 Legible: Rationalise clutter and on-water infrastructure to ensure unobstructed vistas and views.</w:t>
            </w:r>
          </w:p>
        </w:tc>
        <w:tc>
          <w:tcPr>
            <w:tcW w:w="1417" w:type="dxa"/>
          </w:tcPr>
          <w:p w:rsidR="00DC319F" w:rsidRDefault="00DC319F" w:rsidP="000018C8">
            <w:pPr>
              <w:spacing w:after="160" w:line="259" w:lineRule="auto"/>
            </w:pPr>
            <w:r>
              <w:t>60% Strongly Agree</w:t>
            </w:r>
          </w:p>
        </w:tc>
        <w:tc>
          <w:tcPr>
            <w:tcW w:w="1418" w:type="dxa"/>
          </w:tcPr>
          <w:p w:rsidR="00DC319F" w:rsidRDefault="00DC319F" w:rsidP="00DC319F">
            <w:pPr>
              <w:spacing w:after="160" w:line="259" w:lineRule="auto"/>
            </w:pPr>
            <w:r>
              <w:t>37% Agree</w:t>
            </w:r>
          </w:p>
        </w:tc>
        <w:tc>
          <w:tcPr>
            <w:tcW w:w="1472" w:type="dxa"/>
          </w:tcPr>
          <w:p w:rsidR="00DC319F" w:rsidRDefault="00DC319F" w:rsidP="00DC319F">
            <w:pPr>
              <w:spacing w:after="160" w:line="259" w:lineRule="auto"/>
            </w:pPr>
            <w:r>
              <w:t>4% Disagree</w:t>
            </w:r>
          </w:p>
        </w:tc>
      </w:tr>
    </w:tbl>
    <w:p w:rsidR="000018C8" w:rsidRDefault="000018C8" w:rsidP="000018C8">
      <w:pPr>
        <w:pStyle w:val="Heading3"/>
        <w:rPr>
          <w:rFonts w:hint="eastAsia"/>
        </w:rPr>
      </w:pPr>
      <w:r w:rsidRPr="008963F5">
        <w:t>You said:</w:t>
      </w:r>
    </w:p>
    <w:p w:rsidR="00FD1D1A" w:rsidRPr="00FD1D1A" w:rsidRDefault="00FD1D1A" w:rsidP="00FD1D1A">
      <w:pPr>
        <w:rPr>
          <w:lang w:val="en-US"/>
        </w:rPr>
      </w:pPr>
      <w:r>
        <w:rPr>
          <w:lang w:val="en-US"/>
        </w:rPr>
        <w:t>“The river is important to Melbourne and anything to enhance it – and the public’s use of the river and waterfront – are to be encouraged.”</w:t>
      </w:r>
    </w:p>
    <w:p w:rsidR="000018C8" w:rsidRPr="00C70794" w:rsidRDefault="000018C8" w:rsidP="000018C8">
      <w:pPr>
        <w:pStyle w:val="Heading3"/>
        <w:rPr>
          <w:rFonts w:hint="eastAsia"/>
        </w:rPr>
      </w:pPr>
      <w:r w:rsidRPr="00C70794">
        <w:t>We</w:t>
      </w:r>
      <w:r w:rsidRPr="00C70794">
        <w:rPr>
          <w:rStyle w:val="Heading4Char"/>
          <w:sz w:val="24"/>
          <w:szCs w:val="24"/>
        </w:rPr>
        <w:t xml:space="preserve"> heard</w:t>
      </w:r>
      <w:r w:rsidRPr="00C70794">
        <w:t>:</w:t>
      </w:r>
    </w:p>
    <w:p w:rsidR="000018C8" w:rsidRPr="00B5102F" w:rsidRDefault="000018C8" w:rsidP="00FD1D1A">
      <w:pPr>
        <w:pStyle w:val="ListParagraph"/>
        <w:numPr>
          <w:ilvl w:val="0"/>
          <w:numId w:val="29"/>
        </w:numPr>
        <w:spacing w:before="120" w:after="0" w:line="240" w:lineRule="auto"/>
      </w:pPr>
      <w:r>
        <w:t xml:space="preserve">It would be good if the </w:t>
      </w:r>
      <w:r w:rsidRPr="00B5102F">
        <w:t xml:space="preserve">river developments </w:t>
      </w:r>
      <w:r>
        <w:t>included a new public swimming pool</w:t>
      </w:r>
      <w:r w:rsidRPr="00B5102F">
        <w:t>.</w:t>
      </w:r>
    </w:p>
    <w:p w:rsidR="000018C8" w:rsidRPr="00B5102F" w:rsidRDefault="000018C8" w:rsidP="00FD1D1A">
      <w:pPr>
        <w:pStyle w:val="ListParagraph"/>
        <w:numPr>
          <w:ilvl w:val="0"/>
          <w:numId w:val="29"/>
        </w:numPr>
        <w:spacing w:before="120" w:after="0" w:line="240" w:lineRule="auto"/>
      </w:pPr>
      <w:r>
        <w:t>T</w:t>
      </w:r>
      <w:r w:rsidRPr="00B5102F">
        <w:t xml:space="preserve">he river </w:t>
      </w:r>
      <w:r>
        <w:t xml:space="preserve">should be </w:t>
      </w:r>
      <w:r w:rsidRPr="00B5102F">
        <w:t xml:space="preserve">the setting for a wide range of uses and activities, </w:t>
      </w:r>
      <w:r>
        <w:t>but especially for active and passive recreation.</w:t>
      </w:r>
    </w:p>
    <w:p w:rsidR="000018C8" w:rsidRPr="00B5102F" w:rsidRDefault="000018C8" w:rsidP="00FD1D1A">
      <w:pPr>
        <w:pStyle w:val="ListParagraph"/>
        <w:numPr>
          <w:ilvl w:val="0"/>
          <w:numId w:val="29"/>
        </w:numPr>
        <w:spacing w:before="120" w:after="0" w:line="240" w:lineRule="auto"/>
      </w:pPr>
      <w:r>
        <w:t xml:space="preserve">Water pollution, litter, graffiti and other issues need to be addressed as they </w:t>
      </w:r>
      <w:r w:rsidRPr="00B5102F">
        <w:t xml:space="preserve">detract from </w:t>
      </w:r>
      <w:r>
        <w:t xml:space="preserve">the river’s </w:t>
      </w:r>
      <w:r w:rsidRPr="00B5102F">
        <w:t>natural amenity value.</w:t>
      </w:r>
    </w:p>
    <w:p w:rsidR="000018C8" w:rsidRDefault="000018C8" w:rsidP="00175760">
      <w:pPr>
        <w:pStyle w:val="ListParagraph"/>
        <w:numPr>
          <w:ilvl w:val="0"/>
          <w:numId w:val="29"/>
        </w:numPr>
        <w:spacing w:before="120" w:after="0" w:line="240" w:lineRule="auto"/>
      </w:pPr>
      <w:r w:rsidRPr="00B5102F">
        <w:t xml:space="preserve">The river </w:t>
      </w:r>
      <w:r>
        <w:t>ought to be an</w:t>
      </w:r>
      <w:r w:rsidRPr="00B5102F">
        <w:t xml:space="preserve"> attractive and inviting </w:t>
      </w:r>
      <w:r>
        <w:t>destination for visitors.</w:t>
      </w:r>
      <w:bookmarkStart w:id="8" w:name="_Toc9933703"/>
    </w:p>
    <w:p w:rsidR="00850748" w:rsidRDefault="00850748" w:rsidP="00FD1D1A">
      <w:pPr>
        <w:pStyle w:val="Heading2"/>
        <w:rPr>
          <w:rFonts w:hint="eastAsia"/>
          <w:color w:val="0D0D0D" w:themeColor="text1" w:themeTint="F2"/>
        </w:rPr>
      </w:pPr>
      <w:bookmarkStart w:id="9" w:name="_Toc16158978"/>
      <w:bookmarkEnd w:id="8"/>
    </w:p>
    <w:p w:rsidR="00850748" w:rsidRDefault="00850748" w:rsidP="00FD1D1A">
      <w:pPr>
        <w:pStyle w:val="Heading2"/>
        <w:rPr>
          <w:rFonts w:hint="eastAsia"/>
          <w:color w:val="0D0D0D" w:themeColor="text1" w:themeTint="F2"/>
        </w:rPr>
      </w:pPr>
    </w:p>
    <w:p w:rsidR="00175760" w:rsidRPr="00175760" w:rsidRDefault="00FD1D1A" w:rsidP="00FD1D1A">
      <w:pPr>
        <w:pStyle w:val="Heading2"/>
        <w:rPr>
          <w:rFonts w:hint="eastAsia"/>
          <w:color w:val="0D0D0D" w:themeColor="text1" w:themeTint="F2"/>
        </w:rPr>
      </w:pPr>
      <w:r w:rsidRPr="00175760">
        <w:rPr>
          <w:color w:val="0D0D0D" w:themeColor="text1" w:themeTint="F2"/>
        </w:rPr>
        <w:t xml:space="preserve">Movement </w:t>
      </w:r>
      <w:r w:rsidR="00147808">
        <w:rPr>
          <w:color w:val="0D0D0D" w:themeColor="text1" w:themeTint="F2"/>
        </w:rPr>
        <w:t>-</w:t>
      </w:r>
      <w:r w:rsidRPr="00175760">
        <w:rPr>
          <w:color w:val="0D0D0D" w:themeColor="text1" w:themeTint="F2"/>
        </w:rPr>
        <w:t xml:space="preserve"> Journey and Connection</w:t>
      </w:r>
    </w:p>
    <w:tbl>
      <w:tblPr>
        <w:tblStyle w:val="TableGrid"/>
        <w:tblW w:w="0" w:type="auto"/>
        <w:tblLook w:val="04A0" w:firstRow="1" w:lastRow="0" w:firstColumn="1" w:lastColumn="0" w:noHBand="0" w:noVBand="1"/>
      </w:tblPr>
      <w:tblGrid>
        <w:gridCol w:w="5586"/>
        <w:gridCol w:w="1417"/>
        <w:gridCol w:w="1418"/>
        <w:gridCol w:w="1472"/>
      </w:tblGrid>
      <w:tr w:rsidR="00175760" w:rsidTr="00175760">
        <w:tc>
          <w:tcPr>
            <w:tcW w:w="5586" w:type="dxa"/>
          </w:tcPr>
          <w:p w:rsidR="00175760" w:rsidRPr="00175760" w:rsidRDefault="00175760" w:rsidP="00FD1D1A">
            <w:pPr>
              <w:pStyle w:val="Heading2"/>
              <w:outlineLvl w:val="1"/>
              <w:rPr>
                <w:rFonts w:ascii="Arial" w:eastAsia="Cambria" w:hAnsi="Arial" w:cs="Arial"/>
                <w:color w:val="0D0D0D" w:themeColor="text1" w:themeTint="F2"/>
                <w:sz w:val="20"/>
                <w:szCs w:val="20"/>
                <w:lang w:val="en-NZ"/>
              </w:rPr>
            </w:pPr>
            <w:r w:rsidRPr="00175760">
              <w:rPr>
                <w:rFonts w:ascii="Arial" w:eastAsia="Cambria" w:hAnsi="Arial" w:cs="Arial"/>
                <w:color w:val="0D0D0D" w:themeColor="text1" w:themeTint="F2"/>
                <w:sz w:val="20"/>
                <w:szCs w:val="20"/>
                <w:lang w:val="en-NZ"/>
              </w:rPr>
              <w:t>Movement Theme – M1 Slow: Distinguish the river by creating safe, alternative north and south bicycle routes.</w:t>
            </w:r>
          </w:p>
        </w:tc>
        <w:tc>
          <w:tcPr>
            <w:tcW w:w="1417" w:type="dxa"/>
          </w:tcPr>
          <w:p w:rsidR="00175760" w:rsidRPr="00175760" w:rsidRDefault="00175760" w:rsidP="00FD1D1A">
            <w:pPr>
              <w:pStyle w:val="Heading2"/>
              <w:outlineLvl w:val="1"/>
              <w:rPr>
                <w:rFonts w:ascii="Arial" w:hAnsi="Arial" w:cs="Arial"/>
                <w:sz w:val="20"/>
                <w:szCs w:val="20"/>
              </w:rPr>
            </w:pPr>
            <w:r w:rsidRPr="00175760">
              <w:rPr>
                <w:rFonts w:ascii="Arial" w:hAnsi="Arial" w:cs="Arial"/>
                <w:sz w:val="20"/>
                <w:szCs w:val="20"/>
              </w:rPr>
              <w:t>62% Strongly Agree</w:t>
            </w:r>
          </w:p>
        </w:tc>
        <w:tc>
          <w:tcPr>
            <w:tcW w:w="1418" w:type="dxa"/>
          </w:tcPr>
          <w:p w:rsidR="00175760" w:rsidRPr="00175760" w:rsidRDefault="00175760" w:rsidP="00FD1D1A">
            <w:pPr>
              <w:pStyle w:val="Heading2"/>
              <w:outlineLvl w:val="1"/>
              <w:rPr>
                <w:rFonts w:ascii="Arial" w:hAnsi="Arial" w:cs="Arial"/>
                <w:sz w:val="20"/>
                <w:szCs w:val="20"/>
              </w:rPr>
            </w:pPr>
            <w:r>
              <w:rPr>
                <w:rFonts w:ascii="Arial" w:hAnsi="Arial" w:cs="Arial"/>
                <w:sz w:val="20"/>
                <w:szCs w:val="20"/>
              </w:rPr>
              <w:t>27% Agree</w:t>
            </w:r>
          </w:p>
        </w:tc>
        <w:tc>
          <w:tcPr>
            <w:tcW w:w="1472" w:type="dxa"/>
          </w:tcPr>
          <w:p w:rsidR="00175760" w:rsidRPr="00175760" w:rsidRDefault="00175760" w:rsidP="00FD1D1A">
            <w:pPr>
              <w:pStyle w:val="Heading2"/>
              <w:outlineLvl w:val="1"/>
              <w:rPr>
                <w:rFonts w:ascii="Arial" w:hAnsi="Arial" w:cs="Arial"/>
                <w:sz w:val="20"/>
                <w:szCs w:val="20"/>
              </w:rPr>
            </w:pPr>
            <w:r>
              <w:rPr>
                <w:rFonts w:ascii="Arial" w:hAnsi="Arial" w:cs="Arial"/>
                <w:sz w:val="20"/>
                <w:szCs w:val="20"/>
              </w:rPr>
              <w:t>11% Disagree</w:t>
            </w:r>
          </w:p>
        </w:tc>
      </w:tr>
      <w:tr w:rsidR="00175760" w:rsidTr="00175760">
        <w:tc>
          <w:tcPr>
            <w:tcW w:w="5586" w:type="dxa"/>
          </w:tcPr>
          <w:p w:rsidR="00175760" w:rsidRPr="00175760" w:rsidRDefault="00175760" w:rsidP="00FD1D1A">
            <w:pPr>
              <w:pStyle w:val="Heading2"/>
              <w:outlineLvl w:val="1"/>
              <w:rPr>
                <w:rFonts w:ascii="Arial" w:eastAsia="Cambria" w:hAnsi="Arial" w:cs="Arial"/>
                <w:color w:val="0D0D0D" w:themeColor="text1" w:themeTint="F2"/>
                <w:sz w:val="20"/>
                <w:szCs w:val="20"/>
                <w:lang w:val="en-NZ"/>
              </w:rPr>
            </w:pPr>
            <w:r w:rsidRPr="00175760">
              <w:rPr>
                <w:rFonts w:ascii="Arial" w:eastAsia="Cambria" w:hAnsi="Arial" w:cs="Arial"/>
                <w:color w:val="0D0D0D" w:themeColor="text1" w:themeTint="F2"/>
                <w:sz w:val="20"/>
                <w:szCs w:val="20"/>
                <w:lang w:val="en-NZ"/>
              </w:rPr>
              <w:t>Movement Theme – M2 Integrated: Transform the condition of key ‘barriers’ to address the gaps to the north-west and integrate access.</w:t>
            </w:r>
          </w:p>
        </w:tc>
        <w:tc>
          <w:tcPr>
            <w:tcW w:w="1417" w:type="dxa"/>
          </w:tcPr>
          <w:p w:rsidR="00175760" w:rsidRPr="00175760" w:rsidRDefault="00175760" w:rsidP="00FD1D1A">
            <w:pPr>
              <w:pStyle w:val="Heading2"/>
              <w:outlineLvl w:val="1"/>
              <w:rPr>
                <w:rFonts w:ascii="Arial" w:hAnsi="Arial" w:cs="Arial"/>
                <w:sz w:val="20"/>
                <w:szCs w:val="20"/>
              </w:rPr>
            </w:pPr>
            <w:r>
              <w:rPr>
                <w:rFonts w:ascii="Arial" w:hAnsi="Arial" w:cs="Arial"/>
                <w:sz w:val="20"/>
                <w:szCs w:val="20"/>
              </w:rPr>
              <w:t>62% Strongly Agree</w:t>
            </w:r>
          </w:p>
        </w:tc>
        <w:tc>
          <w:tcPr>
            <w:tcW w:w="1418" w:type="dxa"/>
          </w:tcPr>
          <w:p w:rsidR="00175760" w:rsidRPr="00175760" w:rsidRDefault="00175760" w:rsidP="00FD1D1A">
            <w:pPr>
              <w:pStyle w:val="Heading2"/>
              <w:outlineLvl w:val="1"/>
              <w:rPr>
                <w:rFonts w:ascii="Arial" w:hAnsi="Arial" w:cs="Arial"/>
                <w:sz w:val="20"/>
                <w:szCs w:val="20"/>
              </w:rPr>
            </w:pPr>
            <w:r>
              <w:rPr>
                <w:rFonts w:ascii="Arial" w:hAnsi="Arial" w:cs="Arial"/>
                <w:sz w:val="20"/>
                <w:szCs w:val="20"/>
              </w:rPr>
              <w:t>37% Agree</w:t>
            </w:r>
          </w:p>
        </w:tc>
        <w:tc>
          <w:tcPr>
            <w:tcW w:w="1472" w:type="dxa"/>
          </w:tcPr>
          <w:p w:rsidR="00175760" w:rsidRPr="00175760" w:rsidRDefault="00175760" w:rsidP="00FD1D1A">
            <w:pPr>
              <w:pStyle w:val="Heading2"/>
              <w:outlineLvl w:val="1"/>
              <w:rPr>
                <w:rFonts w:ascii="Arial" w:hAnsi="Arial" w:cs="Arial"/>
                <w:sz w:val="20"/>
                <w:szCs w:val="20"/>
              </w:rPr>
            </w:pPr>
            <w:r>
              <w:rPr>
                <w:rFonts w:ascii="Arial" w:hAnsi="Arial" w:cs="Arial"/>
                <w:sz w:val="20"/>
                <w:szCs w:val="20"/>
              </w:rPr>
              <w:t>1% Disagree</w:t>
            </w:r>
          </w:p>
        </w:tc>
      </w:tr>
      <w:tr w:rsidR="00175760" w:rsidTr="00175760">
        <w:tc>
          <w:tcPr>
            <w:tcW w:w="5586" w:type="dxa"/>
          </w:tcPr>
          <w:p w:rsidR="00175760" w:rsidRPr="00175760" w:rsidRDefault="00175760" w:rsidP="00FD1D1A">
            <w:pPr>
              <w:pStyle w:val="Heading2"/>
              <w:outlineLvl w:val="1"/>
              <w:rPr>
                <w:rFonts w:ascii="Arial" w:eastAsia="Cambria" w:hAnsi="Arial" w:cs="Arial"/>
                <w:color w:val="0D0D0D" w:themeColor="text1" w:themeTint="F2"/>
                <w:sz w:val="20"/>
                <w:szCs w:val="20"/>
                <w:lang w:val="en-NZ"/>
              </w:rPr>
            </w:pPr>
            <w:r w:rsidRPr="00175760">
              <w:rPr>
                <w:rFonts w:ascii="Arial" w:eastAsia="Cambria" w:hAnsi="Arial" w:cs="Arial"/>
                <w:color w:val="0D0D0D" w:themeColor="text1" w:themeTint="F2"/>
                <w:sz w:val="20"/>
                <w:szCs w:val="20"/>
                <w:lang w:val="en-NZ"/>
              </w:rPr>
              <w:t>Movement – M3 Accessible: Raise the quality and universal accessibility of riverfront pathways</w:t>
            </w:r>
          </w:p>
        </w:tc>
        <w:tc>
          <w:tcPr>
            <w:tcW w:w="1417" w:type="dxa"/>
          </w:tcPr>
          <w:p w:rsidR="00175760" w:rsidRPr="00175760" w:rsidRDefault="00175760" w:rsidP="00FD1D1A">
            <w:pPr>
              <w:pStyle w:val="Heading2"/>
              <w:outlineLvl w:val="1"/>
              <w:rPr>
                <w:rFonts w:ascii="Arial" w:hAnsi="Arial" w:cs="Arial"/>
                <w:sz w:val="20"/>
                <w:szCs w:val="20"/>
              </w:rPr>
            </w:pPr>
            <w:r>
              <w:rPr>
                <w:rFonts w:ascii="Arial" w:hAnsi="Arial" w:cs="Arial"/>
                <w:sz w:val="20"/>
                <w:szCs w:val="20"/>
              </w:rPr>
              <w:t>64% Strongly Agree</w:t>
            </w:r>
          </w:p>
        </w:tc>
        <w:tc>
          <w:tcPr>
            <w:tcW w:w="1418" w:type="dxa"/>
          </w:tcPr>
          <w:p w:rsidR="00175760" w:rsidRPr="00175760" w:rsidRDefault="00175760" w:rsidP="00FD1D1A">
            <w:pPr>
              <w:pStyle w:val="Heading2"/>
              <w:outlineLvl w:val="1"/>
              <w:rPr>
                <w:rFonts w:ascii="Arial" w:hAnsi="Arial" w:cs="Arial"/>
                <w:sz w:val="20"/>
                <w:szCs w:val="20"/>
              </w:rPr>
            </w:pPr>
            <w:r>
              <w:rPr>
                <w:rFonts w:ascii="Arial" w:hAnsi="Arial" w:cs="Arial"/>
                <w:sz w:val="20"/>
                <w:szCs w:val="20"/>
              </w:rPr>
              <w:t>33% Agree</w:t>
            </w:r>
          </w:p>
        </w:tc>
        <w:tc>
          <w:tcPr>
            <w:tcW w:w="1472" w:type="dxa"/>
          </w:tcPr>
          <w:p w:rsidR="00175760" w:rsidRPr="00175760" w:rsidRDefault="00175760" w:rsidP="00FD1D1A">
            <w:pPr>
              <w:pStyle w:val="Heading2"/>
              <w:outlineLvl w:val="1"/>
              <w:rPr>
                <w:rFonts w:ascii="Arial" w:hAnsi="Arial" w:cs="Arial"/>
                <w:sz w:val="20"/>
                <w:szCs w:val="20"/>
              </w:rPr>
            </w:pPr>
            <w:r>
              <w:rPr>
                <w:rFonts w:ascii="Arial" w:hAnsi="Arial" w:cs="Arial"/>
                <w:sz w:val="20"/>
                <w:szCs w:val="20"/>
              </w:rPr>
              <w:t>3% Disagree</w:t>
            </w:r>
          </w:p>
        </w:tc>
      </w:tr>
      <w:tr w:rsidR="00175760" w:rsidTr="00175760">
        <w:tc>
          <w:tcPr>
            <w:tcW w:w="5586" w:type="dxa"/>
          </w:tcPr>
          <w:p w:rsidR="00175760" w:rsidRPr="00175760" w:rsidRDefault="00175760" w:rsidP="00FD1D1A">
            <w:pPr>
              <w:pStyle w:val="Heading2"/>
              <w:outlineLvl w:val="1"/>
              <w:rPr>
                <w:rFonts w:ascii="Arial" w:eastAsia="Cambria" w:hAnsi="Arial" w:cs="Arial"/>
                <w:color w:val="0D0D0D" w:themeColor="text1" w:themeTint="F2"/>
                <w:sz w:val="20"/>
                <w:szCs w:val="20"/>
                <w:lang w:val="en-NZ"/>
              </w:rPr>
            </w:pPr>
            <w:r w:rsidRPr="00175760">
              <w:rPr>
                <w:rFonts w:ascii="Arial" w:eastAsia="Cambria" w:hAnsi="Arial" w:cs="Arial"/>
                <w:color w:val="0D0D0D" w:themeColor="text1" w:themeTint="F2"/>
                <w:sz w:val="20"/>
                <w:szCs w:val="20"/>
                <w:lang w:val="en-NZ"/>
              </w:rPr>
              <w:t>Movement – M4 Water transport: Encourage more water-related activity and greater diversity of vessels, particularly more non-motorised crafts.</w:t>
            </w:r>
          </w:p>
        </w:tc>
        <w:tc>
          <w:tcPr>
            <w:tcW w:w="1417" w:type="dxa"/>
          </w:tcPr>
          <w:p w:rsidR="00175760" w:rsidRPr="00175760" w:rsidRDefault="00175760" w:rsidP="00FD1D1A">
            <w:pPr>
              <w:pStyle w:val="Heading2"/>
              <w:outlineLvl w:val="1"/>
              <w:rPr>
                <w:rFonts w:ascii="Arial" w:hAnsi="Arial" w:cs="Arial"/>
                <w:sz w:val="20"/>
                <w:szCs w:val="20"/>
              </w:rPr>
            </w:pPr>
            <w:r>
              <w:rPr>
                <w:rFonts w:ascii="Arial" w:hAnsi="Arial" w:cs="Arial"/>
                <w:sz w:val="20"/>
                <w:szCs w:val="20"/>
              </w:rPr>
              <w:t>52% Strongly Agree</w:t>
            </w:r>
          </w:p>
        </w:tc>
        <w:tc>
          <w:tcPr>
            <w:tcW w:w="1418" w:type="dxa"/>
          </w:tcPr>
          <w:p w:rsidR="00175760" w:rsidRPr="00175760" w:rsidRDefault="00175760" w:rsidP="00FD1D1A">
            <w:pPr>
              <w:pStyle w:val="Heading2"/>
              <w:outlineLvl w:val="1"/>
              <w:rPr>
                <w:rFonts w:ascii="Arial" w:hAnsi="Arial" w:cs="Arial"/>
                <w:sz w:val="20"/>
                <w:szCs w:val="20"/>
              </w:rPr>
            </w:pPr>
            <w:r>
              <w:rPr>
                <w:rFonts w:ascii="Arial" w:hAnsi="Arial" w:cs="Arial"/>
                <w:sz w:val="20"/>
                <w:szCs w:val="20"/>
              </w:rPr>
              <w:t>33% Agree</w:t>
            </w:r>
          </w:p>
        </w:tc>
        <w:tc>
          <w:tcPr>
            <w:tcW w:w="1472" w:type="dxa"/>
          </w:tcPr>
          <w:p w:rsidR="00175760" w:rsidRPr="00175760" w:rsidRDefault="00175760" w:rsidP="00FD1D1A">
            <w:pPr>
              <w:pStyle w:val="Heading2"/>
              <w:outlineLvl w:val="1"/>
              <w:rPr>
                <w:rFonts w:ascii="Arial" w:hAnsi="Arial" w:cs="Arial"/>
                <w:sz w:val="20"/>
                <w:szCs w:val="20"/>
              </w:rPr>
            </w:pPr>
            <w:r>
              <w:rPr>
                <w:rFonts w:ascii="Arial" w:hAnsi="Arial" w:cs="Arial"/>
                <w:sz w:val="20"/>
                <w:szCs w:val="20"/>
              </w:rPr>
              <w:t>14% Disagree</w:t>
            </w:r>
          </w:p>
        </w:tc>
      </w:tr>
    </w:tbl>
    <w:bookmarkEnd w:id="9"/>
    <w:p w:rsidR="000018C8" w:rsidRDefault="000018C8" w:rsidP="000018C8">
      <w:pPr>
        <w:pStyle w:val="Heading3"/>
        <w:rPr>
          <w:rFonts w:hint="eastAsia"/>
        </w:rPr>
      </w:pPr>
      <w:r w:rsidRPr="00366BC6">
        <w:t>You said:</w:t>
      </w:r>
    </w:p>
    <w:p w:rsidR="00FD1D1A" w:rsidRDefault="00FD1D1A" w:rsidP="00FD1D1A">
      <w:pPr>
        <w:rPr>
          <w:lang w:val="en-US"/>
        </w:rPr>
      </w:pPr>
      <w:r>
        <w:rPr>
          <w:lang w:val="en-US"/>
        </w:rPr>
        <w:t>“I have seen a lot of pressure on the area, it has many tourists so would benefit from alternative routes for fast cyclists.”</w:t>
      </w:r>
    </w:p>
    <w:p w:rsidR="000018C8" w:rsidRPr="0063126F" w:rsidRDefault="000018C8" w:rsidP="000018C8">
      <w:pPr>
        <w:pStyle w:val="Heading3"/>
        <w:rPr>
          <w:rFonts w:hint="eastAsia"/>
        </w:rPr>
      </w:pPr>
      <w:r w:rsidRPr="0063126F">
        <w:t>We heard:</w:t>
      </w:r>
    </w:p>
    <w:p w:rsidR="000018C8" w:rsidRPr="00B5102F" w:rsidRDefault="000018C8" w:rsidP="00FD1D1A">
      <w:pPr>
        <w:pStyle w:val="ListParagraph"/>
        <w:numPr>
          <w:ilvl w:val="0"/>
          <w:numId w:val="30"/>
        </w:numPr>
        <w:spacing w:before="120" w:after="0" w:line="240" w:lineRule="auto"/>
        <w:ind w:left="284" w:hanging="284"/>
      </w:pPr>
      <w:r>
        <w:t>W</w:t>
      </w:r>
      <w:r w:rsidRPr="00B5102F">
        <w:t xml:space="preserve">alking and cycling </w:t>
      </w:r>
      <w:r>
        <w:t xml:space="preserve">should </w:t>
      </w:r>
      <w:r w:rsidRPr="00B5102F">
        <w:t xml:space="preserve">be encouraged; however, the current state of shared paths </w:t>
      </w:r>
      <w:r>
        <w:t>is</w:t>
      </w:r>
      <w:r w:rsidRPr="00B5102F">
        <w:t xml:space="preserve"> problematic for pedestrians</w:t>
      </w:r>
      <w:r>
        <w:t xml:space="preserve"> (who feel unsafe)</w:t>
      </w:r>
      <w:r w:rsidRPr="00B5102F">
        <w:t xml:space="preserve"> and commuter cyclists (who want to travel </w:t>
      </w:r>
      <w:r>
        <w:t>faster</w:t>
      </w:r>
      <w:r w:rsidRPr="00B5102F">
        <w:t xml:space="preserve">), as well </w:t>
      </w:r>
      <w:r>
        <w:t xml:space="preserve">as </w:t>
      </w:r>
      <w:r w:rsidRPr="00B5102F">
        <w:t xml:space="preserve">for tourists. </w:t>
      </w:r>
    </w:p>
    <w:p w:rsidR="000018C8" w:rsidRPr="00B5102F" w:rsidRDefault="000018C8" w:rsidP="00FD1D1A">
      <w:pPr>
        <w:pStyle w:val="ListParagraph"/>
        <w:numPr>
          <w:ilvl w:val="0"/>
          <w:numId w:val="30"/>
        </w:numPr>
        <w:spacing w:before="120" w:after="0" w:line="240" w:lineRule="auto"/>
        <w:ind w:left="284" w:hanging="284"/>
      </w:pPr>
      <w:r>
        <w:t>Perhaps there could be a</w:t>
      </w:r>
      <w:r w:rsidRPr="00B5102F">
        <w:t>lternative routes for fast cyclists</w:t>
      </w:r>
      <w:r>
        <w:t>, which might be</w:t>
      </w:r>
      <w:r w:rsidRPr="00B5102F">
        <w:t xml:space="preserve"> separated from other </w:t>
      </w:r>
      <w:r>
        <w:t xml:space="preserve">transport </w:t>
      </w:r>
      <w:r w:rsidRPr="00B5102F">
        <w:t xml:space="preserve">modes. </w:t>
      </w:r>
    </w:p>
    <w:p w:rsidR="000018C8" w:rsidRPr="00B5102F" w:rsidRDefault="000018C8" w:rsidP="00FD1D1A">
      <w:pPr>
        <w:pStyle w:val="ListParagraph"/>
        <w:numPr>
          <w:ilvl w:val="0"/>
          <w:numId w:val="30"/>
        </w:numPr>
        <w:spacing w:before="120" w:after="0" w:line="240" w:lineRule="auto"/>
        <w:ind w:left="284" w:hanging="284"/>
      </w:pPr>
      <w:r>
        <w:t>It’s important that all the city river reach areas</w:t>
      </w:r>
      <w:r w:rsidRPr="00B5102F">
        <w:t xml:space="preserve"> are accessible, </w:t>
      </w:r>
      <w:r>
        <w:t>with</w:t>
      </w:r>
      <w:r w:rsidRPr="00B5102F">
        <w:t xml:space="preserve"> ease of movement in and between them. </w:t>
      </w:r>
      <w:r>
        <w:t>More c</w:t>
      </w:r>
      <w:r w:rsidRPr="00B5102F">
        <w:t xml:space="preserve">oherent and cohesive design </w:t>
      </w:r>
      <w:r>
        <w:t>would</w:t>
      </w:r>
      <w:r w:rsidRPr="00B5102F">
        <w:t xml:space="preserve"> create </w:t>
      </w:r>
      <w:r>
        <w:t>logical</w:t>
      </w:r>
      <w:r w:rsidRPr="00B5102F">
        <w:t xml:space="preserve"> routes and simpler wayfinding. </w:t>
      </w:r>
    </w:p>
    <w:p w:rsidR="00432873" w:rsidRDefault="000018C8" w:rsidP="005D1977">
      <w:pPr>
        <w:pStyle w:val="ListParagraph"/>
        <w:numPr>
          <w:ilvl w:val="0"/>
          <w:numId w:val="30"/>
        </w:numPr>
        <w:spacing w:before="120" w:line="240" w:lineRule="auto"/>
        <w:ind w:left="284" w:hanging="284"/>
      </w:pPr>
      <w:r>
        <w:t>It would be good to see more</w:t>
      </w:r>
      <w:r w:rsidRPr="00B5102F">
        <w:t xml:space="preserve"> watercraft </w:t>
      </w:r>
      <w:r>
        <w:t xml:space="preserve">available and </w:t>
      </w:r>
      <w:proofErr w:type="gramStart"/>
      <w:r w:rsidRPr="00777E3B">
        <w:rPr>
          <w:lang w:val="en-AU"/>
        </w:rPr>
        <w:t>used</w:t>
      </w:r>
      <w:r>
        <w:t>,</w:t>
      </w:r>
      <w:proofErr w:type="gramEnd"/>
      <w:r w:rsidRPr="00B5102F">
        <w:t xml:space="preserve"> particularly non-motorised vessels and public transport.</w:t>
      </w:r>
    </w:p>
    <w:p w:rsidR="00777E3B" w:rsidRPr="005D1977" w:rsidRDefault="00777E3B" w:rsidP="00777E3B">
      <w:pPr>
        <w:pStyle w:val="Heading2"/>
        <w:rPr>
          <w:rFonts w:hint="eastAsia"/>
          <w:color w:val="000000" w:themeColor="text1"/>
        </w:rPr>
      </w:pPr>
      <w:r w:rsidRPr="005D1977">
        <w:rPr>
          <w:color w:val="000000" w:themeColor="text1"/>
        </w:rPr>
        <w:t>Ideas Forum Comments</w:t>
      </w:r>
    </w:p>
    <w:p w:rsidR="00777E3B" w:rsidRDefault="00777E3B" w:rsidP="00777E3B">
      <w:pPr>
        <w:pStyle w:val="Heading3"/>
        <w:rPr>
          <w:rFonts w:hint="eastAsia"/>
        </w:rPr>
      </w:pPr>
      <w:r>
        <w:t>You said:</w:t>
      </w:r>
    </w:p>
    <w:p w:rsidR="00777E3B" w:rsidRPr="00777E3B" w:rsidRDefault="00777E3B" w:rsidP="00777E3B">
      <w:pPr>
        <w:rPr>
          <w:lang w:val="en-US"/>
        </w:rPr>
      </w:pPr>
      <w:proofErr w:type="gramStart"/>
      <w:r>
        <w:rPr>
          <w:lang w:val="en-US"/>
        </w:rPr>
        <w:t>“A river Pool!</w:t>
      </w:r>
      <w:proofErr w:type="gramEnd"/>
      <w:r>
        <w:rPr>
          <w:lang w:val="en-US"/>
        </w:rPr>
        <w:t xml:space="preserve"> Public bathing, lap swimming, kids recreation. It’s what the Yarra should be about.” (+33 positive</w:t>
      </w:r>
      <w:r w:rsidR="00432873">
        <w:rPr>
          <w:lang w:val="en-US"/>
        </w:rPr>
        <w:t xml:space="preserve"> reactions)</w:t>
      </w:r>
    </w:p>
    <w:p w:rsidR="000018C8" w:rsidRPr="008963F5" w:rsidRDefault="000018C8" w:rsidP="00432873">
      <w:pPr>
        <w:pStyle w:val="Heading3"/>
        <w:rPr>
          <w:rFonts w:hint="eastAsia"/>
        </w:rPr>
      </w:pPr>
      <w:r w:rsidRPr="008963F5">
        <w:t>We heard:</w:t>
      </w:r>
    </w:p>
    <w:p w:rsidR="000018C8" w:rsidRPr="006F0CCA" w:rsidRDefault="000018C8" w:rsidP="00AD1321">
      <w:pPr>
        <w:pStyle w:val="ListParagraph"/>
        <w:numPr>
          <w:ilvl w:val="0"/>
          <w:numId w:val="31"/>
        </w:numPr>
        <w:spacing w:before="120" w:after="0" w:line="240" w:lineRule="auto"/>
      </w:pPr>
      <w:r w:rsidRPr="006F0CCA">
        <w:t xml:space="preserve">The topic of a </w:t>
      </w:r>
      <w:r w:rsidRPr="006F0CCA">
        <w:rPr>
          <w:b/>
          <w:bCs/>
        </w:rPr>
        <w:t>pool</w:t>
      </w:r>
      <w:r w:rsidRPr="006F0CCA">
        <w:t xml:space="preserve"> at the Yarra was the most ‘liked’, receiving 28 comments, and attracting a total of 450 ‘likes’. Respondents showed clear support for the inclusion of a public dedicated swimming area at the Yarra. </w:t>
      </w:r>
    </w:p>
    <w:p w:rsidR="000018C8" w:rsidRPr="006F0CCA" w:rsidRDefault="000018C8" w:rsidP="00AD1321">
      <w:pPr>
        <w:pStyle w:val="ListParagraph"/>
        <w:numPr>
          <w:ilvl w:val="0"/>
          <w:numId w:val="31"/>
        </w:numPr>
        <w:spacing w:before="120" w:after="0" w:line="240" w:lineRule="auto"/>
      </w:pPr>
      <w:r w:rsidRPr="006F0CCA">
        <w:t>Relatedly, a</w:t>
      </w:r>
      <w:r w:rsidRPr="006F0CCA">
        <w:rPr>
          <w:b/>
          <w:bCs/>
        </w:rPr>
        <w:t xml:space="preserve"> swimmable</w:t>
      </w:r>
      <w:r w:rsidRPr="006F0CCA">
        <w:t xml:space="preserve"> and/or </w:t>
      </w:r>
      <w:r w:rsidRPr="006F0CCA">
        <w:rPr>
          <w:b/>
          <w:bCs/>
        </w:rPr>
        <w:t>clean</w:t>
      </w:r>
      <w:r w:rsidRPr="006F0CCA">
        <w:t xml:space="preserve"> river was called for by Ideas Forum respondents. </w:t>
      </w:r>
      <w:proofErr w:type="spellStart"/>
      <w:r>
        <w:t>S</w:t>
      </w:r>
      <w:r w:rsidRPr="006F0CCA">
        <w:t>wim</w:t>
      </w:r>
      <w:r>
        <w:t>m</w:t>
      </w:r>
      <w:r w:rsidRPr="006F0CCA">
        <w:t>ability</w:t>
      </w:r>
      <w:proofErr w:type="spellEnd"/>
      <w:r w:rsidRPr="006F0CCA">
        <w:t xml:space="preserve"> was frequently raised in relation to its health and vitality as a water body, with comments urging that the river be cleaned up, healthy, or clean enough to swim or fish in. </w:t>
      </w:r>
    </w:p>
    <w:p w:rsidR="000018C8" w:rsidRPr="006F0CCA" w:rsidRDefault="000018C8" w:rsidP="00AD1321">
      <w:pPr>
        <w:pStyle w:val="ListParagraph"/>
        <w:numPr>
          <w:ilvl w:val="0"/>
          <w:numId w:val="31"/>
        </w:numPr>
        <w:spacing w:before="120" w:after="0" w:line="240" w:lineRule="auto"/>
      </w:pPr>
      <w:r w:rsidRPr="006F0CCA">
        <w:rPr>
          <w:b/>
          <w:bCs/>
        </w:rPr>
        <w:t>Community</w:t>
      </w:r>
      <w:r w:rsidRPr="006F0CCA">
        <w:t xml:space="preserve"> spaces, including recreation and play spaces were called for by 22 people (and agreed with by 68 ‘likes’). Suggestions included community gardens, boat launching places, outdoor gyms, public spaces, events spaces, parks and water</w:t>
      </w:r>
      <w:r>
        <w:t>-</w:t>
      </w:r>
      <w:r w:rsidRPr="006F0CCA">
        <w:t xml:space="preserve">based events/sports. </w:t>
      </w:r>
    </w:p>
    <w:p w:rsidR="000018C8" w:rsidRPr="006F0CCA" w:rsidRDefault="000018C8" w:rsidP="00AD1321">
      <w:pPr>
        <w:pStyle w:val="ListParagraph"/>
        <w:numPr>
          <w:ilvl w:val="0"/>
          <w:numId w:val="31"/>
        </w:numPr>
        <w:spacing w:before="120" w:after="0" w:line="240" w:lineRule="auto"/>
      </w:pPr>
      <w:r w:rsidRPr="006F0CCA">
        <w:t xml:space="preserve">Riparian </w:t>
      </w:r>
      <w:r w:rsidRPr="006F0CCA">
        <w:rPr>
          <w:b/>
          <w:bCs/>
        </w:rPr>
        <w:t>planting</w:t>
      </w:r>
      <w:r w:rsidRPr="006F0CCA">
        <w:t xml:space="preserve"> and plants to provide </w:t>
      </w:r>
      <w:r w:rsidRPr="006F0CCA">
        <w:rPr>
          <w:b/>
          <w:bCs/>
        </w:rPr>
        <w:t>habitat</w:t>
      </w:r>
      <w:r w:rsidRPr="006F0CCA">
        <w:t xml:space="preserve"> for animals and birds were supported by 12 people (and by 61 ‘likes’).  A focus on landscape, and landscaping interventions, were sought, as well as general agreement that nature was </w:t>
      </w:r>
      <w:proofErr w:type="spellStart"/>
      <w:r w:rsidRPr="006F0CCA">
        <w:t>favourable</w:t>
      </w:r>
      <w:proofErr w:type="spellEnd"/>
      <w:r w:rsidRPr="006F0CCA">
        <w:t xml:space="preserve"> compared with hard surfaces/edges.</w:t>
      </w:r>
    </w:p>
    <w:p w:rsidR="000018C8" w:rsidRDefault="000018C8" w:rsidP="00AD1321">
      <w:pPr>
        <w:pStyle w:val="ListParagraph"/>
        <w:numPr>
          <w:ilvl w:val="0"/>
          <w:numId w:val="31"/>
        </w:numPr>
        <w:spacing w:before="120" w:after="0" w:line="240" w:lineRule="auto"/>
      </w:pPr>
      <w:r w:rsidRPr="006F0CCA">
        <w:t>There was agreement from several people that certain areas were currently uninviting, and that improvements could and should be made.</w:t>
      </w:r>
    </w:p>
    <w:p w:rsidR="00AD1321" w:rsidRDefault="00432873" w:rsidP="00AD1321">
      <w:pPr>
        <w:pStyle w:val="Heading2"/>
        <w:rPr>
          <w:rFonts w:hint="eastAsia"/>
        </w:rPr>
      </w:pPr>
      <w:r>
        <w:rPr>
          <w:noProof/>
          <w:lang w:val="en-AU" w:eastAsia="en-AU"/>
        </w:rPr>
        <w:drawing>
          <wp:inline distT="0" distB="0" distL="0" distR="0" wp14:anchorId="4F0A6F99" wp14:editId="5E681D44">
            <wp:extent cx="3476625" cy="5501928"/>
            <wp:effectExtent l="0" t="0" r="0" b="3810"/>
            <wp:docPr id="5" name="Picture 5" descr="image of comments received via social media" title="comments rece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4187"/>
                    <a:stretch/>
                  </pic:blipFill>
                  <pic:spPr bwMode="auto">
                    <a:xfrm>
                      <a:off x="0" y="0"/>
                      <a:ext cx="3481821" cy="5510151"/>
                    </a:xfrm>
                    <a:prstGeom prst="rect">
                      <a:avLst/>
                    </a:prstGeom>
                    <a:ln>
                      <a:noFill/>
                    </a:ln>
                    <a:extLst>
                      <a:ext uri="{53640926-AAD7-44D8-BBD7-CCE9431645EC}">
                        <a14:shadowObscured xmlns:a14="http://schemas.microsoft.com/office/drawing/2010/main"/>
                      </a:ext>
                    </a:extLst>
                  </pic:spPr>
                </pic:pic>
              </a:graphicData>
            </a:graphic>
          </wp:inline>
        </w:drawing>
      </w:r>
    </w:p>
    <w:p w:rsidR="000018C8" w:rsidRPr="00940F30" w:rsidRDefault="000018C8" w:rsidP="00DE5874">
      <w:pPr>
        <w:pStyle w:val="Heading1"/>
        <w:rPr>
          <w:rFonts w:hint="eastAsia"/>
        </w:rPr>
      </w:pPr>
      <w:r w:rsidRPr="00940F30">
        <w:t xml:space="preserve">How </w:t>
      </w:r>
      <w:r>
        <w:t>y</w:t>
      </w:r>
      <w:r w:rsidRPr="00940F30">
        <w:t xml:space="preserve">our </w:t>
      </w:r>
      <w:r>
        <w:t>F</w:t>
      </w:r>
      <w:r w:rsidRPr="00DA31D0">
        <w:t>eedback</w:t>
      </w:r>
      <w:r w:rsidRPr="00940F30">
        <w:t xml:space="preserve"> </w:t>
      </w:r>
      <w:r>
        <w:t>w</w:t>
      </w:r>
      <w:r w:rsidRPr="00940F30">
        <w:t xml:space="preserve">ill </w:t>
      </w:r>
      <w:r>
        <w:t>b</w:t>
      </w:r>
      <w:r w:rsidRPr="00940F30">
        <w:t xml:space="preserve">e </w:t>
      </w:r>
      <w:proofErr w:type="gramStart"/>
      <w:r>
        <w:t>U</w:t>
      </w:r>
      <w:r w:rsidRPr="00940F30">
        <w:t>sed</w:t>
      </w:r>
      <w:proofErr w:type="gramEnd"/>
    </w:p>
    <w:p w:rsidR="000018C8" w:rsidRPr="006F0CCA" w:rsidRDefault="000018C8" w:rsidP="000018C8">
      <w:pPr>
        <w:rPr>
          <w:color w:val="000000" w:themeColor="text1"/>
          <w:lang w:val="en"/>
        </w:rPr>
      </w:pPr>
      <w:r w:rsidRPr="006F0CCA">
        <w:rPr>
          <w:color w:val="000000" w:themeColor="text1"/>
          <w:lang w:val="en"/>
        </w:rPr>
        <w:t>We</w:t>
      </w:r>
      <w:r>
        <w:rPr>
          <w:color w:val="000000" w:themeColor="text1"/>
          <w:lang w:val="en"/>
        </w:rPr>
        <w:t xml:space="preserve"> ha</w:t>
      </w:r>
      <w:r w:rsidRPr="006F0CCA">
        <w:rPr>
          <w:color w:val="000000" w:themeColor="text1"/>
          <w:lang w:val="en"/>
        </w:rPr>
        <w:t>ve received community and stakeholder support for th</w:t>
      </w:r>
      <w:r>
        <w:rPr>
          <w:color w:val="000000" w:themeColor="text1"/>
          <w:lang w:val="en"/>
        </w:rPr>
        <w:t>e draft City River Strategy</w:t>
      </w:r>
      <w:r w:rsidRPr="006F0CCA">
        <w:rPr>
          <w:color w:val="000000" w:themeColor="text1"/>
          <w:lang w:val="en"/>
        </w:rPr>
        <w:t>.</w:t>
      </w:r>
    </w:p>
    <w:p w:rsidR="000018C8" w:rsidRDefault="000018C8" w:rsidP="000018C8">
      <w:pPr>
        <w:rPr>
          <w:color w:val="000000" w:themeColor="text1"/>
          <w:lang w:val="en"/>
        </w:rPr>
      </w:pPr>
      <w:r w:rsidRPr="006F0CCA">
        <w:rPr>
          <w:color w:val="000000" w:themeColor="text1"/>
          <w:lang w:val="en"/>
        </w:rPr>
        <w:t>Your feedback is helping us revise our draft City River Strategy. The next step</w:t>
      </w:r>
      <w:r>
        <w:rPr>
          <w:color w:val="000000" w:themeColor="text1"/>
          <w:lang w:val="en"/>
        </w:rPr>
        <w:t xml:space="preserve"> is to present the strategy to the Future Melbourne Committee. The Strategy will be finalised early 2020.</w:t>
      </w:r>
    </w:p>
    <w:p w:rsidR="000018C8" w:rsidRPr="00A812A1" w:rsidRDefault="000018C8" w:rsidP="000018C8">
      <w:pPr>
        <w:rPr>
          <w:color w:val="000000" w:themeColor="text1"/>
          <w:lang w:val="en"/>
        </w:rPr>
      </w:pPr>
      <w:r w:rsidRPr="00A812A1">
        <w:rPr>
          <w:color w:val="000000" w:themeColor="text1"/>
          <w:lang w:val="en"/>
        </w:rPr>
        <w:t>The vision and priorities articulated in the Plan will provide Council with a formal position from which to advocate to the State government, and to better facilitate collaboration acr</w:t>
      </w:r>
      <w:r>
        <w:rPr>
          <w:color w:val="000000" w:themeColor="text1"/>
          <w:lang w:val="en"/>
        </w:rPr>
        <w:t>oss the full length of the City River</w:t>
      </w:r>
      <w:r w:rsidRPr="00A812A1">
        <w:rPr>
          <w:color w:val="000000" w:themeColor="text1"/>
          <w:lang w:val="en"/>
        </w:rPr>
        <w:t xml:space="preserve"> corridor. </w:t>
      </w:r>
    </w:p>
    <w:p w:rsidR="000018C8" w:rsidRDefault="000018C8" w:rsidP="000018C8">
      <w:pPr>
        <w:rPr>
          <w:color w:val="000000" w:themeColor="text1"/>
          <w:lang w:val="en"/>
        </w:rPr>
      </w:pPr>
      <w:r w:rsidRPr="00A812A1">
        <w:rPr>
          <w:color w:val="000000" w:themeColor="text1"/>
          <w:lang w:val="en"/>
        </w:rPr>
        <w:t xml:space="preserve">Your feedback is also being shared with and considered by </w:t>
      </w:r>
      <w:r>
        <w:rPr>
          <w:color w:val="000000" w:themeColor="text1"/>
          <w:lang w:val="en"/>
        </w:rPr>
        <w:t>Melbourne Water,</w:t>
      </w:r>
      <w:r w:rsidRPr="00A812A1">
        <w:rPr>
          <w:color w:val="000000" w:themeColor="text1"/>
          <w:lang w:val="en"/>
        </w:rPr>
        <w:t xml:space="preserve"> who is tasked with undertaking </w:t>
      </w:r>
      <w:r>
        <w:rPr>
          <w:color w:val="000000" w:themeColor="text1"/>
          <w:lang w:val="en"/>
        </w:rPr>
        <w:t>the Yarra Strategic Plan</w:t>
      </w:r>
      <w:r w:rsidRPr="00A812A1">
        <w:rPr>
          <w:color w:val="000000" w:themeColor="text1"/>
          <w:lang w:val="en"/>
        </w:rPr>
        <w:t xml:space="preserve">. The insights gained through our consultation activities will provide them with an understanding of </w:t>
      </w:r>
      <w:r>
        <w:rPr>
          <w:color w:val="000000" w:themeColor="text1"/>
          <w:lang w:val="en"/>
        </w:rPr>
        <w:t>key ideas and opportunities for river</w:t>
      </w:r>
      <w:r w:rsidRPr="00A812A1">
        <w:rPr>
          <w:color w:val="000000" w:themeColor="text1"/>
          <w:lang w:val="en"/>
        </w:rPr>
        <w:t xml:space="preserve"> improvement that have the greatest community support. </w:t>
      </w:r>
    </w:p>
    <w:p w:rsidR="00432873" w:rsidRDefault="000018C8" w:rsidP="000018C8">
      <w:pPr>
        <w:rPr>
          <w:color w:val="000000" w:themeColor="text1"/>
          <w:lang w:val="en"/>
        </w:rPr>
      </w:pPr>
      <w:r w:rsidRPr="00A812A1">
        <w:rPr>
          <w:color w:val="000000" w:themeColor="text1"/>
          <w:lang w:val="en"/>
        </w:rPr>
        <w:t>Thank you to everyone w</w:t>
      </w:r>
      <w:r>
        <w:rPr>
          <w:color w:val="000000" w:themeColor="text1"/>
          <w:lang w:val="en"/>
        </w:rPr>
        <w:t>ho has shown interest in the City River Strategy</w:t>
      </w:r>
      <w:r w:rsidRPr="00A812A1">
        <w:rPr>
          <w:color w:val="000000" w:themeColor="text1"/>
          <w:lang w:val="en"/>
        </w:rPr>
        <w:t xml:space="preserve"> and contributed to our consultation process. Your positivity and constructive ideas are helping Melbourne make th</w:t>
      </w:r>
      <w:r>
        <w:rPr>
          <w:color w:val="000000" w:themeColor="text1"/>
          <w:lang w:val="en"/>
        </w:rPr>
        <w:t>e most of the incredible city</w:t>
      </w:r>
      <w:r w:rsidRPr="00A812A1">
        <w:rPr>
          <w:color w:val="000000" w:themeColor="text1"/>
          <w:lang w:val="en"/>
        </w:rPr>
        <w:t xml:space="preserve"> asset that is </w:t>
      </w:r>
      <w:r>
        <w:rPr>
          <w:color w:val="000000" w:themeColor="text1"/>
          <w:lang w:val="en"/>
        </w:rPr>
        <w:t>the Birrarung.</w:t>
      </w:r>
    </w:p>
    <w:p w:rsidR="00177BDC" w:rsidRDefault="00177BDC">
      <w:pPr>
        <w:spacing w:after="0" w:line="240" w:lineRule="auto"/>
      </w:pPr>
      <w:r>
        <w:br w:type="page"/>
      </w:r>
    </w:p>
    <w:p w:rsidR="000018C8" w:rsidRDefault="00AD1321" w:rsidP="00AD1321">
      <w:pPr>
        <w:spacing w:after="120"/>
      </w:pPr>
      <w:r>
        <w:t>This report has been prepared by:</w:t>
      </w:r>
    </w:p>
    <w:p w:rsidR="00AD1321" w:rsidRDefault="00AD1321" w:rsidP="00DE5874">
      <w:pPr>
        <w:spacing w:after="0"/>
      </w:pPr>
      <w:r>
        <w:t>Global Research</w:t>
      </w:r>
    </w:p>
    <w:p w:rsidR="00AD1321" w:rsidRDefault="00DE5874" w:rsidP="00DE5874">
      <w:pPr>
        <w:spacing w:after="0"/>
      </w:pPr>
      <w:r>
        <w:t>150 Office R</w:t>
      </w:r>
      <w:r w:rsidR="00AD1321">
        <w:t>d</w:t>
      </w:r>
    </w:p>
    <w:p w:rsidR="00AD1321" w:rsidRDefault="00AD1321" w:rsidP="00DE5874">
      <w:pPr>
        <w:spacing w:after="0"/>
      </w:pPr>
      <w:r>
        <w:t>Merivale</w:t>
      </w:r>
    </w:p>
    <w:p w:rsidR="00AD1321" w:rsidRDefault="00AD1321" w:rsidP="00DE5874">
      <w:pPr>
        <w:spacing w:after="0"/>
      </w:pPr>
      <w:r>
        <w:t>Christchurch 8014</w:t>
      </w:r>
    </w:p>
    <w:p w:rsidR="00AD1321" w:rsidRDefault="00AD1321" w:rsidP="00DE5874">
      <w:pPr>
        <w:spacing w:after="0"/>
      </w:pPr>
      <w:r>
        <w:t>New Zealand</w:t>
      </w:r>
    </w:p>
    <w:p w:rsidR="00AD1321" w:rsidRDefault="00AD1321" w:rsidP="00DE5874">
      <w:pPr>
        <w:spacing w:after="0"/>
      </w:pPr>
      <w:r>
        <w:t>+64 3 355 4562</w:t>
      </w:r>
    </w:p>
    <w:p w:rsidR="00AD1321" w:rsidRDefault="00AD1321" w:rsidP="00DE5874">
      <w:pPr>
        <w:spacing w:after="0"/>
      </w:pPr>
      <w:r>
        <w:t>www.globalresearch.nz</w:t>
      </w:r>
    </w:p>
    <w:bookmarkEnd w:id="3"/>
    <w:bookmarkEnd w:id="4"/>
    <w:bookmarkEnd w:id="5"/>
    <w:bookmarkEnd w:id="6"/>
    <w:p w:rsidR="000018C8" w:rsidRDefault="000018C8" w:rsidP="000018C8">
      <w:pPr>
        <w:spacing w:after="160"/>
      </w:pPr>
    </w:p>
    <w:sectPr w:rsidR="000018C8"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AF" w:rsidRDefault="00D566AF" w:rsidP="00BC719D">
      <w:pPr>
        <w:spacing w:after="0"/>
      </w:pPr>
      <w:r>
        <w:separator/>
      </w:r>
    </w:p>
  </w:endnote>
  <w:endnote w:type="continuationSeparator" w:id="0">
    <w:p w:rsidR="00D566AF" w:rsidRDefault="00D566A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ontserrat Light">
    <w:altName w:val="Calibri"/>
    <w:panose1 w:val="00000000000000000000"/>
    <w:charset w:val="00"/>
    <w:family w:val="modern"/>
    <w:notTrueType/>
    <w:pitch w:val="variable"/>
    <w:sig w:usb0="2000020F" w:usb1="00000003" w:usb2="00000000" w:usb3="00000000" w:csb0="00000197" w:csb1="00000000"/>
  </w:font>
  <w:font w:name="Open Sans Light">
    <w:altName w:val="Calibri"/>
    <w:charset w:val="00"/>
    <w:family w:val="swiss"/>
    <w:pitch w:val="variable"/>
    <w:sig w:usb0="E00002EF" w:usb1="4000205B" w:usb2="00000028" w:usb3="00000000" w:csb0="0000019F" w:csb1="00000000"/>
  </w:font>
  <w:font w:name="Montserrat Medium">
    <w:altName w:val="Calibri"/>
    <w:panose1 w:val="00000000000000000000"/>
    <w:charset w:val="00"/>
    <w:family w:val="modern"/>
    <w:notTrueType/>
    <w:pitch w:val="variable"/>
    <w:sig w:usb0="2000020F" w:usb1="00000003" w:usb2="00000000" w:usb3="00000000" w:csb0="00000197" w:csb1="00000000"/>
  </w:font>
  <w:font w:name="Montserrat ExtraBold">
    <w:altName w:val="Calibri"/>
    <w:panose1 w:val="00000000000000000000"/>
    <w:charset w:val="00"/>
    <w:family w:val="modern"/>
    <w:notTrueType/>
    <w:pitch w:val="variable"/>
    <w:sig w:usb0="2000020F"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AF" w:rsidRDefault="00D566AF" w:rsidP="00577A39">
      <w:pPr>
        <w:spacing w:after="40" w:line="240" w:lineRule="auto"/>
      </w:pPr>
      <w:r>
        <w:separator/>
      </w:r>
    </w:p>
  </w:footnote>
  <w:footnote w:type="continuationSeparator" w:id="0">
    <w:p w:rsidR="00D566AF" w:rsidRDefault="00D566AF"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2CF6560"/>
    <w:multiLevelType w:val="hybridMultilevel"/>
    <w:tmpl w:val="D41E3144"/>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nsid w:val="0F601190"/>
    <w:multiLevelType w:val="hybridMultilevel"/>
    <w:tmpl w:val="CEB802D8"/>
    <w:lvl w:ilvl="0" w:tplc="79FE6EE4">
      <w:start w:val="1"/>
      <w:numFmt w:val="bullet"/>
      <w:lvlText w:val="&gt;"/>
      <w:lvlJc w:val="left"/>
      <w:pPr>
        <w:ind w:left="360" w:hanging="360"/>
      </w:pPr>
      <w:rPr>
        <w:rFonts w:ascii="Open Sans" w:hAnsi="Open San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9882949"/>
    <w:multiLevelType w:val="hybridMultilevel"/>
    <w:tmpl w:val="15DACD86"/>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5A9778B"/>
    <w:multiLevelType w:val="hybridMultilevel"/>
    <w:tmpl w:val="B1966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nsid w:val="2A2B5D1C"/>
    <w:multiLevelType w:val="multilevel"/>
    <w:tmpl w:val="16506B6C"/>
    <w:numStyleLink w:val="ListNumbers"/>
  </w:abstractNum>
  <w:abstractNum w:abstractNumId="10">
    <w:nsid w:val="2C322654"/>
    <w:multiLevelType w:val="hybridMultilevel"/>
    <w:tmpl w:val="28C0D168"/>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F0D4EED"/>
    <w:multiLevelType w:val="hybridMultilevel"/>
    <w:tmpl w:val="21B477CE"/>
    <w:lvl w:ilvl="0" w:tplc="79FE6EE4">
      <w:start w:val="1"/>
      <w:numFmt w:val="bullet"/>
      <w:lvlText w:val="&gt;"/>
      <w:lvlJc w:val="left"/>
      <w:pPr>
        <w:ind w:left="360" w:hanging="360"/>
      </w:pPr>
      <w:rPr>
        <w:rFonts w:ascii="Open Sans" w:hAnsi="Open San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30745B6"/>
    <w:multiLevelType w:val="hybridMultilevel"/>
    <w:tmpl w:val="1E66A79E"/>
    <w:lvl w:ilvl="0" w:tplc="471EBD3C">
      <w:start w:val="1"/>
      <w:numFmt w:val="bullet"/>
      <w:lvlText w:val="&gt;"/>
      <w:lvlJc w:val="left"/>
      <w:pPr>
        <w:ind w:left="360" w:hanging="360"/>
      </w:pPr>
      <w:rPr>
        <w:rFonts w:ascii="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183A2E"/>
    <w:multiLevelType w:val="hybridMultilevel"/>
    <w:tmpl w:val="47002890"/>
    <w:lvl w:ilvl="0" w:tplc="79FE6EE4">
      <w:start w:val="1"/>
      <w:numFmt w:val="bullet"/>
      <w:lvlText w:val="&gt;"/>
      <w:lvlJc w:val="left"/>
      <w:pPr>
        <w:ind w:left="360" w:hanging="360"/>
      </w:pPr>
      <w:rPr>
        <w:rFonts w:ascii="Open Sans" w:hAnsi="Open San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8C10957"/>
    <w:multiLevelType w:val="multilevel"/>
    <w:tmpl w:val="16506B6C"/>
    <w:numStyleLink w:val="ListNumbers"/>
  </w:abstractNum>
  <w:abstractNum w:abstractNumId="16">
    <w:nsid w:val="4C0769CC"/>
    <w:multiLevelType w:val="hybridMultilevel"/>
    <w:tmpl w:val="112C1C12"/>
    <w:lvl w:ilvl="0" w:tplc="04405EA6">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8F14D42"/>
    <w:multiLevelType w:val="hybridMultilevel"/>
    <w:tmpl w:val="29AABE4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9B77F36"/>
    <w:multiLevelType w:val="hybridMultilevel"/>
    <w:tmpl w:val="12127F52"/>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C739F"/>
    <w:multiLevelType w:val="hybridMultilevel"/>
    <w:tmpl w:val="F5C4E6EC"/>
    <w:lvl w:ilvl="0" w:tplc="79FE6EE4">
      <w:start w:val="1"/>
      <w:numFmt w:val="bullet"/>
      <w:lvlText w:val="&gt;"/>
      <w:lvlJc w:val="left"/>
      <w:pPr>
        <w:ind w:left="360" w:hanging="360"/>
      </w:pPr>
      <w:rPr>
        <w:rFonts w:ascii="Open Sans" w:hAnsi="Open San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E1209CA"/>
    <w:multiLevelType w:val="multilevel"/>
    <w:tmpl w:val="16506B6C"/>
    <w:numStyleLink w:val="ListNumbers"/>
  </w:abstractNum>
  <w:abstractNum w:abstractNumId="22">
    <w:nsid w:val="71EA7C84"/>
    <w:multiLevelType w:val="hybridMultilevel"/>
    <w:tmpl w:val="5622AECC"/>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3E30D77"/>
    <w:multiLevelType w:val="multilevel"/>
    <w:tmpl w:val="70307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A2C43DC"/>
    <w:multiLevelType w:val="multilevel"/>
    <w:tmpl w:val="16506B6C"/>
    <w:numStyleLink w:val="ListNumbers"/>
  </w:abstractNum>
  <w:abstractNum w:abstractNumId="25">
    <w:nsid w:val="7A7D606E"/>
    <w:multiLevelType w:val="hybridMultilevel"/>
    <w:tmpl w:val="3746C3F0"/>
    <w:lvl w:ilvl="0" w:tplc="79FE6EE4">
      <w:start w:val="1"/>
      <w:numFmt w:val="bullet"/>
      <w:lvlText w:val="&gt;"/>
      <w:lvlJc w:val="left"/>
      <w:pPr>
        <w:ind w:left="360" w:hanging="360"/>
      </w:pPr>
      <w:rPr>
        <w:rFonts w:ascii="Open Sans" w:hAnsi="Open San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7AF60647"/>
    <w:multiLevelType w:val="hybridMultilevel"/>
    <w:tmpl w:val="0FF0CF7A"/>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8"/>
  </w:num>
  <w:num w:numId="3">
    <w:abstractNumId w:val="24"/>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9"/>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16"/>
  </w:num>
  <w:num w:numId="19">
    <w:abstractNumId w:val="1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
  </w:num>
  <w:num w:numId="23">
    <w:abstractNumId w:val="20"/>
  </w:num>
  <w:num w:numId="24">
    <w:abstractNumId w:val="25"/>
  </w:num>
  <w:num w:numId="25">
    <w:abstractNumId w:val="11"/>
  </w:num>
  <w:num w:numId="26">
    <w:abstractNumId w:val="10"/>
  </w:num>
  <w:num w:numId="27">
    <w:abstractNumId w:val="18"/>
  </w:num>
  <w:num w:numId="28">
    <w:abstractNumId w:val="26"/>
  </w:num>
  <w:num w:numId="29">
    <w:abstractNumId w:val="6"/>
  </w:num>
  <w:num w:numId="30">
    <w:abstractNumId w:val="7"/>
  </w:num>
  <w:num w:numId="31">
    <w:abstractNumId w:val="22"/>
  </w:num>
  <w:num w:numId="3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C8"/>
    <w:rsid w:val="000018C8"/>
    <w:rsid w:val="00002BD0"/>
    <w:rsid w:val="00016552"/>
    <w:rsid w:val="00020B35"/>
    <w:rsid w:val="000437C5"/>
    <w:rsid w:val="000474AE"/>
    <w:rsid w:val="00071857"/>
    <w:rsid w:val="000A2BDA"/>
    <w:rsid w:val="000A48D5"/>
    <w:rsid w:val="000B5EAA"/>
    <w:rsid w:val="000D0643"/>
    <w:rsid w:val="000F3535"/>
    <w:rsid w:val="00147808"/>
    <w:rsid w:val="00175760"/>
    <w:rsid w:val="00177BDC"/>
    <w:rsid w:val="00190B0E"/>
    <w:rsid w:val="001B51BF"/>
    <w:rsid w:val="001F46B4"/>
    <w:rsid w:val="001F554D"/>
    <w:rsid w:val="00203E82"/>
    <w:rsid w:val="002436A6"/>
    <w:rsid w:val="002438B7"/>
    <w:rsid w:val="0024773F"/>
    <w:rsid w:val="002D630D"/>
    <w:rsid w:val="002E4153"/>
    <w:rsid w:val="002F47B6"/>
    <w:rsid w:val="002F6A88"/>
    <w:rsid w:val="00380F44"/>
    <w:rsid w:val="00392688"/>
    <w:rsid w:val="003D63A8"/>
    <w:rsid w:val="003E31B3"/>
    <w:rsid w:val="003E3A9F"/>
    <w:rsid w:val="003F274B"/>
    <w:rsid w:val="00407429"/>
    <w:rsid w:val="00417370"/>
    <w:rsid w:val="00426584"/>
    <w:rsid w:val="00431D45"/>
    <w:rsid w:val="00432873"/>
    <w:rsid w:val="004564F4"/>
    <w:rsid w:val="00457042"/>
    <w:rsid w:val="004878DB"/>
    <w:rsid w:val="00493E0A"/>
    <w:rsid w:val="00494A2D"/>
    <w:rsid w:val="004A26E3"/>
    <w:rsid w:val="004D00DD"/>
    <w:rsid w:val="004E1ECE"/>
    <w:rsid w:val="004F54F5"/>
    <w:rsid w:val="00535159"/>
    <w:rsid w:val="005352C3"/>
    <w:rsid w:val="0053666A"/>
    <w:rsid w:val="005620A0"/>
    <w:rsid w:val="0056634E"/>
    <w:rsid w:val="0057264C"/>
    <w:rsid w:val="00577A39"/>
    <w:rsid w:val="005814F5"/>
    <w:rsid w:val="005D1977"/>
    <w:rsid w:val="005D30BA"/>
    <w:rsid w:val="005F4391"/>
    <w:rsid w:val="00637FF1"/>
    <w:rsid w:val="00687D4A"/>
    <w:rsid w:val="006A2F63"/>
    <w:rsid w:val="006A3718"/>
    <w:rsid w:val="006C391E"/>
    <w:rsid w:val="006C7F7B"/>
    <w:rsid w:val="00712950"/>
    <w:rsid w:val="00715B3E"/>
    <w:rsid w:val="007202FA"/>
    <w:rsid w:val="0073401D"/>
    <w:rsid w:val="007361D8"/>
    <w:rsid w:val="00737A99"/>
    <w:rsid w:val="0075222B"/>
    <w:rsid w:val="007526EA"/>
    <w:rsid w:val="00777E3B"/>
    <w:rsid w:val="00782E37"/>
    <w:rsid w:val="007A0AA6"/>
    <w:rsid w:val="007E291E"/>
    <w:rsid w:val="007F0661"/>
    <w:rsid w:val="00802A52"/>
    <w:rsid w:val="00806F0F"/>
    <w:rsid w:val="00831224"/>
    <w:rsid w:val="00850748"/>
    <w:rsid w:val="00850D66"/>
    <w:rsid w:val="00855F84"/>
    <w:rsid w:val="0085741C"/>
    <w:rsid w:val="00881C97"/>
    <w:rsid w:val="008D2DDA"/>
    <w:rsid w:val="008E2476"/>
    <w:rsid w:val="009043FC"/>
    <w:rsid w:val="009050C6"/>
    <w:rsid w:val="0091365A"/>
    <w:rsid w:val="00952E5B"/>
    <w:rsid w:val="00955E32"/>
    <w:rsid w:val="0097181E"/>
    <w:rsid w:val="00981EBA"/>
    <w:rsid w:val="00990B3C"/>
    <w:rsid w:val="009930E2"/>
    <w:rsid w:val="009D1FBA"/>
    <w:rsid w:val="009F4681"/>
    <w:rsid w:val="00A01D13"/>
    <w:rsid w:val="00A121B3"/>
    <w:rsid w:val="00A4128A"/>
    <w:rsid w:val="00A8651A"/>
    <w:rsid w:val="00AA4303"/>
    <w:rsid w:val="00AB6132"/>
    <w:rsid w:val="00AD1321"/>
    <w:rsid w:val="00AD2B6E"/>
    <w:rsid w:val="00AF02E0"/>
    <w:rsid w:val="00B152AF"/>
    <w:rsid w:val="00B30A34"/>
    <w:rsid w:val="00B53D5A"/>
    <w:rsid w:val="00B61F7F"/>
    <w:rsid w:val="00B643A4"/>
    <w:rsid w:val="00B93B1F"/>
    <w:rsid w:val="00B97183"/>
    <w:rsid w:val="00BC5E8E"/>
    <w:rsid w:val="00BC719D"/>
    <w:rsid w:val="00BE100F"/>
    <w:rsid w:val="00BE1269"/>
    <w:rsid w:val="00BE4B49"/>
    <w:rsid w:val="00BE6801"/>
    <w:rsid w:val="00BF6128"/>
    <w:rsid w:val="00C0291B"/>
    <w:rsid w:val="00C05740"/>
    <w:rsid w:val="00C07190"/>
    <w:rsid w:val="00C14F9F"/>
    <w:rsid w:val="00C2007C"/>
    <w:rsid w:val="00C37F6A"/>
    <w:rsid w:val="00C42412"/>
    <w:rsid w:val="00C73DA2"/>
    <w:rsid w:val="00C83334"/>
    <w:rsid w:val="00CA3730"/>
    <w:rsid w:val="00CB6145"/>
    <w:rsid w:val="00CD382D"/>
    <w:rsid w:val="00D00427"/>
    <w:rsid w:val="00D02C4A"/>
    <w:rsid w:val="00D566AF"/>
    <w:rsid w:val="00D77363"/>
    <w:rsid w:val="00DC319F"/>
    <w:rsid w:val="00DE5874"/>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B5EAE"/>
    <w:rsid w:val="00FC6D23"/>
    <w:rsid w:val="00FD1D1A"/>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table of figures" w:qFormat="1"/>
    <w:lsdException w:name="List Bullet" w:qFormat="1"/>
    <w:lsdException w:name="List Number" w:qFormat="1"/>
    <w:lsdException w:name="Title" w:uiPriority="10" w:qFormat="1"/>
    <w:lsdException w:name="Default Paragraph Font" w:qFormat="1"/>
    <w:lsdException w:name="Hyperlink" w:uiPriority="99"/>
    <w:lsdException w:name="Table Grid" w:uiPriority="59"/>
    <w:lsdException w:name="List Paragraph" w:uiPriority="99" w:qFormat="1"/>
    <w:lsdException w:name="Quote" w:uiPriority="29"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link w:val="ListParagraphChar"/>
    <w:uiPriority w:val="99"/>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uiPriority w:val="9"/>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uiPriority w:val="10"/>
    <w:qFormat/>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uiPriority w:val="10"/>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ListParagraphChar">
    <w:name w:val="List Paragraph Char"/>
    <w:link w:val="ListParagraph"/>
    <w:uiPriority w:val="99"/>
    <w:locked/>
    <w:rsid w:val="000018C8"/>
    <w:rPr>
      <w:rFonts w:ascii="Arial" w:hAnsi="Arial"/>
      <w:szCs w:val="24"/>
      <w:lang w:val="en-US" w:eastAsia="en-US"/>
    </w:rPr>
  </w:style>
  <w:style w:type="paragraph" w:styleId="CommentText">
    <w:name w:val="annotation text"/>
    <w:basedOn w:val="Normal"/>
    <w:link w:val="CommentTextChar"/>
    <w:uiPriority w:val="99"/>
    <w:unhideWhenUsed/>
    <w:rsid w:val="000018C8"/>
    <w:pPr>
      <w:spacing w:before="120" w:after="120" w:line="240" w:lineRule="auto"/>
    </w:pPr>
    <w:rPr>
      <w:rFonts w:ascii="Montserrat Light" w:eastAsiaTheme="minorHAnsi" w:hAnsi="Montserrat Light" w:cs="Open Sans Light"/>
      <w:sz w:val="24"/>
      <w:lang w:val="en-NZ" w:eastAsia="en-NZ"/>
    </w:rPr>
  </w:style>
  <w:style w:type="character" w:customStyle="1" w:styleId="CommentTextChar">
    <w:name w:val="Comment Text Char"/>
    <w:basedOn w:val="DefaultParagraphFont"/>
    <w:link w:val="CommentText"/>
    <w:uiPriority w:val="99"/>
    <w:rsid w:val="000018C8"/>
    <w:rPr>
      <w:rFonts w:ascii="Montserrat Light" w:eastAsiaTheme="minorHAnsi" w:hAnsi="Montserrat Light" w:cs="Open Sans Light"/>
      <w:sz w:val="24"/>
      <w:szCs w:val="24"/>
      <w:lang w:val="en-NZ" w:eastAsia="en-NZ"/>
    </w:rPr>
  </w:style>
  <w:style w:type="paragraph" w:styleId="Quote">
    <w:name w:val="Quote"/>
    <w:basedOn w:val="Normal"/>
    <w:next w:val="Normal"/>
    <w:link w:val="QuoteChar"/>
    <w:uiPriority w:val="29"/>
    <w:qFormat/>
    <w:rsid w:val="000018C8"/>
    <w:pPr>
      <w:spacing w:before="200" w:after="160"/>
      <w:ind w:left="864" w:right="864"/>
      <w:jc w:val="center"/>
    </w:pPr>
    <w:rPr>
      <w:rFonts w:ascii="Montserrat Medium" w:eastAsiaTheme="minorHAnsi" w:hAnsi="Montserrat Medium" w:cs="Open Sans Light"/>
      <w:iCs/>
      <w:color w:val="1F3864"/>
      <w:sz w:val="28"/>
      <w:szCs w:val="28"/>
      <w:lang w:val="en-NZ" w:eastAsia="en-NZ"/>
    </w:rPr>
  </w:style>
  <w:style w:type="character" w:customStyle="1" w:styleId="QuoteChar">
    <w:name w:val="Quote Char"/>
    <w:basedOn w:val="DefaultParagraphFont"/>
    <w:link w:val="Quote"/>
    <w:uiPriority w:val="29"/>
    <w:rsid w:val="000018C8"/>
    <w:rPr>
      <w:rFonts w:ascii="Montserrat Medium" w:eastAsiaTheme="minorHAnsi" w:hAnsi="Montserrat Medium" w:cs="Open Sans Light"/>
      <w:iCs/>
      <w:color w:val="1F3864"/>
      <w:sz w:val="28"/>
      <w:szCs w:val="28"/>
      <w:lang w:val="en-NZ" w:eastAsia="en-NZ"/>
    </w:rPr>
  </w:style>
  <w:style w:type="paragraph" w:customStyle="1" w:styleId="PieText">
    <w:name w:val="Pie Text"/>
    <w:basedOn w:val="Normal"/>
    <w:qFormat/>
    <w:rsid w:val="000018C8"/>
    <w:pPr>
      <w:spacing w:after="0" w:line="240" w:lineRule="auto"/>
    </w:pPr>
    <w:rPr>
      <w:rFonts w:ascii="Montserrat Light" w:eastAsiaTheme="minorHAnsi" w:hAnsi="Montserrat Light" w:cs="Open Sans Light"/>
      <w:noProof/>
      <w:szCs w:val="18"/>
      <w:lang w:val="en-NZ" w:eastAsia="en-NZ"/>
    </w:rPr>
  </w:style>
  <w:style w:type="paragraph" w:customStyle="1" w:styleId="ImagePageHeading">
    <w:name w:val="Image Page Heading"/>
    <w:basedOn w:val="Heading1"/>
    <w:qFormat/>
    <w:rsid w:val="000018C8"/>
    <w:pPr>
      <w:tabs>
        <w:tab w:val="right" w:pos="9072"/>
      </w:tabs>
      <w:spacing w:before="0" w:after="0" w:line="240" w:lineRule="auto"/>
    </w:pPr>
    <w:rPr>
      <w:rFonts w:ascii="Montserrat ExtraBold" w:eastAsia="Calibri" w:hAnsi="Montserrat ExtraBold" w:cs="Open Sans Light"/>
      <w:bCs w:val="0"/>
      <w:noProof/>
      <w:color w:val="FFFFFF" w:themeColor="background1"/>
      <w:sz w:val="44"/>
      <w:szCs w:val="44"/>
      <w:lang w:val="en-NZ" w:eastAsia="en-NZ"/>
    </w:rPr>
  </w:style>
  <w:style w:type="paragraph" w:customStyle="1" w:styleId="TableNumber">
    <w:name w:val="Table Number"/>
    <w:basedOn w:val="PieText"/>
    <w:qFormat/>
    <w:rsid w:val="000018C8"/>
    <w:pPr>
      <w:jc w:val="center"/>
    </w:pPr>
    <w:rPr>
      <w:rFonts w:ascii="Montserrat ExtraBold" w:hAnsi="Montserrat ExtraBold"/>
      <w:color w:val="21AAE1"/>
      <w:sz w:val="36"/>
      <w:szCs w:val="3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table of figures" w:qFormat="1"/>
    <w:lsdException w:name="List Bullet" w:qFormat="1"/>
    <w:lsdException w:name="List Number" w:qFormat="1"/>
    <w:lsdException w:name="Title" w:uiPriority="10" w:qFormat="1"/>
    <w:lsdException w:name="Default Paragraph Font" w:qFormat="1"/>
    <w:lsdException w:name="Hyperlink" w:uiPriority="99"/>
    <w:lsdException w:name="Table Grid" w:uiPriority="59"/>
    <w:lsdException w:name="List Paragraph" w:uiPriority="99" w:qFormat="1"/>
    <w:lsdException w:name="Quote" w:uiPriority="29"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link w:val="ListParagraphChar"/>
    <w:uiPriority w:val="99"/>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uiPriority w:val="9"/>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uiPriority w:val="10"/>
    <w:qFormat/>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uiPriority w:val="10"/>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ListParagraphChar">
    <w:name w:val="List Paragraph Char"/>
    <w:link w:val="ListParagraph"/>
    <w:uiPriority w:val="99"/>
    <w:locked/>
    <w:rsid w:val="000018C8"/>
    <w:rPr>
      <w:rFonts w:ascii="Arial" w:hAnsi="Arial"/>
      <w:szCs w:val="24"/>
      <w:lang w:val="en-US" w:eastAsia="en-US"/>
    </w:rPr>
  </w:style>
  <w:style w:type="paragraph" w:styleId="CommentText">
    <w:name w:val="annotation text"/>
    <w:basedOn w:val="Normal"/>
    <w:link w:val="CommentTextChar"/>
    <w:uiPriority w:val="99"/>
    <w:unhideWhenUsed/>
    <w:rsid w:val="000018C8"/>
    <w:pPr>
      <w:spacing w:before="120" w:after="120" w:line="240" w:lineRule="auto"/>
    </w:pPr>
    <w:rPr>
      <w:rFonts w:ascii="Montserrat Light" w:eastAsiaTheme="minorHAnsi" w:hAnsi="Montserrat Light" w:cs="Open Sans Light"/>
      <w:sz w:val="24"/>
      <w:lang w:val="en-NZ" w:eastAsia="en-NZ"/>
    </w:rPr>
  </w:style>
  <w:style w:type="character" w:customStyle="1" w:styleId="CommentTextChar">
    <w:name w:val="Comment Text Char"/>
    <w:basedOn w:val="DefaultParagraphFont"/>
    <w:link w:val="CommentText"/>
    <w:uiPriority w:val="99"/>
    <w:rsid w:val="000018C8"/>
    <w:rPr>
      <w:rFonts w:ascii="Montserrat Light" w:eastAsiaTheme="minorHAnsi" w:hAnsi="Montserrat Light" w:cs="Open Sans Light"/>
      <w:sz w:val="24"/>
      <w:szCs w:val="24"/>
      <w:lang w:val="en-NZ" w:eastAsia="en-NZ"/>
    </w:rPr>
  </w:style>
  <w:style w:type="paragraph" w:styleId="Quote">
    <w:name w:val="Quote"/>
    <w:basedOn w:val="Normal"/>
    <w:next w:val="Normal"/>
    <w:link w:val="QuoteChar"/>
    <w:uiPriority w:val="29"/>
    <w:qFormat/>
    <w:rsid w:val="000018C8"/>
    <w:pPr>
      <w:spacing w:before="200" w:after="160"/>
      <w:ind w:left="864" w:right="864"/>
      <w:jc w:val="center"/>
    </w:pPr>
    <w:rPr>
      <w:rFonts w:ascii="Montserrat Medium" w:eastAsiaTheme="minorHAnsi" w:hAnsi="Montserrat Medium" w:cs="Open Sans Light"/>
      <w:iCs/>
      <w:color w:val="1F3864"/>
      <w:sz w:val="28"/>
      <w:szCs w:val="28"/>
      <w:lang w:val="en-NZ" w:eastAsia="en-NZ"/>
    </w:rPr>
  </w:style>
  <w:style w:type="character" w:customStyle="1" w:styleId="QuoteChar">
    <w:name w:val="Quote Char"/>
    <w:basedOn w:val="DefaultParagraphFont"/>
    <w:link w:val="Quote"/>
    <w:uiPriority w:val="29"/>
    <w:rsid w:val="000018C8"/>
    <w:rPr>
      <w:rFonts w:ascii="Montserrat Medium" w:eastAsiaTheme="minorHAnsi" w:hAnsi="Montserrat Medium" w:cs="Open Sans Light"/>
      <w:iCs/>
      <w:color w:val="1F3864"/>
      <w:sz w:val="28"/>
      <w:szCs w:val="28"/>
      <w:lang w:val="en-NZ" w:eastAsia="en-NZ"/>
    </w:rPr>
  </w:style>
  <w:style w:type="paragraph" w:customStyle="1" w:styleId="PieText">
    <w:name w:val="Pie Text"/>
    <w:basedOn w:val="Normal"/>
    <w:qFormat/>
    <w:rsid w:val="000018C8"/>
    <w:pPr>
      <w:spacing w:after="0" w:line="240" w:lineRule="auto"/>
    </w:pPr>
    <w:rPr>
      <w:rFonts w:ascii="Montserrat Light" w:eastAsiaTheme="minorHAnsi" w:hAnsi="Montserrat Light" w:cs="Open Sans Light"/>
      <w:noProof/>
      <w:szCs w:val="18"/>
      <w:lang w:val="en-NZ" w:eastAsia="en-NZ"/>
    </w:rPr>
  </w:style>
  <w:style w:type="paragraph" w:customStyle="1" w:styleId="ImagePageHeading">
    <w:name w:val="Image Page Heading"/>
    <w:basedOn w:val="Heading1"/>
    <w:qFormat/>
    <w:rsid w:val="000018C8"/>
    <w:pPr>
      <w:tabs>
        <w:tab w:val="right" w:pos="9072"/>
      </w:tabs>
      <w:spacing w:before="0" w:after="0" w:line="240" w:lineRule="auto"/>
    </w:pPr>
    <w:rPr>
      <w:rFonts w:ascii="Montserrat ExtraBold" w:eastAsia="Calibri" w:hAnsi="Montserrat ExtraBold" w:cs="Open Sans Light"/>
      <w:bCs w:val="0"/>
      <w:noProof/>
      <w:color w:val="FFFFFF" w:themeColor="background1"/>
      <w:sz w:val="44"/>
      <w:szCs w:val="44"/>
      <w:lang w:val="en-NZ" w:eastAsia="en-NZ"/>
    </w:rPr>
  </w:style>
  <w:style w:type="paragraph" w:customStyle="1" w:styleId="TableNumber">
    <w:name w:val="Table Number"/>
    <w:basedOn w:val="PieText"/>
    <w:qFormat/>
    <w:rsid w:val="000018C8"/>
    <w:pPr>
      <w:jc w:val="center"/>
    </w:pPr>
    <w:rPr>
      <w:rFonts w:ascii="Montserrat ExtraBold" w:hAnsi="Montserrat ExtraBold"/>
      <w:color w:val="21AAE1"/>
      <w:sz w:val="36"/>
      <w:szCs w:val="3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participate.melbourne.vic.gov.au/city-river-strate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B32A-17EE-4ABD-97AE-0FCF7CC7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2019-08-29T23:57:00Z</dcterms:created>
  <dcterms:modified xsi:type="dcterms:W3CDTF">2019-09-08T23:26:00Z</dcterms:modified>
</cp:coreProperties>
</file>