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96" w:rsidRPr="002A3D96" w:rsidRDefault="002A3D96" w:rsidP="002A3D96">
      <w:pPr>
        <w:keepNext/>
        <w:keepLines/>
        <w:spacing w:before="320" w:after="160"/>
        <w:outlineLvl w:val="2"/>
        <w:rPr>
          <w:rFonts w:eastAsia="Yu Gothic Light"/>
          <w:b/>
          <w:sz w:val="19"/>
          <w:lang w:eastAsia="en-US"/>
        </w:rPr>
      </w:pPr>
      <w:bookmarkStart w:id="0" w:name="_GoBack"/>
      <w:bookmarkEnd w:id="0"/>
      <w:r w:rsidRPr="002A3D96">
        <w:rPr>
          <w:rFonts w:eastAsia="Yu Gothic Light"/>
          <w:b/>
          <w:sz w:val="20"/>
          <w:szCs w:val="24"/>
          <w:lang w:eastAsia="en-US"/>
        </w:rPr>
        <w:t>STATEMENT OF SIGNIFICANCE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5722"/>
      </w:tblGrid>
      <w:tr w:rsidR="002A3D96" w:rsidRPr="002A3D96" w:rsidTr="00DE54F9">
        <w:tc>
          <w:tcPr>
            <w:tcW w:w="4615" w:type="dxa"/>
            <w:tcBorders>
              <w:left w:val="nil"/>
            </w:tcBorders>
            <w:shd w:val="clear" w:color="auto" w:fill="auto"/>
          </w:tcPr>
          <w:p w:rsidR="002A3D96" w:rsidRPr="002A3D96" w:rsidRDefault="002A3D96" w:rsidP="002A3D96">
            <w:pPr>
              <w:spacing w:before="120" w:after="120" w:line="240" w:lineRule="auto"/>
              <w:rPr>
                <w:rFonts w:cs="Arial"/>
                <w:sz w:val="20"/>
                <w:szCs w:val="20"/>
                <w:lang w:eastAsia="en-US"/>
              </w:rPr>
            </w:pPr>
            <w:r w:rsidRPr="002A3D96">
              <w:rPr>
                <w:rFonts w:cs="Arial"/>
                <w:b/>
                <w:sz w:val="20"/>
                <w:szCs w:val="20"/>
                <w:lang w:eastAsia="en-US"/>
              </w:rPr>
              <w:t xml:space="preserve">Heritage Place: </w:t>
            </w:r>
            <w:r w:rsidRPr="002A3D96">
              <w:rPr>
                <w:sz w:val="20"/>
                <w:szCs w:val="20"/>
                <w:lang w:eastAsia="en-US"/>
              </w:rPr>
              <w:t>Former Factory</w:t>
            </w:r>
          </w:p>
          <w:p w:rsidR="002A3D96" w:rsidRPr="002A3D96" w:rsidRDefault="002A3D96" w:rsidP="002A3D96">
            <w:pPr>
              <w:spacing w:before="120" w:after="120" w:line="360" w:lineRule="auto"/>
              <w:rPr>
                <w:rFonts w:cs="Arial"/>
                <w:bCs/>
                <w:sz w:val="20"/>
                <w:szCs w:val="20"/>
                <w:lang w:eastAsia="en-US"/>
              </w:rPr>
            </w:pPr>
            <w:r>
              <w:rPr>
                <w:noProof/>
                <w:sz w:val="18"/>
              </w:rPr>
              <w:drawing>
                <wp:inline distT="0" distB="0" distL="0" distR="0">
                  <wp:extent cx="2171700" cy="2352675"/>
                  <wp:effectExtent l="0" t="0" r="0" b="9525"/>
                  <wp:docPr id="2" name="Picture 2" descr="king 20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ng 205 1"/>
                          <pic:cNvPicPr>
                            <a:picLocks noChangeAspect="1" noChangeArrowheads="1"/>
                          </pic:cNvPicPr>
                        </pic:nvPicPr>
                        <pic:blipFill>
                          <a:blip r:embed="rId8">
                            <a:extLst>
                              <a:ext uri="{28A0092B-C50C-407E-A947-70E740481C1C}">
                                <a14:useLocalDpi xmlns:a14="http://schemas.microsoft.com/office/drawing/2010/main" val="0"/>
                              </a:ext>
                            </a:extLst>
                          </a:blip>
                          <a:srcRect l="24164" t="2888" r="12845" b="5278"/>
                          <a:stretch>
                            <a:fillRect/>
                          </a:stretch>
                        </pic:blipFill>
                        <pic:spPr bwMode="auto">
                          <a:xfrm>
                            <a:off x="0" y="0"/>
                            <a:ext cx="2171700" cy="2352675"/>
                          </a:xfrm>
                          <a:prstGeom prst="rect">
                            <a:avLst/>
                          </a:prstGeom>
                          <a:noFill/>
                          <a:ln>
                            <a:noFill/>
                          </a:ln>
                        </pic:spPr>
                      </pic:pic>
                    </a:graphicData>
                  </a:graphic>
                </wp:inline>
              </w:drawing>
            </w:r>
          </w:p>
        </w:tc>
        <w:tc>
          <w:tcPr>
            <w:tcW w:w="4616" w:type="dxa"/>
            <w:tcBorders>
              <w:right w:val="nil"/>
            </w:tcBorders>
            <w:shd w:val="clear" w:color="auto" w:fill="auto"/>
          </w:tcPr>
          <w:p w:rsidR="002A3D96" w:rsidRPr="002A3D96" w:rsidRDefault="002A3D96" w:rsidP="002A3D96">
            <w:pPr>
              <w:spacing w:before="120" w:after="120" w:line="360" w:lineRule="auto"/>
              <w:rPr>
                <w:rFonts w:cs="Arial"/>
                <w:bCs/>
                <w:sz w:val="20"/>
                <w:szCs w:val="20"/>
                <w:lang w:eastAsia="en-US"/>
              </w:rPr>
            </w:pPr>
            <w:r w:rsidRPr="002A3D96">
              <w:rPr>
                <w:rFonts w:cs="Arial"/>
                <w:b/>
                <w:sz w:val="20"/>
                <w:szCs w:val="20"/>
                <w:lang w:eastAsia="en-US"/>
              </w:rPr>
              <w:t xml:space="preserve">PS ref no: </w:t>
            </w:r>
            <w:r w:rsidR="008D21BF">
              <w:rPr>
                <w:rFonts w:cs="Arial"/>
                <w:bCs/>
                <w:sz w:val="20"/>
                <w:szCs w:val="20"/>
                <w:lang w:eastAsia="en-US"/>
              </w:rPr>
              <w:t>HO1340</w:t>
            </w:r>
          </w:p>
          <w:p w:rsidR="002A3D96" w:rsidRPr="002A3D96" w:rsidRDefault="002A3D96" w:rsidP="002A3D96">
            <w:pPr>
              <w:spacing w:before="120" w:after="120" w:line="360" w:lineRule="auto"/>
              <w:rPr>
                <w:rFonts w:cs="Arial"/>
                <w:bCs/>
                <w:sz w:val="20"/>
                <w:szCs w:val="20"/>
                <w:lang w:eastAsia="en-US"/>
              </w:rPr>
            </w:pPr>
            <w:r>
              <w:rPr>
                <w:noProof/>
                <w:sz w:val="18"/>
              </w:rPr>
              <w:drawing>
                <wp:inline distT="0" distB="0" distL="0" distR="0">
                  <wp:extent cx="3609975" cy="1685925"/>
                  <wp:effectExtent l="0" t="0" r="9525" b="9525"/>
                  <wp:docPr id="1" name="Picture 1" descr="Batch_3_Site_No_1_0606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tch_3_Site_No_1_06062019"/>
                          <pic:cNvPicPr>
                            <a:picLocks noChangeAspect="1" noChangeArrowheads="1"/>
                          </pic:cNvPicPr>
                        </pic:nvPicPr>
                        <pic:blipFill>
                          <a:blip r:embed="rId9">
                            <a:extLst>
                              <a:ext uri="{28A0092B-C50C-407E-A947-70E740481C1C}">
                                <a14:useLocalDpi xmlns:a14="http://schemas.microsoft.com/office/drawing/2010/main" val="0"/>
                              </a:ext>
                            </a:extLst>
                          </a:blip>
                          <a:srcRect l="8821" r="11784"/>
                          <a:stretch>
                            <a:fillRect/>
                          </a:stretch>
                        </pic:blipFill>
                        <pic:spPr bwMode="auto">
                          <a:xfrm>
                            <a:off x="0" y="0"/>
                            <a:ext cx="3609975" cy="1685925"/>
                          </a:xfrm>
                          <a:prstGeom prst="rect">
                            <a:avLst/>
                          </a:prstGeom>
                          <a:noFill/>
                          <a:ln>
                            <a:noFill/>
                          </a:ln>
                        </pic:spPr>
                      </pic:pic>
                    </a:graphicData>
                  </a:graphic>
                </wp:inline>
              </w:drawing>
            </w:r>
          </w:p>
        </w:tc>
      </w:tr>
    </w:tbl>
    <w:p w:rsidR="002A3D96" w:rsidRPr="002A3D96" w:rsidRDefault="002A3D96" w:rsidP="002A3D96">
      <w:pPr>
        <w:spacing w:before="120" w:after="120" w:line="360" w:lineRule="auto"/>
        <w:rPr>
          <w:rFonts w:cs="Arial"/>
          <w:b/>
          <w:sz w:val="20"/>
          <w:szCs w:val="20"/>
          <w:lang w:eastAsia="en-US"/>
        </w:rPr>
      </w:pPr>
      <w:r>
        <w:rPr>
          <w:noProof/>
          <w:sz w:val="18"/>
        </w:rPr>
        <mc:AlternateContent>
          <mc:Choice Requires="wps">
            <w:drawing>
              <wp:anchor distT="4294967295" distB="4294967295" distL="114300" distR="114300" simplePos="0" relativeHeight="251659264" behindDoc="0" locked="0" layoutInCell="1" allowOverlap="1">
                <wp:simplePos x="0" y="0"/>
                <wp:positionH relativeFrom="column">
                  <wp:posOffset>-5080</wp:posOffset>
                </wp:positionH>
                <wp:positionV relativeFrom="paragraph">
                  <wp:posOffset>287654</wp:posOffset>
                </wp:positionV>
                <wp:extent cx="5882005" cy="0"/>
                <wp:effectExtent l="0" t="0" r="234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2.65pt" to="462.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aL2wEAAKYDAAAOAAAAZHJzL2Uyb0RvYy54bWysU02P2yAQvVfqf0DcG2dTZRVZcfaQaHtZ&#10;tZGy/QGzGNuowCCGxs6/70A+mm1vVX1AwDBv5r15Xj9NzoqjjmTQN/JhNpdCe4Wt8X0jv78+f1pJ&#10;QQl8Cxa9buRJk3zafPywHkOtFzigbXUUDOKpHkMjh5RCXVWkBu2AZhi052CH0UHiY+yrNsLI6M5W&#10;i/n8sRoxtiGi0kR8uzsH5abgd51W6VvXkU7CNpJ7S2WNZX3La7VZQ91HCINRlzbgH7pwYDwXvUHt&#10;IIH4Gc1fUM6oiIRdmil0FXadUbpwYDYP8z/YHAYIunBhcSjcZKL/B6u+HvdRmJZnt5DCg+MZHVIE&#10;0w9JbNF7VhCj4CArNQaqOWHr9zFzVZM/hBdUP4hj1btgPlA4P5u66PJzJiumovzppryeklB8uVyt&#10;eJpLKdQ1VkF9TQyR0heNTuRNI63xWRSo4fhCKZeG+vokX3t8NtaWwVovxkY+fl7y6BWwvToLibcu&#10;MGHyvRRge/atSrEgElrT5uyMQyfa2iiOwNZhx7U4vnK7UligxAHmUL4sDHfwLjW3swMazskldHaa&#10;M4ntbo1r5Oo+2/pcURfDXkj9ljDv3rA97eNVZzZDKXoxbnbb/Zn397/X5hcAAAD//wMAUEsDBBQA&#10;BgAIAAAAIQBNpewz3AAAAAcBAAAPAAAAZHJzL2Rvd25yZXYueG1sTM5NT8MwDAbgOxL/ITISN5Zu&#10;pXyUphMa2mG3rYDE0Wvcj9E4VZNu5d+TaQc42q/1+smWk+nEkQbXWlYwn0UgiEurW64VfLyv755A&#10;OI+ssbNMCn7IwTK/vsow1fbEOzoWvhahhF2KChrv+1RKVzZk0M1sTxyyyg4GfRiHWuoBT6HcdHIR&#10;RQ/SYMvhQ4M9rRoqv4vRKBi3qypq1/F0+IoLOW4et59vVa3U7c30+gLC0+T/juHMD3TIg2lvR9ZO&#10;dArOcK/gPolBhPh5kSQg9peFzDP535//AgAA//8DAFBLAQItABQABgAIAAAAIQC2gziS/gAAAOEB&#10;AAATAAAAAAAAAAAAAAAAAAAAAABbQ29udGVudF9UeXBlc10ueG1sUEsBAi0AFAAGAAgAAAAhADj9&#10;If/WAAAAlAEAAAsAAAAAAAAAAAAAAAAALwEAAF9yZWxzLy5yZWxzUEsBAi0AFAAGAAgAAAAhAOPG&#10;1ovbAQAApgMAAA4AAAAAAAAAAAAAAAAALgIAAGRycy9lMm9Eb2MueG1sUEsBAi0AFAAGAAgAAAAh&#10;AE2l7DPcAAAABwEAAA8AAAAAAAAAAAAAAAAANQQAAGRycy9kb3ducmV2LnhtbFBLBQYAAAAABAAE&#10;APMAAAA+BQAAAAA=&#10;" strokecolor="windowText" strokeweight=".5pt">
                <v:stroke joinstyle="miter"/>
                <o:lock v:ext="edit" shapetype="f"/>
              </v:line>
            </w:pict>
          </mc:Fallback>
        </mc:AlternateContent>
      </w:r>
      <w:r w:rsidRPr="002A3D96">
        <w:rPr>
          <w:rFonts w:cs="Arial"/>
          <w:b/>
          <w:sz w:val="20"/>
          <w:szCs w:val="20"/>
          <w:lang w:eastAsia="en-US"/>
        </w:rPr>
        <w:t>What is significant?</w:t>
      </w:r>
    </w:p>
    <w:p w:rsidR="002A3D96" w:rsidRPr="002A3D96" w:rsidRDefault="002A3D96" w:rsidP="002A3D96">
      <w:pPr>
        <w:spacing w:after="120" w:line="360" w:lineRule="auto"/>
        <w:rPr>
          <w:rFonts w:cs="Arial"/>
          <w:bCs/>
          <w:sz w:val="20"/>
          <w:szCs w:val="20"/>
          <w:lang w:eastAsia="en-US"/>
        </w:rPr>
      </w:pPr>
      <w:r w:rsidRPr="002A3D96">
        <w:rPr>
          <w:rFonts w:cs="Arial"/>
          <w:bCs/>
          <w:sz w:val="20"/>
          <w:szCs w:val="20"/>
          <w:lang w:eastAsia="en-US"/>
        </w:rPr>
        <w:t>203-207 King Street, Melbourne, a two-storey factory/ warehouse building built in 1912-13.</w:t>
      </w:r>
    </w:p>
    <w:p w:rsidR="002A3D96" w:rsidRPr="002A3D96" w:rsidRDefault="002A3D96" w:rsidP="002A3D96">
      <w:pPr>
        <w:spacing w:after="120" w:line="360" w:lineRule="auto"/>
        <w:rPr>
          <w:rFonts w:cs="Arial"/>
          <w:bCs/>
          <w:sz w:val="20"/>
          <w:szCs w:val="20"/>
          <w:lang w:eastAsia="en-US"/>
        </w:rPr>
      </w:pPr>
      <w:r w:rsidRPr="002A3D96">
        <w:rPr>
          <w:rFonts w:cs="Arial"/>
          <w:bCs/>
          <w:sz w:val="20"/>
          <w:szCs w:val="20"/>
          <w:lang w:eastAsia="en-US"/>
        </w:rPr>
        <w:t>Elements that contribute to the significance of the place include (but are not limited to):</w:t>
      </w:r>
    </w:p>
    <w:p w:rsidR="002A3D96" w:rsidRPr="006600CE" w:rsidRDefault="002A3D96" w:rsidP="006600CE">
      <w:pPr>
        <w:pStyle w:val="ListParagraph"/>
        <w:numPr>
          <w:ilvl w:val="0"/>
          <w:numId w:val="1"/>
        </w:numPr>
        <w:spacing w:after="160" w:line="360" w:lineRule="auto"/>
        <w:rPr>
          <w:rFonts w:cs="Arial"/>
          <w:bCs/>
          <w:sz w:val="20"/>
          <w:szCs w:val="20"/>
          <w:lang w:eastAsia="en-US"/>
        </w:rPr>
      </w:pPr>
      <w:r w:rsidRPr="006600CE">
        <w:rPr>
          <w:rFonts w:cs="Arial"/>
          <w:bCs/>
          <w:sz w:val="20"/>
          <w:szCs w:val="20"/>
          <w:lang w:eastAsia="en-US"/>
        </w:rPr>
        <w:t>The original building form and scale;</w:t>
      </w:r>
    </w:p>
    <w:p w:rsidR="002A3D96" w:rsidRPr="006600CE" w:rsidRDefault="002A3D96" w:rsidP="006600CE">
      <w:pPr>
        <w:pStyle w:val="ListParagraph"/>
        <w:numPr>
          <w:ilvl w:val="0"/>
          <w:numId w:val="1"/>
        </w:numPr>
        <w:spacing w:after="160" w:line="360" w:lineRule="auto"/>
        <w:rPr>
          <w:rFonts w:cs="Arial"/>
          <w:bCs/>
          <w:sz w:val="20"/>
          <w:szCs w:val="20"/>
          <w:lang w:eastAsia="en-US"/>
        </w:rPr>
      </w:pPr>
      <w:bookmarkStart w:id="1" w:name="_Hlk10300392"/>
      <w:bookmarkStart w:id="2" w:name="_Hlk10292768"/>
      <w:r w:rsidRPr="006600CE">
        <w:rPr>
          <w:rFonts w:cs="Arial"/>
          <w:bCs/>
          <w:sz w:val="20"/>
          <w:szCs w:val="20"/>
          <w:lang w:eastAsia="en-US"/>
        </w:rPr>
        <w:t>The original fenestration, including brick pilasters (some with Art Nouveau capitals), semicircular arches, recessed spandrels, cornice, parapet and pattern of window openings; and</w:t>
      </w:r>
      <w:bookmarkEnd w:id="1"/>
    </w:p>
    <w:p w:rsidR="002A3D96" w:rsidRPr="006600CE" w:rsidRDefault="002A3D96" w:rsidP="006600CE">
      <w:pPr>
        <w:pStyle w:val="ListParagraph"/>
        <w:numPr>
          <w:ilvl w:val="0"/>
          <w:numId w:val="1"/>
        </w:numPr>
        <w:spacing w:after="160" w:line="360" w:lineRule="auto"/>
        <w:rPr>
          <w:rFonts w:cs="Arial"/>
          <w:bCs/>
          <w:sz w:val="20"/>
          <w:szCs w:val="20"/>
          <w:lang w:eastAsia="en-US"/>
        </w:rPr>
      </w:pPr>
      <w:bookmarkStart w:id="3" w:name="_Hlk10300438"/>
      <w:r w:rsidRPr="006600CE">
        <w:rPr>
          <w:rFonts w:cs="Arial"/>
          <w:bCs/>
          <w:sz w:val="20"/>
          <w:szCs w:val="20"/>
          <w:lang w:eastAsia="en-US"/>
        </w:rPr>
        <w:t>The original timber frame windows</w:t>
      </w:r>
      <w:bookmarkEnd w:id="2"/>
      <w:bookmarkEnd w:id="3"/>
      <w:r w:rsidRPr="006600CE">
        <w:rPr>
          <w:rFonts w:cs="Arial"/>
          <w:bCs/>
          <w:sz w:val="20"/>
          <w:szCs w:val="20"/>
          <w:lang w:eastAsia="en-US"/>
        </w:rPr>
        <w:t>.</w:t>
      </w:r>
    </w:p>
    <w:p w:rsidR="002A3D96" w:rsidRPr="002A3D96" w:rsidRDefault="002A3D96" w:rsidP="002A3D96">
      <w:pPr>
        <w:spacing w:after="120" w:line="360" w:lineRule="auto"/>
        <w:rPr>
          <w:rFonts w:cs="Arial"/>
          <w:bCs/>
          <w:sz w:val="20"/>
          <w:szCs w:val="20"/>
          <w:lang w:eastAsia="en-US"/>
        </w:rPr>
      </w:pPr>
      <w:r w:rsidRPr="002A3D96">
        <w:rPr>
          <w:rFonts w:cs="Arial"/>
          <w:bCs/>
          <w:sz w:val="20"/>
          <w:szCs w:val="20"/>
          <w:lang w:eastAsia="en-US"/>
        </w:rPr>
        <w:t>Later alterations made to the street level facades are not significant.</w:t>
      </w:r>
    </w:p>
    <w:p w:rsidR="002A3D96" w:rsidRPr="002A3D96" w:rsidRDefault="002A3D96" w:rsidP="002A3D96">
      <w:pPr>
        <w:spacing w:after="120" w:line="360" w:lineRule="auto"/>
        <w:rPr>
          <w:rFonts w:cs="Arial"/>
          <w:b/>
          <w:sz w:val="20"/>
          <w:szCs w:val="20"/>
          <w:lang w:eastAsia="en-US"/>
        </w:rPr>
      </w:pPr>
      <w:r>
        <w:rPr>
          <w:noProof/>
          <w:sz w:val="18"/>
        </w:rPr>
        <mc:AlternateContent>
          <mc:Choice Requires="wps">
            <w:drawing>
              <wp:anchor distT="4294967295" distB="4294967295" distL="114300" distR="114300" simplePos="0" relativeHeight="251660288" behindDoc="0" locked="0" layoutInCell="1" allowOverlap="1">
                <wp:simplePos x="0" y="0"/>
                <wp:positionH relativeFrom="column">
                  <wp:posOffset>-7620</wp:posOffset>
                </wp:positionH>
                <wp:positionV relativeFrom="paragraph">
                  <wp:posOffset>207644</wp:posOffset>
                </wp:positionV>
                <wp:extent cx="5882005" cy="0"/>
                <wp:effectExtent l="0" t="0" r="234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5pt" to="46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092wEAAKYDAAAOAAAAZHJzL2Uyb0RvYy54bWysU02P2yAQvVfqf0DcGydbZRVZcfaQaHtZ&#10;tZGy/QGzGNuowCCGxs6/70A+mm1vVX1AwDBv5r15Xj9NzoqjjmTQN3Ixm0uhvcLW+L6R31+fP62k&#10;oAS+BYteN/KkST5tPn5Yj6HWDzigbXUUDOKpHkMjh5RCXVWkBu2AZhi052CH0UHiY+yrNsLI6M5W&#10;D/P5YzVibENEpYn4dncOyk3B7zqt0reuI52EbST3lsoay/qW12qzhrqPEAajLm3AP3ThwHgueoPa&#10;QQLxM5q/oJxREQm7NFPoKuw6o3ThwGwW8z/YHAYIunBhcSjcZKL/B6u+HvdRmJZnt5DCg+MZHVIE&#10;0w9JbNF7VhCj4CArNQaqOWHr9zFzVZM/hBdUP4hj1btgPlA4P5u66PJzJiumovzppryeklB8uVyt&#10;eJpLKdQ1VkF9TQyR0heNTuRNI63xWRSo4fhCKZeG+vokX3t8NtaWwVovxkY+fl7y6BWwvToLibcu&#10;MGHyvRRge/atSrEgElrT5uyMQyfa2iiOwNZhx7U4vnK7UligxAHmUL4sDHfwLjW3swMazskldHaa&#10;M4ntbo1r5Oo+2/pcURfDXkj9ljDv3rA97eNVZzZDKXoxbnbb/Zn397/X5hcAAAD//wMAUEsDBBQA&#10;BgAIAAAAIQDAF52c3QAAAAgBAAAPAAAAZHJzL2Rvd25yZXYueG1sTI9LT8MwEITvSPwHa5G4tc5D&#10;0BLiVKioB24lgNSjG28eEK+j2GnDv2cRh3KcndHMt/lmtr044eg7RwriZQQCqXKmo0bB+9tusQbh&#10;gyaje0eo4Bs9bIrrq1xnxp3pFU9laASXkM+0gjaEIZPSVy1a7ZduQGKvdqPVgeXYSDPqM5fbXiZR&#10;dC+t7ogXWj3gtsXqq5ysgmm/raNul86fh7SU08tq//FcN0rd3sxPjyACzuEShl98RoeCmY5uIuNF&#10;r2ARJ5xUkCYrEOw/JHcxiOPfQRa5/P9A8QMAAP//AwBQSwECLQAUAAYACAAAACEAtoM4kv4AAADh&#10;AQAAEwAAAAAAAAAAAAAAAAAAAAAAW0NvbnRlbnRfVHlwZXNdLnhtbFBLAQItABQABgAIAAAAIQA4&#10;/SH/1gAAAJQBAAALAAAAAAAAAAAAAAAAAC8BAABfcmVscy8ucmVsc1BLAQItABQABgAIAAAAIQDA&#10;Hr092wEAAKYDAAAOAAAAAAAAAAAAAAAAAC4CAABkcnMvZTJvRG9jLnhtbFBLAQItABQABgAIAAAA&#10;IQDAF52c3QAAAAgBAAAPAAAAAAAAAAAAAAAAADUEAABkcnMvZG93bnJldi54bWxQSwUGAAAAAAQA&#10;BADzAAAAPwUAAAAA&#10;" strokecolor="windowText" strokeweight=".5pt">
                <v:stroke joinstyle="miter"/>
                <o:lock v:ext="edit" shapetype="f"/>
              </v:line>
            </w:pict>
          </mc:Fallback>
        </mc:AlternateContent>
      </w:r>
      <w:r w:rsidRPr="002A3D96">
        <w:rPr>
          <w:rFonts w:cs="Arial"/>
          <w:b/>
          <w:sz w:val="20"/>
          <w:szCs w:val="20"/>
          <w:lang w:eastAsia="en-US"/>
        </w:rPr>
        <w:t>How it is significant?</w:t>
      </w:r>
    </w:p>
    <w:p w:rsidR="002A3D96" w:rsidRPr="002A3D96" w:rsidRDefault="002A3D96" w:rsidP="002A3D96">
      <w:pPr>
        <w:spacing w:after="120" w:line="360" w:lineRule="auto"/>
        <w:rPr>
          <w:rFonts w:cs="Arial"/>
          <w:bCs/>
          <w:sz w:val="20"/>
          <w:szCs w:val="20"/>
          <w:lang w:eastAsia="en-US"/>
        </w:rPr>
      </w:pPr>
      <w:r w:rsidRPr="002A3D96">
        <w:rPr>
          <w:rFonts w:cs="Arial"/>
          <w:bCs/>
          <w:sz w:val="20"/>
          <w:szCs w:val="20"/>
          <w:lang w:eastAsia="en-US"/>
        </w:rPr>
        <w:t>203-207 King Street, Melbourne, is of local historic and representative significance to the City of Melbourne.</w:t>
      </w:r>
    </w:p>
    <w:p w:rsidR="002A3D96" w:rsidRPr="002A3D96" w:rsidRDefault="002A3D96" w:rsidP="002A3D96">
      <w:pPr>
        <w:spacing w:after="120" w:line="360" w:lineRule="auto"/>
        <w:rPr>
          <w:rFonts w:cs="Arial"/>
          <w:b/>
          <w:sz w:val="20"/>
          <w:szCs w:val="20"/>
          <w:lang w:eastAsia="en-US"/>
        </w:rPr>
      </w:pPr>
      <w:r>
        <w:rPr>
          <w:noProof/>
          <w:sz w:val="18"/>
        </w:rPr>
        <mc:AlternateContent>
          <mc:Choice Requires="wps">
            <w:drawing>
              <wp:anchor distT="4294967295" distB="4294967295" distL="114300" distR="114300" simplePos="0" relativeHeight="251661312" behindDoc="0" locked="0" layoutInCell="1" allowOverlap="1">
                <wp:simplePos x="0" y="0"/>
                <wp:positionH relativeFrom="column">
                  <wp:posOffset>-7620</wp:posOffset>
                </wp:positionH>
                <wp:positionV relativeFrom="paragraph">
                  <wp:posOffset>227329</wp:posOffset>
                </wp:positionV>
                <wp:extent cx="5882005" cy="0"/>
                <wp:effectExtent l="0" t="0" r="2349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id="Straight Connector 1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7.9pt" to="462.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JR2wEAAKYDAAAOAAAAZHJzL2Uyb0RvYy54bWysU02P2yAQvVfqf0DcG2e3ShRZcfaQaHtZ&#10;tZGy/QGzGNuowCCGxs6/70A+mm1vVX1AwDBv5r15Xj9NzoqjjmTQN/JhNpdCe4Wt8X0jv78+f1pJ&#10;QQl8Cxa9buRJk3zafPywHkOtH3FA2+ooGMRTPYZGDimFuqpIDdoBzTBoz8EOo4PEx9hXbYSR0Z2t&#10;HufzZTVibENEpYn4dncOyk3B7zqt0reuI52EbST3lsoay/qW12qzhrqPEAajLm3AP3ThwHgueoPa&#10;QQLxM5q/oJxREQm7NFPoKuw6o3ThwGwe5n+wOQwQdOHC4lC4yUT/D1Z9Pe6jMC3PbimFB8czOqQI&#10;ph+S2KL3rCBGwUFWagxUc8LW72PmqiZ/CC+ofhDHqnfBfKBwfjZ10eXnTFZMRfnTTXk9JaH4crFa&#10;8TQXUqhrrIL6mhgipS8ancibRlrjsyhQw/GFUi4N9fVJvvb4bKwtg7VejI1cfl7w6BWwvToLibcu&#10;MGHyvRRge/atSrEgElrT5uyMQyfa2iiOwNZhx7U4vnK7UligxAHmUL4sDHfwLjW3swMazskldHaa&#10;M4ntbo1r5Oo+2/pcURfDXkj9ljDv3rA97eNVZzZDKXoxbnbb/Zn397/X5hcAAAD//wMAUEsDBBQA&#10;BgAIAAAAIQAF3GQm3QAAAAgBAAAPAAAAZHJzL2Rvd25yZXYueG1sTI9LT8MwEITvSPwHa5G4tc5D&#10;hRLiVKioB24lgNSjG28eEK+j2GnDv2cRh3LcmdHsN/lmtr044eg7RwriZQQCqXKmo0bB+9tusQbh&#10;gyaje0eo4Bs9bIrrq1xnxp3pFU9laASXkM+0gjaEIZPSVy1a7ZduQGKvdqPVgc+xkWbUZy63vUyi&#10;6E5a3RF/aPWA2xarr3KyCqb9to66XTp/HtJSTi/3+4/nulHq9mZ+egQRcA6XMPziMzoUzHR0Exkv&#10;egWLOOGkgnTFC9h/SFYxiOOfIItc/h9Q/AAAAP//AwBQSwECLQAUAAYACAAAACEAtoM4kv4AAADh&#10;AQAAEwAAAAAAAAAAAAAAAAAAAAAAW0NvbnRlbnRfVHlwZXNdLnhtbFBLAQItABQABgAIAAAAIQA4&#10;/SH/1gAAAJQBAAALAAAAAAAAAAAAAAAAAC8BAABfcmVscy8ucmVsc1BLAQItABQABgAIAAAAIQAZ&#10;HRJR2wEAAKYDAAAOAAAAAAAAAAAAAAAAAC4CAABkcnMvZTJvRG9jLnhtbFBLAQItABQABgAIAAAA&#10;IQAF3GQm3QAAAAgBAAAPAAAAAAAAAAAAAAAAADUEAABkcnMvZG93bnJldi54bWxQSwUGAAAAAAQA&#10;BADzAAAAPwUAAAAA&#10;" strokecolor="windowText" strokeweight=".5pt">
                <v:stroke joinstyle="miter"/>
                <o:lock v:ext="edit" shapetype="f"/>
              </v:line>
            </w:pict>
          </mc:Fallback>
        </mc:AlternateContent>
      </w:r>
      <w:r w:rsidRPr="002A3D96">
        <w:rPr>
          <w:rFonts w:cs="Arial"/>
          <w:b/>
          <w:sz w:val="20"/>
          <w:szCs w:val="20"/>
          <w:lang w:eastAsia="en-US"/>
        </w:rPr>
        <w:t>Why it is significant?</w:t>
      </w:r>
    </w:p>
    <w:p w:rsidR="002A3D96" w:rsidRPr="002A3D96" w:rsidRDefault="002A3D96" w:rsidP="002A3D96">
      <w:pPr>
        <w:spacing w:after="120" w:line="360" w:lineRule="auto"/>
        <w:rPr>
          <w:rFonts w:cs="Arial"/>
          <w:bCs/>
          <w:sz w:val="20"/>
          <w:szCs w:val="20"/>
          <w:lang w:eastAsia="en-US"/>
        </w:rPr>
      </w:pPr>
      <w:bookmarkStart w:id="4" w:name="_Hlk10292439"/>
      <w:bookmarkStart w:id="5" w:name="_Hlk9005805"/>
      <w:r w:rsidRPr="002A3D96">
        <w:rPr>
          <w:rFonts w:cs="Arial"/>
          <w:bCs/>
          <w:sz w:val="20"/>
          <w:szCs w:val="20"/>
          <w:lang w:eastAsia="en-US"/>
        </w:rPr>
        <w:t xml:space="preserve">The </w:t>
      </w:r>
      <w:r w:rsidRPr="002A3D96">
        <w:rPr>
          <w:rFonts w:cs="Arial"/>
          <w:bCs/>
          <w:iCs/>
          <w:sz w:val="20"/>
          <w:szCs w:val="20"/>
          <w:lang w:eastAsia="en-US"/>
        </w:rPr>
        <w:t xml:space="preserve">two-storey factory building at 203-207 King Street is historically significant for the evidence it provides of </w:t>
      </w:r>
      <w:r w:rsidRPr="002A3D96">
        <w:rPr>
          <w:rFonts w:cs="Arial"/>
          <w:bCs/>
          <w:sz w:val="20"/>
          <w:szCs w:val="20"/>
          <w:lang w:eastAsia="en-US"/>
        </w:rPr>
        <w:t xml:space="preserve">a key phase in Melbourne's manufacturing history during the first decades of the twentieth century when </w:t>
      </w:r>
      <w:r w:rsidRPr="002A3D96">
        <w:rPr>
          <w:rFonts w:cs="Arial"/>
          <w:bCs/>
          <w:sz w:val="20"/>
          <w:szCs w:val="20"/>
          <w:lang w:val="en-US" w:eastAsia="en-US"/>
        </w:rPr>
        <w:t>most residents moved out of the city to the suburbs, and the retail and manufacturing sectors rapidly took up city properties. Multi-</w:t>
      </w:r>
      <w:proofErr w:type="spellStart"/>
      <w:r w:rsidRPr="002A3D96">
        <w:rPr>
          <w:rFonts w:cs="Arial"/>
          <w:bCs/>
          <w:sz w:val="20"/>
          <w:szCs w:val="20"/>
          <w:lang w:val="en-US" w:eastAsia="en-US"/>
        </w:rPr>
        <w:t>storey</w:t>
      </w:r>
      <w:proofErr w:type="spellEnd"/>
      <w:r w:rsidRPr="002A3D96">
        <w:rPr>
          <w:rFonts w:cs="Arial"/>
          <w:bCs/>
          <w:sz w:val="20"/>
          <w:szCs w:val="20"/>
          <w:lang w:val="en-US" w:eastAsia="en-US"/>
        </w:rPr>
        <w:t xml:space="preserve"> </w:t>
      </w:r>
      <w:r w:rsidRPr="002A3D96">
        <w:rPr>
          <w:rFonts w:cs="Arial"/>
          <w:bCs/>
          <w:sz w:val="20"/>
          <w:szCs w:val="20"/>
          <w:lang w:eastAsia="en-US"/>
        </w:rPr>
        <w:t xml:space="preserve">workshops, factories and warehouses, many designed by architects, were increasingly established in the city centre. The factory building at 203-207 King Street was constructed in 1912-13 to a design by notable architect J A B Koch. Constructed for printer and stationery manufacturer, Thomas George Ramsay, </w:t>
      </w:r>
      <w:bookmarkStart w:id="6" w:name="_Hlk13650541"/>
      <w:r w:rsidRPr="002A3D96">
        <w:rPr>
          <w:rFonts w:cs="Arial"/>
          <w:bCs/>
          <w:sz w:val="20"/>
          <w:szCs w:val="20"/>
          <w:lang w:eastAsia="en-US"/>
        </w:rPr>
        <w:t xml:space="preserve">it is also significant as it is indicative of the historical concentration of businesses connected to the </w:t>
      </w:r>
      <w:r w:rsidRPr="002A3D96">
        <w:rPr>
          <w:rFonts w:cs="Arial"/>
          <w:bCs/>
          <w:sz w:val="20"/>
          <w:szCs w:val="20"/>
          <w:lang w:val="en-US" w:eastAsia="en-US"/>
        </w:rPr>
        <w:t>printing, publishing and paper goods industry</w:t>
      </w:r>
      <w:r w:rsidRPr="002A3D96">
        <w:rPr>
          <w:rFonts w:cs="Arial"/>
          <w:bCs/>
          <w:sz w:val="20"/>
          <w:szCs w:val="20"/>
          <w:lang w:eastAsia="en-US"/>
        </w:rPr>
        <w:t xml:space="preserve"> in the west of the city. </w:t>
      </w:r>
      <w:bookmarkEnd w:id="6"/>
      <w:r w:rsidRPr="002A3D96">
        <w:rPr>
          <w:rFonts w:cs="Arial"/>
          <w:bCs/>
          <w:sz w:val="20"/>
          <w:szCs w:val="20"/>
          <w:lang w:eastAsia="en-US"/>
        </w:rPr>
        <w:t xml:space="preserve">Ramsay’s business, named T G Ramsay &amp; Co, was associated </w:t>
      </w:r>
      <w:r w:rsidRPr="002A3D96">
        <w:rPr>
          <w:rFonts w:cs="Arial"/>
          <w:bCs/>
          <w:sz w:val="20"/>
          <w:szCs w:val="20"/>
          <w:lang w:eastAsia="en-US"/>
        </w:rPr>
        <w:lastRenderedPageBreak/>
        <w:t>with the Ramsay family, Melbourne printers and publishers since 1888. T G Ramsay &amp; Co occupied the building for 22 years, until 1935. (Criterion A)</w:t>
      </w:r>
    </w:p>
    <w:p w:rsidR="002A3D96" w:rsidRPr="002A3D96" w:rsidRDefault="002A3D96" w:rsidP="002A3D96">
      <w:pPr>
        <w:spacing w:after="120" w:line="360" w:lineRule="auto"/>
        <w:rPr>
          <w:rFonts w:cs="Arial"/>
          <w:bCs/>
          <w:sz w:val="20"/>
          <w:szCs w:val="20"/>
          <w:lang w:eastAsia="en-US"/>
        </w:rPr>
      </w:pPr>
      <w:bookmarkStart w:id="7" w:name="_Hlk11157657"/>
      <w:r w:rsidRPr="002A3D96">
        <w:rPr>
          <w:rFonts w:cs="Arial"/>
          <w:bCs/>
          <w:sz w:val="20"/>
          <w:szCs w:val="20"/>
          <w:lang w:eastAsia="en-US"/>
        </w:rPr>
        <w:t xml:space="preserve">203-207 King Street </w:t>
      </w:r>
      <w:bookmarkEnd w:id="4"/>
      <w:r w:rsidRPr="002A3D96">
        <w:rPr>
          <w:rFonts w:cs="Arial"/>
          <w:bCs/>
          <w:sz w:val="20"/>
          <w:szCs w:val="20"/>
          <w:lang w:eastAsia="en-US"/>
        </w:rPr>
        <w:t xml:space="preserve">is significant as a largely intact example of a two-storey Federation period factory/warehouse building featuring some elements influenced by Romanesque architecture. It is one of several such buildings that survive from the period, which are generally low scale and use simple construction of </w:t>
      </w:r>
      <w:bookmarkEnd w:id="7"/>
      <w:r w:rsidRPr="002A3D96">
        <w:rPr>
          <w:rFonts w:cs="Arial"/>
          <w:bCs/>
          <w:sz w:val="20"/>
          <w:szCs w:val="20"/>
          <w:lang w:eastAsia="en-US"/>
        </w:rPr>
        <w:t>loadbearing face brick walls with either a steel post and beam or reinforced concrete internal structure. It retains its original form and scale, and exhibits key characteristics of its type and style, such as brick pilasters (some with Art Nouveau capitals) terminating in semicircular arches, recessed spandrels, cornice, parapet and pattern of window openings and, at first floor level, timber-framed Diocletian pattern windows. The significance is enhanced by retention at street level of the original refined configuration of masonry and openings. Despite the overpainting, the original form and detailing of the building remain clearly legible. (Criterion D)</w:t>
      </w:r>
    </w:p>
    <w:bookmarkEnd w:id="5"/>
    <w:p w:rsidR="002A3D96" w:rsidRPr="002A3D96" w:rsidRDefault="002A3D96" w:rsidP="002A3D96">
      <w:pPr>
        <w:spacing w:after="120" w:line="360" w:lineRule="auto"/>
        <w:jc w:val="both"/>
        <w:rPr>
          <w:rFonts w:cs="Arial"/>
          <w:b/>
          <w:bCs/>
          <w:sz w:val="20"/>
          <w:szCs w:val="20"/>
          <w:u w:color="1A1A1A"/>
          <w:lang w:eastAsia="en-US"/>
        </w:rPr>
      </w:pPr>
      <w:r>
        <w:rPr>
          <w:noProof/>
          <w:sz w:val="18"/>
        </w:rPr>
        <mc:AlternateContent>
          <mc:Choice Requires="wps">
            <w:drawing>
              <wp:anchor distT="4294967295" distB="4294967295" distL="114300" distR="114300" simplePos="0" relativeHeight="251662336" behindDoc="0" locked="0" layoutInCell="1" allowOverlap="1">
                <wp:simplePos x="0" y="0"/>
                <wp:positionH relativeFrom="column">
                  <wp:posOffset>-7620</wp:posOffset>
                </wp:positionH>
                <wp:positionV relativeFrom="paragraph">
                  <wp:posOffset>227329</wp:posOffset>
                </wp:positionV>
                <wp:extent cx="5882005" cy="0"/>
                <wp:effectExtent l="0" t="0" r="2349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id="Straight Connector 1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7.9pt" to="462.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uK2wEAAKYDAAAOAAAAZHJzL2Uyb0RvYy54bWysU01v2zAMvQ/YfxB0X5x2SBcYcXpI0F2K&#10;LUC6H8DKsi1MEgVRi51/P0r5WNrdhvkgSKL4yPf4vHqcnBUHHcmgb+TdbC6F9gpb4/tG/nh5+rSU&#10;ghL4Fix63cijJvm4/vhhNYZa3+OAttVRMIinegyNHFIKdVWRGrQDmmHQnoMdRgeJj7Gv2ggjoztb&#10;3c/nD9WIsQ0RlSbi2+0pKNcFv+u0St+7jnQStpHcWyprLOtrXqv1Cuo+QhiMOrcB/9CFA+O56BVq&#10;CwnEr2j+gnJGRSTs0kyhq7DrjNKFA7O5m79jsx8g6MKFxaFwlYn+H6z6dthFYVqe3RcpPDie0T5F&#10;MP2QxAa9ZwUxCg6yUmOgmhM2fhczVzX5fXhG9ZM4Vr0J5gOF07Opiy4/Z7JiKsofr8rrKQnFl4vl&#10;kqe5kEJdYhXUl8QQKX3V6ETeNNIan0WBGg7PlHJpqC9P8rXHJ2NtGaz1Ymzkw+cFj14B26uzkHjr&#10;AhMm30sBtmffqhQLIqE1bc7OOHSkjY3iAGwddlyL4wu3K4UFShxgDuXLwnAHb1JzO1ug4ZRcQien&#10;OZPY7ta4Ri5vs63PFXUx7JnUHwnz7hXb4y5edGYzlKJn42a33Z55f/t7rX8DAAD//wMAUEsDBBQA&#10;BgAIAAAAIQAF3GQm3QAAAAgBAAAPAAAAZHJzL2Rvd25yZXYueG1sTI9LT8MwEITvSPwHa5G4tc5D&#10;hRLiVKioB24lgNSjG28eEK+j2GnDv2cRh3LcmdHsN/lmtr044eg7RwriZQQCqXKmo0bB+9tusQbh&#10;gyaje0eo4Bs9bIrrq1xnxp3pFU9laASXkM+0gjaEIZPSVy1a7ZduQGKvdqPVgc+xkWbUZy63vUyi&#10;6E5a3RF/aPWA2xarr3KyCqb9to66XTp/HtJSTi/3+4/nulHq9mZ+egQRcA6XMPziMzoUzHR0Exkv&#10;egWLOOGkgnTFC9h/SFYxiOOfIItc/h9Q/AAAAP//AwBQSwECLQAUAAYACAAAACEAtoM4kv4AAADh&#10;AQAAEwAAAAAAAAAAAAAAAAAAAAAAW0NvbnRlbnRfVHlwZXNdLnhtbFBLAQItABQABgAIAAAAIQA4&#10;/SH/1gAAAJQBAAALAAAAAAAAAAAAAAAAAC8BAABfcmVscy8ucmVsc1BLAQItABQABgAIAAAAIQDH&#10;qBuK2wEAAKYDAAAOAAAAAAAAAAAAAAAAAC4CAABkcnMvZTJvRG9jLnhtbFBLAQItABQABgAIAAAA&#10;IQAF3GQm3QAAAAgBAAAPAAAAAAAAAAAAAAAAADUEAABkcnMvZG93bnJldi54bWxQSwUGAAAAAAQA&#10;BADzAAAAPwUAAAAA&#10;" strokecolor="windowText" strokeweight=".5pt">
                <v:stroke joinstyle="miter"/>
                <o:lock v:ext="edit" shapetype="f"/>
              </v:line>
            </w:pict>
          </mc:Fallback>
        </mc:AlternateContent>
      </w:r>
      <w:r w:rsidRPr="002A3D96">
        <w:rPr>
          <w:rFonts w:cs="Arial"/>
          <w:b/>
          <w:bCs/>
          <w:sz w:val="20"/>
          <w:szCs w:val="20"/>
          <w:u w:color="1A1A1A"/>
          <w:lang w:eastAsia="en-US"/>
        </w:rPr>
        <w:t>Primary source</w:t>
      </w:r>
    </w:p>
    <w:p w:rsidR="002A3D96" w:rsidRPr="002A3D96" w:rsidRDefault="002A3D96" w:rsidP="002A3D96">
      <w:pPr>
        <w:spacing w:after="120" w:line="360" w:lineRule="auto"/>
        <w:rPr>
          <w:rFonts w:cs="Arial"/>
          <w:sz w:val="20"/>
          <w:szCs w:val="20"/>
          <w:u w:color="1A1A1A"/>
          <w:lang w:eastAsia="en-US"/>
        </w:rPr>
      </w:pPr>
      <w:r w:rsidRPr="002A3D96">
        <w:rPr>
          <w:rFonts w:cs="Arial"/>
          <w:sz w:val="20"/>
          <w:szCs w:val="20"/>
          <w:u w:color="1A1A1A"/>
          <w:lang w:eastAsia="en-US"/>
        </w:rPr>
        <w:t>Hoddle Grid Heritage Review (Context &amp; GJM Heritage, 2020)</w:t>
      </w:r>
    </w:p>
    <w:p w:rsidR="006A19AD" w:rsidRPr="00CF085A" w:rsidRDefault="006A19AD"/>
    <w:sectPr w:rsidR="006A19AD" w:rsidRPr="00CF085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96" w:rsidRDefault="002A3D96" w:rsidP="002A3D96">
      <w:pPr>
        <w:spacing w:after="0" w:line="240" w:lineRule="auto"/>
      </w:pPr>
      <w:r>
        <w:separator/>
      </w:r>
    </w:p>
  </w:endnote>
  <w:endnote w:type="continuationSeparator" w:id="0">
    <w:p w:rsidR="002A3D96" w:rsidRDefault="002A3D96" w:rsidP="002A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CE" w:rsidRPr="00013BF8" w:rsidRDefault="006600CE" w:rsidP="006600CE">
    <w:pPr>
      <w:tabs>
        <w:tab w:val="center" w:pos="4513"/>
        <w:tab w:val="right" w:pos="9026"/>
      </w:tabs>
      <w:spacing w:after="0" w:line="240" w:lineRule="auto"/>
      <w:rPr>
        <w:sz w:val="18"/>
        <w:szCs w:val="18"/>
      </w:rPr>
    </w:pPr>
    <w:r w:rsidRPr="00013BF8">
      <w:rPr>
        <w:sz w:val="18"/>
        <w:szCs w:val="18"/>
      </w:rPr>
      <w:t>INCORPORATED DOCUMENT – SCHEDULE TO CLAUSE 72.04</w:t>
    </w:r>
    <w:r w:rsidRPr="00013BF8">
      <w:rPr>
        <w:sz w:val="18"/>
        <w:szCs w:val="18"/>
      </w:rPr>
      <w:tab/>
      <w:t>JULY 2020</w:t>
    </w:r>
  </w:p>
  <w:p w:rsidR="002A3D96" w:rsidRDefault="002A3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96" w:rsidRDefault="002A3D96" w:rsidP="002A3D96">
      <w:pPr>
        <w:spacing w:after="0" w:line="240" w:lineRule="auto"/>
      </w:pPr>
      <w:r>
        <w:separator/>
      </w:r>
    </w:p>
  </w:footnote>
  <w:footnote w:type="continuationSeparator" w:id="0">
    <w:p w:rsidR="002A3D96" w:rsidRDefault="002A3D96" w:rsidP="002A3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854F9"/>
    <w:multiLevelType w:val="hybridMultilevel"/>
    <w:tmpl w:val="49304A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96"/>
    <w:rsid w:val="000521C5"/>
    <w:rsid w:val="0008133F"/>
    <w:rsid w:val="000F7D41"/>
    <w:rsid w:val="002A3D96"/>
    <w:rsid w:val="003A6FC1"/>
    <w:rsid w:val="0043143B"/>
    <w:rsid w:val="005F3710"/>
    <w:rsid w:val="006600CE"/>
    <w:rsid w:val="00682BD5"/>
    <w:rsid w:val="006A19AD"/>
    <w:rsid w:val="008B5EB6"/>
    <w:rsid w:val="008D21BF"/>
    <w:rsid w:val="00996FEF"/>
    <w:rsid w:val="00A36F5D"/>
    <w:rsid w:val="00B335B8"/>
    <w:rsid w:val="00B6108D"/>
    <w:rsid w:val="00C742CD"/>
    <w:rsid w:val="00C863DF"/>
    <w:rsid w:val="00C960CA"/>
    <w:rsid w:val="00CF085A"/>
    <w:rsid w:val="00D533DB"/>
    <w:rsid w:val="00D5761B"/>
    <w:rsid w:val="00D811B1"/>
    <w:rsid w:val="00D93585"/>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96"/>
    <w:rPr>
      <w:rFonts w:ascii="Tahoma" w:hAnsi="Tahoma" w:cs="Tahoma"/>
      <w:sz w:val="16"/>
      <w:szCs w:val="16"/>
    </w:rPr>
  </w:style>
  <w:style w:type="paragraph" w:styleId="Header">
    <w:name w:val="header"/>
    <w:basedOn w:val="Normal"/>
    <w:link w:val="HeaderChar"/>
    <w:uiPriority w:val="99"/>
    <w:unhideWhenUsed/>
    <w:rsid w:val="002A3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D96"/>
    <w:rPr>
      <w:sz w:val="22"/>
      <w:szCs w:val="22"/>
    </w:rPr>
  </w:style>
  <w:style w:type="paragraph" w:styleId="Footer">
    <w:name w:val="footer"/>
    <w:basedOn w:val="Normal"/>
    <w:link w:val="FooterChar"/>
    <w:uiPriority w:val="99"/>
    <w:unhideWhenUsed/>
    <w:rsid w:val="002A3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D96"/>
    <w:rPr>
      <w:sz w:val="22"/>
      <w:szCs w:val="22"/>
    </w:rPr>
  </w:style>
  <w:style w:type="paragraph" w:styleId="ListParagraph">
    <w:name w:val="List Paragraph"/>
    <w:basedOn w:val="Normal"/>
    <w:uiPriority w:val="34"/>
    <w:qFormat/>
    <w:rsid w:val="006600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96"/>
    <w:rPr>
      <w:rFonts w:ascii="Tahoma" w:hAnsi="Tahoma" w:cs="Tahoma"/>
      <w:sz w:val="16"/>
      <w:szCs w:val="16"/>
    </w:rPr>
  </w:style>
  <w:style w:type="paragraph" w:styleId="Header">
    <w:name w:val="header"/>
    <w:basedOn w:val="Normal"/>
    <w:link w:val="HeaderChar"/>
    <w:uiPriority w:val="99"/>
    <w:unhideWhenUsed/>
    <w:rsid w:val="002A3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D96"/>
    <w:rPr>
      <w:sz w:val="22"/>
      <w:szCs w:val="22"/>
    </w:rPr>
  </w:style>
  <w:style w:type="paragraph" w:styleId="Footer">
    <w:name w:val="footer"/>
    <w:basedOn w:val="Normal"/>
    <w:link w:val="FooterChar"/>
    <w:uiPriority w:val="99"/>
    <w:unhideWhenUsed/>
    <w:rsid w:val="002A3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D96"/>
    <w:rPr>
      <w:sz w:val="22"/>
      <w:szCs w:val="22"/>
    </w:rPr>
  </w:style>
  <w:style w:type="paragraph" w:styleId="ListParagraph">
    <w:name w:val="List Paragraph"/>
    <w:basedOn w:val="Normal"/>
    <w:uiPriority w:val="34"/>
    <w:qFormat/>
    <w:rsid w:val="00660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18F1D42</Template>
  <TotalTime>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 Marques</dc:creator>
  <cp:keywords/>
  <dc:description/>
  <cp:lastModifiedBy>Bria Huebner</cp:lastModifiedBy>
  <cp:revision>2</cp:revision>
  <cp:lastPrinted>2020-07-16T02:45:00Z</cp:lastPrinted>
  <dcterms:created xsi:type="dcterms:W3CDTF">2020-07-16T02:45:00Z</dcterms:created>
  <dcterms:modified xsi:type="dcterms:W3CDTF">2020-07-16T02:45:00Z</dcterms:modified>
</cp:coreProperties>
</file>