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3D" w:rsidRPr="003065BB" w:rsidRDefault="00E3143D" w:rsidP="00E3143D">
      <w:pPr>
        <w:spacing w:after="0" w:line="240" w:lineRule="auto"/>
        <w:ind w:left="0"/>
        <w:rPr>
          <w:rFonts w:eastAsia="Malgun Gothic"/>
          <w:b/>
          <w:sz w:val="19"/>
        </w:rPr>
      </w:pPr>
      <w:bookmarkStart w:id="0" w:name="_GoBack"/>
      <w:bookmarkEnd w:id="0"/>
    </w:p>
    <w:p w:rsidR="00E3143D" w:rsidRPr="008B2ED2" w:rsidRDefault="00E3143D" w:rsidP="00E3143D">
      <w:pPr>
        <w:pStyle w:val="Indentheadings"/>
        <w:ind w:left="0"/>
        <w:rPr>
          <w:rFonts w:cs="Arial"/>
          <w:sz w:val="20"/>
          <w:szCs w:val="20"/>
        </w:rPr>
      </w:pPr>
      <w:r w:rsidRPr="008B2ED2">
        <w:rPr>
          <w:rFonts w:cs="Arial"/>
          <w:sz w:val="20"/>
          <w:szCs w:val="20"/>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857"/>
      </w:tblGrid>
      <w:tr w:rsidR="00E3143D" w:rsidRPr="008B2ED2" w:rsidTr="00467723">
        <w:tc>
          <w:tcPr>
            <w:tcW w:w="4615" w:type="dxa"/>
            <w:tcBorders>
              <w:left w:val="nil"/>
            </w:tcBorders>
            <w:shd w:val="clear" w:color="auto" w:fill="auto"/>
          </w:tcPr>
          <w:p w:rsidR="00E3143D" w:rsidRDefault="00E3143D" w:rsidP="00467723">
            <w:pPr>
              <w:spacing w:before="120" w:line="240" w:lineRule="auto"/>
              <w:ind w:left="0"/>
              <w:rPr>
                <w:rFonts w:cs="Arial"/>
                <w:sz w:val="20"/>
                <w:szCs w:val="20"/>
              </w:rPr>
            </w:pPr>
            <w:r w:rsidRPr="000B7569">
              <w:rPr>
                <w:rFonts w:cs="Arial"/>
                <w:b/>
                <w:sz w:val="20"/>
                <w:szCs w:val="20"/>
              </w:rPr>
              <w:t xml:space="preserve">Heritage Place: </w:t>
            </w:r>
            <w:r w:rsidRPr="000B7569">
              <w:rPr>
                <w:rFonts w:cs="Arial"/>
                <w:sz w:val="20"/>
                <w:szCs w:val="20"/>
              </w:rPr>
              <w:t>Former Thomas Warburton Pty Ltd complex</w:t>
            </w:r>
          </w:p>
          <w:p w:rsidR="001F7BB1" w:rsidRPr="000B7569" w:rsidRDefault="001F7BB1" w:rsidP="00467723">
            <w:pPr>
              <w:spacing w:before="120" w:line="240" w:lineRule="auto"/>
              <w:ind w:left="0"/>
              <w:rPr>
                <w:rFonts w:cs="Arial"/>
                <w:sz w:val="20"/>
                <w:szCs w:val="20"/>
              </w:rPr>
            </w:pPr>
            <w:r>
              <w:rPr>
                <w:noProof/>
                <w:lang w:eastAsia="en-AU"/>
              </w:rPr>
              <w:drawing>
                <wp:inline distT="0" distB="0" distL="0" distR="0" wp14:anchorId="2CADC520" wp14:editId="21703438">
                  <wp:extent cx="2165350" cy="2552700"/>
                  <wp:effectExtent l="0" t="0" r="6350" b="0"/>
                  <wp:docPr id="5" name="Picture 5" descr="IMGP4668201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466820190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2552700"/>
                          </a:xfrm>
                          <a:prstGeom prst="rect">
                            <a:avLst/>
                          </a:prstGeom>
                          <a:noFill/>
                          <a:ln>
                            <a:noFill/>
                          </a:ln>
                        </pic:spPr>
                      </pic:pic>
                    </a:graphicData>
                  </a:graphic>
                </wp:inline>
              </w:drawing>
            </w:r>
          </w:p>
          <w:p w:rsidR="00E3143D" w:rsidRPr="00167BF2" w:rsidRDefault="00E3143D" w:rsidP="00467723">
            <w:pPr>
              <w:spacing w:before="120"/>
              <w:ind w:left="0"/>
            </w:pPr>
            <w:r w:rsidRPr="008A2E8A">
              <w:t xml:space="preserve"> </w:t>
            </w:r>
            <w:r>
              <w:rPr>
                <w:noProof/>
                <w:lang w:eastAsia="en-AU"/>
              </w:rPr>
              <w:drawing>
                <wp:inline distT="0" distB="0" distL="0" distR="0" wp14:anchorId="394AAAE6" wp14:editId="008B1665">
                  <wp:extent cx="2165350" cy="2933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933700"/>
                          </a:xfrm>
                          <a:prstGeom prst="rect">
                            <a:avLst/>
                          </a:prstGeom>
                          <a:noFill/>
                          <a:ln>
                            <a:noFill/>
                          </a:ln>
                        </pic:spPr>
                      </pic:pic>
                    </a:graphicData>
                  </a:graphic>
                </wp:inline>
              </w:drawing>
            </w:r>
          </w:p>
        </w:tc>
        <w:tc>
          <w:tcPr>
            <w:tcW w:w="4616" w:type="dxa"/>
            <w:tcBorders>
              <w:right w:val="nil"/>
            </w:tcBorders>
            <w:shd w:val="clear" w:color="auto" w:fill="auto"/>
          </w:tcPr>
          <w:p w:rsidR="00E3143D" w:rsidRDefault="00E3143D" w:rsidP="006B409E">
            <w:pPr>
              <w:spacing w:before="120" w:line="240" w:lineRule="auto"/>
              <w:ind w:left="0"/>
            </w:pPr>
            <w:r w:rsidRPr="003065BB">
              <w:rPr>
                <w:rFonts w:cs="Arial"/>
                <w:b/>
                <w:sz w:val="20"/>
                <w:szCs w:val="20"/>
              </w:rPr>
              <w:t xml:space="preserve">PS ref no: </w:t>
            </w:r>
            <w:r w:rsidRPr="003065BB">
              <w:rPr>
                <w:rFonts w:cs="Arial"/>
                <w:bCs/>
                <w:sz w:val="20"/>
                <w:szCs w:val="20"/>
              </w:rPr>
              <w:t>HO1052</w:t>
            </w:r>
          </w:p>
          <w:p w:rsidR="00E3143D" w:rsidRPr="003065BB" w:rsidRDefault="00291784" w:rsidP="00467723">
            <w:pPr>
              <w:spacing w:before="120"/>
              <w:ind w:left="0"/>
              <w:rPr>
                <w:rFonts w:cs="Arial"/>
                <w:bCs/>
                <w:sz w:val="20"/>
                <w:szCs w:val="20"/>
              </w:rPr>
            </w:pPr>
            <w:r>
              <w:rPr>
                <w:noProof/>
                <w:lang w:eastAsia="en-AU"/>
              </w:rPr>
              <w:drawing>
                <wp:inline distT="0" distB="0" distL="0" distR="0" wp14:anchorId="78ADC296" wp14:editId="3D0EDDD8">
                  <wp:extent cx="3613150" cy="15367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1536700"/>
                          </a:xfrm>
                          <a:prstGeom prst="rect">
                            <a:avLst/>
                          </a:prstGeom>
                          <a:noFill/>
                          <a:ln>
                            <a:noFill/>
                          </a:ln>
                        </pic:spPr>
                      </pic:pic>
                    </a:graphicData>
                  </a:graphic>
                </wp:inline>
              </w:drawing>
            </w:r>
          </w:p>
        </w:tc>
      </w:tr>
    </w:tbl>
    <w:p w:rsidR="00E3143D" w:rsidRPr="008B2ED2" w:rsidRDefault="00E3143D" w:rsidP="00E3143D">
      <w:pPr>
        <w:spacing w:before="120"/>
        <w:ind w:left="0"/>
        <w:rPr>
          <w:rFonts w:cs="Arial"/>
          <w:b/>
          <w:sz w:val="20"/>
          <w:szCs w:val="20"/>
        </w:rPr>
      </w:pP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602wEAAKYDAAAOAAAAZHJzL2Uyb0RvYy54bWysU01v2zAMvQ/YfxB0X5x2SxEY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" strokecolor="windowText" strokeweight=".5pt">
                <v:stroke joinstyle="miter"/>
                <o:lock v:ext="edit" shapetype="f"/>
              </v:line>
            </w:pict>
          </mc:Fallback>
        </mc:AlternateContent>
      </w:r>
      <w:r w:rsidRPr="008B2ED2">
        <w:rPr>
          <w:rFonts w:cs="Arial"/>
          <w:b/>
          <w:sz w:val="20"/>
          <w:szCs w:val="20"/>
        </w:rPr>
        <w:t>What is significant?</w:t>
      </w:r>
    </w:p>
    <w:p w:rsidR="00E3143D" w:rsidRPr="00167BF2" w:rsidRDefault="00836FF6" w:rsidP="00E3143D">
      <w:pPr>
        <w:spacing w:before="120"/>
        <w:ind w:left="0"/>
        <w:rPr>
          <w:sz w:val="20"/>
          <w:szCs w:val="20"/>
        </w:rPr>
      </w:pPr>
      <w:r w:rsidRPr="00167BF2">
        <w:rPr>
          <w:sz w:val="20"/>
          <w:szCs w:val="20"/>
        </w:rPr>
        <w:t xml:space="preserve">384-386 Bourke Street, </w:t>
      </w:r>
      <w:r w:rsidR="00E3143D" w:rsidRPr="00167BF2">
        <w:rPr>
          <w:sz w:val="20"/>
          <w:szCs w:val="20"/>
        </w:rPr>
        <w:t xml:space="preserve">365-367 Little Bourke Street </w:t>
      </w:r>
      <w:r w:rsidR="00E3143D" w:rsidRPr="00B51AB2">
        <w:rPr>
          <w:sz w:val="20"/>
          <w:szCs w:val="20"/>
        </w:rPr>
        <w:t>and 2-</w:t>
      </w:r>
      <w:r w:rsidR="00E3143D">
        <w:rPr>
          <w:sz w:val="20"/>
          <w:szCs w:val="20"/>
        </w:rPr>
        <w:t>6 and 8-14</w:t>
      </w:r>
      <w:r w:rsidR="00E3143D" w:rsidRPr="00B51AB2">
        <w:rPr>
          <w:sz w:val="20"/>
          <w:szCs w:val="20"/>
        </w:rPr>
        <w:t xml:space="preserve"> Rankins Lane</w:t>
      </w:r>
      <w:r w:rsidR="00E3143D" w:rsidRPr="00167BF2">
        <w:rPr>
          <w:sz w:val="20"/>
          <w:szCs w:val="20"/>
        </w:rPr>
        <w:t xml:space="preserve">, Melbourne, the former Thomas Warburton Pty Ltd complex comprising </w:t>
      </w:r>
      <w:r w:rsidR="00E3143D" w:rsidRPr="000F389F">
        <w:rPr>
          <w:sz w:val="20"/>
          <w:szCs w:val="20"/>
        </w:rPr>
        <w:t>buildings</w:t>
      </w:r>
      <w:r w:rsidR="00E3143D" w:rsidRPr="00167BF2">
        <w:rPr>
          <w:sz w:val="20"/>
          <w:szCs w:val="20"/>
        </w:rPr>
        <w:t xml:space="preserve"> constructed over stages in 1865, 1887 and 1912.</w:t>
      </w:r>
    </w:p>
    <w:p w:rsidR="00E3143D" w:rsidRPr="00167BF2" w:rsidRDefault="00E3143D" w:rsidP="00E3143D">
      <w:pPr>
        <w:spacing w:before="120"/>
        <w:ind w:left="0"/>
        <w:rPr>
          <w:sz w:val="20"/>
          <w:szCs w:val="20"/>
        </w:rPr>
      </w:pPr>
      <w:r w:rsidRPr="00167BF2">
        <w:rPr>
          <w:sz w:val="20"/>
          <w:szCs w:val="20"/>
        </w:rPr>
        <w:t>Elements that contribute to the significance of the place include (but are not limited to):</w:t>
      </w:r>
    </w:p>
    <w:p w:rsidR="00836FF6" w:rsidRPr="00167BF2" w:rsidRDefault="00836FF6" w:rsidP="00836FF6">
      <w:pPr>
        <w:pStyle w:val="ListinSoS"/>
      </w:pPr>
      <w:r w:rsidRPr="00167BF2">
        <w:t xml:space="preserve">original two-storey form and scale, original loadbearing brick walls finished with painted render, and pattern of openings on the upper level, as well as the Italianate style decorative details including </w:t>
      </w:r>
      <w:r w:rsidRPr="00167BF2">
        <w:lastRenderedPageBreak/>
        <w:t>pilaster, cornices, parapet with open balustrade, central pediment and key stones (384-386 Bourke Street);</w:t>
      </w:r>
    </w:p>
    <w:p w:rsidR="00E3143D" w:rsidRPr="00167BF2" w:rsidRDefault="00E3143D" w:rsidP="00E3143D">
      <w:pPr>
        <w:pStyle w:val="ListinSoS"/>
      </w:pPr>
      <w:r w:rsidRPr="00167BF2">
        <w:t>original three-storey form and scale</w:t>
      </w:r>
      <w:r>
        <w:t xml:space="preserve"> incorporating rear warehouses</w:t>
      </w:r>
      <w:r w:rsidRPr="00167BF2">
        <w:t>, original loadbearing brick walls finished with painted render (street frontage), original loadbearing face brick walls with bichrome detailing (along Warburton Lane), pattern of openings on the upper level façade, pattern of openings on the Warburton Lane elevation including the cement sills with brackets and splayed edges (except for the altered ground level openings and rectangular upper level openings) as well as the Italianate style decorative details including pilasters, cornices, flat parapet with dentilation below, alternated windows shapes with rendered surrounds and key stones (365-375 Little Bourke Street);</w:t>
      </w:r>
      <w:r>
        <w:t xml:space="preserve"> and</w:t>
      </w:r>
    </w:p>
    <w:p w:rsidR="00E3143D" w:rsidRDefault="00E3143D" w:rsidP="00E3143D">
      <w:pPr>
        <w:pStyle w:val="ListinSoS"/>
      </w:pPr>
      <w:r w:rsidRPr="00167BF2">
        <w:t>original three-storey form and scale, original loadbearing face brick walls, and patterns of openings on the upper level, bays divided by plain pilasters and terminated with semi-circular arches, recessed spandrels, corbel heads, reinforced concrete lintels, and other original</w:t>
      </w:r>
      <w:r>
        <w:t xml:space="preserve"> or early</w:t>
      </w:r>
      <w:r w:rsidRPr="00167BF2">
        <w:t xml:space="preserve"> details such as hoists</w:t>
      </w:r>
      <w:r>
        <w:t xml:space="preserve">, any original timber or steel window frames </w:t>
      </w:r>
      <w:r w:rsidRPr="00167BF2">
        <w:t xml:space="preserve">and sets of double doors </w:t>
      </w:r>
      <w:r>
        <w:t xml:space="preserve">including those </w:t>
      </w:r>
      <w:r w:rsidRPr="00167BF2">
        <w:t xml:space="preserve">on the loading </w:t>
      </w:r>
      <w:r w:rsidRPr="006E4D11">
        <w:t>doors (</w:t>
      </w:r>
      <w:r w:rsidR="00836FF6" w:rsidRPr="006E4D11">
        <w:t>rear of</w:t>
      </w:r>
      <w:r w:rsidR="00836FF6" w:rsidRPr="00167BF2">
        <w:t xml:space="preserve"> 384-386 Bourke Street in Warburton Lane, and </w:t>
      </w:r>
      <w:r w:rsidRPr="00B51AB2">
        <w:t>2-</w:t>
      </w:r>
      <w:r>
        <w:t>6 and 8-14</w:t>
      </w:r>
      <w:r w:rsidRPr="00B51AB2">
        <w:t xml:space="preserve"> Rankins Lane</w:t>
      </w:r>
      <w:r w:rsidRPr="00167BF2">
        <w:t>)</w:t>
      </w:r>
      <w:r>
        <w:t>.</w:t>
      </w:r>
    </w:p>
    <w:p w:rsidR="00E3143D" w:rsidRPr="00E3704A" w:rsidRDefault="00E3143D" w:rsidP="00E3143D">
      <w:pPr>
        <w:ind w:left="0"/>
        <w:rPr>
          <w:sz w:val="20"/>
          <w:szCs w:val="24"/>
        </w:rPr>
      </w:pPr>
      <w:r w:rsidRPr="00E3704A">
        <w:rPr>
          <w:sz w:val="20"/>
          <w:szCs w:val="24"/>
        </w:rPr>
        <w:t xml:space="preserve">Later </w:t>
      </w:r>
      <w:r>
        <w:rPr>
          <w:sz w:val="20"/>
          <w:szCs w:val="24"/>
        </w:rPr>
        <w:t>changes, including alterations to the ground-level shopfronts (365-367 Little Bourke Street),</w:t>
      </w:r>
      <w:r w:rsidR="00D6041F">
        <w:rPr>
          <w:sz w:val="20"/>
          <w:szCs w:val="24"/>
        </w:rPr>
        <w:t xml:space="preserve"> new projected signages (384-386 Bourke Street),</w:t>
      </w:r>
      <w:r>
        <w:rPr>
          <w:sz w:val="20"/>
          <w:szCs w:val="24"/>
        </w:rPr>
        <w:t xml:space="preserve"> and infill of ground-level openings</w:t>
      </w:r>
      <w:r w:rsidR="00D6041F">
        <w:rPr>
          <w:sz w:val="20"/>
          <w:szCs w:val="24"/>
        </w:rPr>
        <w:t xml:space="preserve"> (rear of 384-386 Bourke Street)</w:t>
      </w:r>
      <w:r>
        <w:rPr>
          <w:sz w:val="20"/>
          <w:szCs w:val="24"/>
        </w:rPr>
        <w:t>, are not significant.</w:t>
      </w:r>
    </w:p>
    <w:p w:rsidR="00E3143D" w:rsidRPr="00167BF2" w:rsidRDefault="00E3143D" w:rsidP="00E3143D">
      <w:pPr>
        <w:pBdr>
          <w:bottom w:val="single" w:sz="4" w:space="1" w:color="auto"/>
        </w:pBdr>
        <w:spacing w:before="120"/>
        <w:ind w:left="0"/>
        <w:rPr>
          <w:b/>
          <w:sz w:val="20"/>
          <w:szCs w:val="20"/>
        </w:rPr>
      </w:pPr>
      <w:r w:rsidRPr="00167BF2">
        <w:rPr>
          <w:b/>
          <w:sz w:val="20"/>
          <w:szCs w:val="20"/>
        </w:rPr>
        <w:t>How it is significant</w:t>
      </w:r>
      <w:r>
        <w:rPr>
          <w:bCs/>
          <w:sz w:val="20"/>
          <w:szCs w:val="20"/>
        </w:rPr>
        <w:t>?</w:t>
      </w:r>
    </w:p>
    <w:p w:rsidR="00E3143D" w:rsidRPr="00167BF2" w:rsidRDefault="00E3143D" w:rsidP="00E3143D">
      <w:pPr>
        <w:spacing w:before="120"/>
        <w:ind w:left="0"/>
        <w:rPr>
          <w:sz w:val="20"/>
          <w:szCs w:val="20"/>
        </w:rPr>
      </w:pPr>
      <w:r w:rsidRPr="00167BF2">
        <w:rPr>
          <w:sz w:val="20"/>
          <w:szCs w:val="20"/>
        </w:rPr>
        <w:t xml:space="preserve">The complex of buildings at </w:t>
      </w:r>
      <w:r w:rsidR="00D6041F" w:rsidRPr="00167BF2">
        <w:rPr>
          <w:sz w:val="20"/>
          <w:szCs w:val="20"/>
        </w:rPr>
        <w:t>384-386 Bourke Street,</w:t>
      </w:r>
      <w:r w:rsidRPr="00167BF2">
        <w:rPr>
          <w:sz w:val="20"/>
          <w:szCs w:val="20"/>
        </w:rPr>
        <w:t xml:space="preserve"> 365-367 Little Bourke Street and </w:t>
      </w:r>
      <w:r w:rsidRPr="00B51AB2">
        <w:rPr>
          <w:sz w:val="20"/>
          <w:szCs w:val="20"/>
        </w:rPr>
        <w:t>2-</w:t>
      </w:r>
      <w:r>
        <w:rPr>
          <w:sz w:val="20"/>
          <w:szCs w:val="20"/>
        </w:rPr>
        <w:t>6 and 8-14</w:t>
      </w:r>
      <w:r w:rsidRPr="00167BF2">
        <w:rPr>
          <w:sz w:val="20"/>
          <w:szCs w:val="20"/>
        </w:rPr>
        <w:t xml:space="preserve"> Rankins Lane, Melbourne, is of local historic and representative significance to the City of Melbourne.</w:t>
      </w:r>
    </w:p>
    <w:p w:rsidR="00E3143D" w:rsidRPr="00167BF2" w:rsidRDefault="00E3143D" w:rsidP="00E3143D">
      <w:pPr>
        <w:pBdr>
          <w:bottom w:val="single" w:sz="4" w:space="1" w:color="auto"/>
        </w:pBdr>
        <w:spacing w:before="120"/>
        <w:ind w:left="0"/>
        <w:rPr>
          <w:bCs/>
          <w:sz w:val="20"/>
          <w:szCs w:val="20"/>
        </w:rPr>
      </w:pPr>
      <w:r w:rsidRPr="00167BF2">
        <w:rPr>
          <w:b/>
          <w:bCs/>
          <w:sz w:val="20"/>
          <w:szCs w:val="20"/>
        </w:rPr>
        <w:t>Why it is significant</w:t>
      </w:r>
      <w:r>
        <w:rPr>
          <w:b/>
          <w:bCs/>
          <w:sz w:val="20"/>
          <w:szCs w:val="20"/>
        </w:rPr>
        <w:t>?</w:t>
      </w:r>
    </w:p>
    <w:p w:rsidR="00E3143D" w:rsidRPr="00167BF2" w:rsidRDefault="00E3143D" w:rsidP="00E3143D">
      <w:pPr>
        <w:spacing w:before="120"/>
        <w:ind w:left="0"/>
        <w:rPr>
          <w:bCs/>
          <w:sz w:val="20"/>
          <w:szCs w:val="20"/>
        </w:rPr>
      </w:pPr>
      <w:r w:rsidRPr="00167BF2">
        <w:rPr>
          <w:sz w:val="20"/>
          <w:szCs w:val="20"/>
        </w:rPr>
        <w:t xml:space="preserve">The complex of buildings at </w:t>
      </w:r>
      <w:r w:rsidR="00D14FA5" w:rsidRPr="00167BF2">
        <w:rPr>
          <w:sz w:val="20"/>
          <w:szCs w:val="20"/>
        </w:rPr>
        <w:t xml:space="preserve">384-386 Bourke Street, </w:t>
      </w:r>
      <w:r w:rsidRPr="00167BF2">
        <w:rPr>
          <w:sz w:val="20"/>
          <w:szCs w:val="20"/>
        </w:rPr>
        <w:t xml:space="preserve">365-367 Little Bourke Street, </w:t>
      </w:r>
      <w:r w:rsidRPr="00B51AB2">
        <w:rPr>
          <w:sz w:val="20"/>
          <w:szCs w:val="20"/>
        </w:rPr>
        <w:t>2-</w:t>
      </w:r>
      <w:r>
        <w:rPr>
          <w:sz w:val="20"/>
          <w:szCs w:val="20"/>
        </w:rPr>
        <w:t>6 and 8-14</w:t>
      </w:r>
      <w:r w:rsidRPr="00B51AB2">
        <w:rPr>
          <w:sz w:val="20"/>
          <w:szCs w:val="20"/>
        </w:rPr>
        <w:t xml:space="preserve"> Rankins Lane</w:t>
      </w:r>
      <w:r w:rsidRPr="00167BF2">
        <w:rPr>
          <w:sz w:val="20"/>
          <w:szCs w:val="20"/>
        </w:rPr>
        <w:t xml:space="preserve">, constructed over stages in </w:t>
      </w:r>
      <w:r w:rsidR="00D14FA5" w:rsidRPr="00167BF2">
        <w:rPr>
          <w:sz w:val="20"/>
          <w:szCs w:val="20"/>
        </w:rPr>
        <w:t xml:space="preserve">1865, </w:t>
      </w:r>
      <w:r w:rsidRPr="00167BF2">
        <w:rPr>
          <w:sz w:val="20"/>
          <w:szCs w:val="20"/>
        </w:rPr>
        <w:t xml:space="preserve">1887 and 1912 by Thomas Warburton Pty Ltd </w:t>
      </w:r>
      <w:r w:rsidRPr="00167BF2">
        <w:rPr>
          <w:sz w:val="20"/>
          <w:szCs w:val="20"/>
          <w:lang w:val="en-US"/>
        </w:rPr>
        <w:t>is historically significant</w:t>
      </w:r>
      <w:r w:rsidRPr="00167BF2">
        <w:rPr>
          <w:sz w:val="20"/>
          <w:szCs w:val="20"/>
        </w:rPr>
        <w:t xml:space="preserve">. Developed and owned by a single company, the group of adjoining buildings provide important tangible evidence of the evolution of </w:t>
      </w:r>
      <w:r>
        <w:rPr>
          <w:sz w:val="20"/>
          <w:szCs w:val="20"/>
        </w:rPr>
        <w:t>a prominent</w:t>
      </w:r>
      <w:r w:rsidRPr="00167BF2">
        <w:rPr>
          <w:sz w:val="20"/>
          <w:szCs w:val="20"/>
        </w:rPr>
        <w:t xml:space="preserve"> business in this area of central Melbourne</w:t>
      </w:r>
      <w:r>
        <w:rPr>
          <w:sz w:val="20"/>
          <w:szCs w:val="20"/>
        </w:rPr>
        <w:t xml:space="preserve"> that </w:t>
      </w:r>
      <w:r w:rsidRPr="00167BF2">
        <w:rPr>
          <w:sz w:val="20"/>
          <w:szCs w:val="20"/>
        </w:rPr>
        <w:t xml:space="preserve">was known for horse bazaars, ironmongery and hardware merchants from the 1840s. </w:t>
      </w:r>
      <w:r w:rsidRPr="00167BF2">
        <w:rPr>
          <w:sz w:val="20"/>
          <w:szCs w:val="20"/>
          <w:lang w:val="en-US"/>
        </w:rPr>
        <w:t xml:space="preserve">A </w:t>
      </w:r>
      <w:r w:rsidRPr="00167BF2">
        <w:rPr>
          <w:bCs/>
          <w:sz w:val="20"/>
          <w:szCs w:val="20"/>
        </w:rPr>
        <w:t>notable ironmonger and hardware supplier, Thomas Warburton established his business at 384-386 Bourke Street in 1865,</w:t>
      </w:r>
      <w:r w:rsidRPr="00167BF2">
        <w:rPr>
          <w:sz w:val="20"/>
          <w:szCs w:val="20"/>
        </w:rPr>
        <w:t xml:space="preserve"> buying a block running through to Little Bourke Street, on which the Warburton family gradually </w:t>
      </w:r>
      <w:r w:rsidRPr="000F389F">
        <w:rPr>
          <w:sz w:val="20"/>
          <w:szCs w:val="20"/>
        </w:rPr>
        <w:t>developed their business and other warehouses creating an extensive complex that comprised 11 buildings by</w:t>
      </w:r>
      <w:r w:rsidRPr="00167BF2">
        <w:rPr>
          <w:sz w:val="20"/>
          <w:szCs w:val="20"/>
        </w:rPr>
        <w:t xml:space="preserve"> the mid-1920s.</w:t>
      </w:r>
      <w:r w:rsidRPr="00167BF2">
        <w:rPr>
          <w:bCs/>
          <w:sz w:val="20"/>
          <w:szCs w:val="20"/>
        </w:rPr>
        <w:t xml:space="preserve"> Thomas Warburton Pty Ltd was directly associated with the site for more than 100 years.</w:t>
      </w:r>
      <w:r>
        <w:rPr>
          <w:bCs/>
          <w:sz w:val="20"/>
          <w:szCs w:val="20"/>
        </w:rPr>
        <w:t xml:space="preserve"> </w:t>
      </w:r>
      <w:r w:rsidRPr="00167BF2">
        <w:rPr>
          <w:sz w:val="20"/>
          <w:szCs w:val="20"/>
        </w:rPr>
        <w:t xml:space="preserve">Thomas Warburton Pty Ltd </w:t>
      </w:r>
      <w:r w:rsidRPr="00167BF2">
        <w:rPr>
          <w:bCs/>
          <w:sz w:val="20"/>
          <w:szCs w:val="20"/>
        </w:rPr>
        <w:t xml:space="preserve">was </w:t>
      </w:r>
      <w:r w:rsidRPr="00167BF2">
        <w:rPr>
          <w:sz w:val="20"/>
          <w:szCs w:val="20"/>
          <w:lang w:val="en-US"/>
        </w:rPr>
        <w:t xml:space="preserve">one of the key manufacturing and wholesaling businesses that once thrived in the </w:t>
      </w:r>
      <w:r w:rsidRPr="00B51AB2">
        <w:rPr>
          <w:sz w:val="20"/>
          <w:szCs w:val="20"/>
          <w:lang w:val="en-US"/>
        </w:rPr>
        <w:t>immediate</w:t>
      </w:r>
      <w:r w:rsidRPr="00167BF2">
        <w:rPr>
          <w:sz w:val="20"/>
          <w:szCs w:val="20"/>
          <w:lang w:val="en-US"/>
        </w:rPr>
        <w:t xml:space="preserve"> area.</w:t>
      </w:r>
      <w:r>
        <w:rPr>
          <w:sz w:val="20"/>
          <w:szCs w:val="20"/>
          <w:lang w:val="en-US"/>
        </w:rPr>
        <w:t xml:space="preserve"> </w:t>
      </w:r>
      <w:r w:rsidRPr="00167BF2">
        <w:rPr>
          <w:sz w:val="20"/>
          <w:szCs w:val="20"/>
        </w:rPr>
        <w:t>The company survives today as Thomas Warburton Pty Ltd, owned by the multinational Wurth Group.</w:t>
      </w:r>
      <w:r>
        <w:rPr>
          <w:bCs/>
          <w:sz w:val="20"/>
          <w:szCs w:val="20"/>
        </w:rPr>
        <w:t xml:space="preserve"> (Criterion A)</w:t>
      </w:r>
    </w:p>
    <w:p w:rsidR="00E3143D" w:rsidRDefault="00E3143D" w:rsidP="00E3143D">
      <w:pPr>
        <w:spacing w:before="120"/>
        <w:ind w:left="0"/>
        <w:rPr>
          <w:sz w:val="20"/>
          <w:szCs w:val="20"/>
        </w:rPr>
      </w:pPr>
      <w:r w:rsidRPr="0013174A">
        <w:rPr>
          <w:sz w:val="20"/>
          <w:szCs w:val="20"/>
        </w:rPr>
        <w:t xml:space="preserve">The former Thomas Warburton Pty Ltd complex </w:t>
      </w:r>
      <w:r>
        <w:rPr>
          <w:sz w:val="20"/>
          <w:szCs w:val="20"/>
        </w:rPr>
        <w:t xml:space="preserve">is significant as a representative example of a </w:t>
      </w:r>
      <w:r w:rsidRPr="0013174A">
        <w:rPr>
          <w:sz w:val="20"/>
          <w:szCs w:val="20"/>
        </w:rPr>
        <w:t xml:space="preserve">building complex associated with manufacturing and wholesaling, </w:t>
      </w:r>
      <w:r>
        <w:rPr>
          <w:sz w:val="20"/>
          <w:szCs w:val="20"/>
        </w:rPr>
        <w:t>which</w:t>
      </w:r>
      <w:r w:rsidRPr="0013174A">
        <w:rPr>
          <w:sz w:val="20"/>
          <w:szCs w:val="20"/>
        </w:rPr>
        <w:t xml:space="preserve"> was once common in central Melbourne but is now unusual.</w:t>
      </w:r>
      <w:r>
        <w:rPr>
          <w:sz w:val="20"/>
          <w:szCs w:val="20"/>
        </w:rPr>
        <w:t xml:space="preserve"> D</w:t>
      </w:r>
      <w:r w:rsidRPr="0013174A">
        <w:rPr>
          <w:sz w:val="20"/>
          <w:szCs w:val="20"/>
        </w:rPr>
        <w:t xml:space="preserve">eveloped for the same owner, the complex retains a substantial cluster of buildings </w:t>
      </w:r>
      <w:r>
        <w:rPr>
          <w:sz w:val="20"/>
          <w:szCs w:val="20"/>
        </w:rPr>
        <w:t xml:space="preserve">that are reflective of their respective </w:t>
      </w:r>
      <w:r w:rsidRPr="0013174A">
        <w:rPr>
          <w:sz w:val="20"/>
          <w:szCs w:val="20"/>
        </w:rPr>
        <w:t xml:space="preserve">types (shops </w:t>
      </w:r>
      <w:r>
        <w:rPr>
          <w:sz w:val="20"/>
          <w:szCs w:val="20"/>
        </w:rPr>
        <w:t xml:space="preserve">with </w:t>
      </w:r>
      <w:r w:rsidRPr="0013174A">
        <w:rPr>
          <w:sz w:val="20"/>
          <w:szCs w:val="20"/>
        </w:rPr>
        <w:t xml:space="preserve">residences </w:t>
      </w:r>
      <w:r>
        <w:rPr>
          <w:sz w:val="20"/>
          <w:szCs w:val="20"/>
        </w:rPr>
        <w:t xml:space="preserve">above, storage </w:t>
      </w:r>
      <w:r w:rsidRPr="0013174A">
        <w:rPr>
          <w:sz w:val="20"/>
          <w:szCs w:val="20"/>
        </w:rPr>
        <w:t>and warehouse</w:t>
      </w:r>
      <w:r>
        <w:rPr>
          <w:sz w:val="20"/>
          <w:szCs w:val="20"/>
        </w:rPr>
        <w:t>s</w:t>
      </w:r>
      <w:r w:rsidRPr="0013174A">
        <w:rPr>
          <w:sz w:val="20"/>
          <w:szCs w:val="20"/>
        </w:rPr>
        <w:t>)</w:t>
      </w:r>
      <w:r>
        <w:rPr>
          <w:sz w:val="20"/>
          <w:szCs w:val="20"/>
        </w:rPr>
        <w:t xml:space="preserve"> and time periods (mid- and late Victorian and Federation/Edwardian</w:t>
      </w:r>
      <w:r w:rsidRPr="0013174A">
        <w:rPr>
          <w:sz w:val="20"/>
          <w:szCs w:val="20"/>
        </w:rPr>
        <w:t xml:space="preserve"> </w:t>
      </w:r>
      <w:r>
        <w:rPr>
          <w:sz w:val="20"/>
          <w:szCs w:val="20"/>
        </w:rPr>
        <w:t>periods)</w:t>
      </w:r>
      <w:r w:rsidRPr="0013174A">
        <w:rPr>
          <w:sz w:val="20"/>
          <w:szCs w:val="20"/>
        </w:rPr>
        <w:t xml:space="preserve">. </w:t>
      </w:r>
      <w:r>
        <w:rPr>
          <w:sz w:val="20"/>
          <w:szCs w:val="20"/>
        </w:rPr>
        <w:t>The design aesthetics of each respective time period is reflected in the designs of each building in the complex.</w:t>
      </w:r>
      <w:r w:rsidR="00505485">
        <w:rPr>
          <w:sz w:val="20"/>
          <w:szCs w:val="20"/>
        </w:rPr>
        <w:t xml:space="preserve"> </w:t>
      </w:r>
      <w:r w:rsidR="00505485" w:rsidRPr="00167BF2">
        <w:rPr>
          <w:sz w:val="20"/>
          <w:szCs w:val="20"/>
        </w:rPr>
        <w:t xml:space="preserve">The 1865 </w:t>
      </w:r>
      <w:r w:rsidR="00505485">
        <w:rPr>
          <w:sz w:val="20"/>
          <w:szCs w:val="20"/>
        </w:rPr>
        <w:t xml:space="preserve">building at </w:t>
      </w:r>
      <w:r w:rsidR="00505485" w:rsidRPr="00167BF2">
        <w:rPr>
          <w:sz w:val="20"/>
          <w:szCs w:val="20"/>
        </w:rPr>
        <w:lastRenderedPageBreak/>
        <w:t xml:space="preserve">384-386 Bourke Street </w:t>
      </w:r>
      <w:r w:rsidR="00505485">
        <w:rPr>
          <w:sz w:val="20"/>
          <w:szCs w:val="20"/>
          <w:lang w:val="en-US"/>
        </w:rPr>
        <w:t xml:space="preserve">is an early </w:t>
      </w:r>
      <w:r w:rsidR="00505485" w:rsidRPr="008A52AC">
        <w:rPr>
          <w:sz w:val="20"/>
          <w:szCs w:val="20"/>
          <w:lang w:val="en-US"/>
        </w:rPr>
        <w:t>example</w:t>
      </w:r>
      <w:r w:rsidR="00505485">
        <w:rPr>
          <w:sz w:val="20"/>
          <w:szCs w:val="20"/>
          <w:lang w:val="en-US"/>
        </w:rPr>
        <w:t xml:space="preserve"> of </w:t>
      </w:r>
      <w:r w:rsidR="00505485" w:rsidRPr="00167BF2">
        <w:rPr>
          <w:sz w:val="20"/>
          <w:szCs w:val="20"/>
          <w:lang w:val="en-US"/>
        </w:rPr>
        <w:t>Italianate style</w:t>
      </w:r>
      <w:r w:rsidR="00505485">
        <w:rPr>
          <w:sz w:val="20"/>
          <w:szCs w:val="20"/>
          <w:lang w:val="en-US"/>
        </w:rPr>
        <w:t xml:space="preserve"> shop and residence building in central Melbourne</w:t>
      </w:r>
      <w:r w:rsidR="00505485" w:rsidRPr="00167BF2">
        <w:rPr>
          <w:sz w:val="20"/>
          <w:szCs w:val="20"/>
          <w:lang w:val="en-US"/>
        </w:rPr>
        <w:t xml:space="preserve">. </w:t>
      </w:r>
      <w:r w:rsidR="00505485">
        <w:rPr>
          <w:sz w:val="20"/>
          <w:szCs w:val="20"/>
          <w:lang w:val="en-US"/>
        </w:rPr>
        <w:t>S</w:t>
      </w:r>
      <w:r w:rsidR="00505485" w:rsidRPr="00167BF2">
        <w:rPr>
          <w:sz w:val="20"/>
          <w:szCs w:val="20"/>
          <w:lang w:val="en-US"/>
        </w:rPr>
        <w:t xml:space="preserve">haring similar </w:t>
      </w:r>
      <w:r w:rsidR="00505485">
        <w:rPr>
          <w:sz w:val="20"/>
          <w:szCs w:val="20"/>
          <w:lang w:val="en-US"/>
        </w:rPr>
        <w:t>stylistic elements</w:t>
      </w:r>
      <w:r w:rsidR="00505485" w:rsidRPr="00167BF2">
        <w:rPr>
          <w:sz w:val="20"/>
          <w:szCs w:val="20"/>
          <w:lang w:val="en-US"/>
        </w:rPr>
        <w:t>,</w:t>
      </w:r>
      <w:r w:rsidR="00505485">
        <w:rPr>
          <w:sz w:val="20"/>
          <w:szCs w:val="20"/>
          <w:lang w:val="en-US"/>
        </w:rPr>
        <w:t xml:space="preserve"> T</w:t>
      </w:r>
      <w:r w:rsidRPr="00167BF2">
        <w:rPr>
          <w:sz w:val="20"/>
          <w:szCs w:val="20"/>
        </w:rPr>
        <w:t xml:space="preserve">he design of 365-367 Little Bourke Street represents </w:t>
      </w:r>
      <w:r>
        <w:rPr>
          <w:sz w:val="20"/>
          <w:szCs w:val="20"/>
        </w:rPr>
        <w:t>a</w:t>
      </w:r>
      <w:r w:rsidRPr="00167BF2">
        <w:rPr>
          <w:sz w:val="20"/>
          <w:szCs w:val="20"/>
        </w:rPr>
        <w:t xml:space="preserve"> shift</w:t>
      </w:r>
      <w:r>
        <w:rPr>
          <w:sz w:val="20"/>
          <w:szCs w:val="20"/>
        </w:rPr>
        <w:t xml:space="preserve"> in</w:t>
      </w:r>
      <w:r w:rsidRPr="00167BF2">
        <w:rPr>
          <w:sz w:val="20"/>
          <w:szCs w:val="20"/>
        </w:rPr>
        <w:t xml:space="preserve"> preference </w:t>
      </w:r>
      <w:r>
        <w:rPr>
          <w:sz w:val="20"/>
          <w:szCs w:val="20"/>
        </w:rPr>
        <w:t>towards</w:t>
      </w:r>
      <w:r w:rsidRPr="00167BF2">
        <w:rPr>
          <w:sz w:val="20"/>
          <w:szCs w:val="20"/>
        </w:rPr>
        <w:t xml:space="preserve"> </w:t>
      </w:r>
      <w:r>
        <w:rPr>
          <w:sz w:val="20"/>
          <w:szCs w:val="20"/>
        </w:rPr>
        <w:t>highly</w:t>
      </w:r>
      <w:r w:rsidRPr="00167BF2">
        <w:rPr>
          <w:sz w:val="20"/>
          <w:szCs w:val="20"/>
        </w:rPr>
        <w:t xml:space="preserve"> ornamented designs over </w:t>
      </w:r>
      <w:r>
        <w:rPr>
          <w:sz w:val="20"/>
          <w:szCs w:val="20"/>
        </w:rPr>
        <w:t>the</w:t>
      </w:r>
      <w:r w:rsidRPr="00167BF2">
        <w:rPr>
          <w:sz w:val="20"/>
          <w:szCs w:val="20"/>
        </w:rPr>
        <w:t xml:space="preserve"> </w:t>
      </w:r>
      <w:r>
        <w:rPr>
          <w:sz w:val="20"/>
          <w:szCs w:val="20"/>
        </w:rPr>
        <w:t xml:space="preserve">more </w:t>
      </w:r>
      <w:r w:rsidRPr="00167BF2">
        <w:rPr>
          <w:sz w:val="20"/>
          <w:szCs w:val="20"/>
        </w:rPr>
        <w:t xml:space="preserve">plainly decorated variations </w:t>
      </w:r>
      <w:r>
        <w:rPr>
          <w:sz w:val="20"/>
          <w:szCs w:val="20"/>
        </w:rPr>
        <w:t>of</w:t>
      </w:r>
      <w:r w:rsidRPr="00167BF2">
        <w:rPr>
          <w:sz w:val="20"/>
          <w:szCs w:val="20"/>
        </w:rPr>
        <w:t xml:space="preserve"> the earlier decades.</w:t>
      </w:r>
      <w:r>
        <w:rPr>
          <w:sz w:val="20"/>
          <w:szCs w:val="20"/>
        </w:rPr>
        <w:t xml:space="preserve"> </w:t>
      </w:r>
      <w:r w:rsidRPr="00167BF2">
        <w:rPr>
          <w:sz w:val="20"/>
          <w:szCs w:val="20"/>
        </w:rPr>
        <w:t xml:space="preserve">The rear three-storey warehouses fronting Warburton and Rankins lanes are </w:t>
      </w:r>
      <w:r>
        <w:rPr>
          <w:sz w:val="20"/>
          <w:szCs w:val="20"/>
        </w:rPr>
        <w:t>representative of Federation-era</w:t>
      </w:r>
      <w:r w:rsidRPr="00167BF2">
        <w:rPr>
          <w:sz w:val="20"/>
          <w:szCs w:val="20"/>
        </w:rPr>
        <w:t xml:space="preserve"> face red brick warehouses</w:t>
      </w:r>
      <w:r w:rsidRPr="00FA2CC5">
        <w:rPr>
          <w:sz w:val="20"/>
          <w:szCs w:val="20"/>
        </w:rPr>
        <w:t xml:space="preserve"> </w:t>
      </w:r>
      <w:r>
        <w:rPr>
          <w:sz w:val="20"/>
          <w:szCs w:val="20"/>
        </w:rPr>
        <w:t>with utilitarian characteristics</w:t>
      </w:r>
      <w:r w:rsidRPr="00167BF2">
        <w:rPr>
          <w:sz w:val="20"/>
          <w:szCs w:val="20"/>
        </w:rPr>
        <w:t>.</w:t>
      </w:r>
      <w:r>
        <w:rPr>
          <w:sz w:val="20"/>
          <w:szCs w:val="20"/>
        </w:rPr>
        <w:t xml:space="preserve"> Overall, t</w:t>
      </w:r>
      <w:r w:rsidRPr="0013174A">
        <w:rPr>
          <w:sz w:val="20"/>
          <w:szCs w:val="20"/>
        </w:rPr>
        <w:t xml:space="preserve">he former Thomas Warburton Pty Ltd complex </w:t>
      </w:r>
      <w:r>
        <w:rPr>
          <w:sz w:val="20"/>
          <w:szCs w:val="20"/>
        </w:rPr>
        <w:t xml:space="preserve">is highly important as </w:t>
      </w:r>
      <w:r w:rsidRPr="0013174A">
        <w:rPr>
          <w:sz w:val="20"/>
          <w:szCs w:val="20"/>
        </w:rPr>
        <w:t xml:space="preserve">a collection of </w:t>
      </w:r>
      <w:r>
        <w:rPr>
          <w:sz w:val="20"/>
          <w:szCs w:val="20"/>
        </w:rPr>
        <w:t xml:space="preserve">substantially intact </w:t>
      </w:r>
      <w:r w:rsidRPr="0013174A">
        <w:rPr>
          <w:sz w:val="20"/>
          <w:szCs w:val="20"/>
        </w:rPr>
        <w:t xml:space="preserve">buildings that provide tangible evidence of an important pattern of development in central Melbourne. </w:t>
      </w:r>
      <w:r w:rsidRPr="00167BF2">
        <w:rPr>
          <w:sz w:val="20"/>
          <w:szCs w:val="20"/>
        </w:rPr>
        <w:t>(Criterion D)</w:t>
      </w:r>
    </w:p>
    <w:p w:rsidR="00E3143D" w:rsidRPr="000B7569" w:rsidRDefault="00E3143D" w:rsidP="00E3143D">
      <w:pPr>
        <w:ind w:left="0"/>
        <w:jc w:val="both"/>
        <w:rPr>
          <w:rFonts w:cs="Arial"/>
          <w:b/>
          <w:bCs/>
          <w:sz w:val="20"/>
          <w:szCs w:val="20"/>
          <w:u w:color="1A1A1A"/>
        </w:rPr>
      </w:pPr>
      <w:r>
        <w:rPr>
          <w:noProof/>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A6&#10;GWTW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0B7569">
        <w:rPr>
          <w:rFonts w:cs="Arial"/>
          <w:b/>
          <w:bCs/>
          <w:sz w:val="20"/>
          <w:szCs w:val="20"/>
          <w:u w:color="1A1A1A"/>
        </w:rPr>
        <w:t>Primary source</w:t>
      </w:r>
    </w:p>
    <w:p w:rsidR="00E3143D" w:rsidRPr="008B2ED2" w:rsidRDefault="00E3143D" w:rsidP="00E3143D">
      <w:pPr>
        <w:ind w:left="0"/>
        <w:jc w:val="both"/>
        <w:rPr>
          <w:rFonts w:cs="Arial"/>
          <w:sz w:val="20"/>
          <w:szCs w:val="20"/>
          <w:u w:color="1A1A1A"/>
        </w:rPr>
      </w:pPr>
      <w:r w:rsidRPr="000B7569">
        <w:rPr>
          <w:rFonts w:cs="Arial"/>
          <w:sz w:val="20"/>
          <w:szCs w:val="20"/>
          <w:u w:color="1A1A1A"/>
        </w:rPr>
        <w:t>Hoddle Grid Heritage Review (Context &amp; GJM Heritage, 2020)</w:t>
      </w:r>
    </w:p>
    <w:sectPr w:rsidR="00E3143D" w:rsidRPr="008B2ED2" w:rsidSect="00E3143D">
      <w:footerReference w:type="default" r:id="rId11"/>
      <w:pgSz w:w="11906" w:h="16838"/>
      <w:pgMar w:top="1304" w:right="964" w:bottom="1304"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9B" w:rsidRDefault="00732D9B" w:rsidP="00732D9B">
      <w:pPr>
        <w:spacing w:after="0" w:line="240" w:lineRule="auto"/>
      </w:pPr>
      <w:r>
        <w:separator/>
      </w:r>
    </w:p>
  </w:endnote>
  <w:endnote w:type="continuationSeparator" w:id="0">
    <w:p w:rsidR="00732D9B" w:rsidRDefault="00732D9B" w:rsidP="007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F7" w:rsidRPr="000343AC" w:rsidRDefault="00732D9B">
    <w:pPr>
      <w:pStyle w:val="Footer"/>
      <w:jc w:val="right"/>
      <w:rPr>
        <w:rFonts w:cs="Arial"/>
        <w:sz w:val="16"/>
        <w:szCs w:val="16"/>
      </w:rPr>
    </w:pPr>
    <w:r w:rsidRPr="000343AC">
      <w:rPr>
        <w:rFonts w:cs="Arial"/>
        <w:sz w:val="16"/>
        <w:szCs w:val="16"/>
      </w:rPr>
      <w:fldChar w:fldCharType="begin"/>
    </w:r>
    <w:r w:rsidRPr="000343AC">
      <w:rPr>
        <w:rFonts w:cs="Arial"/>
        <w:sz w:val="16"/>
        <w:szCs w:val="16"/>
      </w:rPr>
      <w:instrText xml:space="preserve"> PAGE   \* MERGEFORMAT </w:instrText>
    </w:r>
    <w:r w:rsidRPr="000343AC">
      <w:rPr>
        <w:rFonts w:cs="Arial"/>
        <w:sz w:val="16"/>
        <w:szCs w:val="16"/>
      </w:rPr>
      <w:fldChar w:fldCharType="separate"/>
    </w:r>
    <w:r w:rsidR="0044477B" w:rsidRPr="0044477B">
      <w:rPr>
        <w:rFonts w:cs="Arial"/>
        <w:noProof/>
        <w:szCs w:val="16"/>
      </w:rPr>
      <w:t>2</w:t>
    </w:r>
    <w:r w:rsidRPr="000343AC">
      <w:rPr>
        <w:rFonts w:cs="Arial"/>
        <w:noProof/>
        <w:sz w:val="16"/>
        <w:szCs w:val="16"/>
      </w:rPr>
      <w:fldChar w:fldCharType="end"/>
    </w:r>
  </w:p>
  <w:p w:rsidR="005066F7" w:rsidRDefault="00732D9B" w:rsidP="00087996">
    <w:pPr>
      <w:ind w:left="0"/>
    </w:pPr>
    <w:r>
      <w:t>INCORPORATED DOCUMENT – SCHEDULE TO CLAUSE 72.04</w:t>
    </w:r>
    <w:r>
      <w:tab/>
    </w:r>
    <w:r>
      <w:tab/>
    </w:r>
    <w: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9B" w:rsidRDefault="00732D9B" w:rsidP="00732D9B">
      <w:pPr>
        <w:spacing w:after="0" w:line="240" w:lineRule="auto"/>
      </w:pPr>
      <w:r>
        <w:separator/>
      </w:r>
    </w:p>
  </w:footnote>
  <w:footnote w:type="continuationSeparator" w:id="0">
    <w:p w:rsidR="00732D9B" w:rsidRDefault="00732D9B" w:rsidP="00732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208"/>
    <w:multiLevelType w:val="hybridMultilevel"/>
    <w:tmpl w:val="A20EA668"/>
    <w:lvl w:ilvl="0" w:tplc="8ACC291A">
      <w:start w:val="1"/>
      <w:numFmt w:val="bullet"/>
      <w:pStyle w:val="ListinSoS"/>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D"/>
    <w:rsid w:val="000521C5"/>
    <w:rsid w:val="0008133F"/>
    <w:rsid w:val="000F7D41"/>
    <w:rsid w:val="001345C1"/>
    <w:rsid w:val="001F7BB1"/>
    <w:rsid w:val="00222F74"/>
    <w:rsid w:val="00291784"/>
    <w:rsid w:val="003A6FC1"/>
    <w:rsid w:val="003E02C6"/>
    <w:rsid w:val="0043143B"/>
    <w:rsid w:val="0044477B"/>
    <w:rsid w:val="00505485"/>
    <w:rsid w:val="005675F1"/>
    <w:rsid w:val="005F3710"/>
    <w:rsid w:val="006754D4"/>
    <w:rsid w:val="00682BD5"/>
    <w:rsid w:val="006A19AD"/>
    <w:rsid w:val="006B409E"/>
    <w:rsid w:val="00732D9B"/>
    <w:rsid w:val="00836FF6"/>
    <w:rsid w:val="008B5EB6"/>
    <w:rsid w:val="00996FEF"/>
    <w:rsid w:val="00A36F5D"/>
    <w:rsid w:val="00B335B8"/>
    <w:rsid w:val="00B6108D"/>
    <w:rsid w:val="00BD6F58"/>
    <w:rsid w:val="00C742CD"/>
    <w:rsid w:val="00C863DF"/>
    <w:rsid w:val="00C9734C"/>
    <w:rsid w:val="00CF085A"/>
    <w:rsid w:val="00D14FA5"/>
    <w:rsid w:val="00D533DB"/>
    <w:rsid w:val="00D5761B"/>
    <w:rsid w:val="00D6041F"/>
    <w:rsid w:val="00D811B1"/>
    <w:rsid w:val="00D93585"/>
    <w:rsid w:val="00E20E8F"/>
    <w:rsid w:val="00E3143D"/>
    <w:rsid w:val="00EA2441"/>
    <w:rsid w:val="00EF6867"/>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 w:type="character" w:styleId="CommentReference">
    <w:name w:val="annotation reference"/>
    <w:basedOn w:val="DefaultParagraphFont"/>
    <w:uiPriority w:val="99"/>
    <w:semiHidden/>
    <w:unhideWhenUsed/>
    <w:rsid w:val="00EF6867"/>
    <w:rPr>
      <w:sz w:val="16"/>
      <w:szCs w:val="16"/>
    </w:rPr>
  </w:style>
  <w:style w:type="paragraph" w:styleId="CommentText">
    <w:name w:val="annotation text"/>
    <w:basedOn w:val="Normal"/>
    <w:link w:val="CommentTextChar"/>
    <w:uiPriority w:val="99"/>
    <w:semiHidden/>
    <w:unhideWhenUsed/>
    <w:rsid w:val="00EF6867"/>
    <w:pPr>
      <w:spacing w:line="240" w:lineRule="auto"/>
    </w:pPr>
    <w:rPr>
      <w:sz w:val="20"/>
      <w:szCs w:val="20"/>
    </w:rPr>
  </w:style>
  <w:style w:type="character" w:customStyle="1" w:styleId="CommentTextChar">
    <w:name w:val="Comment Text Char"/>
    <w:basedOn w:val="DefaultParagraphFont"/>
    <w:link w:val="CommentText"/>
    <w:uiPriority w:val="99"/>
    <w:semiHidden/>
    <w:rsid w:val="00EF6867"/>
    <w:rPr>
      <w:lang w:eastAsia="en-US"/>
    </w:rPr>
  </w:style>
  <w:style w:type="paragraph" w:styleId="CommentSubject">
    <w:name w:val="annotation subject"/>
    <w:basedOn w:val="CommentText"/>
    <w:next w:val="CommentText"/>
    <w:link w:val="CommentSubjectChar"/>
    <w:uiPriority w:val="99"/>
    <w:semiHidden/>
    <w:unhideWhenUsed/>
    <w:rsid w:val="00EF6867"/>
    <w:rPr>
      <w:b/>
      <w:bCs/>
    </w:rPr>
  </w:style>
  <w:style w:type="character" w:customStyle="1" w:styleId="CommentSubjectChar">
    <w:name w:val="Comment Subject Char"/>
    <w:basedOn w:val="CommentTextChar"/>
    <w:link w:val="CommentSubject"/>
    <w:uiPriority w:val="99"/>
    <w:semiHidden/>
    <w:rsid w:val="00EF686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 w:type="character" w:styleId="CommentReference">
    <w:name w:val="annotation reference"/>
    <w:basedOn w:val="DefaultParagraphFont"/>
    <w:uiPriority w:val="99"/>
    <w:semiHidden/>
    <w:unhideWhenUsed/>
    <w:rsid w:val="00EF6867"/>
    <w:rPr>
      <w:sz w:val="16"/>
      <w:szCs w:val="16"/>
    </w:rPr>
  </w:style>
  <w:style w:type="paragraph" w:styleId="CommentText">
    <w:name w:val="annotation text"/>
    <w:basedOn w:val="Normal"/>
    <w:link w:val="CommentTextChar"/>
    <w:uiPriority w:val="99"/>
    <w:semiHidden/>
    <w:unhideWhenUsed/>
    <w:rsid w:val="00EF6867"/>
    <w:pPr>
      <w:spacing w:line="240" w:lineRule="auto"/>
    </w:pPr>
    <w:rPr>
      <w:sz w:val="20"/>
      <w:szCs w:val="20"/>
    </w:rPr>
  </w:style>
  <w:style w:type="character" w:customStyle="1" w:styleId="CommentTextChar">
    <w:name w:val="Comment Text Char"/>
    <w:basedOn w:val="DefaultParagraphFont"/>
    <w:link w:val="CommentText"/>
    <w:uiPriority w:val="99"/>
    <w:semiHidden/>
    <w:rsid w:val="00EF6867"/>
    <w:rPr>
      <w:lang w:eastAsia="en-US"/>
    </w:rPr>
  </w:style>
  <w:style w:type="paragraph" w:styleId="CommentSubject">
    <w:name w:val="annotation subject"/>
    <w:basedOn w:val="CommentText"/>
    <w:next w:val="CommentText"/>
    <w:link w:val="CommentSubjectChar"/>
    <w:uiPriority w:val="99"/>
    <w:semiHidden/>
    <w:unhideWhenUsed/>
    <w:rsid w:val="00EF6867"/>
    <w:rPr>
      <w:b/>
      <w:bCs/>
    </w:rPr>
  </w:style>
  <w:style w:type="character" w:customStyle="1" w:styleId="CommentSubjectChar">
    <w:name w:val="Comment Subject Char"/>
    <w:basedOn w:val="CommentTextChar"/>
    <w:link w:val="CommentSubject"/>
    <w:uiPriority w:val="99"/>
    <w:semiHidden/>
    <w:rsid w:val="00EF68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3rd revisions</dc:creator>
  <cp:lastModifiedBy>Suellen 3rd revisions</cp:lastModifiedBy>
  <cp:revision>2</cp:revision>
  <cp:lastPrinted>2020-09-17T22:54:00Z</cp:lastPrinted>
  <dcterms:created xsi:type="dcterms:W3CDTF">2020-10-27T08:14:00Z</dcterms:created>
  <dcterms:modified xsi:type="dcterms:W3CDTF">2020-10-27T08:14:00Z</dcterms:modified>
</cp:coreProperties>
</file>