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DF1" w:rsidRPr="002B3DF1" w:rsidRDefault="002B3DF1" w:rsidP="002B3DF1">
      <w:pPr>
        <w:keepNext/>
        <w:keepLines/>
        <w:spacing w:before="320" w:after="160"/>
        <w:outlineLvl w:val="2"/>
        <w:rPr>
          <w:rFonts w:eastAsia="Yu Gothic Light"/>
          <w:b/>
          <w:sz w:val="20"/>
          <w:szCs w:val="24"/>
          <w:lang w:eastAsia="en-US"/>
        </w:rPr>
      </w:pPr>
      <w:bookmarkStart w:id="0" w:name="_Toc44584212"/>
      <w:bookmarkStart w:id="1" w:name="_GoBack"/>
      <w:bookmarkEnd w:id="1"/>
      <w:r w:rsidRPr="002B3DF1">
        <w:rPr>
          <w:rFonts w:eastAsia="Yu Gothic Light"/>
          <w:b/>
          <w:sz w:val="20"/>
          <w:szCs w:val="24"/>
          <w:lang w:eastAsia="en-US"/>
        </w:rPr>
        <w:t>STATEMENT OF SIGNIFICANCE</w:t>
      </w:r>
      <w:bookmarkEnd w:id="0"/>
    </w:p>
    <w:tbl>
      <w:tblPr>
        <w:tblW w:w="0" w:type="auto"/>
        <w:tblInd w:w="108" w:type="dxa"/>
        <w:tblBorders>
          <w:top w:val="single" w:sz="4" w:space="0" w:color="auto"/>
          <w:bottom w:val="single" w:sz="4" w:space="0" w:color="auto"/>
          <w:insideV w:val="single" w:sz="4" w:space="0" w:color="auto"/>
        </w:tblBorders>
        <w:tblLayout w:type="fixed"/>
        <w:tblLook w:val="04A0" w:firstRow="1" w:lastRow="0" w:firstColumn="1" w:lastColumn="0" w:noHBand="0" w:noVBand="1"/>
      </w:tblPr>
      <w:tblGrid>
        <w:gridCol w:w="3652"/>
        <w:gridCol w:w="5634"/>
      </w:tblGrid>
      <w:tr w:rsidR="002B3DF1" w:rsidRPr="002B3DF1" w:rsidTr="007C4468">
        <w:tc>
          <w:tcPr>
            <w:tcW w:w="3652" w:type="dxa"/>
          </w:tcPr>
          <w:p w:rsidR="002B3DF1" w:rsidRPr="002B3DF1" w:rsidRDefault="002B3DF1" w:rsidP="002B3DF1">
            <w:pPr>
              <w:spacing w:before="120" w:after="120" w:line="360" w:lineRule="auto"/>
              <w:rPr>
                <w:rFonts w:cs="Arial"/>
                <w:bCs/>
                <w:sz w:val="20"/>
                <w:szCs w:val="24"/>
                <w:lang w:eastAsia="en-US"/>
              </w:rPr>
            </w:pPr>
            <w:r w:rsidRPr="002B3DF1">
              <w:rPr>
                <w:rFonts w:cs="Arial"/>
                <w:b/>
                <w:sz w:val="20"/>
                <w:szCs w:val="24"/>
                <w:lang w:eastAsia="en-US"/>
              </w:rPr>
              <w:t xml:space="preserve">Heritage Place: </w:t>
            </w:r>
            <w:r w:rsidRPr="002B3DF1">
              <w:rPr>
                <w:rFonts w:cs="Arial"/>
                <w:bCs/>
                <w:sz w:val="20"/>
                <w:szCs w:val="24"/>
                <w:lang w:eastAsia="en-US"/>
              </w:rPr>
              <w:t xml:space="preserve">Hoyts Mid City Cinemas </w:t>
            </w:r>
          </w:p>
          <w:p w:rsidR="002B3DF1" w:rsidRPr="002B3DF1" w:rsidRDefault="002B3DF1" w:rsidP="002B3DF1">
            <w:pPr>
              <w:spacing w:before="120" w:after="120" w:line="360" w:lineRule="auto"/>
              <w:rPr>
                <w:rFonts w:cs="Arial"/>
                <w:bCs/>
                <w:sz w:val="20"/>
                <w:szCs w:val="24"/>
                <w:lang w:eastAsia="en-US"/>
              </w:rPr>
            </w:pPr>
            <w:r>
              <w:rPr>
                <w:rFonts w:cs="Arial"/>
                <w:noProof/>
                <w:sz w:val="20"/>
                <w:szCs w:val="24"/>
              </w:rPr>
              <w:drawing>
                <wp:inline distT="0" distB="0" distL="0" distR="0">
                  <wp:extent cx="2028825" cy="2705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705100"/>
                          </a:xfrm>
                          <a:prstGeom prst="rect">
                            <a:avLst/>
                          </a:prstGeom>
                          <a:noFill/>
                          <a:ln>
                            <a:noFill/>
                          </a:ln>
                        </pic:spPr>
                      </pic:pic>
                    </a:graphicData>
                  </a:graphic>
                </wp:inline>
              </w:drawing>
            </w:r>
          </w:p>
        </w:tc>
        <w:tc>
          <w:tcPr>
            <w:tcW w:w="5634" w:type="dxa"/>
          </w:tcPr>
          <w:p w:rsidR="002B3DF1" w:rsidRPr="002B3DF1" w:rsidRDefault="002B3DF1" w:rsidP="002B3DF1">
            <w:pPr>
              <w:spacing w:before="120" w:after="120" w:line="360" w:lineRule="auto"/>
              <w:rPr>
                <w:rFonts w:cs="Arial"/>
                <w:bCs/>
                <w:sz w:val="20"/>
                <w:szCs w:val="24"/>
                <w:lang w:eastAsia="en-US"/>
              </w:rPr>
            </w:pPr>
            <w:r w:rsidRPr="002B3DF1">
              <w:rPr>
                <w:rFonts w:cs="Arial"/>
                <w:b/>
                <w:sz w:val="20"/>
                <w:szCs w:val="24"/>
                <w:lang w:eastAsia="en-US"/>
              </w:rPr>
              <w:t xml:space="preserve">PS ref no: </w:t>
            </w:r>
            <w:r w:rsidR="008F657E">
              <w:rPr>
                <w:rFonts w:cs="Arial"/>
                <w:bCs/>
                <w:sz w:val="20"/>
                <w:szCs w:val="24"/>
                <w:lang w:eastAsia="en-US"/>
              </w:rPr>
              <w:t>HO1002</w:t>
            </w:r>
          </w:p>
          <w:p w:rsidR="002B3DF1" w:rsidRPr="002B3DF1" w:rsidRDefault="002B3DF1" w:rsidP="002B3DF1">
            <w:pPr>
              <w:spacing w:before="120" w:after="120" w:line="360" w:lineRule="auto"/>
              <w:rPr>
                <w:rFonts w:cs="Arial"/>
                <w:bCs/>
                <w:sz w:val="20"/>
                <w:szCs w:val="24"/>
                <w:lang w:eastAsia="en-US"/>
              </w:rPr>
            </w:pPr>
            <w:r>
              <w:rPr>
                <w:rFonts w:cs="Arial"/>
                <w:noProof/>
                <w:sz w:val="20"/>
                <w:szCs w:val="24"/>
              </w:rPr>
              <w:drawing>
                <wp:inline distT="0" distB="0" distL="0" distR="0">
                  <wp:extent cx="3448050" cy="1314450"/>
                  <wp:effectExtent l="0" t="0" r="0" b="0"/>
                  <wp:docPr id="1" name="Picture 1" descr="\\server01\word\PROJECTS\2255 Hoddle Grid Stage 2\IMAGES\Maps - individual\INDIVIDUAL - 194-200 BOURKE 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rver01\word\PROJECTS\2255 Hoddle Grid Stage 2\IMAGES\Maps - individual\INDIVIDUAL - 194-200 BOURKE S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8050" cy="1314450"/>
                          </a:xfrm>
                          <a:prstGeom prst="rect">
                            <a:avLst/>
                          </a:prstGeom>
                          <a:noFill/>
                          <a:ln>
                            <a:noFill/>
                          </a:ln>
                        </pic:spPr>
                      </pic:pic>
                    </a:graphicData>
                  </a:graphic>
                </wp:inline>
              </w:drawing>
            </w:r>
          </w:p>
        </w:tc>
      </w:tr>
    </w:tbl>
    <w:p w:rsidR="002B3DF1" w:rsidRPr="002B3DF1" w:rsidRDefault="002B3DF1" w:rsidP="002B3DF1">
      <w:pPr>
        <w:spacing w:before="120" w:after="120" w:line="360" w:lineRule="auto"/>
        <w:rPr>
          <w:rFonts w:cs="Arial"/>
          <w:b/>
          <w:sz w:val="20"/>
          <w:szCs w:val="20"/>
          <w:lang w:eastAsia="en-US"/>
        </w:rPr>
      </w:pPr>
      <w:r>
        <w:rPr>
          <w:noProof/>
          <w:sz w:val="18"/>
        </w:rPr>
        <mc:AlternateContent>
          <mc:Choice Requires="wps">
            <w:drawing>
              <wp:anchor distT="4294967294" distB="4294967294" distL="114300" distR="114300" simplePos="0" relativeHeight="251659264" behindDoc="0" locked="0" layoutInCell="1" allowOverlap="1">
                <wp:simplePos x="0" y="0"/>
                <wp:positionH relativeFrom="column">
                  <wp:posOffset>-5080</wp:posOffset>
                </wp:positionH>
                <wp:positionV relativeFrom="paragraph">
                  <wp:posOffset>287654</wp:posOffset>
                </wp:positionV>
                <wp:extent cx="5882005" cy="0"/>
                <wp:effectExtent l="0" t="0" r="23495" b="19050"/>
                <wp:wrapNone/>
                <wp:docPr id="13655" name="Straight Connector 136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20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id="Straight Connector 1365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pt,22.65pt" to="462.7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" strokecolor="windowText" strokeweight=".5pt">
                <v:stroke joinstyle="miter"/>
                <o:lock v:ext="edit" shapetype="f"/>
              </v:line>
            </w:pict>
          </mc:Fallback>
        </mc:AlternateContent>
      </w:r>
      <w:r w:rsidRPr="002B3DF1">
        <w:rPr>
          <w:rFonts w:cs="Arial"/>
          <w:b/>
          <w:sz w:val="20"/>
          <w:szCs w:val="20"/>
          <w:lang w:eastAsia="en-US"/>
        </w:rPr>
        <w:t>What is significant?</w:t>
      </w:r>
    </w:p>
    <w:p w:rsidR="002B3DF1" w:rsidRPr="002B3DF1" w:rsidRDefault="002B3DF1" w:rsidP="002B3DF1">
      <w:pPr>
        <w:spacing w:after="120" w:line="360" w:lineRule="auto"/>
        <w:rPr>
          <w:rFonts w:cs="Arial"/>
          <w:sz w:val="20"/>
          <w:szCs w:val="20"/>
          <w:lang w:eastAsia="en-US"/>
        </w:rPr>
      </w:pPr>
      <w:r w:rsidRPr="002B3DF1">
        <w:rPr>
          <w:rFonts w:cs="Arial"/>
          <w:sz w:val="20"/>
          <w:szCs w:val="20"/>
          <w:lang w:eastAsia="en-US"/>
        </w:rPr>
        <w:t xml:space="preserve">Hoyts Mid City Cinemas at 194-200 Bourke Street, Melbourne, built 1969-70 and designed by Bogle &amp; </w:t>
      </w:r>
      <w:proofErr w:type="spellStart"/>
      <w:r w:rsidRPr="002B3DF1">
        <w:rPr>
          <w:rFonts w:cs="Arial"/>
          <w:sz w:val="20"/>
          <w:szCs w:val="20"/>
          <w:lang w:eastAsia="en-US"/>
        </w:rPr>
        <w:t>Banfield</w:t>
      </w:r>
      <w:proofErr w:type="spellEnd"/>
      <w:r w:rsidRPr="002B3DF1">
        <w:rPr>
          <w:rFonts w:cs="Arial"/>
          <w:sz w:val="20"/>
          <w:szCs w:val="20"/>
          <w:lang w:eastAsia="en-US"/>
        </w:rPr>
        <w:t xml:space="preserve"> architects.</w:t>
      </w:r>
    </w:p>
    <w:p w:rsidR="002B3DF1" w:rsidRPr="002B3DF1" w:rsidRDefault="002B3DF1" w:rsidP="002B3DF1">
      <w:pPr>
        <w:spacing w:after="120" w:line="360" w:lineRule="auto"/>
        <w:rPr>
          <w:rFonts w:cs="Arial"/>
          <w:sz w:val="20"/>
          <w:szCs w:val="20"/>
          <w:lang w:eastAsia="en-US"/>
        </w:rPr>
      </w:pPr>
      <w:r w:rsidRPr="002B3DF1">
        <w:rPr>
          <w:rFonts w:cs="Arial"/>
          <w:sz w:val="20"/>
          <w:szCs w:val="20"/>
          <w:lang w:eastAsia="en-US"/>
        </w:rPr>
        <w:t>Elements that contribute to the significance of the place include (but are not limited to):</w:t>
      </w:r>
    </w:p>
    <w:p w:rsidR="002B3DF1" w:rsidRPr="002B3DF1" w:rsidRDefault="002B3DF1" w:rsidP="002B3DF1">
      <w:pPr>
        <w:numPr>
          <w:ilvl w:val="0"/>
          <w:numId w:val="1"/>
        </w:numPr>
        <w:spacing w:after="120" w:line="360" w:lineRule="auto"/>
        <w:ind w:left="360"/>
        <w:contextualSpacing/>
        <w:rPr>
          <w:rFonts w:cs="Arial"/>
          <w:sz w:val="20"/>
          <w:szCs w:val="20"/>
          <w:lang w:eastAsia="en-US"/>
        </w:rPr>
      </w:pPr>
      <w:r w:rsidRPr="002B3DF1">
        <w:rPr>
          <w:rFonts w:cs="Arial"/>
          <w:sz w:val="20"/>
          <w:szCs w:val="20"/>
          <w:lang w:eastAsia="en-US"/>
        </w:rPr>
        <w:t>The building’s original external form, materials and detailing; and</w:t>
      </w:r>
    </w:p>
    <w:p w:rsidR="002B3DF1" w:rsidRPr="008F657E" w:rsidRDefault="002B3DF1" w:rsidP="008F657E">
      <w:pPr>
        <w:numPr>
          <w:ilvl w:val="0"/>
          <w:numId w:val="1"/>
        </w:numPr>
        <w:spacing w:after="120" w:line="360" w:lineRule="auto"/>
        <w:ind w:left="360"/>
        <w:contextualSpacing/>
        <w:rPr>
          <w:rFonts w:cs="Arial"/>
          <w:sz w:val="20"/>
          <w:szCs w:val="20"/>
          <w:lang w:eastAsia="en-US"/>
        </w:rPr>
      </w:pPr>
      <w:r w:rsidRPr="008F657E">
        <w:rPr>
          <w:rFonts w:cs="Arial"/>
          <w:sz w:val="20"/>
          <w:szCs w:val="20"/>
          <w:lang w:eastAsia="en-US"/>
        </w:rPr>
        <w:t>The building’s high level of integrity to its original design.</w:t>
      </w:r>
    </w:p>
    <w:p w:rsidR="002B3DF1" w:rsidRPr="002B3DF1" w:rsidRDefault="002B3DF1" w:rsidP="002B3DF1">
      <w:pPr>
        <w:spacing w:after="120" w:line="360" w:lineRule="auto"/>
        <w:rPr>
          <w:rFonts w:cs="Arial"/>
          <w:sz w:val="20"/>
          <w:szCs w:val="20"/>
          <w:lang w:eastAsia="en-US"/>
        </w:rPr>
      </w:pPr>
      <w:r w:rsidRPr="002B3DF1">
        <w:rPr>
          <w:rFonts w:cs="Arial"/>
          <w:sz w:val="20"/>
          <w:szCs w:val="20"/>
          <w:lang w:eastAsia="en-US"/>
        </w:rPr>
        <w:t>Later alterations made to the street and first floor levels are not significant.</w:t>
      </w:r>
    </w:p>
    <w:p w:rsidR="002B3DF1" w:rsidRPr="002B3DF1" w:rsidRDefault="002B3DF1" w:rsidP="002B3DF1">
      <w:pPr>
        <w:pBdr>
          <w:bottom w:val="single" w:sz="4" w:space="1" w:color="auto"/>
        </w:pBdr>
        <w:spacing w:after="120" w:line="360" w:lineRule="auto"/>
        <w:rPr>
          <w:rFonts w:cs="Arial"/>
          <w:b/>
          <w:sz w:val="20"/>
          <w:szCs w:val="20"/>
          <w:lang w:eastAsia="en-US"/>
        </w:rPr>
      </w:pPr>
      <w:r w:rsidRPr="002B3DF1">
        <w:rPr>
          <w:rFonts w:cs="Arial"/>
          <w:b/>
          <w:sz w:val="20"/>
          <w:szCs w:val="20"/>
          <w:lang w:eastAsia="en-US"/>
        </w:rPr>
        <w:t>How it is significant?</w:t>
      </w:r>
    </w:p>
    <w:p w:rsidR="002B3DF1" w:rsidRPr="002B3DF1" w:rsidRDefault="002B3DF1" w:rsidP="002B3DF1">
      <w:pPr>
        <w:spacing w:after="120" w:line="360" w:lineRule="auto"/>
        <w:rPr>
          <w:rFonts w:cs="Arial"/>
          <w:sz w:val="20"/>
          <w:szCs w:val="20"/>
          <w:lang w:eastAsia="en-US"/>
        </w:rPr>
      </w:pPr>
      <w:r w:rsidRPr="002B3DF1">
        <w:rPr>
          <w:rFonts w:cs="Arial"/>
          <w:sz w:val="20"/>
          <w:szCs w:val="20"/>
          <w:lang w:eastAsia="en-US"/>
        </w:rPr>
        <w:t>Hoyts Mid City Cinemas at 194-200 Bourke Street is of historical, representative and aesthetic significance to the City of Melbourne.</w:t>
      </w:r>
    </w:p>
    <w:p w:rsidR="002B3DF1" w:rsidRPr="002B3DF1" w:rsidRDefault="002B3DF1" w:rsidP="002B3DF1">
      <w:pPr>
        <w:pBdr>
          <w:bottom w:val="single" w:sz="4" w:space="1" w:color="auto"/>
        </w:pBdr>
        <w:spacing w:after="120" w:line="360" w:lineRule="auto"/>
        <w:rPr>
          <w:rFonts w:cs="Arial"/>
          <w:b/>
          <w:sz w:val="20"/>
          <w:szCs w:val="20"/>
          <w:lang w:eastAsia="en-US"/>
        </w:rPr>
      </w:pPr>
      <w:r w:rsidRPr="002B3DF1">
        <w:rPr>
          <w:rFonts w:cs="Arial"/>
          <w:b/>
          <w:sz w:val="20"/>
          <w:szCs w:val="20"/>
          <w:lang w:eastAsia="en-US"/>
        </w:rPr>
        <w:t>Why it is significant?</w:t>
      </w:r>
    </w:p>
    <w:p w:rsidR="002B3DF1" w:rsidRPr="002B3DF1" w:rsidRDefault="002B3DF1" w:rsidP="002B3DF1">
      <w:pPr>
        <w:spacing w:after="120" w:line="360" w:lineRule="auto"/>
        <w:rPr>
          <w:sz w:val="20"/>
          <w:szCs w:val="20"/>
          <w:lang w:eastAsia="en-US"/>
        </w:rPr>
      </w:pPr>
      <w:r w:rsidRPr="002B3DF1">
        <w:rPr>
          <w:sz w:val="20"/>
          <w:szCs w:val="20"/>
          <w:lang w:eastAsia="en-US"/>
        </w:rPr>
        <w:t>Hoyts Mid City Cinema is historically significant as part of the increase in leisure and tourism provided in Melbourne, as the city became a place of entertainment made possible by higher disposable incomes and more leisure time from the 1960s. The establishment of Mid City and the Cinema Centre marked a turning point to more modern and intimate cinemas, following the closure of the large picture theatres of the interwar period. The Bourke Street location of the cinema followed over 120 years of the traditional siting of theatres in Melbourne. (Criterion A)</w:t>
      </w:r>
    </w:p>
    <w:p w:rsidR="002B3DF1" w:rsidRPr="002B3DF1" w:rsidRDefault="002B3DF1" w:rsidP="002B3DF1">
      <w:pPr>
        <w:spacing w:after="120" w:line="360" w:lineRule="auto"/>
        <w:rPr>
          <w:sz w:val="20"/>
          <w:szCs w:val="20"/>
          <w:lang w:eastAsia="en-US"/>
        </w:rPr>
      </w:pPr>
      <w:r w:rsidRPr="002B3DF1">
        <w:rPr>
          <w:sz w:val="20"/>
          <w:szCs w:val="20"/>
          <w:lang w:eastAsia="en-US"/>
        </w:rPr>
        <w:t xml:space="preserve">Hoyts Mid-City Cinemas is a representative example of a small class of brutalist buildings in the City of Melbourne. Popularised by architects in the mid-1960s, brutalism as a movement persisted until the </w:t>
      </w:r>
      <w:r w:rsidRPr="002B3DF1">
        <w:rPr>
          <w:sz w:val="20"/>
          <w:szCs w:val="20"/>
          <w:lang w:eastAsia="en-US"/>
        </w:rPr>
        <w:lastRenderedPageBreak/>
        <w:t xml:space="preserve">late 1980s. Architects Bogle &amp; </w:t>
      </w:r>
      <w:proofErr w:type="spellStart"/>
      <w:r w:rsidRPr="002B3DF1">
        <w:rPr>
          <w:sz w:val="20"/>
          <w:szCs w:val="20"/>
          <w:lang w:eastAsia="en-US"/>
        </w:rPr>
        <w:t>Banfield</w:t>
      </w:r>
      <w:proofErr w:type="spellEnd"/>
      <w:r w:rsidRPr="002B3DF1">
        <w:rPr>
          <w:sz w:val="20"/>
          <w:szCs w:val="20"/>
          <w:lang w:eastAsia="en-US"/>
        </w:rPr>
        <w:t xml:space="preserve"> Associates provided two of the best examples of brutalism in Melbourne with Total House and the Mid City Cinemas. With Peter Muller’s Hoyts Cinema Centre as an early and particularly large-scale example, these three buildings provide an excellent record of this movement. Both the Mid City and the Hoyts Cinema Centre are stylistically distinctive designs among the small number of new cinemas built in the </w:t>
      </w:r>
      <w:proofErr w:type="spellStart"/>
      <w:r w:rsidRPr="002B3DF1">
        <w:rPr>
          <w:sz w:val="20"/>
          <w:szCs w:val="20"/>
          <w:lang w:eastAsia="en-US"/>
        </w:rPr>
        <w:t>postwar</w:t>
      </w:r>
      <w:proofErr w:type="spellEnd"/>
      <w:r w:rsidRPr="002B3DF1">
        <w:rPr>
          <w:sz w:val="20"/>
          <w:szCs w:val="20"/>
          <w:lang w:eastAsia="en-US"/>
        </w:rPr>
        <w:t xml:space="preserve"> period. (Criterion D) </w:t>
      </w:r>
    </w:p>
    <w:p w:rsidR="002B3DF1" w:rsidRPr="002B3DF1" w:rsidRDefault="002B3DF1" w:rsidP="002B3DF1">
      <w:pPr>
        <w:spacing w:after="120" w:line="360" w:lineRule="auto"/>
        <w:rPr>
          <w:rFonts w:cs="Arial"/>
          <w:sz w:val="20"/>
          <w:szCs w:val="20"/>
          <w:lang w:eastAsia="en-US"/>
        </w:rPr>
      </w:pPr>
      <w:r w:rsidRPr="002B3DF1">
        <w:rPr>
          <w:sz w:val="20"/>
          <w:szCs w:val="20"/>
          <w:lang w:eastAsia="en-US"/>
        </w:rPr>
        <w:t>Hoyts Mid-City Cinemas is significant for its sculptural form that is highlighted by the red-oxide colour that contrasts with the off-form concrete of the side walls. As a building requiring little natural light, the brutalist architecture of the cinema complex relies primarily on an articulation of solid form. The slim concrete vertical louvres in front of the glazing are a contrast to the solid mass of the main part of the building. (Criterion E)</w:t>
      </w:r>
    </w:p>
    <w:p w:rsidR="002B3DF1" w:rsidRPr="002B3DF1" w:rsidRDefault="002B3DF1" w:rsidP="002B3DF1">
      <w:pPr>
        <w:pBdr>
          <w:bottom w:val="single" w:sz="4" w:space="1" w:color="auto"/>
        </w:pBdr>
        <w:spacing w:after="120" w:line="360" w:lineRule="auto"/>
        <w:jc w:val="both"/>
        <w:rPr>
          <w:rFonts w:cs="Arial"/>
          <w:b/>
          <w:bCs/>
          <w:sz w:val="20"/>
          <w:szCs w:val="20"/>
          <w:u w:color="1A1A1A"/>
          <w:lang w:eastAsia="en-US"/>
        </w:rPr>
      </w:pPr>
      <w:r w:rsidRPr="002B3DF1">
        <w:rPr>
          <w:rFonts w:cs="Arial"/>
          <w:b/>
          <w:bCs/>
          <w:sz w:val="20"/>
          <w:szCs w:val="20"/>
          <w:u w:color="1A1A1A"/>
          <w:lang w:eastAsia="en-US"/>
        </w:rPr>
        <w:t>Primary source</w:t>
      </w:r>
    </w:p>
    <w:p w:rsidR="006A19AD" w:rsidRPr="00CF085A" w:rsidRDefault="002B3DF1" w:rsidP="008F657E">
      <w:pPr>
        <w:spacing w:after="120" w:line="360" w:lineRule="auto"/>
      </w:pPr>
      <w:r w:rsidRPr="002B3DF1">
        <w:rPr>
          <w:rFonts w:cs="Arial"/>
          <w:sz w:val="20"/>
          <w:szCs w:val="20"/>
          <w:u w:color="1A1A1A"/>
          <w:lang w:eastAsia="en-US"/>
        </w:rPr>
        <w:t>Hoddle Grid Heritage Revie</w:t>
      </w:r>
      <w:r w:rsidR="008F657E">
        <w:rPr>
          <w:rFonts w:cs="Arial"/>
          <w:sz w:val="20"/>
          <w:szCs w:val="20"/>
          <w:u w:color="1A1A1A"/>
          <w:lang w:eastAsia="en-US"/>
        </w:rPr>
        <w:t>w (Context &amp; GJM Heritage, 2020</w:t>
      </w:r>
    </w:p>
    <w:sectPr w:rsidR="006A19AD" w:rsidRPr="00CF085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DF1" w:rsidRDefault="002B3DF1" w:rsidP="002B3DF1">
      <w:pPr>
        <w:spacing w:after="0" w:line="240" w:lineRule="auto"/>
      </w:pPr>
      <w:r>
        <w:separator/>
      </w:r>
    </w:p>
  </w:endnote>
  <w:endnote w:type="continuationSeparator" w:id="0">
    <w:p w:rsidR="002B3DF1" w:rsidRDefault="002B3DF1" w:rsidP="002B3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F1" w:rsidRDefault="00511D76" w:rsidP="00511D76">
    <w:pPr>
      <w:tabs>
        <w:tab w:val="center" w:pos="4513"/>
        <w:tab w:val="right" w:pos="9026"/>
      </w:tabs>
      <w:spacing w:after="0" w:line="240" w:lineRule="auto"/>
      <w:rPr>
        <w:sz w:val="18"/>
        <w:szCs w:val="18"/>
        <w:lang w:eastAsia="en-US"/>
      </w:rPr>
    </w:pPr>
    <w:r w:rsidRPr="00511D76">
      <w:rPr>
        <w:sz w:val="18"/>
        <w:szCs w:val="18"/>
        <w:lang w:eastAsia="en-US"/>
      </w:rPr>
      <w:t>INCORPORATED DOCUMENT – SCHEDULE TO CLAUSE 72.04</w:t>
    </w:r>
    <w:r w:rsidRPr="00511D76">
      <w:rPr>
        <w:sz w:val="18"/>
        <w:szCs w:val="18"/>
        <w:lang w:eastAsia="en-US"/>
      </w:rPr>
      <w:tab/>
      <w:t>JULY 2020</w:t>
    </w:r>
  </w:p>
  <w:p w:rsidR="00511D76" w:rsidRPr="00511D76" w:rsidRDefault="00511D76" w:rsidP="00511D76">
    <w:pPr>
      <w:tabs>
        <w:tab w:val="center" w:pos="4513"/>
        <w:tab w:val="right" w:pos="9026"/>
      </w:tabs>
      <w:spacing w:after="0" w:line="240" w:lineRule="auto"/>
      <w:rPr>
        <w:sz w:val="18"/>
        <w:szCs w:val="18"/>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DF1" w:rsidRDefault="002B3DF1" w:rsidP="002B3DF1">
      <w:pPr>
        <w:spacing w:after="0" w:line="240" w:lineRule="auto"/>
      </w:pPr>
      <w:r>
        <w:separator/>
      </w:r>
    </w:p>
  </w:footnote>
  <w:footnote w:type="continuationSeparator" w:id="0">
    <w:p w:rsidR="002B3DF1" w:rsidRDefault="002B3DF1" w:rsidP="002B3D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F3302"/>
    <w:multiLevelType w:val="hybridMultilevel"/>
    <w:tmpl w:val="5AFCC9C0"/>
    <w:lvl w:ilvl="0" w:tplc="4B9868B8">
      <w:start w:val="1"/>
      <w:numFmt w:val="bullet"/>
      <w:pStyle w:val="ListinSO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DF1"/>
    <w:rsid w:val="000521C5"/>
    <w:rsid w:val="0008133F"/>
    <w:rsid w:val="000F7D41"/>
    <w:rsid w:val="002B3DF1"/>
    <w:rsid w:val="003A6FC1"/>
    <w:rsid w:val="0043143B"/>
    <w:rsid w:val="004D231F"/>
    <w:rsid w:val="00511D76"/>
    <w:rsid w:val="005F3710"/>
    <w:rsid w:val="00682BD5"/>
    <w:rsid w:val="006A19AD"/>
    <w:rsid w:val="008B5EB6"/>
    <w:rsid w:val="008F657E"/>
    <w:rsid w:val="00996FEF"/>
    <w:rsid w:val="00A36F5D"/>
    <w:rsid w:val="00B335B8"/>
    <w:rsid w:val="00B6108D"/>
    <w:rsid w:val="00C742CD"/>
    <w:rsid w:val="00C863DF"/>
    <w:rsid w:val="00CF085A"/>
    <w:rsid w:val="00D533DB"/>
    <w:rsid w:val="00D5761B"/>
    <w:rsid w:val="00D811B1"/>
    <w:rsid w:val="00D93585"/>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inSOS">
    <w:name w:val="List in SOS"/>
    <w:basedOn w:val="ListParagraph"/>
    <w:qFormat/>
    <w:rsid w:val="002B3DF1"/>
    <w:pPr>
      <w:numPr>
        <w:numId w:val="1"/>
      </w:numPr>
      <w:spacing w:after="120" w:line="360" w:lineRule="auto"/>
    </w:pPr>
    <w:rPr>
      <w:rFonts w:cs="Arial"/>
      <w:sz w:val="20"/>
      <w:szCs w:val="20"/>
      <w:lang w:eastAsia="en-US"/>
    </w:rPr>
  </w:style>
  <w:style w:type="paragraph" w:styleId="ListParagraph">
    <w:name w:val="List Paragraph"/>
    <w:basedOn w:val="Normal"/>
    <w:uiPriority w:val="34"/>
    <w:qFormat/>
    <w:rsid w:val="002B3DF1"/>
    <w:pPr>
      <w:ind w:left="720"/>
      <w:contextualSpacing/>
    </w:pPr>
  </w:style>
  <w:style w:type="paragraph" w:styleId="BalloonText">
    <w:name w:val="Balloon Text"/>
    <w:basedOn w:val="Normal"/>
    <w:link w:val="BalloonTextChar"/>
    <w:uiPriority w:val="99"/>
    <w:semiHidden/>
    <w:unhideWhenUsed/>
    <w:rsid w:val="002B3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DF1"/>
    <w:rPr>
      <w:rFonts w:ascii="Tahoma" w:hAnsi="Tahoma" w:cs="Tahoma"/>
      <w:sz w:val="16"/>
      <w:szCs w:val="16"/>
    </w:rPr>
  </w:style>
  <w:style w:type="paragraph" w:styleId="Header">
    <w:name w:val="header"/>
    <w:basedOn w:val="Normal"/>
    <w:link w:val="HeaderChar"/>
    <w:uiPriority w:val="99"/>
    <w:unhideWhenUsed/>
    <w:rsid w:val="002B3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DF1"/>
    <w:rPr>
      <w:sz w:val="22"/>
      <w:szCs w:val="22"/>
    </w:rPr>
  </w:style>
  <w:style w:type="paragraph" w:styleId="Footer">
    <w:name w:val="footer"/>
    <w:basedOn w:val="Normal"/>
    <w:link w:val="FooterChar"/>
    <w:uiPriority w:val="99"/>
    <w:unhideWhenUsed/>
    <w:rsid w:val="002B3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DF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inSOS">
    <w:name w:val="List in SOS"/>
    <w:basedOn w:val="ListParagraph"/>
    <w:qFormat/>
    <w:rsid w:val="002B3DF1"/>
    <w:pPr>
      <w:numPr>
        <w:numId w:val="1"/>
      </w:numPr>
      <w:spacing w:after="120" w:line="360" w:lineRule="auto"/>
    </w:pPr>
    <w:rPr>
      <w:rFonts w:cs="Arial"/>
      <w:sz w:val="20"/>
      <w:szCs w:val="20"/>
      <w:lang w:eastAsia="en-US"/>
    </w:rPr>
  </w:style>
  <w:style w:type="paragraph" w:styleId="ListParagraph">
    <w:name w:val="List Paragraph"/>
    <w:basedOn w:val="Normal"/>
    <w:uiPriority w:val="34"/>
    <w:qFormat/>
    <w:rsid w:val="002B3DF1"/>
    <w:pPr>
      <w:ind w:left="720"/>
      <w:contextualSpacing/>
    </w:pPr>
  </w:style>
  <w:style w:type="paragraph" w:styleId="BalloonText">
    <w:name w:val="Balloon Text"/>
    <w:basedOn w:val="Normal"/>
    <w:link w:val="BalloonTextChar"/>
    <w:uiPriority w:val="99"/>
    <w:semiHidden/>
    <w:unhideWhenUsed/>
    <w:rsid w:val="002B3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DF1"/>
    <w:rPr>
      <w:rFonts w:ascii="Tahoma" w:hAnsi="Tahoma" w:cs="Tahoma"/>
      <w:sz w:val="16"/>
      <w:szCs w:val="16"/>
    </w:rPr>
  </w:style>
  <w:style w:type="paragraph" w:styleId="Header">
    <w:name w:val="header"/>
    <w:basedOn w:val="Normal"/>
    <w:link w:val="HeaderChar"/>
    <w:uiPriority w:val="99"/>
    <w:unhideWhenUsed/>
    <w:rsid w:val="002B3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DF1"/>
    <w:rPr>
      <w:sz w:val="22"/>
      <w:szCs w:val="22"/>
    </w:rPr>
  </w:style>
  <w:style w:type="paragraph" w:styleId="Footer">
    <w:name w:val="footer"/>
    <w:basedOn w:val="Normal"/>
    <w:link w:val="FooterChar"/>
    <w:uiPriority w:val="99"/>
    <w:unhideWhenUsed/>
    <w:rsid w:val="002B3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DF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18F1D42</Template>
  <TotalTime>0</TotalTime>
  <Pages>2</Pages>
  <Words>371</Words>
  <Characters>2116</Characters>
  <Application>Microsoft Office Word</Application>
  <DocSecurity>0</DocSecurity>
  <Lines>17</Lines>
  <Paragraphs>4</Paragraphs>
  <ScaleCrop>false</ScaleCrop>
  <Company>City Of Melbourne</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 Marques</dc:creator>
  <cp:keywords/>
  <dc:description/>
  <cp:lastModifiedBy>Bria Huebner</cp:lastModifiedBy>
  <cp:revision>2</cp:revision>
  <cp:lastPrinted>2020-07-08T08:45:00Z</cp:lastPrinted>
  <dcterms:created xsi:type="dcterms:W3CDTF">2020-07-16T04:35:00Z</dcterms:created>
  <dcterms:modified xsi:type="dcterms:W3CDTF">2020-07-16T04:35:00Z</dcterms:modified>
</cp:coreProperties>
</file>