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2C" w:rsidRPr="0028752C" w:rsidRDefault="0028752C" w:rsidP="0028752C">
      <w:pPr>
        <w:keepNext/>
        <w:keepLines/>
        <w:spacing w:before="320" w:after="160"/>
        <w:outlineLvl w:val="2"/>
        <w:rPr>
          <w:rFonts w:eastAsia="Yu Gothic Light"/>
          <w:b/>
          <w:sz w:val="19"/>
          <w:lang w:eastAsia="en-US"/>
        </w:rPr>
      </w:pPr>
      <w:r w:rsidRPr="0028752C">
        <w:rPr>
          <w:rFonts w:eastAsia="Yu Gothic Light"/>
          <w:b/>
          <w:sz w:val="19"/>
          <w:lang w:eastAsia="en-US"/>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5722"/>
      </w:tblGrid>
      <w:tr w:rsidR="0028752C" w:rsidRPr="0028752C" w:rsidTr="00110414">
        <w:tc>
          <w:tcPr>
            <w:tcW w:w="4615" w:type="dxa"/>
            <w:tcBorders>
              <w:left w:val="nil"/>
            </w:tcBorders>
            <w:shd w:val="clear" w:color="auto" w:fill="auto"/>
          </w:tcPr>
          <w:p w:rsidR="0028752C" w:rsidRPr="0028752C" w:rsidRDefault="0028752C" w:rsidP="0028752C">
            <w:pPr>
              <w:spacing w:before="120" w:after="120" w:line="240" w:lineRule="auto"/>
              <w:rPr>
                <w:rFonts w:cs="Arial"/>
                <w:b/>
                <w:sz w:val="20"/>
                <w:szCs w:val="20"/>
                <w:lang w:eastAsia="en-US"/>
              </w:rPr>
            </w:pPr>
            <w:r w:rsidRPr="0028752C">
              <w:rPr>
                <w:rFonts w:cs="Arial"/>
                <w:b/>
                <w:sz w:val="20"/>
                <w:szCs w:val="20"/>
                <w:lang w:eastAsia="en-US"/>
              </w:rPr>
              <w:t xml:space="preserve">Heritage Place: </w:t>
            </w:r>
            <w:r w:rsidR="00DB4B80">
              <w:rPr>
                <w:rFonts w:cs="Arial"/>
                <w:bCs/>
                <w:sz w:val="20"/>
                <w:szCs w:val="20"/>
                <w:lang w:eastAsia="en-US"/>
              </w:rPr>
              <w:t>Shop</w:t>
            </w:r>
            <w:r w:rsidR="00D12592">
              <w:rPr>
                <w:rFonts w:cs="Arial"/>
                <w:bCs/>
                <w:sz w:val="20"/>
                <w:szCs w:val="20"/>
                <w:lang w:eastAsia="en-US"/>
              </w:rPr>
              <w:t>s</w:t>
            </w:r>
            <w:bookmarkStart w:id="0" w:name="_GoBack"/>
            <w:bookmarkEnd w:id="0"/>
            <w:r w:rsidR="00DB4B80">
              <w:rPr>
                <w:rFonts w:cs="Arial"/>
                <w:bCs/>
                <w:sz w:val="20"/>
                <w:szCs w:val="20"/>
                <w:lang w:eastAsia="en-US"/>
              </w:rPr>
              <w:t xml:space="preserve"> and dwelling</w:t>
            </w:r>
            <w:r w:rsidRPr="0028752C">
              <w:rPr>
                <w:rFonts w:cs="Arial"/>
                <w:bCs/>
                <w:sz w:val="20"/>
                <w:szCs w:val="20"/>
                <w:lang w:eastAsia="en-US"/>
              </w:rPr>
              <w:t>s</w:t>
            </w:r>
          </w:p>
          <w:p w:rsidR="0028752C" w:rsidRPr="0028752C" w:rsidRDefault="0028752C" w:rsidP="0028752C">
            <w:pPr>
              <w:spacing w:before="120" w:after="120" w:line="240" w:lineRule="auto"/>
              <w:rPr>
                <w:rFonts w:cs="Arial"/>
                <w:sz w:val="20"/>
                <w:szCs w:val="20"/>
                <w:lang w:eastAsia="en-US"/>
              </w:rPr>
            </w:pPr>
            <w:r>
              <w:rPr>
                <w:noProof/>
                <w:sz w:val="18"/>
              </w:rPr>
              <w:drawing>
                <wp:inline distT="0" distB="0" distL="0" distR="0" wp14:anchorId="07F92E44" wp14:editId="7D70947C">
                  <wp:extent cx="2162175" cy="2257425"/>
                  <wp:effectExtent l="0" t="0" r="9525" b="9525"/>
                  <wp:docPr id="2" name="Picture 2" descr="209-215 Bourke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9-215 Bourke 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257425"/>
                          </a:xfrm>
                          <a:prstGeom prst="rect">
                            <a:avLst/>
                          </a:prstGeom>
                          <a:noFill/>
                          <a:ln>
                            <a:noFill/>
                          </a:ln>
                        </pic:spPr>
                      </pic:pic>
                    </a:graphicData>
                  </a:graphic>
                </wp:inline>
              </w:drawing>
            </w:r>
          </w:p>
          <w:p w:rsidR="0028752C" w:rsidRPr="0028752C" w:rsidRDefault="0028752C" w:rsidP="0028752C">
            <w:pPr>
              <w:spacing w:before="120" w:after="120" w:line="360" w:lineRule="auto"/>
              <w:rPr>
                <w:rFonts w:cs="Arial"/>
                <w:bCs/>
                <w:sz w:val="20"/>
                <w:szCs w:val="20"/>
                <w:lang w:eastAsia="en-US"/>
              </w:rPr>
            </w:pPr>
          </w:p>
        </w:tc>
        <w:tc>
          <w:tcPr>
            <w:tcW w:w="4616" w:type="dxa"/>
            <w:tcBorders>
              <w:right w:val="nil"/>
            </w:tcBorders>
            <w:shd w:val="clear" w:color="auto" w:fill="auto"/>
          </w:tcPr>
          <w:p w:rsidR="0028752C" w:rsidRPr="0028752C" w:rsidRDefault="0028752C" w:rsidP="0028752C">
            <w:pPr>
              <w:spacing w:before="120" w:after="120" w:line="360" w:lineRule="auto"/>
              <w:rPr>
                <w:rFonts w:cs="Arial"/>
                <w:bCs/>
                <w:sz w:val="20"/>
                <w:szCs w:val="20"/>
                <w:lang w:eastAsia="en-US"/>
              </w:rPr>
            </w:pPr>
            <w:r w:rsidRPr="0028752C">
              <w:rPr>
                <w:rFonts w:cs="Arial"/>
                <w:b/>
                <w:sz w:val="20"/>
                <w:szCs w:val="20"/>
                <w:lang w:eastAsia="en-US"/>
              </w:rPr>
              <w:t xml:space="preserve">PS ref no: </w:t>
            </w:r>
            <w:r w:rsidRPr="0028752C">
              <w:rPr>
                <w:rFonts w:cs="Arial"/>
                <w:bCs/>
                <w:sz w:val="20"/>
                <w:szCs w:val="20"/>
                <w:lang w:eastAsia="en-US"/>
              </w:rPr>
              <w:t>HO1240</w:t>
            </w:r>
          </w:p>
          <w:p w:rsidR="0028752C" w:rsidRPr="0028752C" w:rsidRDefault="0028752C" w:rsidP="0028752C">
            <w:pPr>
              <w:spacing w:before="120" w:after="120" w:line="360" w:lineRule="auto"/>
              <w:rPr>
                <w:rFonts w:cs="Arial"/>
                <w:bCs/>
                <w:sz w:val="20"/>
                <w:szCs w:val="20"/>
                <w:lang w:eastAsia="en-US"/>
              </w:rPr>
            </w:pPr>
            <w:r>
              <w:rPr>
                <w:noProof/>
                <w:sz w:val="18"/>
              </w:rPr>
              <w:drawing>
                <wp:inline distT="0" distB="0" distL="0" distR="0" wp14:anchorId="62FD4934" wp14:editId="29EE3DAA">
                  <wp:extent cx="3609975" cy="1781175"/>
                  <wp:effectExtent l="0" t="0" r="9525" b="9525"/>
                  <wp:docPr id="1" name="Picture 1" descr="INDIVIDUAL - 209-215 BOURKE ST_v1_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VIDUAL - 209-215 BOURKE ST_v1_current"/>
                          <pic:cNvPicPr>
                            <a:picLocks noChangeAspect="1" noChangeArrowheads="1"/>
                          </pic:cNvPicPr>
                        </pic:nvPicPr>
                        <pic:blipFill>
                          <a:blip r:embed="rId9">
                            <a:extLst>
                              <a:ext uri="{28A0092B-C50C-407E-A947-70E740481C1C}">
                                <a14:useLocalDpi xmlns:a14="http://schemas.microsoft.com/office/drawing/2010/main" val="0"/>
                              </a:ext>
                            </a:extLst>
                          </a:blip>
                          <a:srcRect l="9753" r="11328"/>
                          <a:stretch>
                            <a:fillRect/>
                          </a:stretch>
                        </pic:blipFill>
                        <pic:spPr bwMode="auto">
                          <a:xfrm>
                            <a:off x="0" y="0"/>
                            <a:ext cx="3609975" cy="1781175"/>
                          </a:xfrm>
                          <a:prstGeom prst="rect">
                            <a:avLst/>
                          </a:prstGeom>
                          <a:noFill/>
                          <a:ln>
                            <a:noFill/>
                          </a:ln>
                        </pic:spPr>
                      </pic:pic>
                    </a:graphicData>
                  </a:graphic>
                </wp:inline>
              </w:drawing>
            </w:r>
          </w:p>
        </w:tc>
      </w:tr>
    </w:tbl>
    <w:p w:rsidR="0028752C" w:rsidRPr="0028752C" w:rsidRDefault="0028752C" w:rsidP="0028752C">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59264" behindDoc="0" locked="0" layoutInCell="1" allowOverlap="1" wp14:anchorId="33C05A35" wp14:editId="7551669D">
                <wp:simplePos x="0" y="0"/>
                <wp:positionH relativeFrom="column">
                  <wp:posOffset>-5080</wp:posOffset>
                </wp:positionH>
                <wp:positionV relativeFrom="paragraph">
                  <wp:posOffset>287654</wp:posOffset>
                </wp:positionV>
                <wp:extent cx="5882005" cy="0"/>
                <wp:effectExtent l="0" t="0" r="234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uK2wEAAKYDAAAOAAAAZHJzL2Uyb0RvYy54bWysU01v2zAMvQ/YfxB0X5x2SBcY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" strokecolor="windowText" strokeweight=".5pt">
                <v:stroke joinstyle="miter"/>
                <o:lock v:ext="edit" shapetype="f"/>
              </v:line>
            </w:pict>
          </mc:Fallback>
        </mc:AlternateContent>
      </w:r>
      <w:r w:rsidRPr="0028752C">
        <w:rPr>
          <w:rFonts w:cs="Arial"/>
          <w:b/>
          <w:sz w:val="20"/>
          <w:szCs w:val="20"/>
          <w:lang w:eastAsia="en-US"/>
        </w:rPr>
        <w:t>What is significant?</w:t>
      </w:r>
    </w:p>
    <w:p w:rsidR="0028752C" w:rsidRPr="0028752C" w:rsidRDefault="0028752C" w:rsidP="0028752C">
      <w:pPr>
        <w:spacing w:after="120" w:line="360" w:lineRule="auto"/>
        <w:rPr>
          <w:rFonts w:cs="Arial"/>
          <w:bCs/>
          <w:sz w:val="20"/>
          <w:szCs w:val="20"/>
          <w:lang w:eastAsia="en-US"/>
        </w:rPr>
      </w:pPr>
      <w:r w:rsidRPr="0028752C">
        <w:rPr>
          <w:rFonts w:cs="Arial"/>
          <w:bCs/>
          <w:sz w:val="20"/>
          <w:szCs w:val="20"/>
          <w:lang w:eastAsia="en-US"/>
        </w:rPr>
        <w:t>The row of f</w:t>
      </w:r>
      <w:r w:rsidR="00DB4B80">
        <w:rPr>
          <w:rFonts w:cs="Arial"/>
          <w:bCs/>
          <w:sz w:val="20"/>
          <w:szCs w:val="20"/>
          <w:lang w:eastAsia="en-US"/>
        </w:rPr>
        <w:t>our three-storey shops/dwelling</w:t>
      </w:r>
      <w:r w:rsidRPr="0028752C">
        <w:rPr>
          <w:rFonts w:cs="Arial"/>
          <w:bCs/>
          <w:sz w:val="20"/>
          <w:szCs w:val="20"/>
          <w:lang w:eastAsia="en-US"/>
        </w:rPr>
        <w:t>s at 209-215 Bourke Street built in 1876.</w:t>
      </w:r>
    </w:p>
    <w:p w:rsidR="0028752C" w:rsidRPr="0028752C" w:rsidRDefault="0028752C" w:rsidP="0028752C">
      <w:pPr>
        <w:spacing w:after="120" w:line="360" w:lineRule="auto"/>
        <w:rPr>
          <w:rFonts w:cs="Arial"/>
          <w:bCs/>
          <w:sz w:val="20"/>
          <w:szCs w:val="20"/>
          <w:lang w:eastAsia="en-US"/>
        </w:rPr>
      </w:pPr>
      <w:r w:rsidRPr="0028752C">
        <w:rPr>
          <w:rFonts w:cs="Arial"/>
          <w:bCs/>
          <w:sz w:val="20"/>
          <w:szCs w:val="20"/>
          <w:lang w:eastAsia="en-US"/>
        </w:rPr>
        <w:t>Elements that contribute to the significance of the place include (but are not limited to):</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The building’s original external form, materials and detailing;</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The building’s high level of integrity to its original design;</w:t>
      </w:r>
    </w:p>
    <w:p w:rsidR="0028752C" w:rsidRPr="00B7479A" w:rsidRDefault="0028752C" w:rsidP="00B7479A">
      <w:pPr>
        <w:pStyle w:val="ListParagraph"/>
        <w:numPr>
          <w:ilvl w:val="0"/>
          <w:numId w:val="1"/>
        </w:numPr>
        <w:spacing w:after="160" w:line="360" w:lineRule="auto"/>
        <w:rPr>
          <w:rFonts w:cs="Arial"/>
          <w:bCs/>
          <w:sz w:val="20"/>
          <w:szCs w:val="20"/>
          <w:lang w:eastAsia="en-US"/>
        </w:rPr>
      </w:pPr>
      <w:proofErr w:type="spellStart"/>
      <w:r w:rsidRPr="00B7479A">
        <w:rPr>
          <w:rFonts w:cs="Arial"/>
          <w:bCs/>
          <w:sz w:val="20"/>
          <w:szCs w:val="20"/>
          <w:lang w:eastAsia="en-US"/>
        </w:rPr>
        <w:t>Balustraded</w:t>
      </w:r>
      <w:proofErr w:type="spellEnd"/>
      <w:r w:rsidRPr="00B7479A">
        <w:rPr>
          <w:rFonts w:cs="Arial"/>
          <w:bCs/>
          <w:sz w:val="20"/>
          <w:szCs w:val="20"/>
          <w:lang w:eastAsia="en-US"/>
        </w:rPr>
        <w:t xml:space="preserve"> parapet;</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Engaged pilasters that demarcate each shop;</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Upper façade detailing including cornice with elaborate scroll brackets; paired segmented arch windows with moulded arch cornice to upper edges (upper level); single round arched window with decorative moulded arched cornice (mid-level);</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Original chimneys;</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 xml:space="preserve">Pattern and size of fenestrations to side elevation (Russell Place); and </w:t>
      </w:r>
    </w:p>
    <w:p w:rsidR="0028752C" w:rsidRPr="00B7479A" w:rsidRDefault="0028752C" w:rsidP="00B7479A">
      <w:pPr>
        <w:pStyle w:val="ListParagraph"/>
        <w:numPr>
          <w:ilvl w:val="0"/>
          <w:numId w:val="1"/>
        </w:numPr>
        <w:spacing w:after="160" w:line="360" w:lineRule="auto"/>
        <w:rPr>
          <w:rFonts w:cs="Arial"/>
          <w:bCs/>
          <w:sz w:val="20"/>
          <w:szCs w:val="20"/>
          <w:lang w:eastAsia="en-US"/>
        </w:rPr>
      </w:pPr>
      <w:r w:rsidRPr="00B7479A">
        <w:rPr>
          <w:rFonts w:cs="Arial"/>
          <w:bCs/>
          <w:sz w:val="20"/>
          <w:szCs w:val="20"/>
          <w:lang w:eastAsia="en-US"/>
        </w:rPr>
        <w:t xml:space="preserve">Side and rear walls of face brick (overpainted). </w:t>
      </w:r>
    </w:p>
    <w:p w:rsidR="0028752C" w:rsidRPr="0028752C" w:rsidRDefault="0028752C" w:rsidP="0028752C">
      <w:pPr>
        <w:spacing w:after="120" w:line="360" w:lineRule="auto"/>
        <w:rPr>
          <w:rFonts w:cs="Arial"/>
          <w:bCs/>
          <w:sz w:val="20"/>
          <w:szCs w:val="20"/>
          <w:lang w:eastAsia="en-US"/>
        </w:rPr>
      </w:pPr>
      <w:r w:rsidRPr="0028752C">
        <w:rPr>
          <w:rFonts w:cs="Arial"/>
          <w:bCs/>
          <w:sz w:val="20"/>
          <w:szCs w:val="20"/>
          <w:lang w:eastAsia="en-US"/>
        </w:rPr>
        <w:t>Later alterations made to the street level facades are not significant.</w:t>
      </w:r>
    </w:p>
    <w:p w:rsidR="0028752C" w:rsidRPr="0028752C" w:rsidRDefault="0028752C" w:rsidP="0028752C">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0288" behindDoc="0" locked="0" layoutInCell="1" allowOverlap="1" wp14:anchorId="4EDA7A30" wp14:editId="2E8E6585">
                <wp:simplePos x="0" y="0"/>
                <wp:positionH relativeFrom="column">
                  <wp:posOffset>-7620</wp:posOffset>
                </wp:positionH>
                <wp:positionV relativeFrom="paragraph">
                  <wp:posOffset>207644</wp:posOffset>
                </wp:positionV>
                <wp:extent cx="5882005" cy="0"/>
                <wp:effectExtent l="0" t="0" r="234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" strokecolor="windowText" strokeweight=".5pt">
                <v:stroke joinstyle="miter"/>
                <o:lock v:ext="edit" shapetype="f"/>
              </v:line>
            </w:pict>
          </mc:Fallback>
        </mc:AlternateContent>
      </w:r>
      <w:r w:rsidRPr="0028752C">
        <w:rPr>
          <w:rFonts w:cs="Arial"/>
          <w:b/>
          <w:sz w:val="20"/>
          <w:szCs w:val="20"/>
          <w:lang w:eastAsia="en-US"/>
        </w:rPr>
        <w:t>How it is significant?</w:t>
      </w:r>
    </w:p>
    <w:p w:rsidR="0028752C" w:rsidRPr="0028752C" w:rsidRDefault="0028752C" w:rsidP="0028752C">
      <w:pPr>
        <w:spacing w:after="120" w:line="360" w:lineRule="auto"/>
        <w:rPr>
          <w:rFonts w:cs="Arial"/>
          <w:bCs/>
          <w:sz w:val="20"/>
          <w:szCs w:val="20"/>
          <w:lang w:eastAsia="en-US"/>
        </w:rPr>
      </w:pPr>
      <w:r w:rsidRPr="0028752C">
        <w:rPr>
          <w:rFonts w:cs="Arial"/>
          <w:bCs/>
          <w:sz w:val="20"/>
          <w:szCs w:val="20"/>
          <w:lang w:eastAsia="en-US"/>
        </w:rPr>
        <w:t>209-215 Bourke Street is of local historic and representative significance to the City of Melbourne.</w:t>
      </w:r>
    </w:p>
    <w:p w:rsidR="0028752C" w:rsidRPr="0028752C" w:rsidRDefault="0028752C" w:rsidP="0028752C">
      <w:pPr>
        <w:keepNext/>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1312" behindDoc="0" locked="0" layoutInCell="1" allowOverlap="1" wp14:anchorId="27D9703E" wp14:editId="5BB3B497">
                <wp:simplePos x="0" y="0"/>
                <wp:positionH relativeFrom="column">
                  <wp:posOffset>-7620</wp:posOffset>
                </wp:positionH>
                <wp:positionV relativeFrom="paragraph">
                  <wp:posOffset>227329</wp:posOffset>
                </wp:positionV>
                <wp:extent cx="588200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VT2wEAAKYDAAAOAAAAZHJzL2Uyb0RvYy54bWysU01v2zAMvQ/YfxB0X5x2SJEZ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B1&#10;r0VT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28752C">
        <w:rPr>
          <w:rFonts w:cs="Arial"/>
          <w:b/>
          <w:sz w:val="20"/>
          <w:szCs w:val="20"/>
          <w:lang w:eastAsia="en-US"/>
        </w:rPr>
        <w:t>Why it is significant?</w:t>
      </w:r>
    </w:p>
    <w:p w:rsidR="0028752C" w:rsidRPr="0028752C" w:rsidRDefault="0028752C" w:rsidP="0028752C">
      <w:pPr>
        <w:spacing w:after="120" w:line="360" w:lineRule="auto"/>
        <w:rPr>
          <w:rFonts w:cs="Arial"/>
          <w:bCs/>
          <w:sz w:val="20"/>
          <w:szCs w:val="20"/>
          <w:lang w:eastAsia="en-US"/>
        </w:rPr>
      </w:pPr>
      <w:r w:rsidRPr="0028752C">
        <w:rPr>
          <w:rFonts w:cs="Arial"/>
          <w:bCs/>
          <w:sz w:val="20"/>
          <w:szCs w:val="20"/>
          <w:lang w:eastAsia="en-US"/>
        </w:rPr>
        <w:t xml:space="preserve">209-215 Bourke Street is historically significant as a mid-Victorian building that represents a key phase in the development of Melbourne when increasing numbers of investors developed retail premises in the city during the building boom of the 1870s and 1880s. Built in 1876 for investment </w:t>
      </w:r>
      <w:r w:rsidRPr="0028752C">
        <w:rPr>
          <w:rFonts w:cs="Arial"/>
          <w:bCs/>
          <w:sz w:val="20"/>
          <w:szCs w:val="20"/>
          <w:lang w:eastAsia="en-US"/>
        </w:rPr>
        <w:lastRenderedPageBreak/>
        <w:t xml:space="preserve">partners F B Clapp and W G </w:t>
      </w:r>
      <w:proofErr w:type="spellStart"/>
      <w:r w:rsidRPr="0028752C">
        <w:rPr>
          <w:rFonts w:cs="Arial"/>
          <w:bCs/>
          <w:sz w:val="20"/>
          <w:szCs w:val="20"/>
          <w:lang w:eastAsia="en-US"/>
        </w:rPr>
        <w:t>Sprigg</w:t>
      </w:r>
      <w:proofErr w:type="spellEnd"/>
      <w:r w:rsidRPr="0028752C">
        <w:rPr>
          <w:rFonts w:cs="Arial"/>
          <w:bCs/>
          <w:sz w:val="20"/>
          <w:szCs w:val="20"/>
          <w:lang w:eastAsia="en-US"/>
        </w:rPr>
        <w:t>, who developed up to 12 similar properties along Bourke Street between 1873 and 1885, 209-215 Bourke Street is typical of retail buildings of the Victorian era that housed retail outlets at ground level with residences and workspaces for business-owners provided on the floors above. (Criterion A)</w:t>
      </w:r>
    </w:p>
    <w:p w:rsidR="0028752C" w:rsidRPr="0028752C" w:rsidRDefault="0028752C" w:rsidP="0028752C">
      <w:pPr>
        <w:spacing w:after="120" w:line="360" w:lineRule="auto"/>
        <w:rPr>
          <w:rFonts w:cs="Arial"/>
          <w:b/>
          <w:sz w:val="20"/>
          <w:szCs w:val="20"/>
          <w:lang w:eastAsia="en-US"/>
        </w:rPr>
      </w:pPr>
      <w:r w:rsidRPr="0028752C">
        <w:rPr>
          <w:rFonts w:cs="Arial"/>
          <w:bCs/>
          <w:sz w:val="20"/>
          <w:szCs w:val="20"/>
          <w:lang w:eastAsia="en-US"/>
        </w:rPr>
        <w:t xml:space="preserve">209-215 Bourke Street, built in the mid-Victorian era and characterised by rich decoration is significant for its Italianate influences and unified composition across the upper façade. The first floor level of the four shops retains the classical architectural styling typical of the period, featuring decorative stucco elements including engaged pilasters, deep cornicing, scrolled brackets, window mouldings and a </w:t>
      </w:r>
      <w:proofErr w:type="spellStart"/>
      <w:r w:rsidRPr="0028752C">
        <w:rPr>
          <w:rFonts w:cs="Arial"/>
          <w:bCs/>
          <w:sz w:val="20"/>
          <w:szCs w:val="20"/>
          <w:lang w:eastAsia="en-US"/>
        </w:rPr>
        <w:t>balustraded</w:t>
      </w:r>
      <w:proofErr w:type="spellEnd"/>
      <w:r w:rsidRPr="0028752C">
        <w:rPr>
          <w:rFonts w:cs="Arial"/>
          <w:bCs/>
          <w:sz w:val="20"/>
          <w:szCs w:val="20"/>
          <w:lang w:eastAsia="en-US"/>
        </w:rPr>
        <w:t xml:space="preserve"> parapet. (Criterion D)</w:t>
      </w:r>
    </w:p>
    <w:p w:rsidR="0028752C" w:rsidRPr="0028752C" w:rsidRDefault="0028752C" w:rsidP="0028752C">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2336" behindDoc="0" locked="0" layoutInCell="1" allowOverlap="1" wp14:anchorId="1823FC4B" wp14:editId="37929141">
                <wp:simplePos x="0" y="0"/>
                <wp:positionH relativeFrom="column">
                  <wp:posOffset>-7620</wp:posOffset>
                </wp:positionH>
                <wp:positionV relativeFrom="paragraph">
                  <wp:posOffset>227329</wp:posOffset>
                </wp:positionV>
                <wp:extent cx="5882005" cy="0"/>
                <wp:effectExtent l="0" t="0" r="234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" strokecolor="windowText" strokeweight=".5pt">
                <v:stroke joinstyle="miter"/>
                <o:lock v:ext="edit" shapetype="f"/>
              </v:line>
            </w:pict>
          </mc:Fallback>
        </mc:AlternateContent>
      </w:r>
      <w:r w:rsidRPr="0028752C">
        <w:rPr>
          <w:rFonts w:cs="Arial"/>
          <w:b/>
          <w:bCs/>
          <w:sz w:val="20"/>
          <w:szCs w:val="20"/>
          <w:u w:color="1A1A1A"/>
          <w:lang w:eastAsia="en-US"/>
        </w:rPr>
        <w:t>Primary source</w:t>
      </w:r>
    </w:p>
    <w:p w:rsidR="006A19AD" w:rsidRPr="00CF085A" w:rsidRDefault="0028752C" w:rsidP="0028752C">
      <w:pPr>
        <w:spacing w:after="120" w:line="360" w:lineRule="auto"/>
      </w:pPr>
      <w:r w:rsidRPr="0028752C">
        <w:rPr>
          <w:rFonts w:cs="Arial"/>
          <w:sz w:val="20"/>
          <w:szCs w:val="20"/>
          <w:u w:color="1A1A1A"/>
          <w:lang w:eastAsia="en-US"/>
        </w:rPr>
        <w:t>Hoddle Grid Heritage Review (Context &amp; GJM Heritage, 2020)</w:t>
      </w:r>
    </w:p>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2C" w:rsidRDefault="0028752C" w:rsidP="0028752C">
      <w:pPr>
        <w:spacing w:after="0" w:line="240" w:lineRule="auto"/>
      </w:pPr>
      <w:r>
        <w:separator/>
      </w:r>
    </w:p>
  </w:endnote>
  <w:endnote w:type="continuationSeparator" w:id="0">
    <w:p w:rsidR="0028752C" w:rsidRDefault="0028752C" w:rsidP="002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2C" w:rsidRPr="00B7479A" w:rsidRDefault="00B7479A" w:rsidP="00B7479A">
    <w:pPr>
      <w:tabs>
        <w:tab w:val="center" w:pos="4513"/>
        <w:tab w:val="right" w:pos="9026"/>
      </w:tabs>
      <w:spacing w:after="0" w:line="240" w:lineRule="auto"/>
      <w:rPr>
        <w:sz w:val="18"/>
        <w:szCs w:val="18"/>
      </w:rPr>
    </w:pPr>
    <w:r w:rsidRPr="00B7479A">
      <w:rPr>
        <w:sz w:val="18"/>
        <w:szCs w:val="18"/>
      </w:rPr>
      <w:t>INCORPORATED DOCUMENT – SCHEDULE TO CLAUSE 72.04</w:t>
    </w:r>
    <w:r w:rsidRPr="00B7479A">
      <w:rPr>
        <w:sz w:val="18"/>
        <w:szCs w:val="18"/>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2C" w:rsidRDefault="0028752C" w:rsidP="0028752C">
      <w:pPr>
        <w:spacing w:after="0" w:line="240" w:lineRule="auto"/>
      </w:pPr>
      <w:r>
        <w:separator/>
      </w:r>
    </w:p>
  </w:footnote>
  <w:footnote w:type="continuationSeparator" w:id="0">
    <w:p w:rsidR="0028752C" w:rsidRDefault="0028752C" w:rsidP="0028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365D"/>
    <w:multiLevelType w:val="hybridMultilevel"/>
    <w:tmpl w:val="AD8EB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2C"/>
    <w:rsid w:val="000521C5"/>
    <w:rsid w:val="0008133F"/>
    <w:rsid w:val="000F7D41"/>
    <w:rsid w:val="0028752C"/>
    <w:rsid w:val="003355DC"/>
    <w:rsid w:val="003A6FC1"/>
    <w:rsid w:val="0043143B"/>
    <w:rsid w:val="00576EB1"/>
    <w:rsid w:val="005F3710"/>
    <w:rsid w:val="00682BD5"/>
    <w:rsid w:val="006A19AD"/>
    <w:rsid w:val="007D6A1F"/>
    <w:rsid w:val="008B5EB6"/>
    <w:rsid w:val="00996FEF"/>
    <w:rsid w:val="00A36F5D"/>
    <w:rsid w:val="00B335B8"/>
    <w:rsid w:val="00B6108D"/>
    <w:rsid w:val="00B7479A"/>
    <w:rsid w:val="00C742CD"/>
    <w:rsid w:val="00C863DF"/>
    <w:rsid w:val="00CF085A"/>
    <w:rsid w:val="00D12592"/>
    <w:rsid w:val="00D533DB"/>
    <w:rsid w:val="00D5761B"/>
    <w:rsid w:val="00D811B1"/>
    <w:rsid w:val="00D93585"/>
    <w:rsid w:val="00DB4B8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C"/>
    <w:rPr>
      <w:rFonts w:ascii="Tahoma" w:hAnsi="Tahoma" w:cs="Tahoma"/>
      <w:sz w:val="16"/>
      <w:szCs w:val="16"/>
    </w:rPr>
  </w:style>
  <w:style w:type="paragraph" w:styleId="Header">
    <w:name w:val="header"/>
    <w:basedOn w:val="Normal"/>
    <w:link w:val="HeaderChar"/>
    <w:uiPriority w:val="99"/>
    <w:unhideWhenUsed/>
    <w:rsid w:val="0028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52C"/>
    <w:rPr>
      <w:sz w:val="22"/>
      <w:szCs w:val="22"/>
    </w:rPr>
  </w:style>
  <w:style w:type="paragraph" w:styleId="Footer">
    <w:name w:val="footer"/>
    <w:basedOn w:val="Normal"/>
    <w:link w:val="FooterChar"/>
    <w:uiPriority w:val="99"/>
    <w:unhideWhenUsed/>
    <w:rsid w:val="0028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2C"/>
    <w:rPr>
      <w:sz w:val="22"/>
      <w:szCs w:val="22"/>
    </w:rPr>
  </w:style>
  <w:style w:type="paragraph" w:styleId="ListParagraph">
    <w:name w:val="List Paragraph"/>
    <w:basedOn w:val="Normal"/>
    <w:uiPriority w:val="34"/>
    <w:qFormat/>
    <w:rsid w:val="00B74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C"/>
    <w:rPr>
      <w:rFonts w:ascii="Tahoma" w:hAnsi="Tahoma" w:cs="Tahoma"/>
      <w:sz w:val="16"/>
      <w:szCs w:val="16"/>
    </w:rPr>
  </w:style>
  <w:style w:type="paragraph" w:styleId="Header">
    <w:name w:val="header"/>
    <w:basedOn w:val="Normal"/>
    <w:link w:val="HeaderChar"/>
    <w:uiPriority w:val="99"/>
    <w:unhideWhenUsed/>
    <w:rsid w:val="0028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52C"/>
    <w:rPr>
      <w:sz w:val="22"/>
      <w:szCs w:val="22"/>
    </w:rPr>
  </w:style>
  <w:style w:type="paragraph" w:styleId="Footer">
    <w:name w:val="footer"/>
    <w:basedOn w:val="Normal"/>
    <w:link w:val="FooterChar"/>
    <w:uiPriority w:val="99"/>
    <w:unhideWhenUsed/>
    <w:rsid w:val="0028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2C"/>
    <w:rPr>
      <w:sz w:val="22"/>
      <w:szCs w:val="22"/>
    </w:rPr>
  </w:style>
  <w:style w:type="paragraph" w:styleId="ListParagraph">
    <w:name w:val="List Paragraph"/>
    <w:basedOn w:val="Normal"/>
    <w:uiPriority w:val="34"/>
    <w:qFormat/>
    <w:rsid w:val="00B74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Marques</dc:creator>
  <cp:lastModifiedBy>Suellen 3rd revisions</cp:lastModifiedBy>
  <cp:revision>4</cp:revision>
  <cp:lastPrinted>2020-08-17T02:31:00Z</cp:lastPrinted>
  <dcterms:created xsi:type="dcterms:W3CDTF">2020-07-16T01:46:00Z</dcterms:created>
  <dcterms:modified xsi:type="dcterms:W3CDTF">2020-08-17T02:31:00Z</dcterms:modified>
</cp:coreProperties>
</file>