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743F1" w14:textId="77777777" w:rsidR="000F1E9C" w:rsidRPr="00CC55D1" w:rsidRDefault="000F1E9C" w:rsidP="000F1E9C">
      <w:pPr>
        <w:pStyle w:val="Heading2"/>
        <w:rPr>
          <w:rFonts w:hint="eastAsia"/>
        </w:rPr>
      </w:pPr>
      <w:bookmarkStart w:id="0" w:name="_Toc403992345"/>
      <w:bookmarkStart w:id="1" w:name="_Toc403992580"/>
      <w:bookmarkStart w:id="2" w:name="_Toc419982304"/>
      <w:bookmarkStart w:id="3" w:name="_Toc419982305"/>
      <w:bookmarkStart w:id="4" w:name="_Toc154057749"/>
      <w:bookmarkStart w:id="5" w:name="_Toc155970544"/>
      <w:bookmarkStart w:id="6" w:name="_Toc158131943"/>
      <w:r w:rsidRPr="00CC55D1">
        <w:t>Focus area 3: heritage, urban change and economic growth</w:t>
      </w:r>
      <w:bookmarkEnd w:id="4"/>
      <w:bookmarkEnd w:id="5"/>
      <w:bookmarkEnd w:id="6"/>
    </w:p>
    <w:p w14:paraId="344661DF" w14:textId="77777777" w:rsidR="000F1E9C" w:rsidRPr="00CC55D1" w:rsidRDefault="000F1E9C" w:rsidP="000F1E9C">
      <w:pPr>
        <w:pStyle w:val="Heading3"/>
        <w:rPr>
          <w:rFonts w:hint="eastAsia"/>
        </w:rPr>
      </w:pPr>
      <w:bookmarkStart w:id="7" w:name="_Toc152752247"/>
      <w:bookmarkStart w:id="8" w:name="_Toc154057750"/>
      <w:bookmarkStart w:id="9" w:name="_Toc158131944"/>
      <w:r w:rsidRPr="00CC55D1">
        <w:t>Heritage as an enabler of change and growth in Melbourne</w:t>
      </w:r>
      <w:bookmarkEnd w:id="7"/>
      <w:bookmarkEnd w:id="8"/>
      <w:bookmarkEnd w:id="9"/>
    </w:p>
    <w:p w14:paraId="0B258261" w14:textId="77777777" w:rsidR="000F1E9C" w:rsidRPr="00CC55D1" w:rsidRDefault="000F1E9C" w:rsidP="000F1E9C">
      <w:r w:rsidRPr="00CC55D1">
        <w:t>Melbourne is an economic driver for the metropolitan region, Victoria and Australia. It is a vibrant, multicultural, global city, and its historic precincts, streetscapes and buildings, public spaces, parks and gardens are some of its strongest assets. Previous analysis has shown that heritage conservation in City of Melbourne can lead to:</w:t>
      </w:r>
    </w:p>
    <w:p w14:paraId="390778F6" w14:textId="77777777" w:rsidR="000F1E9C" w:rsidRPr="00CC55D1" w:rsidRDefault="000F1E9C" w:rsidP="000F1E9C">
      <w:pPr>
        <w:pStyle w:val="ListBullet"/>
      </w:pPr>
      <w:r w:rsidRPr="00CC55D1">
        <w:rPr>
          <w:iCs/>
        </w:rPr>
        <w:t>net gains in cultural tourism</w:t>
      </w:r>
      <w:r w:rsidRPr="00CC55D1">
        <w:t xml:space="preserve">, as heritage values can act as a cultural attractor </w:t>
      </w:r>
    </w:p>
    <w:p w14:paraId="6EB85845" w14:textId="77777777" w:rsidR="000F1E9C" w:rsidRPr="00CC55D1" w:rsidRDefault="000F1E9C" w:rsidP="000F1E9C">
      <w:pPr>
        <w:pStyle w:val="ListBullet"/>
      </w:pPr>
      <w:r w:rsidRPr="00CC55D1">
        <w:t>pride in our unique heritage places and stronger connection to place for our residents</w:t>
      </w:r>
    </w:p>
    <w:p w14:paraId="311F4647" w14:textId="77777777" w:rsidR="000F1E9C" w:rsidRPr="00CC55D1" w:rsidRDefault="000F1E9C" w:rsidP="000F1E9C">
      <w:pPr>
        <w:pStyle w:val="ListBullet"/>
      </w:pPr>
      <w:r w:rsidRPr="00CC55D1">
        <w:t>the growth of sought-after heritage skills and trades</w:t>
      </w:r>
    </w:p>
    <w:p w14:paraId="17D7EB56" w14:textId="72252B05" w:rsidR="000F1E9C" w:rsidRPr="00CC55D1" w:rsidRDefault="000F1E9C" w:rsidP="000F1E9C">
      <w:pPr>
        <w:pStyle w:val="ListBullet"/>
        <w:spacing w:after="240"/>
      </w:pPr>
      <w:r w:rsidRPr="00CC55D1">
        <w:t>retained residential amenity and liveability</w:t>
      </w:r>
      <w:r w:rsidR="00390696">
        <w:t>.</w:t>
      </w:r>
    </w:p>
    <w:p w14:paraId="516BF80A" w14:textId="77777777" w:rsidR="000F1E9C" w:rsidRPr="00CC55D1" w:rsidRDefault="000F1E9C" w:rsidP="000F1E9C">
      <w:pPr>
        <w:pStyle w:val="Heading3"/>
        <w:rPr>
          <w:rFonts w:hint="eastAsia"/>
        </w:rPr>
      </w:pPr>
      <w:bookmarkStart w:id="10" w:name="_Toc152752248"/>
      <w:bookmarkStart w:id="11" w:name="_Toc154057751"/>
      <w:bookmarkStart w:id="12" w:name="_Toc158131945"/>
      <w:r w:rsidRPr="00CC55D1">
        <w:t>Opportunities to take a people-centred approach</w:t>
      </w:r>
      <w:bookmarkEnd w:id="10"/>
      <w:bookmarkEnd w:id="11"/>
      <w:bookmarkEnd w:id="12"/>
    </w:p>
    <w:p w14:paraId="36178182" w14:textId="77777777" w:rsidR="000F1E9C" w:rsidRPr="00CC55D1" w:rsidRDefault="000F1E9C" w:rsidP="000F1E9C">
      <w:r w:rsidRPr="00CC55D1">
        <w:t xml:space="preserve">We have an opportunity to celebrate heritage as an important feature of the sustainable development and economic growth of our city. City of Melbourne’s heritage policies set out how the sensitive evolution of heritage places and neighbourhoods should occur. There can be challenges in delivering the right outcomes, but there are many examples where heritage has facilitated high quality designs. </w:t>
      </w:r>
    </w:p>
    <w:p w14:paraId="3ED024F4" w14:textId="77777777" w:rsidR="000F1E9C" w:rsidRPr="00CC55D1" w:rsidRDefault="000F1E9C" w:rsidP="000F1E9C">
      <w:r w:rsidRPr="00CC55D1">
        <w:t xml:space="preserve">The public benefit of retaining heritage fabric can far exceed that of demolition. New developments that incorporate heritage buildings or fabric have a stronger sense of distinctiveness and place. Heritage buildings can be adapted and complemented by modern additions, giving places another life and meaning – ensuring they continue to contribute to our city’s culture and story. Their adapted forms often also have better environmental performance and better relate to their local context and the public realm. </w:t>
      </w:r>
    </w:p>
    <w:p w14:paraId="52267E7B" w14:textId="77777777" w:rsidR="000F1E9C" w:rsidRPr="00CC55D1" w:rsidRDefault="000F1E9C" w:rsidP="000F1E9C">
      <w:r w:rsidRPr="00CC55D1">
        <w:t>Heritage tourism can improve people’s understanding and engagement with heritage, as well as drive economic growth and job creation, ensuring the long-term conservation of heritage places.</w:t>
      </w:r>
    </w:p>
    <w:tbl>
      <w:tblPr>
        <w:tblStyle w:val="TableGrid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0F1E9C" w:rsidRPr="00CC55D1" w14:paraId="071ECC02" w14:textId="77777777" w:rsidTr="00B97343">
        <w:trPr>
          <w:trHeight w:val="353"/>
        </w:trPr>
        <w:tc>
          <w:tcPr>
            <w:tcW w:w="9781" w:type="dxa"/>
            <w:gridSpan w:val="2"/>
            <w:tcBorders>
              <w:top w:val="single" w:sz="12" w:space="0" w:color="auto"/>
            </w:tcBorders>
          </w:tcPr>
          <w:p w14:paraId="0633AA74" w14:textId="77777777" w:rsidR="000F1E9C" w:rsidRPr="00CC55D1" w:rsidRDefault="000F1E9C" w:rsidP="00FE3DCE">
            <w:pPr>
              <w:pStyle w:val="Heading3"/>
              <w:outlineLvl w:val="2"/>
              <w:rPr>
                <w:rFonts w:hint="eastAsia"/>
                <w:szCs w:val="22"/>
                <w:lang w:val="en-AU"/>
              </w:rPr>
            </w:pPr>
            <w:bookmarkStart w:id="13" w:name="_Toc154057753"/>
            <w:bookmarkStart w:id="14" w:name="_Toc152752249"/>
            <w:bookmarkStart w:id="15" w:name="_Toc158131946"/>
            <w:r w:rsidRPr="00CC55D1">
              <w:rPr>
                <w:szCs w:val="22"/>
              </w:rPr>
              <w:t>Case study: Abermale Street, Kensington, designed by Fieldwork for Assemble Communities</w:t>
            </w:r>
            <w:bookmarkEnd w:id="13"/>
            <w:bookmarkEnd w:id="14"/>
            <w:bookmarkEnd w:id="15"/>
          </w:p>
        </w:tc>
      </w:tr>
      <w:tr w:rsidR="000F1E9C" w:rsidRPr="000F1E9C" w14:paraId="55138848" w14:textId="77777777" w:rsidTr="00B97343">
        <w:trPr>
          <w:trHeight w:val="3959"/>
        </w:trPr>
        <w:tc>
          <w:tcPr>
            <w:tcW w:w="4535" w:type="dxa"/>
            <w:tcBorders>
              <w:bottom w:val="single" w:sz="12" w:space="0" w:color="auto"/>
            </w:tcBorders>
          </w:tcPr>
          <w:p w14:paraId="627B60E0" w14:textId="3A730DF2" w:rsidR="000F1E9C" w:rsidRPr="000F1E9C" w:rsidRDefault="00390696" w:rsidP="003E5082">
            <w:pPr>
              <w:spacing w:after="0"/>
              <w:jc w:val="center"/>
              <w:rPr>
                <w:rFonts w:eastAsia="Arial" w:cs="Arial"/>
                <w:sz w:val="20"/>
                <w:szCs w:val="20"/>
                <w:lang w:val="en-AU"/>
              </w:rPr>
            </w:pPr>
            <w:r w:rsidRPr="000F1E9C">
              <w:rPr>
                <w:noProof/>
                <w:szCs w:val="20"/>
                <w:lang w:eastAsia="en-AU"/>
              </w:rPr>
              <w:drawing>
                <wp:inline distT="0" distB="0" distL="0" distR="0" wp14:anchorId="6AEAE1D7" wp14:editId="4FE6E8A5">
                  <wp:extent cx="2514600" cy="2280009"/>
                  <wp:effectExtent l="0" t="0" r="0" b="6350"/>
                  <wp:docPr id="12" name="Picture 12" descr="38 Albermarle Street Residential Building / Fieldwork | ArchDaily" title="Image 9 in Casestudy Tab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 Albermarle Street Residential Building / Fieldwork | ArchDaily"/>
                          <pic:cNvPicPr>
                            <a:picLocks noChangeAspect="1" noChangeArrowheads="1"/>
                          </pic:cNvPicPr>
                        </pic:nvPicPr>
                        <pic:blipFill rotWithShape="1">
                          <a:blip r:embed="rId12">
                            <a:extLst>
                              <a:ext uri="{28A0092B-C50C-407E-A947-70E740481C1C}">
                                <a14:useLocalDpi xmlns:a14="http://schemas.microsoft.com/office/drawing/2010/main" val="0"/>
                              </a:ext>
                            </a:extLst>
                          </a:blip>
                          <a:srcRect l="7743" t="3568" r="12373"/>
                          <a:stretch/>
                        </pic:blipFill>
                        <pic:spPr bwMode="auto">
                          <a:xfrm>
                            <a:off x="0" y="0"/>
                            <a:ext cx="2566466" cy="2327036"/>
                          </a:xfrm>
                          <a:prstGeom prst="rect">
                            <a:avLst/>
                          </a:prstGeom>
                          <a:noFill/>
                          <a:ln>
                            <a:noFill/>
                          </a:ln>
                          <a:extLst>
                            <a:ext uri="{53640926-AAD7-44D8-BBD7-CCE9431645EC}">
                              <a14:shadowObscured xmlns:a14="http://schemas.microsoft.com/office/drawing/2010/main"/>
                            </a:ext>
                          </a:extLst>
                        </pic:spPr>
                      </pic:pic>
                    </a:graphicData>
                  </a:graphic>
                </wp:inline>
              </w:drawing>
            </w:r>
          </w:p>
          <w:p w14:paraId="68A0827E" w14:textId="73F1D1A2" w:rsidR="000F1E9C" w:rsidRPr="00714FB7" w:rsidRDefault="000F1E9C" w:rsidP="003E5082">
            <w:pPr>
              <w:spacing w:after="0"/>
              <w:jc w:val="center"/>
              <w:rPr>
                <w:sz w:val="20"/>
                <w:szCs w:val="20"/>
              </w:rPr>
            </w:pPr>
            <w:r w:rsidRPr="000F1E9C">
              <w:rPr>
                <w:sz w:val="20"/>
                <w:szCs w:val="20"/>
              </w:rPr>
              <w:t>Im</w:t>
            </w:r>
            <w:r w:rsidR="00714FB7">
              <w:rPr>
                <w:sz w:val="20"/>
                <w:szCs w:val="20"/>
              </w:rPr>
              <w:t>age 9 Courtesy of archdaily.com</w:t>
            </w:r>
          </w:p>
        </w:tc>
        <w:tc>
          <w:tcPr>
            <w:tcW w:w="5246" w:type="dxa"/>
            <w:tcBorders>
              <w:bottom w:val="single" w:sz="12" w:space="0" w:color="auto"/>
            </w:tcBorders>
          </w:tcPr>
          <w:p w14:paraId="70BB17C7" w14:textId="77777777" w:rsidR="000F1E9C" w:rsidRPr="000F1E9C" w:rsidRDefault="000F1E9C" w:rsidP="003E5082">
            <w:pPr>
              <w:spacing w:after="0"/>
              <w:rPr>
                <w:sz w:val="20"/>
                <w:szCs w:val="20"/>
                <w:lang w:val="en-AU" w:eastAsia="en-AU"/>
              </w:rPr>
            </w:pPr>
            <w:r w:rsidRPr="000F1E9C">
              <w:rPr>
                <w:b/>
                <w:sz w:val="20"/>
                <w:szCs w:val="20"/>
                <w:lang w:eastAsia="en-AU"/>
              </w:rPr>
              <w:t>Heritage protection:</w:t>
            </w:r>
            <w:r w:rsidRPr="000F1E9C">
              <w:rPr>
                <w:sz w:val="20"/>
                <w:szCs w:val="20"/>
                <w:lang w:eastAsia="en-AU"/>
              </w:rPr>
              <w:t xml:space="preserve"> Significant in Heritage Overlay</w:t>
            </w:r>
          </w:p>
          <w:p w14:paraId="0F578CD6" w14:textId="77777777" w:rsidR="003E5082" w:rsidRDefault="003E5082" w:rsidP="003E5082">
            <w:pPr>
              <w:spacing w:after="0"/>
              <w:rPr>
                <w:b/>
                <w:sz w:val="20"/>
                <w:szCs w:val="20"/>
                <w:lang w:eastAsia="en-AU"/>
              </w:rPr>
            </w:pPr>
          </w:p>
          <w:p w14:paraId="548C1EBC" w14:textId="0C78BF82" w:rsidR="000F1E9C" w:rsidRPr="000F1E9C" w:rsidRDefault="000F1E9C" w:rsidP="003E5082">
            <w:pPr>
              <w:spacing w:after="0"/>
              <w:rPr>
                <w:b/>
                <w:sz w:val="20"/>
                <w:szCs w:val="20"/>
                <w:lang w:val="en-AU" w:eastAsia="en-AU"/>
              </w:rPr>
            </w:pPr>
            <w:r w:rsidRPr="000F1E9C">
              <w:rPr>
                <w:b/>
                <w:sz w:val="20"/>
                <w:szCs w:val="20"/>
                <w:lang w:eastAsia="en-AU"/>
              </w:rPr>
              <w:t xml:space="preserve">New use and scale: </w:t>
            </w:r>
            <w:r w:rsidRPr="000F1E9C">
              <w:rPr>
                <w:sz w:val="20"/>
                <w:szCs w:val="20"/>
                <w:lang w:eastAsia="en-AU"/>
              </w:rPr>
              <w:t>High-density residential and zero-waste café.</w:t>
            </w:r>
          </w:p>
          <w:p w14:paraId="4192F44F" w14:textId="77777777" w:rsidR="003E5082" w:rsidRDefault="003E5082" w:rsidP="003E5082">
            <w:pPr>
              <w:spacing w:after="0"/>
              <w:rPr>
                <w:b/>
                <w:sz w:val="20"/>
                <w:szCs w:val="20"/>
                <w:lang w:eastAsia="en-AU"/>
              </w:rPr>
            </w:pPr>
          </w:p>
          <w:p w14:paraId="1E83EC70" w14:textId="2CC2A078" w:rsidR="000F1E9C" w:rsidRPr="000F1E9C" w:rsidRDefault="000F1E9C" w:rsidP="003E5082">
            <w:pPr>
              <w:spacing w:after="0"/>
              <w:rPr>
                <w:b/>
                <w:sz w:val="20"/>
                <w:szCs w:val="20"/>
                <w:lang w:val="en-AU" w:eastAsia="en-AU"/>
              </w:rPr>
            </w:pPr>
            <w:r w:rsidRPr="000F1E9C">
              <w:rPr>
                <w:b/>
                <w:sz w:val="20"/>
                <w:szCs w:val="20"/>
                <w:lang w:eastAsia="en-AU"/>
              </w:rPr>
              <w:t>Key features:</w:t>
            </w:r>
          </w:p>
          <w:p w14:paraId="46124BDF" w14:textId="77777777" w:rsidR="000F1E9C" w:rsidRPr="000F1E9C" w:rsidRDefault="000F1E9C" w:rsidP="003E5082">
            <w:pPr>
              <w:pStyle w:val="ListBullet"/>
              <w:spacing w:after="0"/>
              <w:rPr>
                <w:sz w:val="20"/>
                <w:szCs w:val="20"/>
                <w:lang w:eastAsia="en-AU"/>
              </w:rPr>
            </w:pPr>
            <w:r w:rsidRPr="000F1E9C">
              <w:rPr>
                <w:sz w:val="20"/>
                <w:szCs w:val="20"/>
                <w:lang w:eastAsia="en-AU"/>
              </w:rPr>
              <w:t>Renovated wool store and cassette factory.</w:t>
            </w:r>
          </w:p>
          <w:p w14:paraId="46F572EB" w14:textId="77777777" w:rsidR="000F1E9C" w:rsidRPr="000F1E9C" w:rsidRDefault="000F1E9C" w:rsidP="003E5082">
            <w:pPr>
              <w:pStyle w:val="ListBullet"/>
              <w:spacing w:after="0"/>
              <w:rPr>
                <w:sz w:val="20"/>
                <w:szCs w:val="20"/>
                <w:lang w:eastAsia="en-AU"/>
              </w:rPr>
            </w:pPr>
            <w:r w:rsidRPr="000F1E9C">
              <w:rPr>
                <w:sz w:val="20"/>
                <w:szCs w:val="20"/>
                <w:lang w:eastAsia="en-AU"/>
              </w:rPr>
              <w:t>Increased affordable housing supply in a build-to-rent-to-own development with one in ten dwellings for key workers at a 20 per cent discount.</w:t>
            </w:r>
          </w:p>
          <w:p w14:paraId="51467118" w14:textId="77777777" w:rsidR="000F1E9C" w:rsidRPr="000F1E9C" w:rsidRDefault="000F1E9C" w:rsidP="003E5082">
            <w:pPr>
              <w:pStyle w:val="ListBullet"/>
              <w:spacing w:after="0"/>
              <w:rPr>
                <w:sz w:val="20"/>
                <w:szCs w:val="20"/>
                <w:lang w:eastAsia="en-AU"/>
              </w:rPr>
            </w:pPr>
            <w:r w:rsidRPr="000F1E9C">
              <w:rPr>
                <w:sz w:val="20"/>
                <w:szCs w:val="20"/>
                <w:lang w:eastAsia="en-AU"/>
              </w:rPr>
              <w:t>Shared and communal spaces.</w:t>
            </w:r>
          </w:p>
          <w:p w14:paraId="034A5109" w14:textId="1D44454B" w:rsidR="000F1E9C" w:rsidRPr="00390696" w:rsidRDefault="000F1E9C" w:rsidP="003E5082">
            <w:pPr>
              <w:pStyle w:val="ListBullet"/>
              <w:spacing w:after="0"/>
              <w:rPr>
                <w:sz w:val="20"/>
                <w:szCs w:val="20"/>
                <w:lang w:eastAsia="en-AU"/>
              </w:rPr>
            </w:pPr>
            <w:r w:rsidRPr="000F1E9C">
              <w:rPr>
                <w:sz w:val="20"/>
                <w:szCs w:val="20"/>
                <w:lang w:eastAsia="en-AU"/>
              </w:rPr>
              <w:t>ESD features include retention of building fabric, cross-flow ventilation, reverse-cycle heating and cooling, an</w:t>
            </w:r>
            <w:r w:rsidR="00390696">
              <w:rPr>
                <w:sz w:val="20"/>
                <w:szCs w:val="20"/>
                <w:lang w:eastAsia="en-AU"/>
              </w:rPr>
              <w:t>d new energy-efficient windows.</w:t>
            </w:r>
          </w:p>
        </w:tc>
      </w:tr>
    </w:tbl>
    <w:p w14:paraId="69600CF8" w14:textId="33B811C8" w:rsidR="0096339E" w:rsidRDefault="0096339E" w:rsidP="000F1E9C">
      <w:pPr>
        <w:spacing w:after="0"/>
      </w:pPr>
    </w:p>
    <w:p w14:paraId="378EE44C" w14:textId="77777777" w:rsidR="0096339E" w:rsidRDefault="0096339E">
      <w:pPr>
        <w:spacing w:after="0" w:line="240" w:lineRule="auto"/>
      </w:pPr>
      <w:r>
        <w:br w:type="page"/>
      </w:r>
    </w:p>
    <w:tbl>
      <w:tblPr>
        <w:tblStyle w:val="TableGrid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0F1E9C" w:rsidRPr="00CC55D1" w14:paraId="066013F8" w14:textId="77777777" w:rsidTr="00B97343">
        <w:trPr>
          <w:trHeight w:val="353"/>
        </w:trPr>
        <w:tc>
          <w:tcPr>
            <w:tcW w:w="9781" w:type="dxa"/>
            <w:gridSpan w:val="2"/>
            <w:tcBorders>
              <w:top w:val="single" w:sz="12" w:space="0" w:color="auto"/>
            </w:tcBorders>
          </w:tcPr>
          <w:p w14:paraId="24DE7CA2" w14:textId="77777777" w:rsidR="000F1E9C" w:rsidRPr="00CC55D1" w:rsidRDefault="000F1E9C" w:rsidP="00FE3DCE">
            <w:pPr>
              <w:pStyle w:val="Heading3"/>
              <w:outlineLvl w:val="2"/>
              <w:rPr>
                <w:rFonts w:hint="eastAsia"/>
                <w:szCs w:val="22"/>
                <w:lang w:val="en-AU"/>
              </w:rPr>
            </w:pPr>
            <w:bookmarkStart w:id="16" w:name="_Toc152752250"/>
            <w:bookmarkStart w:id="17" w:name="_Toc154057754"/>
            <w:bookmarkStart w:id="18" w:name="_Toc158131947"/>
            <w:r w:rsidRPr="00CC55D1">
              <w:rPr>
                <w:szCs w:val="22"/>
              </w:rPr>
              <w:t>Case study: Quay Quarter</w:t>
            </w:r>
            <w:bookmarkEnd w:id="16"/>
            <w:r w:rsidRPr="00CC55D1">
              <w:rPr>
                <w:szCs w:val="22"/>
                <w:lang w:val="en-AU"/>
              </w:rPr>
              <w:t>, Sydney</w:t>
            </w:r>
            <w:bookmarkEnd w:id="17"/>
            <w:bookmarkEnd w:id="18"/>
          </w:p>
        </w:tc>
      </w:tr>
      <w:tr w:rsidR="00800FE0" w:rsidRPr="000F1E9C" w14:paraId="5B8103E8" w14:textId="77777777" w:rsidTr="00B97343">
        <w:trPr>
          <w:trHeight w:val="4034"/>
        </w:trPr>
        <w:tc>
          <w:tcPr>
            <w:tcW w:w="4535" w:type="dxa"/>
            <w:tcBorders>
              <w:bottom w:val="single" w:sz="12" w:space="0" w:color="auto"/>
            </w:tcBorders>
          </w:tcPr>
          <w:p w14:paraId="7EA0D0ED" w14:textId="13F1C2EB" w:rsidR="000F1E9C" w:rsidRPr="000F1E9C" w:rsidRDefault="000F1E9C" w:rsidP="003E5082">
            <w:pPr>
              <w:spacing w:after="0"/>
              <w:jc w:val="center"/>
              <w:rPr>
                <w:sz w:val="20"/>
                <w:szCs w:val="20"/>
              </w:rPr>
            </w:pPr>
            <w:r w:rsidRPr="000F1E9C">
              <w:rPr>
                <w:noProof/>
                <w:szCs w:val="20"/>
                <w:lang w:eastAsia="en-AU"/>
              </w:rPr>
              <w:drawing>
                <wp:anchor distT="0" distB="0" distL="114300" distR="114300" simplePos="0" relativeHeight="251685888" behindDoc="0" locked="0" layoutInCell="1" allowOverlap="1" wp14:anchorId="0A4C2A88" wp14:editId="536ABD5B">
                  <wp:simplePos x="0" y="0"/>
                  <wp:positionH relativeFrom="column">
                    <wp:posOffset>34290</wp:posOffset>
                  </wp:positionH>
                  <wp:positionV relativeFrom="paragraph">
                    <wp:posOffset>74930</wp:posOffset>
                  </wp:positionV>
                  <wp:extent cx="2674620" cy="2056765"/>
                  <wp:effectExtent l="0" t="0" r="0" b="635"/>
                  <wp:wrapSquare wrapText="bothSides"/>
                  <wp:docPr id="22" name="Picture 22" descr="Quay Quarter Lanes | ASPECT Studios" title="Image 10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y Quarter Lanes | ASPECT Studio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393" t="-15" r="16345" b="15"/>
                          <a:stretch/>
                        </pic:blipFill>
                        <pic:spPr bwMode="auto">
                          <a:xfrm>
                            <a:off x="0" y="0"/>
                            <a:ext cx="2674620" cy="205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E9C">
              <w:rPr>
                <w:sz w:val="20"/>
                <w:szCs w:val="20"/>
              </w:rPr>
              <w:t>Image 10 Courtesy of aspect-studios.com</w:t>
            </w:r>
          </w:p>
        </w:tc>
        <w:tc>
          <w:tcPr>
            <w:tcW w:w="5246" w:type="dxa"/>
            <w:tcBorders>
              <w:bottom w:val="single" w:sz="12" w:space="0" w:color="auto"/>
            </w:tcBorders>
          </w:tcPr>
          <w:p w14:paraId="7A7C0024" w14:textId="77777777" w:rsidR="000F1E9C" w:rsidRPr="000F1E9C" w:rsidRDefault="000F1E9C" w:rsidP="003E5082">
            <w:pPr>
              <w:spacing w:after="0"/>
              <w:rPr>
                <w:b/>
                <w:bCs/>
                <w:sz w:val="20"/>
                <w:szCs w:val="20"/>
                <w:lang w:val="en-AU" w:eastAsia="en-AU"/>
              </w:rPr>
            </w:pPr>
            <w:r w:rsidRPr="000F1E9C">
              <w:rPr>
                <w:b/>
                <w:bCs/>
                <w:sz w:val="20"/>
                <w:szCs w:val="20"/>
                <w:lang w:eastAsia="en-AU"/>
              </w:rPr>
              <w:t xml:space="preserve">Heritage protection: </w:t>
            </w:r>
            <w:r w:rsidRPr="000F1E9C">
              <w:rPr>
                <w:sz w:val="20"/>
                <w:szCs w:val="20"/>
                <w:lang w:val="en-AU" w:eastAsia="en-AU"/>
              </w:rPr>
              <w:t>local and state heritage items</w:t>
            </w:r>
          </w:p>
          <w:p w14:paraId="773050C2" w14:textId="77777777" w:rsidR="003E5082" w:rsidRDefault="003E5082" w:rsidP="003E5082">
            <w:pPr>
              <w:spacing w:after="0"/>
              <w:rPr>
                <w:b/>
                <w:sz w:val="20"/>
                <w:szCs w:val="20"/>
                <w:lang w:eastAsia="en-AU"/>
              </w:rPr>
            </w:pPr>
          </w:p>
          <w:p w14:paraId="021E6296" w14:textId="4F9A8D6C" w:rsidR="000F1E9C" w:rsidRPr="000F1E9C" w:rsidRDefault="000F1E9C" w:rsidP="003E5082">
            <w:pPr>
              <w:spacing w:after="0"/>
              <w:rPr>
                <w:b/>
                <w:sz w:val="20"/>
                <w:szCs w:val="20"/>
                <w:lang w:val="en-AU" w:eastAsia="en-AU"/>
              </w:rPr>
            </w:pPr>
            <w:r w:rsidRPr="000F1E9C">
              <w:rPr>
                <w:b/>
                <w:sz w:val="20"/>
                <w:szCs w:val="20"/>
                <w:lang w:eastAsia="en-AU"/>
              </w:rPr>
              <w:t xml:space="preserve">New use and scale: </w:t>
            </w:r>
            <w:r w:rsidRPr="000F1E9C">
              <w:rPr>
                <w:sz w:val="20"/>
                <w:szCs w:val="20"/>
                <w:lang w:val="en-AU" w:eastAsia="en-AU"/>
              </w:rPr>
              <w:t>Two city blocks incorporating restaurants, office buildings, stores and apartments.</w:t>
            </w:r>
          </w:p>
          <w:p w14:paraId="24968783" w14:textId="77777777" w:rsidR="003E5082" w:rsidRDefault="003E5082" w:rsidP="003E5082">
            <w:pPr>
              <w:spacing w:after="0"/>
              <w:rPr>
                <w:b/>
                <w:sz w:val="20"/>
                <w:szCs w:val="20"/>
                <w:lang w:eastAsia="en-AU"/>
              </w:rPr>
            </w:pPr>
          </w:p>
          <w:p w14:paraId="62B8D18F" w14:textId="13970B3B" w:rsidR="000F1E9C" w:rsidRPr="000F1E9C" w:rsidRDefault="000F1E9C" w:rsidP="003E5082">
            <w:pPr>
              <w:spacing w:after="0"/>
              <w:rPr>
                <w:b/>
                <w:sz w:val="20"/>
                <w:szCs w:val="20"/>
                <w:lang w:val="en-AU" w:eastAsia="en-AU"/>
              </w:rPr>
            </w:pPr>
            <w:r w:rsidRPr="000F1E9C">
              <w:rPr>
                <w:b/>
                <w:sz w:val="20"/>
                <w:szCs w:val="20"/>
                <w:lang w:eastAsia="en-AU"/>
              </w:rPr>
              <w:t>Key features:</w:t>
            </w:r>
          </w:p>
          <w:p w14:paraId="674C3636" w14:textId="77777777" w:rsidR="000F1E9C" w:rsidRPr="000F1E9C" w:rsidRDefault="000F1E9C" w:rsidP="003E5082">
            <w:pPr>
              <w:pStyle w:val="ListBullet"/>
              <w:spacing w:after="0"/>
              <w:rPr>
                <w:sz w:val="20"/>
                <w:szCs w:val="20"/>
                <w:lang w:eastAsia="en-AU"/>
              </w:rPr>
            </w:pPr>
            <w:r w:rsidRPr="000F1E9C">
              <w:rPr>
                <w:sz w:val="20"/>
                <w:szCs w:val="20"/>
                <w:lang w:eastAsia="en-AU"/>
              </w:rPr>
              <w:t xml:space="preserve">Re-establishes old laneway network of Sydney, with new development complementary to historic sandstone wool stores. </w:t>
            </w:r>
          </w:p>
          <w:p w14:paraId="71C8AF99" w14:textId="77777777" w:rsidR="000F1E9C" w:rsidRPr="000F1E9C" w:rsidRDefault="000F1E9C" w:rsidP="003E5082">
            <w:pPr>
              <w:pStyle w:val="ListBullet"/>
              <w:spacing w:after="0"/>
              <w:rPr>
                <w:sz w:val="20"/>
                <w:szCs w:val="20"/>
                <w:lang w:eastAsia="en-AU"/>
              </w:rPr>
            </w:pPr>
            <w:r w:rsidRPr="000F1E9C">
              <w:rPr>
                <w:sz w:val="20"/>
                <w:szCs w:val="20"/>
                <w:lang w:eastAsia="en-AU"/>
              </w:rPr>
              <w:t>Public art and interpretive design throughout reveal the legacy of the wool stores and the histories and stories of the Gadigal people.</w:t>
            </w:r>
          </w:p>
          <w:p w14:paraId="3B0575B2" w14:textId="77777777" w:rsidR="000F1E9C" w:rsidRPr="000F1E9C" w:rsidRDefault="000F1E9C" w:rsidP="003E5082">
            <w:pPr>
              <w:pStyle w:val="ListBullet"/>
              <w:spacing w:after="0"/>
              <w:rPr>
                <w:sz w:val="20"/>
                <w:szCs w:val="20"/>
                <w:lang w:eastAsia="en-AU"/>
              </w:rPr>
            </w:pPr>
            <w:r w:rsidRPr="000F1E9C">
              <w:rPr>
                <w:sz w:val="20"/>
                <w:szCs w:val="20"/>
                <w:lang w:eastAsia="en-AU"/>
              </w:rPr>
              <w:t xml:space="preserve">Quay Quarter Tower retrofit retained </w:t>
            </w:r>
            <w:r w:rsidRPr="000F1E9C">
              <w:rPr>
                <w:color w:val="000000" w:themeColor="text1"/>
                <w:sz w:val="20"/>
                <w:szCs w:val="20"/>
                <w:lang w:eastAsia="en-AU"/>
              </w:rPr>
              <w:t>60 per cent of the existing core structure</w:t>
            </w:r>
            <w:r w:rsidRPr="000F1E9C">
              <w:rPr>
                <w:sz w:val="20"/>
                <w:szCs w:val="20"/>
                <w:lang w:eastAsia="en-AU"/>
              </w:rPr>
              <w:t>.</w:t>
            </w:r>
          </w:p>
        </w:tc>
      </w:tr>
    </w:tbl>
    <w:p w14:paraId="61B8D368" w14:textId="77777777" w:rsidR="000F1E9C" w:rsidRPr="00CC55D1" w:rsidRDefault="00CC65F0" w:rsidP="000F1E9C">
      <w:pPr>
        <w:pStyle w:val="Heading3"/>
        <w:rPr>
          <w:rFonts w:hint="eastAsia"/>
        </w:rPr>
      </w:pPr>
      <w:r w:rsidRPr="00AB6132">
        <w:t xml:space="preserve"> </w:t>
      </w:r>
      <w:bookmarkStart w:id="19" w:name="_Toc158131948"/>
      <w:r w:rsidR="000F1E9C" w:rsidRPr="00CC55D1">
        <w:t>How could City of Melbourne lead by example?</w:t>
      </w:r>
      <w:bookmarkEnd w:id="19"/>
    </w:p>
    <w:p w14:paraId="0A931F77" w14:textId="77777777" w:rsidR="000F1E9C" w:rsidRPr="000F1E9C" w:rsidRDefault="000F1E9C" w:rsidP="000F1E9C">
      <w:pPr>
        <w:rPr>
          <w:szCs w:val="20"/>
        </w:rPr>
      </w:pPr>
      <w:r w:rsidRPr="000F1E9C">
        <w:rPr>
          <w:szCs w:val="20"/>
        </w:rPr>
        <w:t xml:space="preserve">We could demonstrate how heritage can facilitate urban change and growth, by: </w:t>
      </w:r>
    </w:p>
    <w:p w14:paraId="492AD42C" w14:textId="77777777" w:rsidR="000F1E9C" w:rsidRPr="000F1E9C" w:rsidRDefault="000F1E9C" w:rsidP="000F1E9C">
      <w:pPr>
        <w:pStyle w:val="ListBullet"/>
        <w:rPr>
          <w:szCs w:val="20"/>
        </w:rPr>
      </w:pPr>
      <w:r w:rsidRPr="000F1E9C">
        <w:rPr>
          <w:szCs w:val="20"/>
        </w:rPr>
        <w:t>working with Traditional Owners and Aboriginal Communities to develop a principles framework to guide the design and life of a project – see focus area 1</w:t>
      </w:r>
    </w:p>
    <w:p w14:paraId="0B1A81D1" w14:textId="77777777" w:rsidR="000F1E9C" w:rsidRPr="000F1E9C" w:rsidRDefault="000F1E9C" w:rsidP="000F1E9C">
      <w:pPr>
        <w:pStyle w:val="ListBullet"/>
        <w:rPr>
          <w:szCs w:val="20"/>
        </w:rPr>
      </w:pPr>
      <w:r w:rsidRPr="000F1E9C">
        <w:rPr>
          <w:szCs w:val="20"/>
        </w:rPr>
        <w:t>identify and promote examples where heritage has enabled sustainable development and economic activity</w:t>
      </w:r>
    </w:p>
    <w:p w14:paraId="12F2DCA3" w14:textId="77777777" w:rsidR="000F1E9C" w:rsidRPr="000F1E9C" w:rsidRDefault="000F1E9C" w:rsidP="000F1E9C">
      <w:pPr>
        <w:pStyle w:val="ListBullet"/>
        <w:rPr>
          <w:b/>
          <w:szCs w:val="20"/>
        </w:rPr>
      </w:pPr>
      <w:r w:rsidRPr="000F1E9C">
        <w:rPr>
          <w:szCs w:val="20"/>
        </w:rPr>
        <w:t>working with business groups and expert heritage bodies on how heritage can assist in achieving social and economic objectives</w:t>
      </w:r>
    </w:p>
    <w:p w14:paraId="0A07050D" w14:textId="77777777" w:rsidR="000F1E9C" w:rsidRPr="000F1E9C" w:rsidRDefault="000F1E9C" w:rsidP="000F1E9C">
      <w:pPr>
        <w:pStyle w:val="ListBullet"/>
        <w:rPr>
          <w:b/>
          <w:szCs w:val="20"/>
        </w:rPr>
      </w:pPr>
      <w:r w:rsidRPr="000F1E9C">
        <w:rPr>
          <w:szCs w:val="20"/>
        </w:rPr>
        <w:t>working with Experience Melbourne to leverage the potential of heritage places for visitors</w:t>
      </w:r>
    </w:p>
    <w:p w14:paraId="4A59812A" w14:textId="38F6B290" w:rsidR="00CC65F0" w:rsidRPr="000F1E9C" w:rsidRDefault="00B97343" w:rsidP="000F1E9C">
      <w:pPr>
        <w:pStyle w:val="ListBullet"/>
        <w:rPr>
          <w:b/>
          <w:szCs w:val="20"/>
        </w:rPr>
      </w:pPr>
      <w:r>
        <w:rPr>
          <w:noProof/>
          <w:lang w:val="en-AU" w:eastAsia="en-AU"/>
        </w:rPr>
        <w:drawing>
          <wp:anchor distT="0" distB="0" distL="114300" distR="114300" simplePos="0" relativeHeight="251687936" behindDoc="0" locked="0" layoutInCell="1" allowOverlap="1" wp14:anchorId="05408BE9" wp14:editId="6CC3D804">
            <wp:simplePos x="0" y="0"/>
            <wp:positionH relativeFrom="margin">
              <wp:align>center</wp:align>
            </wp:positionH>
            <wp:positionV relativeFrom="margin">
              <wp:posOffset>5833110</wp:posOffset>
            </wp:positionV>
            <wp:extent cx="6240780" cy="2981325"/>
            <wp:effectExtent l="0" t="0" r="7620" b="9525"/>
            <wp:wrapSquare wrapText="bothSides"/>
            <wp:docPr id="721955054" name="Picture 9" descr="A vibrant nightime view of Chinatown, Little Bourke Street, looking west from Russell Street." titl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rotWithShape="1">
                    <a:blip r:embed="rId14" cstate="print">
                      <a:extLst>
                        <a:ext uri="{28A0092B-C50C-407E-A947-70E740481C1C}">
                          <a14:useLocalDpi xmlns:a14="http://schemas.microsoft.com/office/drawing/2010/main" val="0"/>
                        </a:ext>
                      </a:extLst>
                    </a:blip>
                    <a:srcRect t="15640" b="17561"/>
                    <a:stretch/>
                  </pic:blipFill>
                  <pic:spPr bwMode="auto">
                    <a:xfrm>
                      <a:off x="0" y="0"/>
                      <a:ext cx="624078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E9C" w:rsidRPr="000F1E9C">
        <w:rPr>
          <w:szCs w:val="20"/>
        </w:rPr>
        <w:t xml:space="preserve">identifying opportunities to repurpose underutilised heritage buildings to provide housing, such as our </w:t>
      </w:r>
      <w:hyperlink r:id="rId15" w:history="1">
        <w:r w:rsidR="000F1E9C" w:rsidRPr="000F1E9C">
          <w:rPr>
            <w:rStyle w:val="Hyperlink"/>
            <w:szCs w:val="20"/>
            <w:lang w:val="en-AU"/>
          </w:rPr>
          <w:t>Make Room project</w:t>
        </w:r>
      </w:hyperlink>
      <w:r w:rsidR="000F1E9C" w:rsidRPr="000F1E9C">
        <w:rPr>
          <w:rStyle w:val="Hyperlink"/>
          <w:szCs w:val="20"/>
          <w:lang w:val="en-AU"/>
        </w:rPr>
        <w:t>,</w:t>
      </w:r>
      <w:r w:rsidR="000F1E9C" w:rsidRPr="000F1E9C">
        <w:rPr>
          <w:szCs w:val="20"/>
        </w:rPr>
        <w:t xml:space="preserve"> which converted a Council-owned heritage building into supported housing.</w:t>
      </w:r>
    </w:p>
    <w:p w14:paraId="66BCFFFF" w14:textId="04AE9780" w:rsidR="000F1E9C" w:rsidRPr="004F7411" w:rsidRDefault="000F1E9C" w:rsidP="00FE3DCE">
      <w:pPr>
        <w:pStyle w:val="Caption"/>
        <w:rPr>
          <w:rFonts w:hint="eastAsia"/>
        </w:rPr>
      </w:pPr>
      <w:r>
        <w:t>Image 11 Chinatown, Little Bourke Street</w:t>
      </w:r>
      <w:bookmarkStart w:id="20" w:name="_GoBack"/>
      <w:bookmarkEnd w:id="20"/>
    </w:p>
    <w:bookmarkEnd w:id="0"/>
    <w:bookmarkEnd w:id="1"/>
    <w:bookmarkEnd w:id="2"/>
    <w:bookmarkEnd w:id="3"/>
    <w:sectPr w:rsidR="000F1E9C" w:rsidRPr="004F7411" w:rsidSect="009B2D9C">
      <w:endnotePr>
        <w:numFmt w:val="decimal"/>
      </w:endnotePr>
      <w:pgSz w:w="11900" w:h="16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0544" w14:textId="77777777" w:rsidR="00B97343" w:rsidRDefault="00B97343" w:rsidP="00BC719D">
      <w:pPr>
        <w:spacing w:after="0"/>
      </w:pPr>
      <w:r>
        <w:separator/>
      </w:r>
    </w:p>
  </w:endnote>
  <w:endnote w:type="continuationSeparator" w:id="0">
    <w:p w14:paraId="15B38D48" w14:textId="77777777" w:rsidR="00B97343" w:rsidRDefault="00B9734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6AC3" w14:textId="77777777" w:rsidR="00B97343" w:rsidRDefault="00B97343" w:rsidP="00577A39">
      <w:pPr>
        <w:spacing w:after="40" w:line="240" w:lineRule="auto"/>
      </w:pPr>
      <w:r>
        <w:separator/>
      </w:r>
    </w:p>
  </w:footnote>
  <w:footnote w:type="continuationSeparator" w:id="0">
    <w:p w14:paraId="56927307" w14:textId="77777777" w:rsidR="00B97343" w:rsidRDefault="00B97343"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0A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6C6C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2CA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89D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A0B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2C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21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E5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E7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1F357450"/>
    <w:multiLevelType w:val="hybridMultilevel"/>
    <w:tmpl w:val="FE1A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A2B5D1C"/>
    <w:multiLevelType w:val="multilevel"/>
    <w:tmpl w:val="16506B6C"/>
    <w:numStyleLink w:val="ListNumbers"/>
  </w:abstractNum>
  <w:abstractNum w:abstractNumId="15"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957"/>
    <w:multiLevelType w:val="multilevel"/>
    <w:tmpl w:val="16506B6C"/>
    <w:numStyleLink w:val="ListNumbers"/>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A2C43DC"/>
    <w:multiLevelType w:val="multilevel"/>
    <w:tmpl w:val="16506B6C"/>
    <w:numStyleLink w:val="ListNumbers"/>
  </w:abstractNum>
  <w:abstractNum w:abstractNumId="20"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1"/>
  </w:num>
  <w:num w:numId="2">
    <w:abstractNumId w:val="13"/>
  </w:num>
  <w:num w:numId="3">
    <w:abstractNumId w:val="19"/>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8"/>
  </w:num>
  <w:num w:numId="19">
    <w:abstractNumId w:val="3"/>
  </w:num>
  <w:num w:numId="20">
    <w:abstractNumId w:val="7"/>
  </w:num>
  <w:num w:numId="21">
    <w:abstractNumId w:val="6"/>
  </w:num>
  <w:num w:numId="22">
    <w:abstractNumId w:val="5"/>
  </w:num>
  <w:num w:numId="23">
    <w:abstractNumId w:val="4"/>
  </w:num>
  <w:num w:numId="24">
    <w:abstractNumId w:val="1"/>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A2BDA"/>
    <w:rsid w:val="000A48D5"/>
    <w:rsid w:val="000B5EAA"/>
    <w:rsid w:val="000F1E9C"/>
    <w:rsid w:val="000F3535"/>
    <w:rsid w:val="00190B0E"/>
    <w:rsid w:val="001B51BF"/>
    <w:rsid w:val="001F46B4"/>
    <w:rsid w:val="001F554D"/>
    <w:rsid w:val="002436A6"/>
    <w:rsid w:val="002438B7"/>
    <w:rsid w:val="0024773F"/>
    <w:rsid w:val="00263B05"/>
    <w:rsid w:val="002730DA"/>
    <w:rsid w:val="002D630D"/>
    <w:rsid w:val="002E4153"/>
    <w:rsid w:val="002F47B6"/>
    <w:rsid w:val="002F6A88"/>
    <w:rsid w:val="00302BD4"/>
    <w:rsid w:val="00334C74"/>
    <w:rsid w:val="003547EB"/>
    <w:rsid w:val="00380F44"/>
    <w:rsid w:val="00390696"/>
    <w:rsid w:val="00392688"/>
    <w:rsid w:val="003D63A8"/>
    <w:rsid w:val="003E3A9F"/>
    <w:rsid w:val="003E5082"/>
    <w:rsid w:val="00407429"/>
    <w:rsid w:val="00426584"/>
    <w:rsid w:val="00431D45"/>
    <w:rsid w:val="004564F4"/>
    <w:rsid w:val="00457042"/>
    <w:rsid w:val="00457113"/>
    <w:rsid w:val="004878DB"/>
    <w:rsid w:val="00493E0A"/>
    <w:rsid w:val="00494A2D"/>
    <w:rsid w:val="004A26E3"/>
    <w:rsid w:val="004D00DD"/>
    <w:rsid w:val="004E1ECE"/>
    <w:rsid w:val="004F54F5"/>
    <w:rsid w:val="00535159"/>
    <w:rsid w:val="0053666A"/>
    <w:rsid w:val="005620A0"/>
    <w:rsid w:val="00562392"/>
    <w:rsid w:val="0056634E"/>
    <w:rsid w:val="0057264C"/>
    <w:rsid w:val="00577A39"/>
    <w:rsid w:val="005814F5"/>
    <w:rsid w:val="005D30BA"/>
    <w:rsid w:val="005F4391"/>
    <w:rsid w:val="0068168F"/>
    <w:rsid w:val="00687D4A"/>
    <w:rsid w:val="006A2F63"/>
    <w:rsid w:val="006A3718"/>
    <w:rsid w:val="006C7F7B"/>
    <w:rsid w:val="007053C5"/>
    <w:rsid w:val="00712950"/>
    <w:rsid w:val="00714FB7"/>
    <w:rsid w:val="00715B3E"/>
    <w:rsid w:val="0073401D"/>
    <w:rsid w:val="007361D8"/>
    <w:rsid w:val="00737A99"/>
    <w:rsid w:val="00782E37"/>
    <w:rsid w:val="007A0AA6"/>
    <w:rsid w:val="007E291E"/>
    <w:rsid w:val="007F0661"/>
    <w:rsid w:val="007F38F9"/>
    <w:rsid w:val="00800FE0"/>
    <w:rsid w:val="00802A52"/>
    <w:rsid w:val="00806F0F"/>
    <w:rsid w:val="00831224"/>
    <w:rsid w:val="00850D66"/>
    <w:rsid w:val="00855F84"/>
    <w:rsid w:val="00881C97"/>
    <w:rsid w:val="0089241A"/>
    <w:rsid w:val="008A7AC1"/>
    <w:rsid w:val="008D2DDA"/>
    <w:rsid w:val="008E2476"/>
    <w:rsid w:val="009043FC"/>
    <w:rsid w:val="009050C6"/>
    <w:rsid w:val="0091365A"/>
    <w:rsid w:val="00951A78"/>
    <w:rsid w:val="00955E32"/>
    <w:rsid w:val="0096339E"/>
    <w:rsid w:val="0096419C"/>
    <w:rsid w:val="0097181E"/>
    <w:rsid w:val="00990B3C"/>
    <w:rsid w:val="009B2D9C"/>
    <w:rsid w:val="009D1FBA"/>
    <w:rsid w:val="009F4681"/>
    <w:rsid w:val="00A01D13"/>
    <w:rsid w:val="00A121B3"/>
    <w:rsid w:val="00A32553"/>
    <w:rsid w:val="00A56E86"/>
    <w:rsid w:val="00A639D0"/>
    <w:rsid w:val="00A64200"/>
    <w:rsid w:val="00A8651A"/>
    <w:rsid w:val="00A908C5"/>
    <w:rsid w:val="00AA4303"/>
    <w:rsid w:val="00AB6132"/>
    <w:rsid w:val="00AD2B6E"/>
    <w:rsid w:val="00AE737B"/>
    <w:rsid w:val="00AF02E0"/>
    <w:rsid w:val="00B152AF"/>
    <w:rsid w:val="00B53D5A"/>
    <w:rsid w:val="00B61F7F"/>
    <w:rsid w:val="00B93B1F"/>
    <w:rsid w:val="00B97343"/>
    <w:rsid w:val="00BC5E8E"/>
    <w:rsid w:val="00BC719D"/>
    <w:rsid w:val="00BE100F"/>
    <w:rsid w:val="00BE1269"/>
    <w:rsid w:val="00BE4B49"/>
    <w:rsid w:val="00BE6801"/>
    <w:rsid w:val="00C0291B"/>
    <w:rsid w:val="00C05740"/>
    <w:rsid w:val="00C07190"/>
    <w:rsid w:val="00C14F9F"/>
    <w:rsid w:val="00C2007C"/>
    <w:rsid w:val="00C37F6A"/>
    <w:rsid w:val="00C42412"/>
    <w:rsid w:val="00C464C0"/>
    <w:rsid w:val="00C73DA2"/>
    <w:rsid w:val="00CA3730"/>
    <w:rsid w:val="00CB6145"/>
    <w:rsid w:val="00CC65F0"/>
    <w:rsid w:val="00CD382D"/>
    <w:rsid w:val="00D00427"/>
    <w:rsid w:val="00D014D2"/>
    <w:rsid w:val="00D02C4A"/>
    <w:rsid w:val="00D206C9"/>
    <w:rsid w:val="00D77363"/>
    <w:rsid w:val="00DE295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E3DCE"/>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link w:val="CaptionChar"/>
    <w:uiPriority w:val="99"/>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CC65F0"/>
    <w:rPr>
      <w:sz w:val="16"/>
      <w:szCs w:val="16"/>
    </w:rPr>
  </w:style>
  <w:style w:type="paragraph" w:styleId="CommentText">
    <w:name w:val="annotation text"/>
    <w:basedOn w:val="Normal"/>
    <w:link w:val="CommentTextChar"/>
    <w:semiHidden/>
    <w:unhideWhenUsed/>
    <w:rsid w:val="00CC65F0"/>
    <w:pPr>
      <w:spacing w:line="240" w:lineRule="auto"/>
    </w:pPr>
    <w:rPr>
      <w:szCs w:val="20"/>
    </w:rPr>
  </w:style>
  <w:style w:type="character" w:customStyle="1" w:styleId="CommentTextChar">
    <w:name w:val="Comment Text Char"/>
    <w:basedOn w:val="DefaultParagraphFont"/>
    <w:link w:val="CommentText"/>
    <w:semiHidden/>
    <w:rsid w:val="00CC65F0"/>
    <w:rPr>
      <w:rFonts w:ascii="Arial" w:hAnsi="Arial"/>
      <w:lang w:eastAsia="en-US"/>
    </w:rPr>
  </w:style>
  <w:style w:type="paragraph" w:styleId="CommentSubject">
    <w:name w:val="annotation subject"/>
    <w:basedOn w:val="CommentText"/>
    <w:next w:val="CommentText"/>
    <w:link w:val="CommentSubjectChar"/>
    <w:semiHidden/>
    <w:unhideWhenUsed/>
    <w:rsid w:val="00CC65F0"/>
    <w:rPr>
      <w:b/>
      <w:bCs/>
    </w:rPr>
  </w:style>
  <w:style w:type="character" w:customStyle="1" w:styleId="CommentSubjectChar">
    <w:name w:val="Comment Subject Char"/>
    <w:basedOn w:val="CommentTextChar"/>
    <w:link w:val="CommentSubject"/>
    <w:semiHidden/>
    <w:rsid w:val="00CC65F0"/>
    <w:rPr>
      <w:rFonts w:ascii="Arial" w:hAnsi="Arial"/>
      <w:b/>
      <w:bCs/>
      <w:lang w:eastAsia="en-US"/>
    </w:rPr>
  </w:style>
  <w:style w:type="paragraph" w:customStyle="1" w:styleId="Heading1NonTOC">
    <w:name w:val="Heading 1 NonTOC"/>
    <w:basedOn w:val="Heading1"/>
    <w:uiPriority w:val="1"/>
    <w:qFormat/>
    <w:rsid w:val="00CC65F0"/>
    <w:pPr>
      <w:keepNext/>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character" w:customStyle="1" w:styleId="CaptionChar">
    <w:name w:val="Caption Char"/>
    <w:basedOn w:val="DefaultParagraphFont"/>
    <w:link w:val="Caption"/>
    <w:uiPriority w:val="99"/>
    <w:rsid w:val="00CC65F0"/>
    <w:rPr>
      <w:rFonts w:ascii="Arial Bold" w:hAnsi="Arial Bold"/>
      <w:b/>
      <w:bCs/>
      <w:szCs w:val="18"/>
      <w:lang w:eastAsia="en-US"/>
    </w:rPr>
  </w:style>
  <w:style w:type="table" w:customStyle="1" w:styleId="TableCOM">
    <w:name w:val="Table_COM"/>
    <w:basedOn w:val="TableNormal"/>
    <w:uiPriority w:val="99"/>
    <w:rsid w:val="00CC65F0"/>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table" w:customStyle="1" w:styleId="TableGrid21">
    <w:name w:val="Table Grid2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08C5"/>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9C"/>
    <w:pPr>
      <w:autoSpaceDE w:val="0"/>
      <w:autoSpaceDN w:val="0"/>
      <w:adjustRightInd w:val="0"/>
    </w:pPr>
    <w:rPr>
      <w:rFonts w:ascii="Calibri" w:eastAsiaTheme="minorHAnsi" w:hAnsi="Calibri" w:cs="Calibri"/>
      <w:color w:val="000000"/>
      <w:sz w:val="24"/>
      <w:szCs w:val="24"/>
      <w:lang w:eastAsia="en-US"/>
    </w:rPr>
  </w:style>
  <w:style w:type="table" w:customStyle="1" w:styleId="TableGrid11">
    <w:name w:val="Table Grid11"/>
    <w:basedOn w:val="TableNormal"/>
    <w:next w:val="TableGrid"/>
    <w:uiPriority w:val="39"/>
    <w:rsid w:val="000F1E9C"/>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3DCE"/>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uiPriority w:val="5"/>
    <w:qFormat/>
    <w:rsid w:val="00FE3DCE"/>
    <w:pPr>
      <w:adjustRightInd w:val="0"/>
      <w:snapToGrid w:val="0"/>
      <w:spacing w:after="160" w:line="320" w:lineRule="atLeast"/>
    </w:pPr>
    <w:rPr>
      <w:rFonts w:asciiTheme="minorHAnsi" w:eastAsiaTheme="minorEastAsia" w:hAnsiTheme="minorHAnsi"/>
      <w:color w:val="4F81BD" w:themeColor="accent1"/>
      <w:sz w:val="24"/>
      <w:szCs w:val="20"/>
    </w:rPr>
  </w:style>
  <w:style w:type="paragraph" w:styleId="NormalWeb">
    <w:name w:val="Normal (Web)"/>
    <w:basedOn w:val="Normal"/>
    <w:uiPriority w:val="99"/>
    <w:unhideWhenUsed/>
    <w:rsid w:val="00FE3DCE"/>
    <w:pPr>
      <w:spacing w:before="100" w:beforeAutospacing="1" w:after="100" w:afterAutospacing="1" w:line="240" w:lineRule="auto"/>
    </w:pPr>
    <w:rPr>
      <w:rFonts w:ascii="Times New Roman" w:eastAsia="Times New Roman" w:hAnsi="Times New Roman"/>
      <w:sz w:val="24"/>
      <w:lang w:eastAsia="en-AU"/>
    </w:rPr>
  </w:style>
  <w:style w:type="paragraph" w:styleId="BodyText">
    <w:name w:val="Body Text"/>
    <w:basedOn w:val="Normal"/>
    <w:link w:val="BodyTextChar"/>
    <w:uiPriority w:val="1"/>
    <w:qFormat/>
    <w:rsid w:val="00C464C0"/>
    <w:pPr>
      <w:widowControl w:val="0"/>
      <w:autoSpaceDE w:val="0"/>
      <w:autoSpaceDN w:val="0"/>
      <w:spacing w:after="0" w:line="240" w:lineRule="auto"/>
    </w:pPr>
    <w:rPr>
      <w:rFonts w:eastAsia="Arial" w:cs="Arial"/>
      <w:sz w:val="24"/>
      <w:lang w:val="en-US"/>
    </w:rPr>
  </w:style>
  <w:style w:type="character" w:customStyle="1" w:styleId="BodyTextChar">
    <w:name w:val="Body Text Char"/>
    <w:basedOn w:val="DefaultParagraphFont"/>
    <w:link w:val="BodyText"/>
    <w:uiPriority w:val="1"/>
    <w:rsid w:val="00C464C0"/>
    <w:rPr>
      <w:rFonts w:ascii="Arial" w:eastAsia="Arial" w:hAnsi="Arial" w:cs="Arial"/>
      <w:sz w:val="24"/>
      <w:szCs w:val="24"/>
      <w:lang w:val="en-US" w:eastAsia="en-US"/>
    </w:rPr>
  </w:style>
  <w:style w:type="paragraph" w:customStyle="1" w:styleId="paragraph">
    <w:name w:val="paragraph"/>
    <w:basedOn w:val="Normal"/>
    <w:rsid w:val="007F38F9"/>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7F38F9"/>
  </w:style>
  <w:style w:type="character" w:customStyle="1" w:styleId="eop">
    <w:name w:val="eop"/>
    <w:basedOn w:val="DefaultParagraphFont"/>
    <w:rsid w:val="007F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80846">
      <w:bodyDiv w:val="1"/>
      <w:marLeft w:val="0"/>
      <w:marRight w:val="0"/>
      <w:marTop w:val="0"/>
      <w:marBottom w:val="0"/>
      <w:divBdr>
        <w:top w:val="none" w:sz="0" w:space="0" w:color="auto"/>
        <w:left w:val="none" w:sz="0" w:space="0" w:color="auto"/>
        <w:bottom w:val="none" w:sz="0" w:space="0" w:color="auto"/>
        <w:right w:val="none" w:sz="0" w:space="0" w:color="auto"/>
      </w:divBdr>
      <w:divsChild>
        <w:div w:id="857936646">
          <w:marLeft w:val="0"/>
          <w:marRight w:val="0"/>
          <w:marTop w:val="0"/>
          <w:marBottom w:val="0"/>
          <w:divBdr>
            <w:top w:val="none" w:sz="0" w:space="0" w:color="auto"/>
            <w:left w:val="none" w:sz="0" w:space="0" w:color="auto"/>
            <w:bottom w:val="none" w:sz="0" w:space="0" w:color="auto"/>
            <w:right w:val="none" w:sz="0" w:space="0" w:color="auto"/>
          </w:divBdr>
        </w:div>
        <w:div w:id="1403990174">
          <w:marLeft w:val="0"/>
          <w:marRight w:val="0"/>
          <w:marTop w:val="0"/>
          <w:marBottom w:val="0"/>
          <w:divBdr>
            <w:top w:val="none" w:sz="0" w:space="0" w:color="auto"/>
            <w:left w:val="none" w:sz="0" w:space="0" w:color="auto"/>
            <w:bottom w:val="none" w:sz="0" w:space="0" w:color="auto"/>
            <w:right w:val="none" w:sz="0" w:space="0" w:color="auto"/>
          </w:divBdr>
        </w:div>
        <w:div w:id="1004357939">
          <w:marLeft w:val="0"/>
          <w:marRight w:val="0"/>
          <w:marTop w:val="0"/>
          <w:marBottom w:val="0"/>
          <w:divBdr>
            <w:top w:val="none" w:sz="0" w:space="0" w:color="auto"/>
            <w:left w:val="none" w:sz="0" w:space="0" w:color="auto"/>
            <w:bottom w:val="none" w:sz="0" w:space="0" w:color="auto"/>
            <w:right w:val="none" w:sz="0" w:space="0" w:color="auto"/>
          </w:divBdr>
        </w:div>
        <w:div w:id="1465463189">
          <w:marLeft w:val="0"/>
          <w:marRight w:val="0"/>
          <w:marTop w:val="0"/>
          <w:marBottom w:val="0"/>
          <w:divBdr>
            <w:top w:val="none" w:sz="0" w:space="0" w:color="auto"/>
            <w:left w:val="none" w:sz="0" w:space="0" w:color="auto"/>
            <w:bottom w:val="none" w:sz="0" w:space="0" w:color="auto"/>
            <w:right w:val="none" w:sz="0" w:space="0" w:color="auto"/>
          </w:divBdr>
        </w:div>
        <w:div w:id="1110474160">
          <w:marLeft w:val="0"/>
          <w:marRight w:val="0"/>
          <w:marTop w:val="0"/>
          <w:marBottom w:val="0"/>
          <w:divBdr>
            <w:top w:val="none" w:sz="0" w:space="0" w:color="auto"/>
            <w:left w:val="none" w:sz="0" w:space="0" w:color="auto"/>
            <w:bottom w:val="none" w:sz="0" w:space="0" w:color="auto"/>
            <w:right w:val="none" w:sz="0" w:space="0" w:color="auto"/>
          </w:divBdr>
        </w:div>
        <w:div w:id="124394225">
          <w:marLeft w:val="0"/>
          <w:marRight w:val="0"/>
          <w:marTop w:val="0"/>
          <w:marBottom w:val="0"/>
          <w:divBdr>
            <w:top w:val="none" w:sz="0" w:space="0" w:color="auto"/>
            <w:left w:val="none" w:sz="0" w:space="0" w:color="auto"/>
            <w:bottom w:val="none" w:sz="0" w:space="0" w:color="auto"/>
            <w:right w:val="none" w:sz="0" w:space="0" w:color="auto"/>
          </w:divBdr>
        </w:div>
        <w:div w:id="624576877">
          <w:marLeft w:val="0"/>
          <w:marRight w:val="0"/>
          <w:marTop w:val="0"/>
          <w:marBottom w:val="0"/>
          <w:divBdr>
            <w:top w:val="none" w:sz="0" w:space="0" w:color="auto"/>
            <w:left w:val="none" w:sz="0" w:space="0" w:color="auto"/>
            <w:bottom w:val="none" w:sz="0" w:space="0" w:color="auto"/>
            <w:right w:val="none" w:sz="0" w:space="0" w:color="auto"/>
          </w:divBdr>
        </w:div>
        <w:div w:id="1750999665">
          <w:marLeft w:val="0"/>
          <w:marRight w:val="0"/>
          <w:marTop w:val="0"/>
          <w:marBottom w:val="0"/>
          <w:divBdr>
            <w:top w:val="none" w:sz="0" w:space="0" w:color="auto"/>
            <w:left w:val="none" w:sz="0" w:space="0" w:color="auto"/>
            <w:bottom w:val="none" w:sz="0" w:space="0" w:color="auto"/>
            <w:right w:val="none" w:sz="0" w:space="0" w:color="auto"/>
          </w:divBdr>
        </w:div>
        <w:div w:id="1368214367">
          <w:marLeft w:val="0"/>
          <w:marRight w:val="0"/>
          <w:marTop w:val="0"/>
          <w:marBottom w:val="0"/>
          <w:divBdr>
            <w:top w:val="none" w:sz="0" w:space="0" w:color="auto"/>
            <w:left w:val="none" w:sz="0" w:space="0" w:color="auto"/>
            <w:bottom w:val="none" w:sz="0" w:space="0" w:color="auto"/>
            <w:right w:val="none" w:sz="0" w:space="0" w:color="auto"/>
          </w:divBdr>
        </w:div>
        <w:div w:id="349916282">
          <w:marLeft w:val="0"/>
          <w:marRight w:val="0"/>
          <w:marTop w:val="0"/>
          <w:marBottom w:val="0"/>
          <w:divBdr>
            <w:top w:val="none" w:sz="0" w:space="0" w:color="auto"/>
            <w:left w:val="none" w:sz="0" w:space="0" w:color="auto"/>
            <w:bottom w:val="none" w:sz="0" w:space="0" w:color="auto"/>
            <w:right w:val="none" w:sz="0" w:space="0" w:color="auto"/>
          </w:divBdr>
        </w:div>
        <w:div w:id="307364453">
          <w:marLeft w:val="0"/>
          <w:marRight w:val="0"/>
          <w:marTop w:val="0"/>
          <w:marBottom w:val="0"/>
          <w:divBdr>
            <w:top w:val="none" w:sz="0" w:space="0" w:color="auto"/>
            <w:left w:val="none" w:sz="0" w:space="0" w:color="auto"/>
            <w:bottom w:val="none" w:sz="0" w:space="0" w:color="auto"/>
            <w:right w:val="none" w:sz="0" w:space="0" w:color="auto"/>
          </w:divBdr>
        </w:div>
        <w:div w:id="1722368370">
          <w:marLeft w:val="0"/>
          <w:marRight w:val="0"/>
          <w:marTop w:val="0"/>
          <w:marBottom w:val="0"/>
          <w:divBdr>
            <w:top w:val="none" w:sz="0" w:space="0" w:color="auto"/>
            <w:left w:val="none" w:sz="0" w:space="0" w:color="auto"/>
            <w:bottom w:val="none" w:sz="0" w:space="0" w:color="auto"/>
            <w:right w:val="none" w:sz="0" w:space="0" w:color="auto"/>
          </w:divBdr>
        </w:div>
        <w:div w:id="1081485531">
          <w:marLeft w:val="0"/>
          <w:marRight w:val="0"/>
          <w:marTop w:val="0"/>
          <w:marBottom w:val="0"/>
          <w:divBdr>
            <w:top w:val="none" w:sz="0" w:space="0" w:color="auto"/>
            <w:left w:val="none" w:sz="0" w:space="0" w:color="auto"/>
            <w:bottom w:val="none" w:sz="0" w:space="0" w:color="auto"/>
            <w:right w:val="none" w:sz="0" w:space="0" w:color="auto"/>
          </w:divBdr>
        </w:div>
        <w:div w:id="1833642063">
          <w:marLeft w:val="0"/>
          <w:marRight w:val="0"/>
          <w:marTop w:val="0"/>
          <w:marBottom w:val="0"/>
          <w:divBdr>
            <w:top w:val="none" w:sz="0" w:space="0" w:color="auto"/>
            <w:left w:val="none" w:sz="0" w:space="0" w:color="auto"/>
            <w:bottom w:val="none" w:sz="0" w:space="0" w:color="auto"/>
            <w:right w:val="none" w:sz="0" w:space="0" w:color="auto"/>
          </w:divBdr>
        </w:div>
        <w:div w:id="1673876098">
          <w:marLeft w:val="0"/>
          <w:marRight w:val="0"/>
          <w:marTop w:val="0"/>
          <w:marBottom w:val="0"/>
          <w:divBdr>
            <w:top w:val="none" w:sz="0" w:space="0" w:color="auto"/>
            <w:left w:val="none" w:sz="0" w:space="0" w:color="auto"/>
            <w:bottom w:val="none" w:sz="0" w:space="0" w:color="auto"/>
            <w:right w:val="none" w:sz="0" w:space="0" w:color="auto"/>
          </w:divBdr>
        </w:div>
        <w:div w:id="1704667291">
          <w:marLeft w:val="0"/>
          <w:marRight w:val="0"/>
          <w:marTop w:val="0"/>
          <w:marBottom w:val="0"/>
          <w:divBdr>
            <w:top w:val="none" w:sz="0" w:space="0" w:color="auto"/>
            <w:left w:val="none" w:sz="0" w:space="0" w:color="auto"/>
            <w:bottom w:val="none" w:sz="0" w:space="0" w:color="auto"/>
            <w:right w:val="none" w:sz="0" w:space="0" w:color="auto"/>
          </w:divBdr>
        </w:div>
        <w:div w:id="1286037944">
          <w:marLeft w:val="0"/>
          <w:marRight w:val="0"/>
          <w:marTop w:val="0"/>
          <w:marBottom w:val="0"/>
          <w:divBdr>
            <w:top w:val="none" w:sz="0" w:space="0" w:color="auto"/>
            <w:left w:val="none" w:sz="0" w:space="0" w:color="auto"/>
            <w:bottom w:val="none" w:sz="0" w:space="0" w:color="auto"/>
            <w:right w:val="none" w:sz="0" w:space="0" w:color="auto"/>
          </w:divBdr>
        </w:div>
        <w:div w:id="16011519">
          <w:marLeft w:val="0"/>
          <w:marRight w:val="0"/>
          <w:marTop w:val="0"/>
          <w:marBottom w:val="0"/>
          <w:divBdr>
            <w:top w:val="none" w:sz="0" w:space="0" w:color="auto"/>
            <w:left w:val="none" w:sz="0" w:space="0" w:color="auto"/>
            <w:bottom w:val="none" w:sz="0" w:space="0" w:color="auto"/>
            <w:right w:val="none" w:sz="0" w:space="0" w:color="auto"/>
          </w:divBdr>
        </w:div>
        <w:div w:id="1953512709">
          <w:marLeft w:val="0"/>
          <w:marRight w:val="0"/>
          <w:marTop w:val="0"/>
          <w:marBottom w:val="0"/>
          <w:divBdr>
            <w:top w:val="none" w:sz="0" w:space="0" w:color="auto"/>
            <w:left w:val="none" w:sz="0" w:space="0" w:color="auto"/>
            <w:bottom w:val="none" w:sz="0" w:space="0" w:color="auto"/>
            <w:right w:val="none" w:sz="0" w:space="0" w:color="auto"/>
          </w:divBdr>
        </w:div>
        <w:div w:id="1879585994">
          <w:marLeft w:val="0"/>
          <w:marRight w:val="0"/>
          <w:marTop w:val="0"/>
          <w:marBottom w:val="0"/>
          <w:divBdr>
            <w:top w:val="none" w:sz="0" w:space="0" w:color="auto"/>
            <w:left w:val="none" w:sz="0" w:space="0" w:color="auto"/>
            <w:bottom w:val="none" w:sz="0" w:space="0" w:color="auto"/>
            <w:right w:val="none" w:sz="0" w:space="0" w:color="auto"/>
          </w:divBdr>
        </w:div>
        <w:div w:id="987321187">
          <w:marLeft w:val="0"/>
          <w:marRight w:val="0"/>
          <w:marTop w:val="0"/>
          <w:marBottom w:val="0"/>
          <w:divBdr>
            <w:top w:val="none" w:sz="0" w:space="0" w:color="auto"/>
            <w:left w:val="none" w:sz="0" w:space="0" w:color="auto"/>
            <w:bottom w:val="none" w:sz="0" w:space="0" w:color="auto"/>
            <w:right w:val="none" w:sz="0" w:space="0" w:color="auto"/>
          </w:divBdr>
        </w:div>
        <w:div w:id="530338616">
          <w:marLeft w:val="0"/>
          <w:marRight w:val="0"/>
          <w:marTop w:val="0"/>
          <w:marBottom w:val="0"/>
          <w:divBdr>
            <w:top w:val="none" w:sz="0" w:space="0" w:color="auto"/>
            <w:left w:val="none" w:sz="0" w:space="0" w:color="auto"/>
            <w:bottom w:val="none" w:sz="0" w:space="0" w:color="auto"/>
            <w:right w:val="none" w:sz="0" w:space="0" w:color="auto"/>
          </w:divBdr>
        </w:div>
        <w:div w:id="1033965687">
          <w:marLeft w:val="0"/>
          <w:marRight w:val="0"/>
          <w:marTop w:val="0"/>
          <w:marBottom w:val="0"/>
          <w:divBdr>
            <w:top w:val="none" w:sz="0" w:space="0" w:color="auto"/>
            <w:left w:val="none" w:sz="0" w:space="0" w:color="auto"/>
            <w:bottom w:val="none" w:sz="0" w:space="0" w:color="auto"/>
            <w:right w:val="none" w:sz="0" w:space="0" w:color="auto"/>
          </w:divBdr>
        </w:div>
        <w:div w:id="702941186">
          <w:marLeft w:val="0"/>
          <w:marRight w:val="0"/>
          <w:marTop w:val="0"/>
          <w:marBottom w:val="0"/>
          <w:divBdr>
            <w:top w:val="none" w:sz="0" w:space="0" w:color="auto"/>
            <w:left w:val="none" w:sz="0" w:space="0" w:color="auto"/>
            <w:bottom w:val="none" w:sz="0" w:space="0" w:color="auto"/>
            <w:right w:val="none" w:sz="0" w:space="0" w:color="auto"/>
          </w:divBdr>
        </w:div>
      </w:divsChild>
    </w:div>
    <w:div w:id="182000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articipate.melbourne.vic.gov.au/make-room/project-overview"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TTF2X4MEUN6D-1188005670-5794</_dlc_DocId>
    <_dlc_DocIdUrl xmlns="d804f86b-3500-4658-8c9d-99491f71a5e9">
      <Url>https://cityofmelbourne.sharepoint.com/sites/commdev/_layouts/15/DocIdRedir.aspx?ID=TTF2X4MEUN6D-1188005670-5794</Url>
      <Description>TTF2X4MEUN6D-1188005670-5794</Description>
    </_dlc_DocIdUrl>
    <TaxCatchAll xmlns="d804f86b-3500-4658-8c9d-99491f71a5e9" xsi:nil="true"/>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9" ma:contentTypeDescription="Community Development - Community Engagement &amp; Impact Team" ma:contentTypeScope="" ma:versionID="8a2f56db54c76c48b7e4831319ed83ab">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c94d4df8821e45a5233a44f73b8e25e1"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E752-73BC-4BE1-B5D5-197ED0F76A2E}">
  <ds:schemaRefs>
    <ds:schemaRef ds:uri="http://purl.org/dc/elements/1.1/"/>
    <ds:schemaRef ds:uri="http://schemas.microsoft.com/office/2006/metadata/properties"/>
    <ds:schemaRef ds:uri="253cde96-7448-48f6-98b0-4f47319cbe02"/>
    <ds:schemaRef ds:uri="1ef61637-bdcb-4156-91bc-9b3008928da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4026DBB5-9618-4CB5-84F5-748B86C3CA90}"/>
</file>

<file path=customXml/itemProps3.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4.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5.xml><?xml version="1.0" encoding="utf-8"?>
<ds:datastoreItem xmlns:ds="http://schemas.openxmlformats.org/officeDocument/2006/customXml" ds:itemID="{82E76594-0A47-4DCB-BB1B-21A721AE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2024-02-06T09:22:00Z</dcterms:created>
  <dcterms:modified xsi:type="dcterms:W3CDTF">2024-02-06T09:27:00Z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b6ac97d0-1f47-4b2b-936c-0ccdf73c560e</vt:lpwstr>
  </property>
  <property fmtid="{D5CDD505-2E9C-101B-9397-08002B2CF9AE}" pid="4" name="MediaServiceImageTags">
    <vt:lpwstr/>
  </property>
</Properties>
</file>