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A2EB2" w14:textId="38DDD115" w:rsidR="00FE3DCE" w:rsidRPr="00CC55D1" w:rsidRDefault="00FE3DCE" w:rsidP="00FE3DCE">
      <w:pPr>
        <w:pStyle w:val="Heading2"/>
        <w:rPr>
          <w:rFonts w:hint="eastAsia"/>
        </w:rPr>
      </w:pPr>
      <w:bookmarkStart w:id="0" w:name="_Toc403992345"/>
      <w:bookmarkStart w:id="1" w:name="_Toc403992580"/>
      <w:bookmarkStart w:id="2" w:name="_Toc419982304"/>
      <w:bookmarkStart w:id="3" w:name="_Toc419982305"/>
      <w:bookmarkStart w:id="4" w:name="_Toc158131954"/>
      <w:r w:rsidRPr="00CC55D1">
        <w:t>Focus area 5: innovative heritage planning and processes</w:t>
      </w:r>
      <w:bookmarkEnd w:id="4"/>
    </w:p>
    <w:p w14:paraId="013E4AD2" w14:textId="6C8888D4" w:rsidR="00FE3DCE" w:rsidRPr="00CC55D1" w:rsidRDefault="00FE3DCE" w:rsidP="00FE3DCE">
      <w:r w:rsidRPr="00CC55D1">
        <w:t xml:space="preserve">Heritage has traditionally been closely linked to statutory heritage planning and authorities’ legislative obligations. There are however many ways that heritage (including unlisted heritage) and its contribution to </w:t>
      </w:r>
      <w:r w:rsidRPr="00CC55D1">
        <w:rPr>
          <w:rFonts w:eastAsia="Times New Roman" w:cstheme="minorHAnsi"/>
          <w:color w:val="000000"/>
          <w:lang w:eastAsia="en-GB"/>
        </w:rPr>
        <w:t>local character, place and distinctiveness, amenity, and community values</w:t>
      </w:r>
      <w:r w:rsidRPr="00CC55D1">
        <w:t xml:space="preserve"> can be acknowledged and celebrated. </w:t>
      </w:r>
    </w:p>
    <w:p w14:paraId="4DC8F9D5" w14:textId="77777777" w:rsidR="00FE3DCE" w:rsidRPr="00CC55D1" w:rsidRDefault="00FE3DCE" w:rsidP="00FE3DCE">
      <w:pPr>
        <w:pStyle w:val="Heading3"/>
        <w:rPr>
          <w:rFonts w:hint="eastAsia"/>
        </w:rPr>
      </w:pPr>
      <w:bookmarkStart w:id="5" w:name="_Toc152752262"/>
      <w:bookmarkStart w:id="6" w:name="_Toc154057765"/>
      <w:bookmarkStart w:id="7" w:name="_Toc158131955"/>
      <w:r w:rsidRPr="00CC55D1">
        <w:t>Opportunities to take a people-centred approach</w:t>
      </w:r>
      <w:bookmarkEnd w:id="5"/>
      <w:bookmarkEnd w:id="6"/>
      <w:bookmarkEnd w:id="7"/>
    </w:p>
    <w:p w14:paraId="32254C47" w14:textId="37430324" w:rsidR="00FE3DCE" w:rsidRPr="00CC55D1" w:rsidRDefault="00FE3DCE" w:rsidP="00FE3DCE">
      <w:r w:rsidRPr="00CC55D1">
        <w:t xml:space="preserve">People-centred heritage enables greater community collaboration that can lead to celebration of more diverse historical themes and eras/ periods. </w:t>
      </w:r>
    </w:p>
    <w:p w14:paraId="5BEC1450" w14:textId="77777777" w:rsidR="00FE3DCE" w:rsidRPr="00CC55D1" w:rsidRDefault="00FE3DCE" w:rsidP="00FE3DCE">
      <w:r w:rsidRPr="00CC55D1">
        <w:t xml:space="preserve">It could recognise the broader social values and associations of heritage places and important unlisted places, beyond the built fabric. It could engage new and diverse communities while also strengthening relationships with existing heritage stakeholders. </w:t>
      </w:r>
    </w:p>
    <w:p w14:paraId="0AD416B6" w14:textId="77777777" w:rsidR="00FE3DCE" w:rsidRPr="00CC55D1" w:rsidRDefault="00FE3DCE" w:rsidP="00FE3DCE">
      <w:r w:rsidRPr="00CC55D1">
        <w:t xml:space="preserve">A people-centred approach could lead to greater tolerance for physical changes to a heritage place when it provides community benefit, while retaining the significant parts of a building – particularly when it enables traditional uses to continue. </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246"/>
      </w:tblGrid>
      <w:tr w:rsidR="00FE3DCE" w:rsidRPr="00CC55D1" w14:paraId="642C0D5E" w14:textId="77777777" w:rsidTr="00B97343">
        <w:tc>
          <w:tcPr>
            <w:tcW w:w="9781" w:type="dxa"/>
            <w:gridSpan w:val="2"/>
            <w:tcBorders>
              <w:top w:val="single" w:sz="12" w:space="0" w:color="auto"/>
            </w:tcBorders>
          </w:tcPr>
          <w:p w14:paraId="0577E8D6" w14:textId="77777777" w:rsidR="00FE3DCE" w:rsidRPr="00B97343" w:rsidRDefault="00FE3DCE" w:rsidP="00FE3DCE">
            <w:pPr>
              <w:pStyle w:val="Heading3"/>
              <w:outlineLvl w:val="2"/>
              <w:rPr>
                <w:rFonts w:hint="eastAsia"/>
                <w:spacing w:val="-2"/>
                <w:szCs w:val="22"/>
                <w:lang w:val="en-AU"/>
              </w:rPr>
            </w:pPr>
            <w:bookmarkStart w:id="8" w:name="_Toc152588580"/>
            <w:bookmarkStart w:id="9" w:name="_Toc152752263"/>
            <w:bookmarkStart w:id="10" w:name="_Toc154057766"/>
            <w:bookmarkStart w:id="11" w:name="_Toc158131956"/>
            <w:bookmarkStart w:id="12" w:name="_Toc151641384"/>
            <w:r w:rsidRPr="00B97343">
              <w:rPr>
                <w:spacing w:val="-2"/>
                <w:szCs w:val="22"/>
                <w:lang w:val="en-AU"/>
              </w:rPr>
              <w:t>Case study: The Holocaust Museum, Elsternwick, designed by Kerstin Thompson Architects</w:t>
            </w:r>
            <w:bookmarkEnd w:id="8"/>
            <w:bookmarkEnd w:id="9"/>
            <w:bookmarkEnd w:id="10"/>
            <w:bookmarkEnd w:id="11"/>
            <w:r w:rsidRPr="00B97343">
              <w:rPr>
                <w:spacing w:val="-2"/>
                <w:szCs w:val="22"/>
                <w:lang w:val="en-AU"/>
              </w:rPr>
              <w:t xml:space="preserve"> </w:t>
            </w:r>
            <w:bookmarkEnd w:id="12"/>
          </w:p>
        </w:tc>
      </w:tr>
      <w:tr w:rsidR="00FE3DCE" w:rsidRPr="00800FE0" w14:paraId="7A99A1F8" w14:textId="77777777" w:rsidTr="00B97343">
        <w:trPr>
          <w:trHeight w:val="3990"/>
        </w:trPr>
        <w:tc>
          <w:tcPr>
            <w:tcW w:w="4535" w:type="dxa"/>
            <w:tcBorders>
              <w:bottom w:val="single" w:sz="12" w:space="0" w:color="auto"/>
            </w:tcBorders>
          </w:tcPr>
          <w:p w14:paraId="5382199F" w14:textId="6A725812" w:rsidR="00FE3DCE" w:rsidRPr="00800FE0" w:rsidRDefault="00800FE0" w:rsidP="009B2D9C">
            <w:pPr>
              <w:spacing w:after="0"/>
              <w:jc w:val="center"/>
              <w:rPr>
                <w:szCs w:val="20"/>
              </w:rPr>
            </w:pPr>
            <w:r w:rsidRPr="00800FE0">
              <w:rPr>
                <w:noProof/>
                <w:szCs w:val="20"/>
                <w:lang w:eastAsia="en-AU"/>
              </w:rPr>
              <w:drawing>
                <wp:anchor distT="0" distB="0" distL="114300" distR="114300" simplePos="0" relativeHeight="251696128" behindDoc="1" locked="0" layoutInCell="1" allowOverlap="1" wp14:anchorId="78AD2914" wp14:editId="45374806">
                  <wp:simplePos x="0" y="0"/>
                  <wp:positionH relativeFrom="margin">
                    <wp:posOffset>97155</wp:posOffset>
                  </wp:positionH>
                  <wp:positionV relativeFrom="paragraph">
                    <wp:posOffset>48260</wp:posOffset>
                  </wp:positionV>
                  <wp:extent cx="2596515" cy="2354580"/>
                  <wp:effectExtent l="0" t="0" r="0" b="7620"/>
                  <wp:wrapTight wrapText="bothSides">
                    <wp:wrapPolygon edited="0">
                      <wp:start x="0" y="0"/>
                      <wp:lineTo x="0" y="21495"/>
                      <wp:lineTo x="21394" y="21495"/>
                      <wp:lineTo x="21394" y="0"/>
                      <wp:lineTo x="0" y="0"/>
                    </wp:wrapPolygon>
                  </wp:wrapTight>
                  <wp:docPr id="11" name="Picture 11" descr="An image of the Holocaust Museum showing how the historic building was incorporated into the new building." title="Image 14 in Casestudy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uclyo\AppData\Local\Microsoft\Windows\INetCache\Content.MSO\BFE9C882.tmp"/>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2669" r="14252" b="12017"/>
                          <a:stretch/>
                        </pic:blipFill>
                        <pic:spPr bwMode="auto">
                          <a:xfrm>
                            <a:off x="0" y="0"/>
                            <a:ext cx="2596515" cy="2354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0FE0">
              <w:rPr>
                <w:szCs w:val="20"/>
              </w:rPr>
              <w:t>Image 14 Courtesy of mhm.org.au</w:t>
            </w:r>
          </w:p>
        </w:tc>
        <w:tc>
          <w:tcPr>
            <w:tcW w:w="5246" w:type="dxa"/>
            <w:tcBorders>
              <w:bottom w:val="single" w:sz="12" w:space="0" w:color="auto"/>
            </w:tcBorders>
          </w:tcPr>
          <w:p w14:paraId="411DDE1A" w14:textId="77777777" w:rsidR="00FE3DCE" w:rsidRPr="00800FE0" w:rsidRDefault="00FE3DCE" w:rsidP="009B2D9C">
            <w:pPr>
              <w:spacing w:after="0"/>
              <w:rPr>
                <w:szCs w:val="20"/>
              </w:rPr>
            </w:pPr>
            <w:r w:rsidRPr="00800FE0">
              <w:rPr>
                <w:b/>
                <w:szCs w:val="20"/>
              </w:rPr>
              <w:t>Heritage protection:</w:t>
            </w:r>
            <w:r w:rsidRPr="00800FE0">
              <w:rPr>
                <w:szCs w:val="20"/>
              </w:rPr>
              <w:t xml:space="preserve"> Contributory in a Heritage Overlay.</w:t>
            </w:r>
          </w:p>
          <w:p w14:paraId="7469BA93" w14:textId="77777777" w:rsidR="009B2D9C" w:rsidRDefault="009B2D9C" w:rsidP="009B2D9C">
            <w:pPr>
              <w:spacing w:after="0"/>
              <w:rPr>
                <w:b/>
                <w:szCs w:val="20"/>
              </w:rPr>
            </w:pPr>
          </w:p>
          <w:p w14:paraId="31DE5028" w14:textId="09B15DD7" w:rsidR="00FE3DCE" w:rsidRPr="00800FE0" w:rsidRDefault="00FE3DCE" w:rsidP="009B2D9C">
            <w:pPr>
              <w:spacing w:after="0"/>
              <w:rPr>
                <w:b/>
                <w:szCs w:val="20"/>
              </w:rPr>
            </w:pPr>
            <w:r w:rsidRPr="00800FE0">
              <w:rPr>
                <w:b/>
                <w:szCs w:val="20"/>
              </w:rPr>
              <w:t xml:space="preserve">New use and scale: </w:t>
            </w:r>
            <w:r w:rsidRPr="00800FE0">
              <w:rPr>
                <w:bCs/>
                <w:szCs w:val="20"/>
              </w:rPr>
              <w:t>An</w:t>
            </w:r>
            <w:r w:rsidRPr="00800FE0">
              <w:rPr>
                <w:b/>
                <w:szCs w:val="20"/>
              </w:rPr>
              <w:t xml:space="preserve"> </w:t>
            </w:r>
            <w:r w:rsidRPr="00800FE0">
              <w:rPr>
                <w:szCs w:val="20"/>
              </w:rPr>
              <w:t>expanded and renovated museum that houses an extensive collection of sensitive materials relating to the Holocaust.</w:t>
            </w:r>
          </w:p>
          <w:p w14:paraId="61516E43" w14:textId="77777777" w:rsidR="009B2D9C" w:rsidRDefault="009B2D9C" w:rsidP="009B2D9C">
            <w:pPr>
              <w:spacing w:after="0"/>
              <w:rPr>
                <w:b/>
                <w:szCs w:val="20"/>
              </w:rPr>
            </w:pPr>
          </w:p>
          <w:p w14:paraId="38B5D7A9" w14:textId="17277F75" w:rsidR="00FE3DCE" w:rsidRPr="00800FE0" w:rsidRDefault="00FE3DCE" w:rsidP="009B2D9C">
            <w:pPr>
              <w:spacing w:after="0"/>
              <w:rPr>
                <w:b/>
                <w:szCs w:val="20"/>
              </w:rPr>
            </w:pPr>
            <w:r w:rsidRPr="00800FE0">
              <w:rPr>
                <w:b/>
                <w:szCs w:val="20"/>
              </w:rPr>
              <w:t>Key features:</w:t>
            </w:r>
          </w:p>
          <w:p w14:paraId="331F5306" w14:textId="77777777" w:rsidR="00FE3DCE" w:rsidRPr="00800FE0" w:rsidRDefault="00FE3DCE" w:rsidP="009B2D9C">
            <w:pPr>
              <w:pStyle w:val="ListBullet"/>
              <w:spacing w:after="0"/>
              <w:rPr>
                <w:szCs w:val="20"/>
              </w:rPr>
            </w:pPr>
            <w:r w:rsidRPr="00800FE0">
              <w:rPr>
                <w:szCs w:val="20"/>
              </w:rPr>
              <w:t xml:space="preserve">Incorporates the original heritage fabric in the new design, uniting the past and present into one façade. </w:t>
            </w:r>
          </w:p>
          <w:p w14:paraId="53C0E4D8" w14:textId="77777777" w:rsidR="00FE3DCE" w:rsidRPr="00800FE0" w:rsidRDefault="00FE3DCE" w:rsidP="009B2D9C">
            <w:pPr>
              <w:pStyle w:val="ListBullet"/>
              <w:spacing w:after="0"/>
              <w:rPr>
                <w:szCs w:val="20"/>
              </w:rPr>
            </w:pPr>
            <w:r w:rsidRPr="00800FE0">
              <w:rPr>
                <w:szCs w:val="20"/>
              </w:rPr>
              <w:t>The distinctive heritage façade with an iconic turret is encompassed by glass and clay brick into a new building envelope that improves energy efficiency and welcomes light throughout the interiors.</w:t>
            </w:r>
          </w:p>
          <w:p w14:paraId="2A18203E" w14:textId="77777777" w:rsidR="00FE3DCE" w:rsidRPr="00800FE0" w:rsidRDefault="00FE3DCE" w:rsidP="009B2D9C">
            <w:pPr>
              <w:pStyle w:val="ListBullet"/>
              <w:spacing w:after="0"/>
              <w:rPr>
                <w:szCs w:val="20"/>
              </w:rPr>
            </w:pPr>
            <w:r w:rsidRPr="00800FE0">
              <w:rPr>
                <w:szCs w:val="20"/>
              </w:rPr>
              <w:t xml:space="preserve">The innovative design integrates old and new rather than using the traditional setback approach for additions, creating distance or rebuilding entirely. </w:t>
            </w:r>
          </w:p>
        </w:tc>
      </w:tr>
    </w:tbl>
    <w:p w14:paraId="72E790D1" w14:textId="76F00779" w:rsidR="009B2D9C" w:rsidRDefault="009B2D9C" w:rsidP="00FE3DCE">
      <w:pPr>
        <w:rPr>
          <w:sz w:val="22"/>
          <w:szCs w:val="22"/>
        </w:rPr>
      </w:pPr>
    </w:p>
    <w:p w14:paraId="715BB0C1" w14:textId="77777777" w:rsidR="009B2D9C" w:rsidRDefault="009B2D9C">
      <w:pPr>
        <w:spacing w:after="0" w:line="240" w:lineRule="auto"/>
        <w:rPr>
          <w:sz w:val="22"/>
          <w:szCs w:val="22"/>
        </w:rPr>
      </w:pPr>
      <w:r>
        <w:rPr>
          <w:sz w:val="22"/>
          <w:szCs w:val="22"/>
        </w:rPr>
        <w:br w:type="page"/>
      </w:r>
    </w:p>
    <w:p w14:paraId="71A2359F" w14:textId="77777777" w:rsidR="0096339E" w:rsidRDefault="0096339E" w:rsidP="00FE3DCE">
      <w:pPr>
        <w:rPr>
          <w:sz w:val="22"/>
          <w:szCs w:val="22"/>
        </w:rPr>
      </w:pPr>
    </w:p>
    <w:tbl>
      <w:tblPr>
        <w:tblStyle w:val="TableGrid2"/>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246"/>
      </w:tblGrid>
      <w:tr w:rsidR="00FE3DCE" w:rsidRPr="00CC55D1" w14:paraId="276CCC4B" w14:textId="77777777" w:rsidTr="009B2D9C">
        <w:trPr>
          <w:trHeight w:val="410"/>
        </w:trPr>
        <w:tc>
          <w:tcPr>
            <w:tcW w:w="9781" w:type="dxa"/>
            <w:gridSpan w:val="2"/>
            <w:tcBorders>
              <w:top w:val="single" w:sz="12" w:space="0" w:color="auto"/>
            </w:tcBorders>
          </w:tcPr>
          <w:p w14:paraId="38AB8728" w14:textId="24C0EFD3" w:rsidR="00FE3DCE" w:rsidRPr="00CC55D1" w:rsidRDefault="00FE3DCE" w:rsidP="00FE3DCE">
            <w:pPr>
              <w:pStyle w:val="Heading3"/>
              <w:outlineLvl w:val="2"/>
              <w:rPr>
                <w:rFonts w:hint="eastAsia"/>
                <w:szCs w:val="22"/>
                <w:lang w:val="en-AU"/>
              </w:rPr>
            </w:pPr>
            <w:bookmarkStart w:id="13" w:name="_Toc154057767"/>
            <w:bookmarkStart w:id="14" w:name="_Toc152752264"/>
            <w:bookmarkStart w:id="15" w:name="_Toc158131957"/>
            <w:r w:rsidRPr="00CC55D1">
              <w:rPr>
                <w:szCs w:val="22"/>
                <w:lang w:val="en-AU"/>
              </w:rPr>
              <w:t>Case study: Los Angeles African American Historic Places, Getty Conservation Institute</w:t>
            </w:r>
            <w:bookmarkEnd w:id="13"/>
            <w:bookmarkEnd w:id="14"/>
            <w:bookmarkEnd w:id="15"/>
          </w:p>
        </w:tc>
      </w:tr>
      <w:tr w:rsidR="00FE3DCE" w:rsidRPr="00800FE0" w14:paraId="3BF924B1" w14:textId="77777777" w:rsidTr="009B2D9C">
        <w:trPr>
          <w:trHeight w:val="2977"/>
        </w:trPr>
        <w:tc>
          <w:tcPr>
            <w:tcW w:w="4535" w:type="dxa"/>
            <w:tcBorders>
              <w:bottom w:val="single" w:sz="12" w:space="0" w:color="auto"/>
            </w:tcBorders>
          </w:tcPr>
          <w:p w14:paraId="0059CF25" w14:textId="57DF4C72" w:rsidR="00800FE0" w:rsidRPr="00800FE0" w:rsidRDefault="00390696" w:rsidP="009B2D9C">
            <w:pPr>
              <w:jc w:val="center"/>
              <w:rPr>
                <w:sz w:val="20"/>
                <w:szCs w:val="20"/>
              </w:rPr>
            </w:pPr>
            <w:r w:rsidRPr="00800FE0">
              <w:rPr>
                <w:noProof/>
                <w:szCs w:val="20"/>
                <w:lang w:eastAsia="en-AU"/>
              </w:rPr>
              <w:drawing>
                <wp:inline distT="0" distB="0" distL="0" distR="0" wp14:anchorId="2C84985E" wp14:editId="375F36EF">
                  <wp:extent cx="2278380" cy="1728422"/>
                  <wp:effectExtent l="0" t="0" r="7620" b="5715"/>
                  <wp:docPr id="23" name="Picture 23" descr="Los Angeles African American Historic Places, Getty Onservation Institute.  Brockman Gallery, 1967–90. Photo: Elizabeth Daniels. © J. Paul Getty Trust." title="Image 15 in Casestudy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ockman Gallery, 1967–90. Photo: Elizabeth Daniels. © J. Paul Getty Trust."/>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0214" r="21167"/>
                          <a:stretch/>
                        </pic:blipFill>
                        <pic:spPr bwMode="auto">
                          <a:xfrm>
                            <a:off x="0" y="0"/>
                            <a:ext cx="2487258" cy="1886881"/>
                          </a:xfrm>
                          <a:prstGeom prst="rect">
                            <a:avLst/>
                          </a:prstGeom>
                          <a:noFill/>
                          <a:ln>
                            <a:noFill/>
                          </a:ln>
                          <a:extLst>
                            <a:ext uri="{53640926-AAD7-44D8-BBD7-CCE9431645EC}">
                              <a14:shadowObscured xmlns:a14="http://schemas.microsoft.com/office/drawing/2010/main"/>
                            </a:ext>
                          </a:extLst>
                        </pic:spPr>
                      </pic:pic>
                    </a:graphicData>
                  </a:graphic>
                </wp:inline>
              </w:drawing>
            </w:r>
          </w:p>
          <w:p w14:paraId="106C6602" w14:textId="638E8A0B" w:rsidR="00FE3DCE" w:rsidRPr="00800FE0" w:rsidRDefault="00800FE0" w:rsidP="0089241A">
            <w:pPr>
              <w:jc w:val="center"/>
              <w:rPr>
                <w:sz w:val="20"/>
                <w:szCs w:val="20"/>
              </w:rPr>
            </w:pPr>
            <w:r w:rsidRPr="00800FE0">
              <w:rPr>
                <w:sz w:val="20"/>
                <w:szCs w:val="20"/>
              </w:rPr>
              <w:t>Image 15 Courtesy of getty.edu</w:t>
            </w:r>
          </w:p>
        </w:tc>
        <w:tc>
          <w:tcPr>
            <w:tcW w:w="5246" w:type="dxa"/>
            <w:tcBorders>
              <w:bottom w:val="single" w:sz="12" w:space="0" w:color="auto"/>
            </w:tcBorders>
          </w:tcPr>
          <w:p w14:paraId="29920A9C" w14:textId="77777777" w:rsidR="00FE3DCE" w:rsidRPr="0089241A" w:rsidRDefault="00FE3DCE" w:rsidP="009B2D9C">
            <w:pPr>
              <w:spacing w:after="0"/>
              <w:rPr>
                <w:b/>
                <w:spacing w:val="-2"/>
                <w:sz w:val="20"/>
                <w:szCs w:val="20"/>
                <w:lang w:val="en-AU"/>
              </w:rPr>
            </w:pPr>
            <w:r w:rsidRPr="0089241A">
              <w:rPr>
                <w:b/>
                <w:spacing w:val="-2"/>
                <w:sz w:val="20"/>
                <w:szCs w:val="20"/>
                <w:lang w:val="en-AU"/>
              </w:rPr>
              <w:t xml:space="preserve">Project description: </w:t>
            </w:r>
            <w:r w:rsidRPr="0089241A">
              <w:rPr>
                <w:spacing w:val="-2"/>
                <w:sz w:val="20"/>
                <w:szCs w:val="20"/>
                <w:lang w:val="en-AU"/>
              </w:rPr>
              <w:t>A three-year partnership between the City of Los Angeles and Getty Conservation Institute that seeks to preserve sites that represent Black heritage.</w:t>
            </w:r>
          </w:p>
          <w:p w14:paraId="1A0307DC" w14:textId="77777777" w:rsidR="009B2D9C" w:rsidRPr="0089241A" w:rsidRDefault="009B2D9C" w:rsidP="009B2D9C">
            <w:pPr>
              <w:spacing w:after="0"/>
              <w:rPr>
                <w:b/>
                <w:spacing w:val="-2"/>
                <w:sz w:val="20"/>
                <w:szCs w:val="20"/>
                <w:lang w:val="en-AU"/>
              </w:rPr>
            </w:pPr>
          </w:p>
          <w:p w14:paraId="62ADC723" w14:textId="29CF8A8D" w:rsidR="00FE3DCE" w:rsidRPr="0089241A" w:rsidRDefault="00FE3DCE" w:rsidP="009B2D9C">
            <w:pPr>
              <w:spacing w:after="0"/>
              <w:rPr>
                <w:b/>
                <w:spacing w:val="-2"/>
                <w:sz w:val="20"/>
                <w:szCs w:val="20"/>
                <w:lang w:val="en-AU"/>
              </w:rPr>
            </w:pPr>
            <w:r w:rsidRPr="0089241A">
              <w:rPr>
                <w:b/>
                <w:spacing w:val="-2"/>
                <w:sz w:val="20"/>
                <w:szCs w:val="20"/>
                <w:lang w:val="en-AU"/>
              </w:rPr>
              <w:t>Key features:</w:t>
            </w:r>
          </w:p>
          <w:p w14:paraId="3FBD6C2C" w14:textId="77777777" w:rsidR="00FE3DCE" w:rsidRPr="0089241A" w:rsidRDefault="00FE3DCE" w:rsidP="009B2D9C">
            <w:pPr>
              <w:pStyle w:val="ListBullet"/>
              <w:rPr>
                <w:spacing w:val="-2"/>
                <w:sz w:val="20"/>
                <w:szCs w:val="20"/>
              </w:rPr>
            </w:pPr>
            <w:r w:rsidRPr="0089241A">
              <w:rPr>
                <w:spacing w:val="-2"/>
                <w:sz w:val="20"/>
                <w:szCs w:val="20"/>
              </w:rPr>
              <w:t>Worked with local communities and cultural institutions to recognise and understand African American experiences in Los Angeles.</w:t>
            </w:r>
          </w:p>
          <w:p w14:paraId="4A9B1ECB" w14:textId="6599F84B" w:rsidR="00FE3DCE" w:rsidRPr="0096339E" w:rsidRDefault="00FE3DCE" w:rsidP="009B2D9C">
            <w:pPr>
              <w:pStyle w:val="ListBullet"/>
              <w:rPr>
                <w:sz w:val="20"/>
                <w:szCs w:val="20"/>
              </w:rPr>
            </w:pPr>
            <w:r w:rsidRPr="0089241A">
              <w:rPr>
                <w:spacing w:val="-2"/>
                <w:sz w:val="20"/>
                <w:szCs w:val="20"/>
              </w:rPr>
              <w:t>Seeks to examine preservation methods for systemic bias due to the low representation of African-American historic landmarks protected in the city.</w:t>
            </w:r>
            <w:r w:rsidRPr="0089241A">
              <w:rPr>
                <w:noProof/>
                <w:spacing w:val="-2"/>
                <w:sz w:val="20"/>
                <w:szCs w:val="20"/>
                <w:lang w:val="en-AU" w:eastAsia="en-AU"/>
              </w:rPr>
              <w:t xml:space="preserve"> </w:t>
            </w:r>
          </w:p>
        </w:tc>
      </w:tr>
    </w:tbl>
    <w:p w14:paraId="6001770F" w14:textId="77777777" w:rsidR="00FE3DCE" w:rsidRPr="00CC55D1" w:rsidRDefault="00FE3DCE" w:rsidP="00FE3DCE">
      <w:pPr>
        <w:pStyle w:val="Heading3"/>
        <w:rPr>
          <w:rFonts w:hint="eastAsia"/>
        </w:rPr>
      </w:pPr>
      <w:bookmarkStart w:id="16" w:name="_Toc152752267"/>
      <w:bookmarkStart w:id="17" w:name="_Toc154057769"/>
      <w:bookmarkStart w:id="18" w:name="_Toc158131958"/>
      <w:r w:rsidRPr="00CC55D1">
        <w:t>How could City of Melbourne lead by example?</w:t>
      </w:r>
      <w:bookmarkEnd w:id="16"/>
      <w:bookmarkEnd w:id="17"/>
      <w:bookmarkEnd w:id="18"/>
    </w:p>
    <w:p w14:paraId="334175B5" w14:textId="77777777" w:rsidR="00FE3DCE" w:rsidRPr="00CC55D1" w:rsidRDefault="00FE3DCE" w:rsidP="00FE3DCE">
      <w:r w:rsidRPr="00CC55D1">
        <w:t>We can foster innovation in heritage processes by:</w:t>
      </w:r>
    </w:p>
    <w:p w14:paraId="714D72DF" w14:textId="77777777" w:rsidR="00FE3DCE" w:rsidRPr="00CC55D1" w:rsidRDefault="00FE3DCE" w:rsidP="00FE3DCE">
      <w:pPr>
        <w:pStyle w:val="ListBullet"/>
      </w:pPr>
      <w:r w:rsidRPr="00CC55D1">
        <w:t>investigating new ways of engaging with parts of the community whose stories are not told or are underrepresented</w:t>
      </w:r>
    </w:p>
    <w:p w14:paraId="433CD836" w14:textId="77777777" w:rsidR="00FE3DCE" w:rsidRPr="00CC55D1" w:rsidRDefault="00FE3DCE" w:rsidP="00FE3DCE">
      <w:pPr>
        <w:pStyle w:val="ListBullet"/>
      </w:pPr>
      <w:r w:rsidRPr="00CC55D1">
        <w:t>considering the development of a community collaboration approach to make cultural heritage more diverse, accessible and inclusive for all</w:t>
      </w:r>
    </w:p>
    <w:p w14:paraId="103F6B8F" w14:textId="6DB7155E" w:rsidR="00FE3DCE" w:rsidRPr="00CC55D1" w:rsidRDefault="00FE3DCE" w:rsidP="00FE3DCE">
      <w:pPr>
        <w:pStyle w:val="ListBullet"/>
      </w:pPr>
      <w:r w:rsidRPr="00CC55D1">
        <w:t>considering a municipal-wide review to identify significant places for people and periods that are not well-recognised or represented. This could also include under-explored building interiors, typologies, precincts and historic laneways</w:t>
      </w:r>
    </w:p>
    <w:p w14:paraId="6C0DFB8D" w14:textId="0736333C" w:rsidR="00FE3DCE" w:rsidRDefault="0089241A" w:rsidP="00FE3DCE">
      <w:pPr>
        <w:pStyle w:val="ListBullet"/>
      </w:pPr>
      <w:r>
        <w:rPr>
          <w:noProof/>
          <w:lang w:val="en-AU" w:eastAsia="en-AU"/>
        </w:rPr>
        <w:drawing>
          <wp:anchor distT="0" distB="0" distL="114300" distR="114300" simplePos="0" relativeHeight="251700224" behindDoc="0" locked="0" layoutInCell="1" allowOverlap="1" wp14:anchorId="1BECBB70" wp14:editId="35F1AA9F">
            <wp:simplePos x="0" y="0"/>
            <wp:positionH relativeFrom="margin">
              <wp:posOffset>1055370</wp:posOffset>
            </wp:positionH>
            <wp:positionV relativeFrom="margin">
              <wp:posOffset>5581015</wp:posOffset>
            </wp:positionV>
            <wp:extent cx="3848100" cy="3361690"/>
            <wp:effectExtent l="0" t="0" r="0" b="0"/>
            <wp:wrapSquare wrapText="bothSides"/>
            <wp:docPr id="69352680" name="Picture 1" descr="A tram driving past the Malthouse Theatre in Sturt Street, Southbank." titl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352680" name="Picture 1"/>
                    <pic:cNvPicPr>
                      <a:picLocks/>
                    </pic:cNvPicPr>
                  </pic:nvPicPr>
                  <pic:blipFill>
                    <a:blip r:embed="rId14" cstate="print">
                      <a:extLst>
                        <a:ext uri="{28A0092B-C50C-407E-A947-70E740481C1C}">
                          <a14:useLocalDpi xmlns:a14="http://schemas.microsoft.com/office/drawing/2010/main" val="0"/>
                        </a:ext>
                      </a:extLst>
                    </a:blip>
                    <a:srcRect l="12388" r="12388"/>
                    <a:stretch>
                      <a:fillRect/>
                    </a:stretch>
                  </pic:blipFill>
                  <pic:spPr bwMode="auto">
                    <a:xfrm>
                      <a:off x="0" y="0"/>
                      <a:ext cx="3848100" cy="3361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E3DCE" w:rsidRPr="00CC55D1">
        <w:t>consider forming an expert panel to review the tolerance for physical material change when cultural significance – and historical or social use – is strengthened by an exemplary development.</w:t>
      </w:r>
    </w:p>
    <w:p w14:paraId="13A6ABD0" w14:textId="3DBFEEBA" w:rsidR="007F38F9" w:rsidRDefault="007F38F9" w:rsidP="007F38F9">
      <w:pPr>
        <w:pStyle w:val="ListBullet"/>
        <w:numPr>
          <w:ilvl w:val="0"/>
          <w:numId w:val="0"/>
        </w:numPr>
      </w:pPr>
    </w:p>
    <w:p w14:paraId="38364117" w14:textId="4804F377" w:rsidR="0096339E" w:rsidRPr="00CC55D1" w:rsidRDefault="0096339E" w:rsidP="0096339E">
      <w:pPr>
        <w:pStyle w:val="ListBullet"/>
        <w:numPr>
          <w:ilvl w:val="0"/>
          <w:numId w:val="0"/>
        </w:numPr>
        <w:ind w:left="357" w:hanging="357"/>
      </w:pPr>
    </w:p>
    <w:p w14:paraId="68A1F728" w14:textId="77777777" w:rsidR="007F38F9" w:rsidRDefault="007F38F9" w:rsidP="00FE3DCE">
      <w:pPr>
        <w:pStyle w:val="Caption"/>
        <w:rPr>
          <w:rFonts w:hint="eastAsia"/>
        </w:rPr>
      </w:pPr>
    </w:p>
    <w:p w14:paraId="44592B4F" w14:textId="77777777" w:rsidR="007F38F9" w:rsidRDefault="007F38F9" w:rsidP="00FE3DCE">
      <w:pPr>
        <w:pStyle w:val="Caption"/>
        <w:rPr>
          <w:rFonts w:hint="eastAsia"/>
        </w:rPr>
      </w:pPr>
    </w:p>
    <w:p w14:paraId="3173ED60" w14:textId="77777777" w:rsidR="007F38F9" w:rsidRDefault="007F38F9" w:rsidP="00FE3DCE">
      <w:pPr>
        <w:pStyle w:val="Caption"/>
        <w:rPr>
          <w:rFonts w:hint="eastAsia"/>
        </w:rPr>
      </w:pPr>
    </w:p>
    <w:p w14:paraId="38F0C1D0" w14:textId="77777777" w:rsidR="007F38F9" w:rsidRDefault="007F38F9" w:rsidP="00FE3DCE">
      <w:pPr>
        <w:pStyle w:val="Caption"/>
        <w:rPr>
          <w:rFonts w:hint="eastAsia"/>
        </w:rPr>
      </w:pPr>
    </w:p>
    <w:p w14:paraId="7414E9D5" w14:textId="77777777" w:rsidR="007F38F9" w:rsidRDefault="007F38F9" w:rsidP="00FE3DCE">
      <w:pPr>
        <w:pStyle w:val="Caption"/>
        <w:rPr>
          <w:rFonts w:hint="eastAsia"/>
        </w:rPr>
      </w:pPr>
    </w:p>
    <w:p w14:paraId="0C5FA893" w14:textId="77777777" w:rsidR="007F38F9" w:rsidRDefault="007F38F9" w:rsidP="00FE3DCE">
      <w:pPr>
        <w:pStyle w:val="Caption"/>
        <w:rPr>
          <w:rFonts w:hint="eastAsia"/>
        </w:rPr>
      </w:pPr>
    </w:p>
    <w:p w14:paraId="4E2610EA" w14:textId="0D089487" w:rsidR="007F38F9" w:rsidRDefault="007F38F9" w:rsidP="00FE3DCE">
      <w:pPr>
        <w:pStyle w:val="Caption"/>
        <w:rPr>
          <w:rFonts w:hint="eastAsia"/>
        </w:rPr>
      </w:pPr>
    </w:p>
    <w:p w14:paraId="1D36C687" w14:textId="596AE775" w:rsidR="007F38F9" w:rsidRDefault="007F38F9" w:rsidP="007F38F9"/>
    <w:p w14:paraId="753E591B" w14:textId="77777777" w:rsidR="007F38F9" w:rsidRPr="007F38F9" w:rsidRDefault="007F38F9" w:rsidP="007F38F9"/>
    <w:p w14:paraId="22EE3F07" w14:textId="5A81483E" w:rsidR="00FE3DCE" w:rsidRDefault="007F38F9" w:rsidP="00427F75">
      <w:pPr>
        <w:pStyle w:val="Caption"/>
        <w:ind w:left="1440"/>
        <w:rPr>
          <w:rFonts w:hint="eastAsia"/>
        </w:rPr>
      </w:pPr>
      <w:r>
        <w:t xml:space="preserve">     </w:t>
      </w:r>
      <w:r w:rsidR="00FE3DCE">
        <w:t xml:space="preserve">Image 16 Tram driving past the Malthouse Theatre, Southbank </w:t>
      </w:r>
      <w:bookmarkStart w:id="19" w:name="_GoBack"/>
      <w:bookmarkEnd w:id="0"/>
      <w:bookmarkEnd w:id="1"/>
      <w:bookmarkEnd w:id="2"/>
      <w:bookmarkEnd w:id="3"/>
      <w:bookmarkEnd w:id="19"/>
    </w:p>
    <w:sectPr w:rsidR="00FE3DCE" w:rsidSect="009B2D9C">
      <w:endnotePr>
        <w:numFmt w:val="decimal"/>
      </w:endnotePr>
      <w:pgSz w:w="11900" w:h="16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B0544" w14:textId="77777777" w:rsidR="00B97343" w:rsidRDefault="00B97343" w:rsidP="00BC719D">
      <w:pPr>
        <w:spacing w:after="0"/>
      </w:pPr>
      <w:r>
        <w:separator/>
      </w:r>
    </w:p>
  </w:endnote>
  <w:endnote w:type="continuationSeparator" w:id="0">
    <w:p w14:paraId="15B38D48" w14:textId="77777777" w:rsidR="00B97343" w:rsidRDefault="00B97343"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C6AC3" w14:textId="77777777" w:rsidR="00B97343" w:rsidRDefault="00B97343" w:rsidP="00577A39">
      <w:pPr>
        <w:spacing w:after="40" w:line="240" w:lineRule="auto"/>
      </w:pPr>
      <w:r>
        <w:separator/>
      </w:r>
    </w:p>
  </w:footnote>
  <w:footnote w:type="continuationSeparator" w:id="0">
    <w:p w14:paraId="56927307" w14:textId="77777777" w:rsidR="00B97343" w:rsidRDefault="00B97343"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10AF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C6C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2CAA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A89D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0A0B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72C1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D210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9E59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CE7D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12" w15:restartNumberingAfterBreak="0">
    <w:nsid w:val="1F357450"/>
    <w:multiLevelType w:val="hybridMultilevel"/>
    <w:tmpl w:val="FE1AD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4" w15:restartNumberingAfterBreak="0">
    <w:nsid w:val="2A2B5D1C"/>
    <w:multiLevelType w:val="multilevel"/>
    <w:tmpl w:val="16506B6C"/>
    <w:numStyleLink w:val="ListNumbers"/>
  </w:abstractNum>
  <w:abstractNum w:abstractNumId="15"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C10957"/>
    <w:multiLevelType w:val="multilevel"/>
    <w:tmpl w:val="16506B6C"/>
    <w:numStyleLink w:val="ListNumbers"/>
  </w:abstractNum>
  <w:abstractNum w:abstractNumId="17"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1209CA"/>
    <w:multiLevelType w:val="multilevel"/>
    <w:tmpl w:val="16506B6C"/>
    <w:numStyleLink w:val="ListNumbers"/>
  </w:abstractNum>
  <w:abstractNum w:abstractNumId="19" w15:restartNumberingAfterBreak="0">
    <w:nsid w:val="7A2C43DC"/>
    <w:multiLevelType w:val="multilevel"/>
    <w:tmpl w:val="16506B6C"/>
    <w:numStyleLink w:val="ListNumbers"/>
  </w:abstractNum>
  <w:abstractNum w:abstractNumId="20"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11"/>
  </w:num>
  <w:num w:numId="2">
    <w:abstractNumId w:val="13"/>
  </w:num>
  <w:num w:numId="3">
    <w:abstractNumId w:val="19"/>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5"/>
  </w:num>
  <w:num w:numId="13">
    <w:abstractNumId w:val="17"/>
  </w:num>
  <w:num w:numId="14">
    <w:abstractNumId w:val="2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9"/>
  </w:num>
  <w:num w:numId="18">
    <w:abstractNumId w:val="8"/>
  </w:num>
  <w:num w:numId="19">
    <w:abstractNumId w:val="3"/>
  </w:num>
  <w:num w:numId="20">
    <w:abstractNumId w:val="7"/>
  </w:num>
  <w:num w:numId="21">
    <w:abstractNumId w:val="6"/>
  </w:num>
  <w:num w:numId="22">
    <w:abstractNumId w:val="5"/>
  </w:num>
  <w:num w:numId="23">
    <w:abstractNumId w:val="4"/>
  </w:num>
  <w:num w:numId="24">
    <w:abstractNumId w:val="1"/>
  </w:num>
  <w:num w:numId="2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0DA"/>
    <w:rsid w:val="00004E7E"/>
    <w:rsid w:val="00020B35"/>
    <w:rsid w:val="00033E54"/>
    <w:rsid w:val="000437C5"/>
    <w:rsid w:val="000474AE"/>
    <w:rsid w:val="00071857"/>
    <w:rsid w:val="000A2BDA"/>
    <w:rsid w:val="000A48D5"/>
    <w:rsid w:val="000B5EAA"/>
    <w:rsid w:val="000F1E9C"/>
    <w:rsid w:val="000F3535"/>
    <w:rsid w:val="00190B0E"/>
    <w:rsid w:val="001B51BF"/>
    <w:rsid w:val="001F46B4"/>
    <w:rsid w:val="001F554D"/>
    <w:rsid w:val="002436A6"/>
    <w:rsid w:val="002438B7"/>
    <w:rsid w:val="0024773F"/>
    <w:rsid w:val="00263B05"/>
    <w:rsid w:val="002730DA"/>
    <w:rsid w:val="002D630D"/>
    <w:rsid w:val="002E4153"/>
    <w:rsid w:val="002F47B6"/>
    <w:rsid w:val="002F6A88"/>
    <w:rsid w:val="00334C74"/>
    <w:rsid w:val="003547EB"/>
    <w:rsid w:val="00380F44"/>
    <w:rsid w:val="00390696"/>
    <w:rsid w:val="00392688"/>
    <w:rsid w:val="003D63A8"/>
    <w:rsid w:val="003E3A9F"/>
    <w:rsid w:val="003E5082"/>
    <w:rsid w:val="00407429"/>
    <w:rsid w:val="00426584"/>
    <w:rsid w:val="00427F75"/>
    <w:rsid w:val="00431D45"/>
    <w:rsid w:val="004564F4"/>
    <w:rsid w:val="00457042"/>
    <w:rsid w:val="00457113"/>
    <w:rsid w:val="004878DB"/>
    <w:rsid w:val="00493E0A"/>
    <w:rsid w:val="00494A2D"/>
    <w:rsid w:val="004A26E3"/>
    <w:rsid w:val="004D00DD"/>
    <w:rsid w:val="004E1ECE"/>
    <w:rsid w:val="004F54F5"/>
    <w:rsid w:val="00535159"/>
    <w:rsid w:val="0053666A"/>
    <w:rsid w:val="005620A0"/>
    <w:rsid w:val="00562392"/>
    <w:rsid w:val="0056634E"/>
    <w:rsid w:val="0057264C"/>
    <w:rsid w:val="00577A39"/>
    <w:rsid w:val="005814F5"/>
    <w:rsid w:val="005D30BA"/>
    <w:rsid w:val="005F4391"/>
    <w:rsid w:val="0068168F"/>
    <w:rsid w:val="00687D4A"/>
    <w:rsid w:val="006A2F63"/>
    <w:rsid w:val="006A3718"/>
    <w:rsid w:val="006C7F7B"/>
    <w:rsid w:val="007053C5"/>
    <w:rsid w:val="00712950"/>
    <w:rsid w:val="00714FB7"/>
    <w:rsid w:val="00715B3E"/>
    <w:rsid w:val="0073401D"/>
    <w:rsid w:val="007361D8"/>
    <w:rsid w:val="00737A99"/>
    <w:rsid w:val="00782E37"/>
    <w:rsid w:val="007A0AA6"/>
    <w:rsid w:val="007E291E"/>
    <w:rsid w:val="007F0661"/>
    <w:rsid w:val="007F38F9"/>
    <w:rsid w:val="00800FE0"/>
    <w:rsid w:val="00802A52"/>
    <w:rsid w:val="00806F0F"/>
    <w:rsid w:val="00831224"/>
    <w:rsid w:val="00850D66"/>
    <w:rsid w:val="00855F84"/>
    <w:rsid w:val="00881C97"/>
    <w:rsid w:val="0089241A"/>
    <w:rsid w:val="008A7AC1"/>
    <w:rsid w:val="008D2DDA"/>
    <w:rsid w:val="008E2476"/>
    <w:rsid w:val="009043FC"/>
    <w:rsid w:val="009050C6"/>
    <w:rsid w:val="0091365A"/>
    <w:rsid w:val="00951A78"/>
    <w:rsid w:val="00955E32"/>
    <w:rsid w:val="0096339E"/>
    <w:rsid w:val="0096419C"/>
    <w:rsid w:val="0097181E"/>
    <w:rsid w:val="00990B3C"/>
    <w:rsid w:val="009B2D9C"/>
    <w:rsid w:val="009D1FBA"/>
    <w:rsid w:val="009F4681"/>
    <w:rsid w:val="00A01D13"/>
    <w:rsid w:val="00A121B3"/>
    <w:rsid w:val="00A32553"/>
    <w:rsid w:val="00A56E86"/>
    <w:rsid w:val="00A639D0"/>
    <w:rsid w:val="00A64200"/>
    <w:rsid w:val="00A8651A"/>
    <w:rsid w:val="00A908C5"/>
    <w:rsid w:val="00AA4303"/>
    <w:rsid w:val="00AB6132"/>
    <w:rsid w:val="00AC4B01"/>
    <w:rsid w:val="00AD2B6E"/>
    <w:rsid w:val="00AE737B"/>
    <w:rsid w:val="00AF02E0"/>
    <w:rsid w:val="00B152AF"/>
    <w:rsid w:val="00B53D5A"/>
    <w:rsid w:val="00B61F7F"/>
    <w:rsid w:val="00B93B1F"/>
    <w:rsid w:val="00B97343"/>
    <w:rsid w:val="00BC5E8E"/>
    <w:rsid w:val="00BC719D"/>
    <w:rsid w:val="00BE100F"/>
    <w:rsid w:val="00BE1269"/>
    <w:rsid w:val="00BE4B49"/>
    <w:rsid w:val="00BE6801"/>
    <w:rsid w:val="00C0291B"/>
    <w:rsid w:val="00C05740"/>
    <w:rsid w:val="00C07190"/>
    <w:rsid w:val="00C14F9F"/>
    <w:rsid w:val="00C2007C"/>
    <w:rsid w:val="00C37F6A"/>
    <w:rsid w:val="00C42412"/>
    <w:rsid w:val="00C464C0"/>
    <w:rsid w:val="00C73DA2"/>
    <w:rsid w:val="00CA3730"/>
    <w:rsid w:val="00CB6145"/>
    <w:rsid w:val="00CC65F0"/>
    <w:rsid w:val="00CD382D"/>
    <w:rsid w:val="00D00427"/>
    <w:rsid w:val="00D014D2"/>
    <w:rsid w:val="00D02C4A"/>
    <w:rsid w:val="00D206C9"/>
    <w:rsid w:val="00D77363"/>
    <w:rsid w:val="00DE295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E3DCE"/>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48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3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link w:val="CaptionChar"/>
    <w:uiPriority w:val="99"/>
    <w:qFormat/>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styleId="CommentReference">
    <w:name w:val="annotation reference"/>
    <w:basedOn w:val="DefaultParagraphFont"/>
    <w:semiHidden/>
    <w:unhideWhenUsed/>
    <w:rsid w:val="00CC65F0"/>
    <w:rPr>
      <w:sz w:val="16"/>
      <w:szCs w:val="16"/>
    </w:rPr>
  </w:style>
  <w:style w:type="paragraph" w:styleId="CommentText">
    <w:name w:val="annotation text"/>
    <w:basedOn w:val="Normal"/>
    <w:link w:val="CommentTextChar"/>
    <w:semiHidden/>
    <w:unhideWhenUsed/>
    <w:rsid w:val="00CC65F0"/>
    <w:pPr>
      <w:spacing w:line="240" w:lineRule="auto"/>
    </w:pPr>
    <w:rPr>
      <w:szCs w:val="20"/>
    </w:rPr>
  </w:style>
  <w:style w:type="character" w:customStyle="1" w:styleId="CommentTextChar">
    <w:name w:val="Comment Text Char"/>
    <w:basedOn w:val="DefaultParagraphFont"/>
    <w:link w:val="CommentText"/>
    <w:semiHidden/>
    <w:rsid w:val="00CC65F0"/>
    <w:rPr>
      <w:rFonts w:ascii="Arial" w:hAnsi="Arial"/>
      <w:lang w:eastAsia="en-US"/>
    </w:rPr>
  </w:style>
  <w:style w:type="paragraph" w:styleId="CommentSubject">
    <w:name w:val="annotation subject"/>
    <w:basedOn w:val="CommentText"/>
    <w:next w:val="CommentText"/>
    <w:link w:val="CommentSubjectChar"/>
    <w:semiHidden/>
    <w:unhideWhenUsed/>
    <w:rsid w:val="00CC65F0"/>
    <w:rPr>
      <w:b/>
      <w:bCs/>
    </w:rPr>
  </w:style>
  <w:style w:type="character" w:customStyle="1" w:styleId="CommentSubjectChar">
    <w:name w:val="Comment Subject Char"/>
    <w:basedOn w:val="CommentTextChar"/>
    <w:link w:val="CommentSubject"/>
    <w:semiHidden/>
    <w:rsid w:val="00CC65F0"/>
    <w:rPr>
      <w:rFonts w:ascii="Arial" w:hAnsi="Arial"/>
      <w:b/>
      <w:bCs/>
      <w:lang w:eastAsia="en-US"/>
    </w:rPr>
  </w:style>
  <w:style w:type="paragraph" w:customStyle="1" w:styleId="Heading1NonTOC">
    <w:name w:val="Heading 1 NonTOC"/>
    <w:basedOn w:val="Heading1"/>
    <w:uiPriority w:val="1"/>
    <w:qFormat/>
    <w:rsid w:val="00CC65F0"/>
    <w:pPr>
      <w:keepNext/>
      <w:keepLines/>
      <w:spacing w:before="0" w:after="170" w:line="300" w:lineRule="atLeast"/>
    </w:pPr>
    <w:rPr>
      <w:rFonts w:asciiTheme="majorHAnsi" w:eastAsiaTheme="majorEastAsia" w:hAnsiTheme="majorHAnsi" w:cstheme="majorBidi"/>
      <w:b/>
      <w:bCs w:val="0"/>
      <w:color w:val="000000" w:themeColor="text1"/>
      <w:spacing w:val="-10"/>
      <w:sz w:val="32"/>
      <w:lang w:val="en-AU"/>
    </w:rPr>
  </w:style>
  <w:style w:type="character" w:customStyle="1" w:styleId="CaptionChar">
    <w:name w:val="Caption Char"/>
    <w:basedOn w:val="DefaultParagraphFont"/>
    <w:link w:val="Caption"/>
    <w:uiPriority w:val="99"/>
    <w:rsid w:val="00CC65F0"/>
    <w:rPr>
      <w:rFonts w:ascii="Arial Bold" w:hAnsi="Arial Bold"/>
      <w:b/>
      <w:bCs/>
      <w:szCs w:val="18"/>
      <w:lang w:eastAsia="en-US"/>
    </w:rPr>
  </w:style>
  <w:style w:type="table" w:customStyle="1" w:styleId="TableCOM">
    <w:name w:val="Table_COM"/>
    <w:basedOn w:val="TableNormal"/>
    <w:uiPriority w:val="99"/>
    <w:rsid w:val="00CC65F0"/>
    <w:rPr>
      <w:rFonts w:asciiTheme="minorHAnsi" w:eastAsiaTheme="minorEastAsia" w:hAnsiTheme="minorHAnsi"/>
      <w:color w:val="000000" w:themeColor="text1"/>
      <w:lang w:eastAsia="en-US"/>
    </w:rPr>
    <w:tblPr>
      <w:tblStyleRowBandSize w:val="1"/>
      <w:tblStyleColBandSize w:val="1"/>
      <w:tblBorders>
        <w:top w:val="single" w:sz="4" w:space="0" w:color="4F81BD" w:themeColor="accent1"/>
        <w:bottom w:val="single" w:sz="4" w:space="0" w:color="4F81BD" w:themeColor="accent1"/>
        <w:insideH w:val="single" w:sz="4" w:space="0" w:color="4F81BD" w:themeColor="accent1"/>
      </w:tblBorders>
      <w:tblCellMar>
        <w:top w:w="57" w:type="dxa"/>
        <w:left w:w="57" w:type="dxa"/>
        <w:bottom w:w="57" w:type="dxa"/>
        <w:right w:w="57" w:type="dxa"/>
      </w:tblCellMar>
    </w:tblPr>
    <w:trPr>
      <w:cantSplit/>
    </w:trPr>
    <w:tblStylePr w:type="firstRow">
      <w:pPr>
        <w:jc w:val="left"/>
      </w:pPr>
      <w:rPr>
        <w:rFonts w:asciiTheme="minorHAnsi" w:hAnsiTheme="minorHAnsi"/>
        <w:b/>
        <w:color w:val="FFFFFF"/>
        <w:sz w:val="24"/>
      </w:rPr>
      <w:tblPr/>
      <w:trPr>
        <w:cantSplit w:val="0"/>
        <w:tblHeader/>
      </w:trPr>
      <w:tcPr>
        <w:shd w:val="clear" w:color="auto" w:fill="4F81BD" w:themeFill="accent1"/>
      </w:tcPr>
    </w:tblStylePr>
    <w:tblStylePr w:type="lastRow">
      <w:rPr>
        <w:b/>
        <w:color w:val="000000" w:themeColor="text1"/>
      </w:rPr>
      <w:tblPr/>
      <w:tcPr>
        <w:tcBorders>
          <w:top w:val="single" w:sz="4" w:space="0" w:color="E4E1DD"/>
          <w:left w:val="nil"/>
          <w:bottom w:val="single" w:sz="4" w:space="0" w:color="E4E1DD"/>
          <w:right w:val="nil"/>
          <w:insideH w:val="nil"/>
          <w:insideV w:val="nil"/>
          <w:tl2br w:val="nil"/>
          <w:tr2bl w:val="nil"/>
        </w:tcBorders>
        <w:shd w:val="clear" w:color="auto" w:fill="E4E1DD"/>
      </w:tcPr>
    </w:tblStylePr>
    <w:tblStylePr w:type="firstCol">
      <w:rPr>
        <w:b w:val="0"/>
        <w:color w:val="000000" w:themeColor="text1"/>
      </w:rPr>
      <w:tblPr/>
      <w:tcPr>
        <w:shd w:val="clear" w:color="auto" w:fill="8064A2" w:themeFill="accent4"/>
      </w:tcPr>
    </w:tblStylePr>
    <w:tblStylePr w:type="lastCol">
      <w:pPr>
        <w:jc w:val="right"/>
      </w:pPr>
      <w:rPr>
        <w:b/>
      </w:rPr>
      <w:tblPr/>
      <w:tcPr>
        <w:shd w:val="clear" w:color="auto" w:fill="E4E1DD"/>
      </w:tcPr>
    </w:tblStylePr>
  </w:style>
  <w:style w:type="table" w:customStyle="1" w:styleId="TableGrid21">
    <w:name w:val="Table Grid21"/>
    <w:basedOn w:val="TableNormal"/>
    <w:next w:val="TableGrid"/>
    <w:uiPriority w:val="39"/>
    <w:rsid w:val="00A64200"/>
    <w:rPr>
      <w:rFonts w:asciiTheme="minorHAnsi" w:eastAsia="Calibri" w:hAnsi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64200"/>
    <w:rPr>
      <w:rFonts w:asciiTheme="minorHAnsi" w:eastAsia="Calibri" w:hAnsi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908C5"/>
    <w:rPr>
      <w:rFonts w:asciiTheme="minorHAnsi" w:eastAsia="Calibri" w:hAnsi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1E9C"/>
    <w:pPr>
      <w:autoSpaceDE w:val="0"/>
      <w:autoSpaceDN w:val="0"/>
      <w:adjustRightInd w:val="0"/>
    </w:pPr>
    <w:rPr>
      <w:rFonts w:ascii="Calibri" w:eastAsiaTheme="minorHAnsi" w:hAnsi="Calibri" w:cs="Calibri"/>
      <w:color w:val="000000"/>
      <w:sz w:val="24"/>
      <w:szCs w:val="24"/>
      <w:lang w:eastAsia="en-US"/>
    </w:rPr>
  </w:style>
  <w:style w:type="table" w:customStyle="1" w:styleId="TableGrid11">
    <w:name w:val="Table Grid11"/>
    <w:basedOn w:val="TableNormal"/>
    <w:next w:val="TableGrid"/>
    <w:uiPriority w:val="39"/>
    <w:rsid w:val="000F1E9C"/>
    <w:rPr>
      <w:rFonts w:asciiTheme="minorHAnsi" w:eastAsia="Calibri" w:hAnsi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E3DCE"/>
    <w:rPr>
      <w:rFonts w:asciiTheme="minorHAnsi" w:eastAsia="Calibri" w:hAnsi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Text">
    <w:name w:val="Intro Text"/>
    <w:basedOn w:val="Normal"/>
    <w:next w:val="Normal"/>
    <w:uiPriority w:val="5"/>
    <w:qFormat/>
    <w:rsid w:val="00FE3DCE"/>
    <w:pPr>
      <w:adjustRightInd w:val="0"/>
      <w:snapToGrid w:val="0"/>
      <w:spacing w:after="160" w:line="320" w:lineRule="atLeast"/>
    </w:pPr>
    <w:rPr>
      <w:rFonts w:asciiTheme="minorHAnsi" w:eastAsiaTheme="minorEastAsia" w:hAnsiTheme="minorHAnsi"/>
      <w:color w:val="4F81BD" w:themeColor="accent1"/>
      <w:sz w:val="24"/>
      <w:szCs w:val="20"/>
    </w:rPr>
  </w:style>
  <w:style w:type="paragraph" w:styleId="NormalWeb">
    <w:name w:val="Normal (Web)"/>
    <w:basedOn w:val="Normal"/>
    <w:uiPriority w:val="99"/>
    <w:unhideWhenUsed/>
    <w:rsid w:val="00FE3DCE"/>
    <w:pPr>
      <w:spacing w:before="100" w:beforeAutospacing="1" w:after="100" w:afterAutospacing="1" w:line="240" w:lineRule="auto"/>
    </w:pPr>
    <w:rPr>
      <w:rFonts w:ascii="Times New Roman" w:eastAsia="Times New Roman" w:hAnsi="Times New Roman"/>
      <w:sz w:val="24"/>
      <w:lang w:eastAsia="en-AU"/>
    </w:rPr>
  </w:style>
  <w:style w:type="paragraph" w:styleId="BodyText">
    <w:name w:val="Body Text"/>
    <w:basedOn w:val="Normal"/>
    <w:link w:val="BodyTextChar"/>
    <w:uiPriority w:val="1"/>
    <w:qFormat/>
    <w:rsid w:val="00C464C0"/>
    <w:pPr>
      <w:widowControl w:val="0"/>
      <w:autoSpaceDE w:val="0"/>
      <w:autoSpaceDN w:val="0"/>
      <w:spacing w:after="0" w:line="240" w:lineRule="auto"/>
    </w:pPr>
    <w:rPr>
      <w:rFonts w:eastAsia="Arial" w:cs="Arial"/>
      <w:sz w:val="24"/>
      <w:lang w:val="en-US"/>
    </w:rPr>
  </w:style>
  <w:style w:type="character" w:customStyle="1" w:styleId="BodyTextChar">
    <w:name w:val="Body Text Char"/>
    <w:basedOn w:val="DefaultParagraphFont"/>
    <w:link w:val="BodyText"/>
    <w:uiPriority w:val="1"/>
    <w:rsid w:val="00C464C0"/>
    <w:rPr>
      <w:rFonts w:ascii="Arial" w:eastAsia="Arial" w:hAnsi="Arial" w:cs="Arial"/>
      <w:sz w:val="24"/>
      <w:szCs w:val="24"/>
      <w:lang w:val="en-US" w:eastAsia="en-US"/>
    </w:rPr>
  </w:style>
  <w:style w:type="paragraph" w:customStyle="1" w:styleId="paragraph">
    <w:name w:val="paragraph"/>
    <w:basedOn w:val="Normal"/>
    <w:rsid w:val="007F38F9"/>
    <w:pPr>
      <w:spacing w:before="100" w:beforeAutospacing="1" w:after="100" w:afterAutospacing="1" w:line="240" w:lineRule="auto"/>
    </w:pPr>
    <w:rPr>
      <w:rFonts w:ascii="Times New Roman" w:eastAsia="Times New Roman" w:hAnsi="Times New Roman"/>
      <w:sz w:val="24"/>
      <w:lang w:eastAsia="en-AU"/>
    </w:rPr>
  </w:style>
  <w:style w:type="character" w:customStyle="1" w:styleId="normaltextrun">
    <w:name w:val="normaltextrun"/>
    <w:basedOn w:val="DefaultParagraphFont"/>
    <w:rsid w:val="007F38F9"/>
  </w:style>
  <w:style w:type="character" w:customStyle="1" w:styleId="eop">
    <w:name w:val="eop"/>
    <w:basedOn w:val="DefaultParagraphFont"/>
    <w:rsid w:val="007F3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880846">
      <w:bodyDiv w:val="1"/>
      <w:marLeft w:val="0"/>
      <w:marRight w:val="0"/>
      <w:marTop w:val="0"/>
      <w:marBottom w:val="0"/>
      <w:divBdr>
        <w:top w:val="none" w:sz="0" w:space="0" w:color="auto"/>
        <w:left w:val="none" w:sz="0" w:space="0" w:color="auto"/>
        <w:bottom w:val="none" w:sz="0" w:space="0" w:color="auto"/>
        <w:right w:val="none" w:sz="0" w:space="0" w:color="auto"/>
      </w:divBdr>
      <w:divsChild>
        <w:div w:id="857936646">
          <w:marLeft w:val="0"/>
          <w:marRight w:val="0"/>
          <w:marTop w:val="0"/>
          <w:marBottom w:val="0"/>
          <w:divBdr>
            <w:top w:val="none" w:sz="0" w:space="0" w:color="auto"/>
            <w:left w:val="none" w:sz="0" w:space="0" w:color="auto"/>
            <w:bottom w:val="none" w:sz="0" w:space="0" w:color="auto"/>
            <w:right w:val="none" w:sz="0" w:space="0" w:color="auto"/>
          </w:divBdr>
        </w:div>
        <w:div w:id="1403990174">
          <w:marLeft w:val="0"/>
          <w:marRight w:val="0"/>
          <w:marTop w:val="0"/>
          <w:marBottom w:val="0"/>
          <w:divBdr>
            <w:top w:val="none" w:sz="0" w:space="0" w:color="auto"/>
            <w:left w:val="none" w:sz="0" w:space="0" w:color="auto"/>
            <w:bottom w:val="none" w:sz="0" w:space="0" w:color="auto"/>
            <w:right w:val="none" w:sz="0" w:space="0" w:color="auto"/>
          </w:divBdr>
        </w:div>
        <w:div w:id="1004357939">
          <w:marLeft w:val="0"/>
          <w:marRight w:val="0"/>
          <w:marTop w:val="0"/>
          <w:marBottom w:val="0"/>
          <w:divBdr>
            <w:top w:val="none" w:sz="0" w:space="0" w:color="auto"/>
            <w:left w:val="none" w:sz="0" w:space="0" w:color="auto"/>
            <w:bottom w:val="none" w:sz="0" w:space="0" w:color="auto"/>
            <w:right w:val="none" w:sz="0" w:space="0" w:color="auto"/>
          </w:divBdr>
        </w:div>
        <w:div w:id="1465463189">
          <w:marLeft w:val="0"/>
          <w:marRight w:val="0"/>
          <w:marTop w:val="0"/>
          <w:marBottom w:val="0"/>
          <w:divBdr>
            <w:top w:val="none" w:sz="0" w:space="0" w:color="auto"/>
            <w:left w:val="none" w:sz="0" w:space="0" w:color="auto"/>
            <w:bottom w:val="none" w:sz="0" w:space="0" w:color="auto"/>
            <w:right w:val="none" w:sz="0" w:space="0" w:color="auto"/>
          </w:divBdr>
        </w:div>
        <w:div w:id="1110474160">
          <w:marLeft w:val="0"/>
          <w:marRight w:val="0"/>
          <w:marTop w:val="0"/>
          <w:marBottom w:val="0"/>
          <w:divBdr>
            <w:top w:val="none" w:sz="0" w:space="0" w:color="auto"/>
            <w:left w:val="none" w:sz="0" w:space="0" w:color="auto"/>
            <w:bottom w:val="none" w:sz="0" w:space="0" w:color="auto"/>
            <w:right w:val="none" w:sz="0" w:space="0" w:color="auto"/>
          </w:divBdr>
        </w:div>
        <w:div w:id="124394225">
          <w:marLeft w:val="0"/>
          <w:marRight w:val="0"/>
          <w:marTop w:val="0"/>
          <w:marBottom w:val="0"/>
          <w:divBdr>
            <w:top w:val="none" w:sz="0" w:space="0" w:color="auto"/>
            <w:left w:val="none" w:sz="0" w:space="0" w:color="auto"/>
            <w:bottom w:val="none" w:sz="0" w:space="0" w:color="auto"/>
            <w:right w:val="none" w:sz="0" w:space="0" w:color="auto"/>
          </w:divBdr>
        </w:div>
        <w:div w:id="624576877">
          <w:marLeft w:val="0"/>
          <w:marRight w:val="0"/>
          <w:marTop w:val="0"/>
          <w:marBottom w:val="0"/>
          <w:divBdr>
            <w:top w:val="none" w:sz="0" w:space="0" w:color="auto"/>
            <w:left w:val="none" w:sz="0" w:space="0" w:color="auto"/>
            <w:bottom w:val="none" w:sz="0" w:space="0" w:color="auto"/>
            <w:right w:val="none" w:sz="0" w:space="0" w:color="auto"/>
          </w:divBdr>
        </w:div>
        <w:div w:id="1750999665">
          <w:marLeft w:val="0"/>
          <w:marRight w:val="0"/>
          <w:marTop w:val="0"/>
          <w:marBottom w:val="0"/>
          <w:divBdr>
            <w:top w:val="none" w:sz="0" w:space="0" w:color="auto"/>
            <w:left w:val="none" w:sz="0" w:space="0" w:color="auto"/>
            <w:bottom w:val="none" w:sz="0" w:space="0" w:color="auto"/>
            <w:right w:val="none" w:sz="0" w:space="0" w:color="auto"/>
          </w:divBdr>
        </w:div>
        <w:div w:id="1368214367">
          <w:marLeft w:val="0"/>
          <w:marRight w:val="0"/>
          <w:marTop w:val="0"/>
          <w:marBottom w:val="0"/>
          <w:divBdr>
            <w:top w:val="none" w:sz="0" w:space="0" w:color="auto"/>
            <w:left w:val="none" w:sz="0" w:space="0" w:color="auto"/>
            <w:bottom w:val="none" w:sz="0" w:space="0" w:color="auto"/>
            <w:right w:val="none" w:sz="0" w:space="0" w:color="auto"/>
          </w:divBdr>
        </w:div>
        <w:div w:id="349916282">
          <w:marLeft w:val="0"/>
          <w:marRight w:val="0"/>
          <w:marTop w:val="0"/>
          <w:marBottom w:val="0"/>
          <w:divBdr>
            <w:top w:val="none" w:sz="0" w:space="0" w:color="auto"/>
            <w:left w:val="none" w:sz="0" w:space="0" w:color="auto"/>
            <w:bottom w:val="none" w:sz="0" w:space="0" w:color="auto"/>
            <w:right w:val="none" w:sz="0" w:space="0" w:color="auto"/>
          </w:divBdr>
        </w:div>
        <w:div w:id="307364453">
          <w:marLeft w:val="0"/>
          <w:marRight w:val="0"/>
          <w:marTop w:val="0"/>
          <w:marBottom w:val="0"/>
          <w:divBdr>
            <w:top w:val="none" w:sz="0" w:space="0" w:color="auto"/>
            <w:left w:val="none" w:sz="0" w:space="0" w:color="auto"/>
            <w:bottom w:val="none" w:sz="0" w:space="0" w:color="auto"/>
            <w:right w:val="none" w:sz="0" w:space="0" w:color="auto"/>
          </w:divBdr>
        </w:div>
        <w:div w:id="1722368370">
          <w:marLeft w:val="0"/>
          <w:marRight w:val="0"/>
          <w:marTop w:val="0"/>
          <w:marBottom w:val="0"/>
          <w:divBdr>
            <w:top w:val="none" w:sz="0" w:space="0" w:color="auto"/>
            <w:left w:val="none" w:sz="0" w:space="0" w:color="auto"/>
            <w:bottom w:val="none" w:sz="0" w:space="0" w:color="auto"/>
            <w:right w:val="none" w:sz="0" w:space="0" w:color="auto"/>
          </w:divBdr>
        </w:div>
        <w:div w:id="1081485531">
          <w:marLeft w:val="0"/>
          <w:marRight w:val="0"/>
          <w:marTop w:val="0"/>
          <w:marBottom w:val="0"/>
          <w:divBdr>
            <w:top w:val="none" w:sz="0" w:space="0" w:color="auto"/>
            <w:left w:val="none" w:sz="0" w:space="0" w:color="auto"/>
            <w:bottom w:val="none" w:sz="0" w:space="0" w:color="auto"/>
            <w:right w:val="none" w:sz="0" w:space="0" w:color="auto"/>
          </w:divBdr>
        </w:div>
        <w:div w:id="1833642063">
          <w:marLeft w:val="0"/>
          <w:marRight w:val="0"/>
          <w:marTop w:val="0"/>
          <w:marBottom w:val="0"/>
          <w:divBdr>
            <w:top w:val="none" w:sz="0" w:space="0" w:color="auto"/>
            <w:left w:val="none" w:sz="0" w:space="0" w:color="auto"/>
            <w:bottom w:val="none" w:sz="0" w:space="0" w:color="auto"/>
            <w:right w:val="none" w:sz="0" w:space="0" w:color="auto"/>
          </w:divBdr>
        </w:div>
        <w:div w:id="1673876098">
          <w:marLeft w:val="0"/>
          <w:marRight w:val="0"/>
          <w:marTop w:val="0"/>
          <w:marBottom w:val="0"/>
          <w:divBdr>
            <w:top w:val="none" w:sz="0" w:space="0" w:color="auto"/>
            <w:left w:val="none" w:sz="0" w:space="0" w:color="auto"/>
            <w:bottom w:val="none" w:sz="0" w:space="0" w:color="auto"/>
            <w:right w:val="none" w:sz="0" w:space="0" w:color="auto"/>
          </w:divBdr>
        </w:div>
        <w:div w:id="1704667291">
          <w:marLeft w:val="0"/>
          <w:marRight w:val="0"/>
          <w:marTop w:val="0"/>
          <w:marBottom w:val="0"/>
          <w:divBdr>
            <w:top w:val="none" w:sz="0" w:space="0" w:color="auto"/>
            <w:left w:val="none" w:sz="0" w:space="0" w:color="auto"/>
            <w:bottom w:val="none" w:sz="0" w:space="0" w:color="auto"/>
            <w:right w:val="none" w:sz="0" w:space="0" w:color="auto"/>
          </w:divBdr>
        </w:div>
        <w:div w:id="1286037944">
          <w:marLeft w:val="0"/>
          <w:marRight w:val="0"/>
          <w:marTop w:val="0"/>
          <w:marBottom w:val="0"/>
          <w:divBdr>
            <w:top w:val="none" w:sz="0" w:space="0" w:color="auto"/>
            <w:left w:val="none" w:sz="0" w:space="0" w:color="auto"/>
            <w:bottom w:val="none" w:sz="0" w:space="0" w:color="auto"/>
            <w:right w:val="none" w:sz="0" w:space="0" w:color="auto"/>
          </w:divBdr>
        </w:div>
        <w:div w:id="16011519">
          <w:marLeft w:val="0"/>
          <w:marRight w:val="0"/>
          <w:marTop w:val="0"/>
          <w:marBottom w:val="0"/>
          <w:divBdr>
            <w:top w:val="none" w:sz="0" w:space="0" w:color="auto"/>
            <w:left w:val="none" w:sz="0" w:space="0" w:color="auto"/>
            <w:bottom w:val="none" w:sz="0" w:space="0" w:color="auto"/>
            <w:right w:val="none" w:sz="0" w:space="0" w:color="auto"/>
          </w:divBdr>
        </w:div>
        <w:div w:id="1953512709">
          <w:marLeft w:val="0"/>
          <w:marRight w:val="0"/>
          <w:marTop w:val="0"/>
          <w:marBottom w:val="0"/>
          <w:divBdr>
            <w:top w:val="none" w:sz="0" w:space="0" w:color="auto"/>
            <w:left w:val="none" w:sz="0" w:space="0" w:color="auto"/>
            <w:bottom w:val="none" w:sz="0" w:space="0" w:color="auto"/>
            <w:right w:val="none" w:sz="0" w:space="0" w:color="auto"/>
          </w:divBdr>
        </w:div>
        <w:div w:id="1879585994">
          <w:marLeft w:val="0"/>
          <w:marRight w:val="0"/>
          <w:marTop w:val="0"/>
          <w:marBottom w:val="0"/>
          <w:divBdr>
            <w:top w:val="none" w:sz="0" w:space="0" w:color="auto"/>
            <w:left w:val="none" w:sz="0" w:space="0" w:color="auto"/>
            <w:bottom w:val="none" w:sz="0" w:space="0" w:color="auto"/>
            <w:right w:val="none" w:sz="0" w:space="0" w:color="auto"/>
          </w:divBdr>
        </w:div>
        <w:div w:id="987321187">
          <w:marLeft w:val="0"/>
          <w:marRight w:val="0"/>
          <w:marTop w:val="0"/>
          <w:marBottom w:val="0"/>
          <w:divBdr>
            <w:top w:val="none" w:sz="0" w:space="0" w:color="auto"/>
            <w:left w:val="none" w:sz="0" w:space="0" w:color="auto"/>
            <w:bottom w:val="none" w:sz="0" w:space="0" w:color="auto"/>
            <w:right w:val="none" w:sz="0" w:space="0" w:color="auto"/>
          </w:divBdr>
        </w:div>
        <w:div w:id="530338616">
          <w:marLeft w:val="0"/>
          <w:marRight w:val="0"/>
          <w:marTop w:val="0"/>
          <w:marBottom w:val="0"/>
          <w:divBdr>
            <w:top w:val="none" w:sz="0" w:space="0" w:color="auto"/>
            <w:left w:val="none" w:sz="0" w:space="0" w:color="auto"/>
            <w:bottom w:val="none" w:sz="0" w:space="0" w:color="auto"/>
            <w:right w:val="none" w:sz="0" w:space="0" w:color="auto"/>
          </w:divBdr>
        </w:div>
        <w:div w:id="1033965687">
          <w:marLeft w:val="0"/>
          <w:marRight w:val="0"/>
          <w:marTop w:val="0"/>
          <w:marBottom w:val="0"/>
          <w:divBdr>
            <w:top w:val="none" w:sz="0" w:space="0" w:color="auto"/>
            <w:left w:val="none" w:sz="0" w:space="0" w:color="auto"/>
            <w:bottom w:val="none" w:sz="0" w:space="0" w:color="auto"/>
            <w:right w:val="none" w:sz="0" w:space="0" w:color="auto"/>
          </w:divBdr>
        </w:div>
        <w:div w:id="702941186">
          <w:marLeft w:val="0"/>
          <w:marRight w:val="0"/>
          <w:marTop w:val="0"/>
          <w:marBottom w:val="0"/>
          <w:divBdr>
            <w:top w:val="none" w:sz="0" w:space="0" w:color="auto"/>
            <w:left w:val="none" w:sz="0" w:space="0" w:color="auto"/>
            <w:bottom w:val="none" w:sz="0" w:space="0" w:color="auto"/>
            <w:right w:val="none" w:sz="0" w:space="0" w:color="auto"/>
          </w:divBdr>
        </w:div>
      </w:divsChild>
    </w:div>
    <w:div w:id="18200032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804f86b-3500-4658-8c9d-99491f71a5e9">TTF2X4MEUN6D-1188005670-5792</_dlc_DocId>
    <_dlc_DocIdUrl xmlns="d804f86b-3500-4658-8c9d-99491f71a5e9">
      <Url>https://cityofmelbourne.sharepoint.com/sites/commdev/_layouts/15/DocIdRedir.aspx?ID=TTF2X4MEUN6D-1188005670-5792</Url>
      <Description>TTF2X4MEUN6D-1188005670-5792</Description>
    </_dlc_DocIdUrl>
    <TaxCatchAll xmlns="d804f86b-3500-4658-8c9d-99491f71a5e9" xsi:nil="true"/>
    <lcf76f155ced4ddcb4097134ff3c332f xmlns="531ef6e2-70fa-40e1-a679-bf11f9e73731">
      <Terms xmlns="http://schemas.microsoft.com/office/infopath/2007/PartnerControls"/>
    </lcf76f155ced4ddcb4097134ff3c332f>
    <Status xmlns="531ef6e2-70fa-40e1-a679-bf11f9e73731">In draft</Status>
    <DMNumber xmlns="491ff62d-a7a6-430f-a269-6b34253625c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CD_CEI" ma:contentTypeID="0x0101001681DE773557C544A14A6F647A4C536F002F04C4E57AADE049924F3D286AD729A7" ma:contentTypeVersion="29" ma:contentTypeDescription="Community Development - Community Engagement &amp; Impact Team" ma:contentTypeScope="" ma:versionID="8a2f56db54c76c48b7e4831319ed83ab">
  <xsd:schema xmlns:xsd="http://www.w3.org/2001/XMLSchema" xmlns:xs="http://www.w3.org/2001/XMLSchema" xmlns:p="http://schemas.microsoft.com/office/2006/metadata/properties" xmlns:ns2="d804f86b-3500-4658-8c9d-99491f71a5e9" xmlns:ns3="491ff62d-a7a6-430f-a269-6b34253625ce" xmlns:ns4="531ef6e2-70fa-40e1-a679-bf11f9e73731" targetNamespace="http://schemas.microsoft.com/office/2006/metadata/properties" ma:root="true" ma:fieldsID="c94d4df8821e45a5233a44f73b8e25e1" ns2:_="" ns3:_="" ns4:_="">
    <xsd:import namespace="d804f86b-3500-4658-8c9d-99491f71a5e9"/>
    <xsd:import namespace="491ff62d-a7a6-430f-a269-6b34253625ce"/>
    <xsd:import namespace="531ef6e2-70fa-40e1-a679-bf11f9e73731"/>
    <xsd:element name="properties">
      <xsd:complexType>
        <xsd:sequence>
          <xsd:element name="documentManagement">
            <xsd:complexType>
              <xsd:all>
                <xsd:element ref="ns2:_dlc_DocId" minOccurs="0"/>
                <xsd:element ref="ns2:_dlc_DocIdUrl" minOccurs="0"/>
                <xsd:element ref="ns2:_dlc_DocIdPersistId" minOccurs="0"/>
                <xsd:element ref="ns3:DMNumber" minOccurs="0"/>
                <xsd:element ref="ns4:Status"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ServiceDateTaken" minOccurs="0"/>
                <xsd:element ref="ns4:MediaServiceLocation" minOccurs="0"/>
                <xsd:element ref="ns4:MediaLengthInSecond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4f86b-3500-4658-8c9d-99491f71a5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e042a0c-27d5-4ef1-8195-6757b5e09b69}" ma:internalName="TaxCatchAll" ma:showField="CatchAllData" ma:web="d804f86b-3500-4658-8c9d-99491f71a5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1ff62d-a7a6-430f-a269-6b34253625ce" elementFormDefault="qualified">
    <xsd:import namespace="http://schemas.microsoft.com/office/2006/documentManagement/types"/>
    <xsd:import namespace="http://schemas.microsoft.com/office/infopath/2007/PartnerControls"/>
    <xsd:element name="DMNumber" ma:index="11" nillable="true" ma:displayName="DM Number" ma:internalName="DM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ef6e2-70fa-40e1-a679-bf11f9e73731" elementFormDefault="qualified">
    <xsd:import namespace="http://schemas.microsoft.com/office/2006/documentManagement/types"/>
    <xsd:import namespace="http://schemas.microsoft.com/office/infopath/2007/PartnerControls"/>
    <xsd:element name="Status" ma:index="13" nillable="true" ma:displayName="Status" ma:default="In draft" ma:format="Dropdown" ma:internalName="Status">
      <xsd:simpleType>
        <xsd:restriction base="dms:Choice">
          <xsd:enumeration value="In draft"/>
          <xsd:enumeration value="Completed"/>
          <xsd:enumeration value="Archive"/>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f01267b-cb48-4e9f-ac56-dd787b77042b" ma:termSetId="09814cd3-568e-fe90-9814-8d621ff8fb84" ma:anchorId="fba54fb3-c3e1-fe81-a776-ca4b69148c4d" ma:open="true" ma:isKeyword="false">
      <xsd:complexType>
        <xsd:sequence>
          <xsd:element ref="pc:Terms" minOccurs="0" maxOccurs="1"/>
        </xsd:sequence>
      </xsd:complexType>
    </xsd:element>
    <xsd:element name="MediaServiceDateTaken" ma:index="27" nillable="true" ma:displayName="MediaServiceDateTaken" ma:hidden="true" ma:internalName="MediaServiceDateTaken"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9E752-73BC-4BE1-B5D5-197ED0F76A2E}">
  <ds:schemaRefs>
    <ds:schemaRef ds:uri="http://schemas.microsoft.com/office/2006/documentManagement/types"/>
    <ds:schemaRef ds:uri="http://purl.org/dc/elements/1.1/"/>
    <ds:schemaRef ds:uri="http://schemas.microsoft.com/office/2006/metadata/properties"/>
    <ds:schemaRef ds:uri="253cde96-7448-48f6-98b0-4f47319cbe02"/>
    <ds:schemaRef ds:uri="1ef61637-bdcb-4156-91bc-9b3008928da0"/>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6E91ED1-CE4A-4DD8-92B9-F41F3B746A71}"/>
</file>

<file path=customXml/itemProps3.xml><?xml version="1.0" encoding="utf-8"?>
<ds:datastoreItem xmlns:ds="http://schemas.openxmlformats.org/officeDocument/2006/customXml" ds:itemID="{7C8AAC91-920C-4CE4-A5BF-C576D8DDD43E}">
  <ds:schemaRefs>
    <ds:schemaRef ds:uri="http://schemas.microsoft.com/sharepoint/events"/>
  </ds:schemaRefs>
</ds:datastoreItem>
</file>

<file path=customXml/itemProps4.xml><?xml version="1.0" encoding="utf-8"?>
<ds:datastoreItem xmlns:ds="http://schemas.openxmlformats.org/officeDocument/2006/customXml" ds:itemID="{B4E04957-4B61-43B7-A4EE-C71C246BD6BB}">
  <ds:schemaRefs>
    <ds:schemaRef ds:uri="http://schemas.microsoft.com/sharepoint/v3/contenttype/forms"/>
  </ds:schemaRefs>
</ds:datastoreItem>
</file>

<file path=customXml/itemProps5.xml><?xml version="1.0" encoding="utf-8"?>
<ds:datastoreItem xmlns:ds="http://schemas.openxmlformats.org/officeDocument/2006/customXml" ds:itemID="{6F803F02-357E-4EFC-AABA-A537F63B1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Template.dotm</Template>
  <TotalTime>0</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2024-02-06T09:23:00Z</dcterms:created>
  <dcterms:modified xsi:type="dcterms:W3CDTF">2024-02-06T09:32:00Z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0x0101001681DE773557C544A14A6F647A4C536F002F04C4E57AADE049924F3D286AD729A7</vt:lpwstr>
  </property>
  <property fmtid="{D5CDD505-2E9C-101B-9397-08002B2CF9AE}" pid="3" name="_dlc_DocIdItemGuid">
    <vt:lpwstr>6a6acb6a-bdd8-489b-b797-51663b832e22</vt:lpwstr>
  </property>
  <property fmtid="{D5CDD505-2E9C-101B-9397-08002B2CF9AE}" pid="4" name="MediaServiceImageTags">
    <vt:lpwstr/>
  </property>
</Properties>
</file>