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5CE5F" w14:textId="000AB7A1" w:rsidR="00FE3DCE" w:rsidRPr="00CC55D1" w:rsidRDefault="00FE3DCE" w:rsidP="00FE3DCE">
      <w:pPr>
        <w:pStyle w:val="Heading2"/>
        <w:rPr>
          <w:rFonts w:hint="eastAsia"/>
        </w:rPr>
      </w:pPr>
      <w:bookmarkStart w:id="0" w:name="_Toc403992345"/>
      <w:bookmarkStart w:id="1" w:name="_Toc403992580"/>
      <w:bookmarkStart w:id="2" w:name="_Toc419982304"/>
      <w:bookmarkStart w:id="3" w:name="_Toc419982305"/>
      <w:bookmarkStart w:id="4" w:name="_Toc154057757"/>
      <w:bookmarkStart w:id="5" w:name="_Toc155970545"/>
      <w:bookmarkStart w:id="6" w:name="_Toc158131949"/>
      <w:r w:rsidRPr="00CC55D1">
        <w:t>Focus area 4: heritage and climate change</w:t>
      </w:r>
      <w:bookmarkEnd w:id="4"/>
      <w:bookmarkEnd w:id="5"/>
      <w:bookmarkEnd w:id="6"/>
    </w:p>
    <w:p w14:paraId="08BB1291" w14:textId="5C2B6593" w:rsidR="00FE3DCE" w:rsidRPr="00CC55D1" w:rsidRDefault="00FE3DCE" w:rsidP="00FE3DCE">
      <w:pPr>
        <w:pStyle w:val="Heading3"/>
        <w:rPr>
          <w:rFonts w:hint="eastAsia"/>
        </w:rPr>
      </w:pPr>
      <w:bookmarkStart w:id="7" w:name="_Toc152752255"/>
      <w:bookmarkStart w:id="8" w:name="_Toc154057758"/>
      <w:bookmarkStart w:id="9" w:name="_Toc158131950"/>
      <w:r w:rsidRPr="00CC55D1">
        <w:t>Heritage places and our zero-carbon future</w:t>
      </w:r>
      <w:bookmarkEnd w:id="7"/>
      <w:bookmarkEnd w:id="8"/>
      <w:bookmarkEnd w:id="9"/>
    </w:p>
    <w:tbl>
      <w:tblPr>
        <w:tblStyle w:val="TableCOM"/>
        <w:tblW w:w="0" w:type="auto"/>
        <w:tblLook w:val="04A0" w:firstRow="1" w:lastRow="0" w:firstColumn="1" w:lastColumn="0" w:noHBand="0" w:noVBand="1"/>
      </w:tblPr>
      <w:tblGrid>
        <w:gridCol w:w="9348"/>
      </w:tblGrid>
      <w:tr w:rsidR="00FE3DCE" w:rsidRPr="00CC55D1" w14:paraId="10F65AAA" w14:textId="77777777" w:rsidTr="00FE3D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4" w:type="dxa"/>
          </w:tcPr>
          <w:p w14:paraId="0BC4087D" w14:textId="37813E8F" w:rsidR="00FE3DCE" w:rsidRPr="009B2D9C" w:rsidRDefault="00FE3DCE" w:rsidP="00FE3DCE">
            <w:pPr>
              <w:spacing w:after="0" w:line="240" w:lineRule="auto"/>
              <w:ind w:left="646"/>
              <w:rPr>
                <w:b w:val="0"/>
                <w:i/>
                <w:sz w:val="22"/>
                <w:szCs w:val="22"/>
              </w:rPr>
            </w:pPr>
            <w:r w:rsidRPr="009B2D9C">
              <w:rPr>
                <w:i/>
                <w:sz w:val="22"/>
                <w:szCs w:val="22"/>
              </w:rPr>
              <w:t xml:space="preserve">“The greenest building is the one that already exists.” </w:t>
            </w:r>
          </w:p>
          <w:p w14:paraId="7A8665A5" w14:textId="77777777" w:rsidR="00FE3DCE" w:rsidRPr="00714FB7" w:rsidRDefault="00FE3DCE" w:rsidP="00714FB7">
            <w:pPr>
              <w:spacing w:after="0" w:line="240" w:lineRule="auto"/>
              <w:ind w:left="646"/>
            </w:pPr>
            <w:r w:rsidRPr="009B2D9C">
              <w:rPr>
                <w:sz w:val="22"/>
                <w:szCs w:val="22"/>
              </w:rPr>
              <w:t>Carl Elefante – former president of the American Institute of Architects</w:t>
            </w:r>
          </w:p>
        </w:tc>
      </w:tr>
    </w:tbl>
    <w:p w14:paraId="5600D8A4" w14:textId="77777777" w:rsidR="00FE3DCE" w:rsidRPr="00CC55D1" w:rsidRDefault="00FE3DCE" w:rsidP="00FE3DCE">
      <w:pPr>
        <w:spacing w:after="0"/>
      </w:pPr>
    </w:p>
    <w:p w14:paraId="7983DDD9" w14:textId="77777777" w:rsidR="00FE3DCE" w:rsidRPr="00CC55D1" w:rsidRDefault="00FE3DCE" w:rsidP="00FE3DCE">
      <w:r w:rsidRPr="00CC55D1">
        <w:t xml:space="preserve">City of Melbourne is committed to </w:t>
      </w:r>
      <w:hyperlink r:id="rId12">
        <w:r w:rsidRPr="00714FB7">
          <w:rPr>
            <w:rStyle w:val="Hyperlink"/>
            <w:color w:val="auto"/>
            <w:szCs w:val="20"/>
          </w:rPr>
          <w:t>mitigating</w:t>
        </w:r>
      </w:hyperlink>
      <w:r w:rsidRPr="00CC55D1">
        <w:t xml:space="preserve"> and </w:t>
      </w:r>
      <w:hyperlink r:id="rId13">
        <w:r w:rsidRPr="00714FB7">
          <w:rPr>
            <w:rStyle w:val="Hyperlink"/>
            <w:color w:val="auto"/>
            <w:szCs w:val="20"/>
          </w:rPr>
          <w:t>adapting</w:t>
        </w:r>
      </w:hyperlink>
      <w:r w:rsidRPr="00CC55D1">
        <w:t xml:space="preserve"> to climate change. We aim to achieve net-zero emissions by the year 2040. The construction and operation of buildings account for more than two-thirds of energy consumption and emissions. </w:t>
      </w:r>
    </w:p>
    <w:p w14:paraId="52E2B89B" w14:textId="77777777" w:rsidR="00FE3DCE" w:rsidRPr="00CC55D1" w:rsidRDefault="00FE3DCE" w:rsidP="00FE3DCE">
      <w:r w:rsidRPr="00CC55D1">
        <w:t xml:space="preserve">Heritage protection is an opportunity to act on climate change by retaining the energy and carbon embodied in heritage building fabric.  Retrofitting and adapting heritage buildings causes fewer emissions than a knock down rebuild approach, and can improve their environmental performance and liveability. </w:t>
      </w:r>
    </w:p>
    <w:p w14:paraId="5ED0E600" w14:textId="77777777" w:rsidR="00FE3DCE" w:rsidRPr="00CC55D1" w:rsidRDefault="00FE3DCE" w:rsidP="00FE3DCE">
      <w:r w:rsidRPr="00CC55D1">
        <w:t xml:space="preserve">We also recognise the risk climate change poses to heritage places through damage from extreme weather events. The </w:t>
      </w:r>
      <w:hyperlink r:id="rId14" w:history="1">
        <w:r w:rsidRPr="00714FB7">
          <w:rPr>
            <w:rStyle w:val="Hyperlink"/>
            <w:szCs w:val="20"/>
          </w:rPr>
          <w:t>Heritage Council of Victoria</w:t>
        </w:r>
      </w:hyperlink>
      <w:r w:rsidRPr="00CC55D1">
        <w:t xml:space="preserve"> has prepared principles for climate change risk management for heritage places.</w:t>
      </w:r>
    </w:p>
    <w:p w14:paraId="0F148A16" w14:textId="77777777" w:rsidR="00FE3DCE" w:rsidRPr="00CC55D1" w:rsidRDefault="00FE3DCE" w:rsidP="00FE3DCE">
      <w:pPr>
        <w:pStyle w:val="Heading3"/>
        <w:rPr>
          <w:rFonts w:hint="eastAsia"/>
        </w:rPr>
      </w:pPr>
      <w:bookmarkStart w:id="10" w:name="_Toc152752256"/>
      <w:bookmarkStart w:id="11" w:name="_Toc154057759"/>
      <w:bookmarkStart w:id="12" w:name="_Toc158131951"/>
      <w:r w:rsidRPr="00CC55D1">
        <w:t>Opportunities to take a people-centred approach</w:t>
      </w:r>
      <w:bookmarkEnd w:id="10"/>
      <w:bookmarkEnd w:id="11"/>
      <w:bookmarkEnd w:id="12"/>
      <w:r w:rsidRPr="00CC55D1">
        <w:t xml:space="preserve"> </w:t>
      </w:r>
    </w:p>
    <w:p w14:paraId="220219AD" w14:textId="77777777" w:rsidR="00FE3DCE" w:rsidRPr="00CC55D1" w:rsidRDefault="00FE3DCE" w:rsidP="00FE3DCE">
      <w:r w:rsidRPr="00CC55D1">
        <w:t>A people-centred approach recognises the critical importance of climate change and its impact on community perceptions of heritage places. We protect heritage for the benefit of future and current generations. We must also face the climate crisis and ensure heritage places are sustainable, efficient and resilient in the future.</w:t>
      </w:r>
    </w:p>
    <w:p w14:paraId="459FD7B7" w14:textId="77777777" w:rsidR="00FE3DCE" w:rsidRPr="00CC55D1" w:rsidRDefault="00FE3DCE" w:rsidP="00FE3DCE">
      <w:r w:rsidRPr="00CC55D1">
        <w:t xml:space="preserve">The United Kingdom recognises the relationship between heritage and climate change. In many cities, applicants must demonstrate that it is not feasible to retain existing fabric before a permit can be issued for demolition. The City of London has released the </w:t>
      </w:r>
      <w:hyperlink r:id="rId15">
        <w:r w:rsidRPr="00714FB7">
          <w:rPr>
            <w:rStyle w:val="Hyperlink"/>
            <w:szCs w:val="20"/>
          </w:rPr>
          <w:t>Heritage Building Retrofit Toolkit</w:t>
        </w:r>
      </w:hyperlink>
      <w:r w:rsidRPr="00714FB7">
        <w:rPr>
          <w:szCs w:val="20"/>
        </w:rPr>
        <w:t>,</w:t>
      </w:r>
      <w:r w:rsidRPr="00CC55D1">
        <w:t xml:space="preserve"> which provides detailed guidance to property owners about maximising the retention of existing fabric and minimising the environmental impacts of retrofitting a building. City of Melbourne has also developed </w:t>
      </w:r>
      <w:hyperlink r:id="rId16" w:history="1">
        <w:r w:rsidRPr="00714FB7">
          <w:rPr>
            <w:rStyle w:val="Hyperlink"/>
            <w:szCs w:val="20"/>
          </w:rPr>
          <w:t>Retrofit Melbourne</w:t>
        </w:r>
      </w:hyperlink>
      <w:r w:rsidRPr="00CC55D1">
        <w:t xml:space="preserve">, a framework to guide how we support and facilitate investment to retrofit Melbourne’s valued mid-tier commercial buildings to make them zero carbon ready, including those with heritage protection. </w:t>
      </w:r>
    </w:p>
    <w:p w14:paraId="7ABD66A0" w14:textId="404EC72D" w:rsidR="008A7AC1" w:rsidRDefault="00FE3DCE" w:rsidP="009B2D9C">
      <w:r w:rsidRPr="00CC55D1">
        <w:t xml:space="preserve">Where heritage buildings need improved thermal performance, modest retrofit mechanisms such as improving heating and cooling systems, glazing and insulation can vastly improve their comfort and operational costs, and may not require a planning permit. </w:t>
      </w:r>
    </w:p>
    <w:tbl>
      <w:tblPr>
        <w:tblW w:w="9923" w:type="dxa"/>
        <w:tblLook w:val="04A0" w:firstRow="1" w:lastRow="0" w:firstColumn="1" w:lastColumn="0" w:noHBand="0" w:noVBand="1"/>
      </w:tblPr>
      <w:tblGrid>
        <w:gridCol w:w="4535"/>
        <w:gridCol w:w="5388"/>
      </w:tblGrid>
      <w:tr w:rsidR="00FE3DCE" w:rsidRPr="00CC55D1" w14:paraId="39316B4B" w14:textId="77777777" w:rsidTr="00AC5EE3">
        <w:trPr>
          <w:trHeight w:val="353"/>
        </w:trPr>
        <w:tc>
          <w:tcPr>
            <w:tcW w:w="9923" w:type="dxa"/>
            <w:gridSpan w:val="2"/>
            <w:tcBorders>
              <w:top w:val="single" w:sz="12" w:space="0" w:color="auto"/>
            </w:tcBorders>
          </w:tcPr>
          <w:p w14:paraId="09450DDC" w14:textId="77777777" w:rsidR="00FE3DCE" w:rsidRPr="00CC55D1" w:rsidRDefault="00FE3DCE" w:rsidP="00FE3DCE">
            <w:pPr>
              <w:pStyle w:val="Heading3"/>
              <w:rPr>
                <w:rFonts w:hint="eastAsia"/>
                <w:szCs w:val="22"/>
              </w:rPr>
            </w:pPr>
            <w:bookmarkStart w:id="13" w:name="_Toc152752257"/>
            <w:bookmarkStart w:id="14" w:name="_Toc154057760"/>
            <w:bookmarkStart w:id="15" w:name="_Toc158131952"/>
            <w:r w:rsidRPr="00CC55D1">
              <w:rPr>
                <w:szCs w:val="22"/>
              </w:rPr>
              <w:t xml:space="preserve">Case study: Willam Ngarrang retrofit, Fitzroy, Kennedy Nolan, </w:t>
            </w:r>
            <w:bookmarkEnd w:id="13"/>
            <w:bookmarkEnd w:id="14"/>
            <w:r w:rsidRPr="00CC55D1">
              <w:rPr>
                <w:szCs w:val="22"/>
              </w:rPr>
              <w:t>Finding Infinity and Wilderness Building Co</w:t>
            </w:r>
            <w:bookmarkEnd w:id="15"/>
            <w:r w:rsidRPr="00CC55D1">
              <w:rPr>
                <w:szCs w:val="22"/>
              </w:rPr>
              <w:t xml:space="preserve"> </w:t>
            </w:r>
          </w:p>
        </w:tc>
      </w:tr>
      <w:tr w:rsidR="00FE3DCE" w:rsidRPr="00FE3DCE" w14:paraId="051AFE84" w14:textId="77777777" w:rsidTr="00AC5EE3">
        <w:trPr>
          <w:trHeight w:val="3353"/>
        </w:trPr>
        <w:tc>
          <w:tcPr>
            <w:tcW w:w="4535" w:type="dxa"/>
            <w:tcBorders>
              <w:bottom w:val="single" w:sz="12" w:space="0" w:color="auto"/>
            </w:tcBorders>
          </w:tcPr>
          <w:p w14:paraId="37EDE2D4" w14:textId="4351E0B9" w:rsidR="00FE3DCE" w:rsidRPr="00FE3DCE" w:rsidRDefault="00FE3DCE" w:rsidP="003E5082">
            <w:pPr>
              <w:spacing w:after="0"/>
              <w:rPr>
                <w:noProof/>
                <w:szCs w:val="20"/>
                <w:lang w:eastAsia="en-AU"/>
              </w:rPr>
            </w:pPr>
            <w:r w:rsidRPr="00FE3DCE">
              <w:rPr>
                <w:noProof/>
                <w:szCs w:val="20"/>
                <w:lang w:eastAsia="en-AU"/>
              </w:rPr>
              <w:drawing>
                <wp:anchor distT="0" distB="0" distL="114300" distR="114300" simplePos="0" relativeHeight="251692032" behindDoc="0" locked="0" layoutInCell="1" allowOverlap="1" wp14:anchorId="768AEC2F" wp14:editId="39D16481">
                  <wp:simplePos x="0" y="0"/>
                  <wp:positionH relativeFrom="column">
                    <wp:posOffset>621030</wp:posOffset>
                  </wp:positionH>
                  <wp:positionV relativeFrom="paragraph">
                    <wp:posOffset>76835</wp:posOffset>
                  </wp:positionV>
                  <wp:extent cx="1336675" cy="1653540"/>
                  <wp:effectExtent l="0" t="0" r="0" b="3810"/>
                  <wp:wrapSquare wrapText="bothSides"/>
                  <wp:docPr id="9" name="Picture 9" descr="A view of Willam Ngarrang building in Fitzroy." title="Image 12 in Casestudy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6502"/>
                          <a:stretch/>
                        </pic:blipFill>
                        <pic:spPr bwMode="auto">
                          <a:xfrm>
                            <a:off x="0" y="0"/>
                            <a:ext cx="1336675" cy="1653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23BCE7" w14:textId="77777777" w:rsidR="00FE3DCE" w:rsidRPr="00FE3DCE" w:rsidRDefault="00FE3DCE" w:rsidP="003E5082">
            <w:pPr>
              <w:spacing w:after="0"/>
              <w:rPr>
                <w:noProof/>
                <w:szCs w:val="20"/>
                <w:lang w:eastAsia="en-AU"/>
              </w:rPr>
            </w:pPr>
          </w:p>
          <w:p w14:paraId="4212B43F" w14:textId="46881E9F" w:rsidR="00FE3DCE" w:rsidRDefault="00FE3DCE" w:rsidP="003E5082">
            <w:pPr>
              <w:spacing w:after="0"/>
              <w:rPr>
                <w:noProof/>
                <w:szCs w:val="20"/>
                <w:lang w:eastAsia="en-AU"/>
              </w:rPr>
            </w:pPr>
          </w:p>
          <w:p w14:paraId="6F0B928D" w14:textId="3E790AC5" w:rsidR="003E5082" w:rsidRDefault="003E5082" w:rsidP="003E5082">
            <w:pPr>
              <w:spacing w:after="0"/>
              <w:rPr>
                <w:noProof/>
                <w:szCs w:val="20"/>
                <w:lang w:eastAsia="en-AU"/>
              </w:rPr>
            </w:pPr>
          </w:p>
          <w:p w14:paraId="449EFE42" w14:textId="228D09E3" w:rsidR="003E5082" w:rsidRDefault="003E5082" w:rsidP="003E5082">
            <w:pPr>
              <w:spacing w:after="0"/>
              <w:rPr>
                <w:noProof/>
                <w:szCs w:val="20"/>
                <w:lang w:eastAsia="en-AU"/>
              </w:rPr>
            </w:pPr>
          </w:p>
          <w:p w14:paraId="17C11020" w14:textId="64945A1D" w:rsidR="003E5082" w:rsidRDefault="003E5082" w:rsidP="003E5082">
            <w:pPr>
              <w:spacing w:after="0"/>
              <w:rPr>
                <w:noProof/>
                <w:szCs w:val="20"/>
                <w:lang w:eastAsia="en-AU"/>
              </w:rPr>
            </w:pPr>
          </w:p>
          <w:p w14:paraId="2A51F71C" w14:textId="2581A838" w:rsidR="003E5082" w:rsidRDefault="003E5082" w:rsidP="003E5082">
            <w:pPr>
              <w:spacing w:after="0"/>
              <w:rPr>
                <w:noProof/>
                <w:szCs w:val="20"/>
                <w:lang w:eastAsia="en-AU"/>
              </w:rPr>
            </w:pPr>
          </w:p>
          <w:p w14:paraId="7A1F24E9" w14:textId="77777777" w:rsidR="003E5082" w:rsidRPr="00FE3DCE" w:rsidRDefault="003E5082" w:rsidP="003E5082">
            <w:pPr>
              <w:spacing w:after="0"/>
              <w:rPr>
                <w:noProof/>
                <w:szCs w:val="20"/>
                <w:lang w:eastAsia="en-AU"/>
              </w:rPr>
            </w:pPr>
          </w:p>
          <w:p w14:paraId="6299B5EB" w14:textId="77777777" w:rsidR="00FE3DCE" w:rsidRPr="00FE3DCE" w:rsidRDefault="00FE3DCE" w:rsidP="003E5082">
            <w:pPr>
              <w:spacing w:after="0"/>
              <w:rPr>
                <w:noProof/>
                <w:szCs w:val="20"/>
                <w:lang w:eastAsia="en-AU"/>
              </w:rPr>
            </w:pPr>
          </w:p>
          <w:p w14:paraId="3DE4DAD4" w14:textId="77777777" w:rsidR="00FE3DCE" w:rsidRPr="00FE3DCE" w:rsidRDefault="00FE3DCE" w:rsidP="003E5082">
            <w:pPr>
              <w:spacing w:after="0"/>
              <w:rPr>
                <w:noProof/>
                <w:szCs w:val="20"/>
                <w:lang w:eastAsia="en-AU"/>
              </w:rPr>
            </w:pPr>
          </w:p>
          <w:p w14:paraId="4B9B08B3" w14:textId="14296101" w:rsidR="00FE3DCE" w:rsidRPr="00FE3DCE" w:rsidRDefault="00FE3DCE" w:rsidP="003E5082">
            <w:pPr>
              <w:spacing w:after="0"/>
              <w:rPr>
                <w:noProof/>
                <w:szCs w:val="20"/>
                <w:lang w:eastAsia="en-AU"/>
              </w:rPr>
            </w:pPr>
          </w:p>
          <w:p w14:paraId="5136473D" w14:textId="7DA6C4C8" w:rsidR="00FE3DCE" w:rsidRPr="00FE3DCE" w:rsidRDefault="00FE3DCE" w:rsidP="003E5082">
            <w:pPr>
              <w:spacing w:after="0"/>
              <w:jc w:val="center"/>
              <w:rPr>
                <w:szCs w:val="20"/>
              </w:rPr>
            </w:pPr>
            <w:r w:rsidRPr="00FE3DCE">
              <w:rPr>
                <w:szCs w:val="20"/>
              </w:rPr>
              <w:t xml:space="preserve">Image 12 </w:t>
            </w:r>
            <w:r w:rsidR="00390696">
              <w:rPr>
                <w:szCs w:val="20"/>
              </w:rPr>
              <w:t>Courtesy of kennedynolan.com.au</w:t>
            </w:r>
          </w:p>
        </w:tc>
        <w:tc>
          <w:tcPr>
            <w:tcW w:w="5388" w:type="dxa"/>
            <w:tcBorders>
              <w:bottom w:val="single" w:sz="12" w:space="0" w:color="auto"/>
            </w:tcBorders>
          </w:tcPr>
          <w:p w14:paraId="2A57C149" w14:textId="77777777" w:rsidR="00FE3DCE" w:rsidRPr="009B2D9C" w:rsidRDefault="00FE3DCE" w:rsidP="003E5082">
            <w:pPr>
              <w:spacing w:after="0"/>
              <w:rPr>
                <w:b/>
                <w:spacing w:val="-4"/>
                <w:szCs w:val="20"/>
              </w:rPr>
            </w:pPr>
            <w:r w:rsidRPr="009B2D9C">
              <w:rPr>
                <w:b/>
                <w:spacing w:val="-4"/>
                <w:szCs w:val="20"/>
              </w:rPr>
              <w:t xml:space="preserve">Heritage protection: </w:t>
            </w:r>
            <w:r w:rsidRPr="009B2D9C">
              <w:rPr>
                <w:spacing w:val="-4"/>
                <w:szCs w:val="20"/>
              </w:rPr>
              <w:t>Non-contributory in Heritage Overlay.</w:t>
            </w:r>
          </w:p>
          <w:p w14:paraId="16B6F8E3" w14:textId="77777777" w:rsidR="003E5082" w:rsidRPr="009B2D9C" w:rsidRDefault="003E5082" w:rsidP="003E5082">
            <w:pPr>
              <w:spacing w:after="0"/>
              <w:rPr>
                <w:b/>
                <w:spacing w:val="-4"/>
                <w:sz w:val="14"/>
                <w:szCs w:val="20"/>
              </w:rPr>
            </w:pPr>
          </w:p>
          <w:p w14:paraId="039EC3FF" w14:textId="0A4F13CB" w:rsidR="00FE3DCE" w:rsidRPr="009B2D9C" w:rsidRDefault="00FE3DCE" w:rsidP="003E5082">
            <w:pPr>
              <w:spacing w:after="0"/>
              <w:rPr>
                <w:b/>
                <w:spacing w:val="-4"/>
                <w:szCs w:val="20"/>
              </w:rPr>
            </w:pPr>
            <w:r w:rsidRPr="009B2D9C">
              <w:rPr>
                <w:b/>
                <w:spacing w:val="-4"/>
                <w:szCs w:val="20"/>
              </w:rPr>
              <w:t xml:space="preserve">New use and scale: </w:t>
            </w:r>
            <w:r w:rsidRPr="009B2D9C">
              <w:rPr>
                <w:spacing w:val="-4"/>
                <w:szCs w:val="20"/>
              </w:rPr>
              <w:t>Medium density residential.</w:t>
            </w:r>
          </w:p>
          <w:p w14:paraId="5FB1E417" w14:textId="77777777" w:rsidR="003E5082" w:rsidRPr="009B2D9C" w:rsidRDefault="003E5082" w:rsidP="003E5082">
            <w:pPr>
              <w:spacing w:after="0"/>
              <w:rPr>
                <w:b/>
                <w:spacing w:val="-4"/>
                <w:sz w:val="14"/>
                <w:szCs w:val="20"/>
              </w:rPr>
            </w:pPr>
          </w:p>
          <w:p w14:paraId="7CD1C322" w14:textId="0476E167" w:rsidR="00FE3DCE" w:rsidRPr="009B2D9C" w:rsidRDefault="00FE3DCE" w:rsidP="003E5082">
            <w:pPr>
              <w:spacing w:after="0"/>
              <w:rPr>
                <w:b/>
                <w:spacing w:val="-4"/>
                <w:szCs w:val="20"/>
              </w:rPr>
            </w:pPr>
            <w:r w:rsidRPr="009B2D9C">
              <w:rPr>
                <w:b/>
                <w:spacing w:val="-4"/>
                <w:szCs w:val="20"/>
              </w:rPr>
              <w:t>Key features:</w:t>
            </w:r>
          </w:p>
          <w:p w14:paraId="1637E3B8" w14:textId="77777777" w:rsidR="00FE3DCE" w:rsidRPr="009B2D9C" w:rsidRDefault="00FE3DCE" w:rsidP="003E5082">
            <w:pPr>
              <w:pStyle w:val="ListBullet"/>
              <w:spacing w:after="0"/>
              <w:rPr>
                <w:spacing w:val="-4"/>
                <w:szCs w:val="20"/>
              </w:rPr>
            </w:pPr>
            <w:r w:rsidRPr="009B2D9C">
              <w:rPr>
                <w:spacing w:val="-4"/>
                <w:szCs w:val="20"/>
              </w:rPr>
              <w:t>The entire 1970s building was retained, except for windows and doors, which were replaced to improve airtightness – resulting in a large reduction in embodied carbon emissions compared with a new building.</w:t>
            </w:r>
          </w:p>
          <w:p w14:paraId="7927C0C3" w14:textId="77777777" w:rsidR="00FE3DCE" w:rsidRPr="009B2D9C" w:rsidRDefault="00FE3DCE" w:rsidP="003E5082">
            <w:pPr>
              <w:pStyle w:val="ListBullet"/>
              <w:spacing w:after="0"/>
              <w:rPr>
                <w:spacing w:val="-6"/>
                <w:szCs w:val="20"/>
              </w:rPr>
            </w:pPr>
            <w:r w:rsidRPr="009B2D9C">
              <w:rPr>
                <w:spacing w:val="-4"/>
                <w:szCs w:val="20"/>
              </w:rPr>
              <w:t>Net-positive energy output with improved amenity for the tenants – solar systems, efficient water fittings and a heat recovery ventilation unit estimated to provide up to an 80 per cent reduction in bills for tenants.</w:t>
            </w:r>
            <w:r w:rsidRPr="009B2D9C">
              <w:rPr>
                <w:noProof/>
                <w:spacing w:val="-4"/>
                <w:szCs w:val="20"/>
                <w:lang w:val="en-AU" w:eastAsia="en-AU"/>
              </w:rPr>
              <w:t xml:space="preserve"> </w:t>
            </w:r>
          </w:p>
        </w:tc>
      </w:tr>
    </w:tbl>
    <w:p w14:paraId="3A286788" w14:textId="77777777" w:rsidR="00FE3DCE" w:rsidRPr="00CC55D1" w:rsidRDefault="00FE3DCE" w:rsidP="00FE3DCE">
      <w:pPr>
        <w:pStyle w:val="Heading3"/>
        <w:rPr>
          <w:rFonts w:hint="eastAsia"/>
        </w:rPr>
      </w:pPr>
      <w:bookmarkStart w:id="16" w:name="_Toc152752259"/>
      <w:bookmarkStart w:id="17" w:name="_Toc154057762"/>
      <w:bookmarkStart w:id="18" w:name="_Toc158131953"/>
      <w:r w:rsidRPr="00CC55D1">
        <w:t>How could City of Melbourne lead by example?</w:t>
      </w:r>
      <w:bookmarkEnd w:id="16"/>
      <w:bookmarkEnd w:id="17"/>
      <w:bookmarkEnd w:id="18"/>
      <w:r w:rsidRPr="00CC55D1">
        <w:t xml:space="preserve"> </w:t>
      </w:r>
    </w:p>
    <w:p w14:paraId="3B188FC4" w14:textId="5607D670" w:rsidR="00FE3DCE" w:rsidRPr="00CC55D1" w:rsidRDefault="00FE3DCE" w:rsidP="00FE3DCE">
      <w:r w:rsidRPr="00CC55D1">
        <w:t>We could seek to reduce emissions and improve the climate resilience of heritage places by:</w:t>
      </w:r>
    </w:p>
    <w:p w14:paraId="3850375B" w14:textId="05A90FBD" w:rsidR="00FE3DCE" w:rsidRPr="00CC55D1" w:rsidRDefault="00FE3DCE" w:rsidP="00FE3DCE">
      <w:pPr>
        <w:pStyle w:val="ListBullet"/>
      </w:pPr>
      <w:r w:rsidRPr="00CC55D1">
        <w:t>exploring an approach that considers the relationship between people, nature and design to deliver sustainable outcomes – see focus area 1</w:t>
      </w:r>
    </w:p>
    <w:p w14:paraId="78688023" w14:textId="33E82450" w:rsidR="00FE3DCE" w:rsidRPr="00CC55D1" w:rsidRDefault="00FE3DCE" w:rsidP="00FE3DCE">
      <w:pPr>
        <w:pStyle w:val="ListBullet"/>
      </w:pPr>
      <w:r w:rsidRPr="00CC55D1">
        <w:t>exploring flexibility in heritage controls to support building alterations for improved environmental performance, including the installation of visible solar panels without a permit</w:t>
      </w:r>
    </w:p>
    <w:p w14:paraId="5C08B600" w14:textId="37DABFFA" w:rsidR="00FE3DCE" w:rsidRPr="00CC55D1" w:rsidRDefault="00FE3DCE" w:rsidP="00FE3DCE">
      <w:pPr>
        <w:pStyle w:val="ListBullet"/>
      </w:pPr>
      <w:r w:rsidRPr="00CC55D1">
        <w:t>reviewing sustainability issues and appropriate policy responses for buildings from particular periods, such as post-war buildings</w:t>
      </w:r>
    </w:p>
    <w:p w14:paraId="553AFE6F" w14:textId="63A5DA87" w:rsidR="00FE3DCE" w:rsidRPr="00CC55D1" w:rsidRDefault="00FE3DCE" w:rsidP="00FE3DCE">
      <w:pPr>
        <w:pStyle w:val="ListBullet"/>
      </w:pPr>
      <w:r w:rsidRPr="00CC55D1">
        <w:t>considering how landscapes can be adapted for climate resilience by reflecting elements of the original Indigenous landscape</w:t>
      </w:r>
    </w:p>
    <w:p w14:paraId="533FB965" w14:textId="36877CF9" w:rsidR="00FE3DCE" w:rsidRPr="00CC55D1" w:rsidRDefault="00FE3DCE" w:rsidP="00FE3DCE">
      <w:pPr>
        <w:pStyle w:val="ListBullet"/>
      </w:pPr>
      <w:r w:rsidRPr="00CC55D1">
        <w:t xml:space="preserve">forming an advisory group to amplify the </w:t>
      </w:r>
      <w:hyperlink r:id="rId18" w:history="1">
        <w:r w:rsidRPr="00390696">
          <w:rPr>
            <w:rStyle w:val="Hyperlink"/>
            <w:szCs w:val="20"/>
            <w:lang w:val="en-AU"/>
          </w:rPr>
          <w:t>Retrofit Melbourne</w:t>
        </w:r>
      </w:hyperlink>
      <w:r w:rsidRPr="00CC55D1">
        <w:t xml:space="preserve"> plan and to provide education and support to address the specific challenges of retrofitting heritage buildings </w:t>
      </w:r>
    </w:p>
    <w:p w14:paraId="4EB8460F" w14:textId="73218DD0" w:rsidR="00FE3DCE" w:rsidRPr="00CC55D1" w:rsidRDefault="009B2D9C" w:rsidP="00FE3DCE">
      <w:pPr>
        <w:pStyle w:val="ListBullet"/>
      </w:pPr>
      <w:r>
        <w:rPr>
          <w:noProof/>
          <w:lang w:val="en-AU" w:eastAsia="en-AU"/>
        </w:rPr>
        <w:drawing>
          <wp:anchor distT="0" distB="0" distL="114300" distR="114300" simplePos="0" relativeHeight="251694080" behindDoc="0" locked="0" layoutInCell="1" allowOverlap="1" wp14:anchorId="0076E13D" wp14:editId="0287BB4E">
            <wp:simplePos x="0" y="0"/>
            <wp:positionH relativeFrom="margin">
              <wp:posOffset>-160020</wp:posOffset>
            </wp:positionH>
            <wp:positionV relativeFrom="margin">
              <wp:posOffset>3394710</wp:posOffset>
            </wp:positionV>
            <wp:extent cx="5949315" cy="4671060"/>
            <wp:effectExtent l="0" t="0" r="0" b="0"/>
            <wp:wrapSquare wrapText="bothSides"/>
            <wp:docPr id="666641338" name="Picture 1" descr="People on a gondala-like punt at the Royal Botanic Gardens, on a beautiful sunny day and with trees in the background." titl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641338" name="Picture 1"/>
                    <pic:cNvPicPr>
                      <a:picLocks/>
                    </pic:cNvPicPr>
                  </pic:nvPicPr>
                  <pic:blipFill>
                    <a:blip r:embed="rId19">
                      <a:extLst>
                        <a:ext uri="{28A0092B-C50C-407E-A947-70E740481C1C}">
                          <a14:useLocalDpi xmlns:a14="http://schemas.microsoft.com/office/drawing/2010/main" val="0"/>
                        </a:ext>
                      </a:extLst>
                    </a:blip>
                    <a:srcRect l="7280" r="7280"/>
                    <a:stretch>
                      <a:fillRect/>
                    </a:stretch>
                  </pic:blipFill>
                  <pic:spPr bwMode="auto">
                    <a:xfrm>
                      <a:off x="0" y="0"/>
                      <a:ext cx="5949315" cy="4671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3DCE" w:rsidRPr="00CC55D1">
        <w:t>advocating for the Victorian Government to deliver on its Built Environment Climate Change Adaptation Action Plan 2022-2026, which includes developing policies guiding the sensitive retrofitting of heritage buildings and adaptive reuse as an alternative to new construction</w:t>
      </w:r>
      <w:bookmarkStart w:id="19" w:name="_Toc152752260"/>
      <w:bookmarkStart w:id="20" w:name="_Toc154057763"/>
      <w:r w:rsidR="00390696">
        <w:t>.</w:t>
      </w:r>
    </w:p>
    <w:bookmarkEnd w:id="19"/>
    <w:bookmarkEnd w:id="20"/>
    <w:p w14:paraId="22EE3F07" w14:textId="5C542033" w:rsidR="00FE3DCE" w:rsidRPr="00AC5EE3" w:rsidRDefault="009B2D9C" w:rsidP="00AC5EE3">
      <w:pPr>
        <w:pStyle w:val="Caption"/>
        <w:rPr>
          <w:rFonts w:hint="eastAsia"/>
        </w:rPr>
      </w:pPr>
      <w:r>
        <w:t xml:space="preserve">Image </w:t>
      </w:r>
      <w:r w:rsidR="00FE3DCE">
        <w:t xml:space="preserve">13 People on a punt at the Royal Botanic Gardens </w:t>
      </w:r>
      <w:bookmarkStart w:id="21" w:name="_GoBack"/>
      <w:bookmarkEnd w:id="0"/>
      <w:bookmarkEnd w:id="1"/>
      <w:bookmarkEnd w:id="2"/>
      <w:bookmarkEnd w:id="3"/>
      <w:bookmarkEnd w:id="21"/>
    </w:p>
    <w:sectPr w:rsidR="00FE3DCE" w:rsidRPr="00AC5EE3" w:rsidSect="009B2D9C">
      <w:endnotePr>
        <w:numFmt w:val="decimal"/>
      </w:endnotePr>
      <w:pgSz w:w="11900" w:h="16840"/>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3B0544" w14:textId="77777777" w:rsidR="00B97343" w:rsidRDefault="00B97343" w:rsidP="00BC719D">
      <w:pPr>
        <w:spacing w:after="0"/>
      </w:pPr>
      <w:r>
        <w:separator/>
      </w:r>
    </w:p>
  </w:endnote>
  <w:endnote w:type="continuationSeparator" w:id="0">
    <w:p w14:paraId="15B38D48" w14:textId="77777777" w:rsidR="00B97343" w:rsidRDefault="00B97343"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C6AC3" w14:textId="77777777" w:rsidR="00B97343" w:rsidRDefault="00B97343" w:rsidP="00577A39">
      <w:pPr>
        <w:spacing w:after="40" w:line="240" w:lineRule="auto"/>
      </w:pPr>
      <w:r>
        <w:separator/>
      </w:r>
    </w:p>
  </w:footnote>
  <w:footnote w:type="continuationSeparator" w:id="0">
    <w:p w14:paraId="56927307" w14:textId="77777777" w:rsidR="00B97343" w:rsidRDefault="00B97343" w:rsidP="00EA2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110AF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A6C6C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E2CAA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A89D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0A0B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72C1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9D210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9E59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CE7D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12" w15:restartNumberingAfterBreak="0">
    <w:nsid w:val="1F357450"/>
    <w:multiLevelType w:val="hybridMultilevel"/>
    <w:tmpl w:val="FE1AD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14" w15:restartNumberingAfterBreak="0">
    <w:nsid w:val="2A2B5D1C"/>
    <w:multiLevelType w:val="multilevel"/>
    <w:tmpl w:val="16506B6C"/>
    <w:numStyleLink w:val="ListNumbers"/>
  </w:abstractNum>
  <w:abstractNum w:abstractNumId="15"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C10957"/>
    <w:multiLevelType w:val="multilevel"/>
    <w:tmpl w:val="16506B6C"/>
    <w:numStyleLink w:val="ListNumbers"/>
  </w:abstractNum>
  <w:abstractNum w:abstractNumId="17"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1209CA"/>
    <w:multiLevelType w:val="multilevel"/>
    <w:tmpl w:val="16506B6C"/>
    <w:numStyleLink w:val="ListNumbers"/>
  </w:abstractNum>
  <w:abstractNum w:abstractNumId="19" w15:restartNumberingAfterBreak="0">
    <w:nsid w:val="7A2C43DC"/>
    <w:multiLevelType w:val="multilevel"/>
    <w:tmpl w:val="16506B6C"/>
    <w:numStyleLink w:val="ListNumbers"/>
  </w:abstractNum>
  <w:abstractNum w:abstractNumId="20"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11"/>
  </w:num>
  <w:num w:numId="2">
    <w:abstractNumId w:val="13"/>
  </w:num>
  <w:num w:numId="3">
    <w:abstractNumId w:val="19"/>
  </w:num>
  <w:num w:numId="4">
    <w:abstractNumId w:val="0"/>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6"/>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5"/>
  </w:num>
  <w:num w:numId="13">
    <w:abstractNumId w:val="17"/>
  </w:num>
  <w:num w:numId="14">
    <w:abstractNumId w:val="20"/>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9"/>
  </w:num>
  <w:num w:numId="18">
    <w:abstractNumId w:val="8"/>
  </w:num>
  <w:num w:numId="19">
    <w:abstractNumId w:val="3"/>
  </w:num>
  <w:num w:numId="20">
    <w:abstractNumId w:val="7"/>
  </w:num>
  <w:num w:numId="21">
    <w:abstractNumId w:val="6"/>
  </w:num>
  <w:num w:numId="22">
    <w:abstractNumId w:val="5"/>
  </w:num>
  <w:num w:numId="23">
    <w:abstractNumId w:val="4"/>
  </w:num>
  <w:num w:numId="24">
    <w:abstractNumId w:val="1"/>
  </w:num>
  <w:num w:numId="2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0DA"/>
    <w:rsid w:val="00004E7E"/>
    <w:rsid w:val="00020B35"/>
    <w:rsid w:val="000437C5"/>
    <w:rsid w:val="000474AE"/>
    <w:rsid w:val="00071857"/>
    <w:rsid w:val="000A2BDA"/>
    <w:rsid w:val="000A48D5"/>
    <w:rsid w:val="000B5EAA"/>
    <w:rsid w:val="000F1E9C"/>
    <w:rsid w:val="000F3535"/>
    <w:rsid w:val="00190B0E"/>
    <w:rsid w:val="001B51BF"/>
    <w:rsid w:val="001F46B4"/>
    <w:rsid w:val="001F554D"/>
    <w:rsid w:val="002436A6"/>
    <w:rsid w:val="002438B7"/>
    <w:rsid w:val="0024773F"/>
    <w:rsid w:val="00263B05"/>
    <w:rsid w:val="002730DA"/>
    <w:rsid w:val="002D630D"/>
    <w:rsid w:val="002E4153"/>
    <w:rsid w:val="002F47B6"/>
    <w:rsid w:val="002F6A88"/>
    <w:rsid w:val="00334C74"/>
    <w:rsid w:val="003547EB"/>
    <w:rsid w:val="00380F44"/>
    <w:rsid w:val="00390696"/>
    <w:rsid w:val="00392688"/>
    <w:rsid w:val="003D63A8"/>
    <w:rsid w:val="003E3A9F"/>
    <w:rsid w:val="003E5082"/>
    <w:rsid w:val="00407429"/>
    <w:rsid w:val="00426584"/>
    <w:rsid w:val="00431D45"/>
    <w:rsid w:val="004564F4"/>
    <w:rsid w:val="00457042"/>
    <w:rsid w:val="00457113"/>
    <w:rsid w:val="004878DB"/>
    <w:rsid w:val="00493E0A"/>
    <w:rsid w:val="00494A2D"/>
    <w:rsid w:val="004A26E3"/>
    <w:rsid w:val="004D00DD"/>
    <w:rsid w:val="004E1ECE"/>
    <w:rsid w:val="004F54F5"/>
    <w:rsid w:val="00535159"/>
    <w:rsid w:val="0053666A"/>
    <w:rsid w:val="005620A0"/>
    <w:rsid w:val="00562392"/>
    <w:rsid w:val="0056634E"/>
    <w:rsid w:val="0057264C"/>
    <w:rsid w:val="00577A39"/>
    <w:rsid w:val="005814F5"/>
    <w:rsid w:val="005D30BA"/>
    <w:rsid w:val="005F4391"/>
    <w:rsid w:val="0068168F"/>
    <w:rsid w:val="00687D4A"/>
    <w:rsid w:val="006A2F63"/>
    <w:rsid w:val="006A3718"/>
    <w:rsid w:val="006C7F7B"/>
    <w:rsid w:val="007053C5"/>
    <w:rsid w:val="00712950"/>
    <w:rsid w:val="00714FB7"/>
    <w:rsid w:val="00715B3E"/>
    <w:rsid w:val="0073401D"/>
    <w:rsid w:val="007361D8"/>
    <w:rsid w:val="00737A99"/>
    <w:rsid w:val="00782E37"/>
    <w:rsid w:val="007A0AA6"/>
    <w:rsid w:val="007E291E"/>
    <w:rsid w:val="007F0661"/>
    <w:rsid w:val="007F38F9"/>
    <w:rsid w:val="00800FE0"/>
    <w:rsid w:val="00802A52"/>
    <w:rsid w:val="00806F0F"/>
    <w:rsid w:val="00831224"/>
    <w:rsid w:val="00850D66"/>
    <w:rsid w:val="00855F84"/>
    <w:rsid w:val="00881C97"/>
    <w:rsid w:val="0089241A"/>
    <w:rsid w:val="008A7AC1"/>
    <w:rsid w:val="008D2DDA"/>
    <w:rsid w:val="008E2476"/>
    <w:rsid w:val="009043FC"/>
    <w:rsid w:val="009050C6"/>
    <w:rsid w:val="0091365A"/>
    <w:rsid w:val="00951A78"/>
    <w:rsid w:val="00955E32"/>
    <w:rsid w:val="0096339E"/>
    <w:rsid w:val="0096419C"/>
    <w:rsid w:val="0097181E"/>
    <w:rsid w:val="00990B3C"/>
    <w:rsid w:val="009B2D9C"/>
    <w:rsid w:val="009D1FBA"/>
    <w:rsid w:val="009F4681"/>
    <w:rsid w:val="00A01D13"/>
    <w:rsid w:val="00A121B3"/>
    <w:rsid w:val="00A32553"/>
    <w:rsid w:val="00A56E86"/>
    <w:rsid w:val="00A639D0"/>
    <w:rsid w:val="00A64200"/>
    <w:rsid w:val="00A8651A"/>
    <w:rsid w:val="00A908C5"/>
    <w:rsid w:val="00AA4303"/>
    <w:rsid w:val="00AB6132"/>
    <w:rsid w:val="00AC4B01"/>
    <w:rsid w:val="00AC5EE3"/>
    <w:rsid w:val="00AD2B6E"/>
    <w:rsid w:val="00AE737B"/>
    <w:rsid w:val="00AF02E0"/>
    <w:rsid w:val="00B152AF"/>
    <w:rsid w:val="00B53D5A"/>
    <w:rsid w:val="00B61F7F"/>
    <w:rsid w:val="00B93B1F"/>
    <w:rsid w:val="00B97343"/>
    <w:rsid w:val="00BC5E8E"/>
    <w:rsid w:val="00BC719D"/>
    <w:rsid w:val="00BE100F"/>
    <w:rsid w:val="00BE1269"/>
    <w:rsid w:val="00BE4B49"/>
    <w:rsid w:val="00BE6801"/>
    <w:rsid w:val="00C0291B"/>
    <w:rsid w:val="00C05740"/>
    <w:rsid w:val="00C07190"/>
    <w:rsid w:val="00C14F9F"/>
    <w:rsid w:val="00C2007C"/>
    <w:rsid w:val="00C37F6A"/>
    <w:rsid w:val="00C42412"/>
    <w:rsid w:val="00C464C0"/>
    <w:rsid w:val="00C73DA2"/>
    <w:rsid w:val="00CA3730"/>
    <w:rsid w:val="00CB6145"/>
    <w:rsid w:val="00CC65F0"/>
    <w:rsid w:val="00CD382D"/>
    <w:rsid w:val="00D00427"/>
    <w:rsid w:val="00D014D2"/>
    <w:rsid w:val="00D02C4A"/>
    <w:rsid w:val="00D206C9"/>
    <w:rsid w:val="00D77363"/>
    <w:rsid w:val="00DE2953"/>
    <w:rsid w:val="00E4646D"/>
    <w:rsid w:val="00E5089C"/>
    <w:rsid w:val="00E86DCD"/>
    <w:rsid w:val="00E94A1C"/>
    <w:rsid w:val="00EA2130"/>
    <w:rsid w:val="00EC4AF9"/>
    <w:rsid w:val="00ED7629"/>
    <w:rsid w:val="00EF11AE"/>
    <w:rsid w:val="00F03DF7"/>
    <w:rsid w:val="00F07FBE"/>
    <w:rsid w:val="00F24B46"/>
    <w:rsid w:val="00F4048D"/>
    <w:rsid w:val="00F41FC6"/>
    <w:rsid w:val="00F61B69"/>
    <w:rsid w:val="00F63593"/>
    <w:rsid w:val="00F83261"/>
    <w:rsid w:val="00FA2DFF"/>
    <w:rsid w:val="00FC6D23"/>
    <w:rsid w:val="00FE3DCE"/>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482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3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link w:val="CaptionChar"/>
    <w:uiPriority w:val="99"/>
    <w:qFormat/>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styleId="CommentReference">
    <w:name w:val="annotation reference"/>
    <w:basedOn w:val="DefaultParagraphFont"/>
    <w:semiHidden/>
    <w:unhideWhenUsed/>
    <w:rsid w:val="00CC65F0"/>
    <w:rPr>
      <w:sz w:val="16"/>
      <w:szCs w:val="16"/>
    </w:rPr>
  </w:style>
  <w:style w:type="paragraph" w:styleId="CommentText">
    <w:name w:val="annotation text"/>
    <w:basedOn w:val="Normal"/>
    <w:link w:val="CommentTextChar"/>
    <w:semiHidden/>
    <w:unhideWhenUsed/>
    <w:rsid w:val="00CC65F0"/>
    <w:pPr>
      <w:spacing w:line="240" w:lineRule="auto"/>
    </w:pPr>
    <w:rPr>
      <w:szCs w:val="20"/>
    </w:rPr>
  </w:style>
  <w:style w:type="character" w:customStyle="1" w:styleId="CommentTextChar">
    <w:name w:val="Comment Text Char"/>
    <w:basedOn w:val="DefaultParagraphFont"/>
    <w:link w:val="CommentText"/>
    <w:semiHidden/>
    <w:rsid w:val="00CC65F0"/>
    <w:rPr>
      <w:rFonts w:ascii="Arial" w:hAnsi="Arial"/>
      <w:lang w:eastAsia="en-US"/>
    </w:rPr>
  </w:style>
  <w:style w:type="paragraph" w:styleId="CommentSubject">
    <w:name w:val="annotation subject"/>
    <w:basedOn w:val="CommentText"/>
    <w:next w:val="CommentText"/>
    <w:link w:val="CommentSubjectChar"/>
    <w:semiHidden/>
    <w:unhideWhenUsed/>
    <w:rsid w:val="00CC65F0"/>
    <w:rPr>
      <w:b/>
      <w:bCs/>
    </w:rPr>
  </w:style>
  <w:style w:type="character" w:customStyle="1" w:styleId="CommentSubjectChar">
    <w:name w:val="Comment Subject Char"/>
    <w:basedOn w:val="CommentTextChar"/>
    <w:link w:val="CommentSubject"/>
    <w:semiHidden/>
    <w:rsid w:val="00CC65F0"/>
    <w:rPr>
      <w:rFonts w:ascii="Arial" w:hAnsi="Arial"/>
      <w:b/>
      <w:bCs/>
      <w:lang w:eastAsia="en-US"/>
    </w:rPr>
  </w:style>
  <w:style w:type="paragraph" w:customStyle="1" w:styleId="Heading1NonTOC">
    <w:name w:val="Heading 1 NonTOC"/>
    <w:basedOn w:val="Heading1"/>
    <w:uiPriority w:val="1"/>
    <w:qFormat/>
    <w:rsid w:val="00CC65F0"/>
    <w:pPr>
      <w:keepNext/>
      <w:keepLines/>
      <w:spacing w:before="0" w:after="170" w:line="300" w:lineRule="atLeast"/>
    </w:pPr>
    <w:rPr>
      <w:rFonts w:asciiTheme="majorHAnsi" w:eastAsiaTheme="majorEastAsia" w:hAnsiTheme="majorHAnsi" w:cstheme="majorBidi"/>
      <w:b/>
      <w:bCs w:val="0"/>
      <w:color w:val="000000" w:themeColor="text1"/>
      <w:spacing w:val="-10"/>
      <w:sz w:val="32"/>
      <w:lang w:val="en-AU"/>
    </w:rPr>
  </w:style>
  <w:style w:type="character" w:customStyle="1" w:styleId="CaptionChar">
    <w:name w:val="Caption Char"/>
    <w:basedOn w:val="DefaultParagraphFont"/>
    <w:link w:val="Caption"/>
    <w:uiPriority w:val="99"/>
    <w:rsid w:val="00CC65F0"/>
    <w:rPr>
      <w:rFonts w:ascii="Arial Bold" w:hAnsi="Arial Bold"/>
      <w:b/>
      <w:bCs/>
      <w:szCs w:val="18"/>
      <w:lang w:eastAsia="en-US"/>
    </w:rPr>
  </w:style>
  <w:style w:type="table" w:customStyle="1" w:styleId="TableCOM">
    <w:name w:val="Table_COM"/>
    <w:basedOn w:val="TableNormal"/>
    <w:uiPriority w:val="99"/>
    <w:rsid w:val="00CC65F0"/>
    <w:rPr>
      <w:rFonts w:asciiTheme="minorHAnsi" w:eastAsiaTheme="minorEastAsia" w:hAnsiTheme="minorHAnsi"/>
      <w:color w:val="000000" w:themeColor="text1"/>
      <w:lang w:eastAsia="en-US"/>
    </w:rPr>
    <w:tblPr>
      <w:tblStyleRowBandSize w:val="1"/>
      <w:tblStyleColBandSize w:val="1"/>
      <w:tblBorders>
        <w:top w:val="single" w:sz="4" w:space="0" w:color="4F81BD" w:themeColor="accent1"/>
        <w:bottom w:val="single" w:sz="4" w:space="0" w:color="4F81BD" w:themeColor="accent1"/>
        <w:insideH w:val="single" w:sz="4" w:space="0" w:color="4F81BD" w:themeColor="accent1"/>
      </w:tblBorders>
      <w:tblCellMar>
        <w:top w:w="57" w:type="dxa"/>
        <w:left w:w="57" w:type="dxa"/>
        <w:bottom w:w="57" w:type="dxa"/>
        <w:right w:w="57" w:type="dxa"/>
      </w:tblCellMar>
    </w:tblPr>
    <w:trPr>
      <w:cantSplit/>
    </w:trPr>
    <w:tblStylePr w:type="firstRow">
      <w:pPr>
        <w:jc w:val="left"/>
      </w:pPr>
      <w:rPr>
        <w:rFonts w:asciiTheme="minorHAnsi" w:hAnsiTheme="minorHAnsi"/>
        <w:b/>
        <w:color w:val="FFFFFF"/>
        <w:sz w:val="24"/>
      </w:rPr>
      <w:tblPr/>
      <w:trPr>
        <w:cantSplit w:val="0"/>
        <w:tblHeader/>
      </w:trPr>
      <w:tcPr>
        <w:shd w:val="clear" w:color="auto" w:fill="4F81BD" w:themeFill="accent1"/>
      </w:tcPr>
    </w:tblStylePr>
    <w:tblStylePr w:type="lastRow">
      <w:rPr>
        <w:b/>
        <w:color w:val="000000" w:themeColor="text1"/>
      </w:rPr>
      <w:tblPr/>
      <w:tcPr>
        <w:tcBorders>
          <w:top w:val="single" w:sz="4" w:space="0" w:color="E4E1DD"/>
          <w:left w:val="nil"/>
          <w:bottom w:val="single" w:sz="4" w:space="0" w:color="E4E1DD"/>
          <w:right w:val="nil"/>
          <w:insideH w:val="nil"/>
          <w:insideV w:val="nil"/>
          <w:tl2br w:val="nil"/>
          <w:tr2bl w:val="nil"/>
        </w:tcBorders>
        <w:shd w:val="clear" w:color="auto" w:fill="E4E1DD"/>
      </w:tcPr>
    </w:tblStylePr>
    <w:tblStylePr w:type="firstCol">
      <w:rPr>
        <w:b w:val="0"/>
        <w:color w:val="000000" w:themeColor="text1"/>
      </w:rPr>
      <w:tblPr/>
      <w:tcPr>
        <w:shd w:val="clear" w:color="auto" w:fill="8064A2" w:themeFill="accent4"/>
      </w:tcPr>
    </w:tblStylePr>
    <w:tblStylePr w:type="lastCol">
      <w:pPr>
        <w:jc w:val="right"/>
      </w:pPr>
      <w:rPr>
        <w:b/>
      </w:rPr>
      <w:tblPr/>
      <w:tcPr>
        <w:shd w:val="clear" w:color="auto" w:fill="E4E1DD"/>
      </w:tcPr>
    </w:tblStylePr>
  </w:style>
  <w:style w:type="table" w:customStyle="1" w:styleId="TableGrid21">
    <w:name w:val="Table Grid21"/>
    <w:basedOn w:val="TableNormal"/>
    <w:next w:val="TableGrid"/>
    <w:uiPriority w:val="39"/>
    <w:rsid w:val="00A64200"/>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64200"/>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908C5"/>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1E9C"/>
    <w:pPr>
      <w:autoSpaceDE w:val="0"/>
      <w:autoSpaceDN w:val="0"/>
      <w:adjustRightInd w:val="0"/>
    </w:pPr>
    <w:rPr>
      <w:rFonts w:ascii="Calibri" w:eastAsiaTheme="minorHAnsi" w:hAnsi="Calibri" w:cs="Calibri"/>
      <w:color w:val="000000"/>
      <w:sz w:val="24"/>
      <w:szCs w:val="24"/>
      <w:lang w:eastAsia="en-US"/>
    </w:rPr>
  </w:style>
  <w:style w:type="table" w:customStyle="1" w:styleId="TableGrid11">
    <w:name w:val="Table Grid11"/>
    <w:basedOn w:val="TableNormal"/>
    <w:next w:val="TableGrid"/>
    <w:uiPriority w:val="39"/>
    <w:rsid w:val="000F1E9C"/>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E3DCE"/>
    <w:rPr>
      <w:rFonts w:asciiTheme="minorHAnsi" w:eastAsia="Calibri" w:hAnsiTheme="minorHAns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Text">
    <w:name w:val="Intro Text"/>
    <w:basedOn w:val="Normal"/>
    <w:next w:val="Normal"/>
    <w:uiPriority w:val="5"/>
    <w:qFormat/>
    <w:rsid w:val="00FE3DCE"/>
    <w:pPr>
      <w:adjustRightInd w:val="0"/>
      <w:snapToGrid w:val="0"/>
      <w:spacing w:after="160" w:line="320" w:lineRule="atLeast"/>
    </w:pPr>
    <w:rPr>
      <w:rFonts w:asciiTheme="minorHAnsi" w:eastAsiaTheme="minorEastAsia" w:hAnsiTheme="minorHAnsi"/>
      <w:color w:val="4F81BD" w:themeColor="accent1"/>
      <w:sz w:val="24"/>
      <w:szCs w:val="20"/>
    </w:rPr>
  </w:style>
  <w:style w:type="paragraph" w:styleId="NormalWeb">
    <w:name w:val="Normal (Web)"/>
    <w:basedOn w:val="Normal"/>
    <w:uiPriority w:val="99"/>
    <w:unhideWhenUsed/>
    <w:rsid w:val="00FE3DCE"/>
    <w:pPr>
      <w:spacing w:before="100" w:beforeAutospacing="1" w:after="100" w:afterAutospacing="1" w:line="240" w:lineRule="auto"/>
    </w:pPr>
    <w:rPr>
      <w:rFonts w:ascii="Times New Roman" w:eastAsia="Times New Roman" w:hAnsi="Times New Roman"/>
      <w:sz w:val="24"/>
      <w:lang w:eastAsia="en-AU"/>
    </w:rPr>
  </w:style>
  <w:style w:type="paragraph" w:styleId="BodyText">
    <w:name w:val="Body Text"/>
    <w:basedOn w:val="Normal"/>
    <w:link w:val="BodyTextChar"/>
    <w:uiPriority w:val="1"/>
    <w:qFormat/>
    <w:rsid w:val="00C464C0"/>
    <w:pPr>
      <w:widowControl w:val="0"/>
      <w:autoSpaceDE w:val="0"/>
      <w:autoSpaceDN w:val="0"/>
      <w:spacing w:after="0" w:line="240" w:lineRule="auto"/>
    </w:pPr>
    <w:rPr>
      <w:rFonts w:eastAsia="Arial" w:cs="Arial"/>
      <w:sz w:val="24"/>
      <w:lang w:val="en-US"/>
    </w:rPr>
  </w:style>
  <w:style w:type="character" w:customStyle="1" w:styleId="BodyTextChar">
    <w:name w:val="Body Text Char"/>
    <w:basedOn w:val="DefaultParagraphFont"/>
    <w:link w:val="BodyText"/>
    <w:uiPriority w:val="1"/>
    <w:rsid w:val="00C464C0"/>
    <w:rPr>
      <w:rFonts w:ascii="Arial" w:eastAsia="Arial" w:hAnsi="Arial" w:cs="Arial"/>
      <w:sz w:val="24"/>
      <w:szCs w:val="24"/>
      <w:lang w:val="en-US" w:eastAsia="en-US"/>
    </w:rPr>
  </w:style>
  <w:style w:type="paragraph" w:customStyle="1" w:styleId="paragraph">
    <w:name w:val="paragraph"/>
    <w:basedOn w:val="Normal"/>
    <w:rsid w:val="007F38F9"/>
    <w:pPr>
      <w:spacing w:before="100" w:beforeAutospacing="1" w:after="100" w:afterAutospacing="1" w:line="240" w:lineRule="auto"/>
    </w:pPr>
    <w:rPr>
      <w:rFonts w:ascii="Times New Roman" w:eastAsia="Times New Roman" w:hAnsi="Times New Roman"/>
      <w:sz w:val="24"/>
      <w:lang w:eastAsia="en-AU"/>
    </w:rPr>
  </w:style>
  <w:style w:type="character" w:customStyle="1" w:styleId="normaltextrun">
    <w:name w:val="normaltextrun"/>
    <w:basedOn w:val="DefaultParagraphFont"/>
    <w:rsid w:val="007F38F9"/>
  </w:style>
  <w:style w:type="character" w:customStyle="1" w:styleId="eop">
    <w:name w:val="eop"/>
    <w:basedOn w:val="DefaultParagraphFont"/>
    <w:rsid w:val="007F38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880846">
      <w:bodyDiv w:val="1"/>
      <w:marLeft w:val="0"/>
      <w:marRight w:val="0"/>
      <w:marTop w:val="0"/>
      <w:marBottom w:val="0"/>
      <w:divBdr>
        <w:top w:val="none" w:sz="0" w:space="0" w:color="auto"/>
        <w:left w:val="none" w:sz="0" w:space="0" w:color="auto"/>
        <w:bottom w:val="none" w:sz="0" w:space="0" w:color="auto"/>
        <w:right w:val="none" w:sz="0" w:space="0" w:color="auto"/>
      </w:divBdr>
      <w:divsChild>
        <w:div w:id="857936646">
          <w:marLeft w:val="0"/>
          <w:marRight w:val="0"/>
          <w:marTop w:val="0"/>
          <w:marBottom w:val="0"/>
          <w:divBdr>
            <w:top w:val="none" w:sz="0" w:space="0" w:color="auto"/>
            <w:left w:val="none" w:sz="0" w:space="0" w:color="auto"/>
            <w:bottom w:val="none" w:sz="0" w:space="0" w:color="auto"/>
            <w:right w:val="none" w:sz="0" w:space="0" w:color="auto"/>
          </w:divBdr>
        </w:div>
        <w:div w:id="1403990174">
          <w:marLeft w:val="0"/>
          <w:marRight w:val="0"/>
          <w:marTop w:val="0"/>
          <w:marBottom w:val="0"/>
          <w:divBdr>
            <w:top w:val="none" w:sz="0" w:space="0" w:color="auto"/>
            <w:left w:val="none" w:sz="0" w:space="0" w:color="auto"/>
            <w:bottom w:val="none" w:sz="0" w:space="0" w:color="auto"/>
            <w:right w:val="none" w:sz="0" w:space="0" w:color="auto"/>
          </w:divBdr>
        </w:div>
        <w:div w:id="1004357939">
          <w:marLeft w:val="0"/>
          <w:marRight w:val="0"/>
          <w:marTop w:val="0"/>
          <w:marBottom w:val="0"/>
          <w:divBdr>
            <w:top w:val="none" w:sz="0" w:space="0" w:color="auto"/>
            <w:left w:val="none" w:sz="0" w:space="0" w:color="auto"/>
            <w:bottom w:val="none" w:sz="0" w:space="0" w:color="auto"/>
            <w:right w:val="none" w:sz="0" w:space="0" w:color="auto"/>
          </w:divBdr>
        </w:div>
        <w:div w:id="1465463189">
          <w:marLeft w:val="0"/>
          <w:marRight w:val="0"/>
          <w:marTop w:val="0"/>
          <w:marBottom w:val="0"/>
          <w:divBdr>
            <w:top w:val="none" w:sz="0" w:space="0" w:color="auto"/>
            <w:left w:val="none" w:sz="0" w:space="0" w:color="auto"/>
            <w:bottom w:val="none" w:sz="0" w:space="0" w:color="auto"/>
            <w:right w:val="none" w:sz="0" w:space="0" w:color="auto"/>
          </w:divBdr>
        </w:div>
        <w:div w:id="1110474160">
          <w:marLeft w:val="0"/>
          <w:marRight w:val="0"/>
          <w:marTop w:val="0"/>
          <w:marBottom w:val="0"/>
          <w:divBdr>
            <w:top w:val="none" w:sz="0" w:space="0" w:color="auto"/>
            <w:left w:val="none" w:sz="0" w:space="0" w:color="auto"/>
            <w:bottom w:val="none" w:sz="0" w:space="0" w:color="auto"/>
            <w:right w:val="none" w:sz="0" w:space="0" w:color="auto"/>
          </w:divBdr>
        </w:div>
        <w:div w:id="124394225">
          <w:marLeft w:val="0"/>
          <w:marRight w:val="0"/>
          <w:marTop w:val="0"/>
          <w:marBottom w:val="0"/>
          <w:divBdr>
            <w:top w:val="none" w:sz="0" w:space="0" w:color="auto"/>
            <w:left w:val="none" w:sz="0" w:space="0" w:color="auto"/>
            <w:bottom w:val="none" w:sz="0" w:space="0" w:color="auto"/>
            <w:right w:val="none" w:sz="0" w:space="0" w:color="auto"/>
          </w:divBdr>
        </w:div>
        <w:div w:id="624576877">
          <w:marLeft w:val="0"/>
          <w:marRight w:val="0"/>
          <w:marTop w:val="0"/>
          <w:marBottom w:val="0"/>
          <w:divBdr>
            <w:top w:val="none" w:sz="0" w:space="0" w:color="auto"/>
            <w:left w:val="none" w:sz="0" w:space="0" w:color="auto"/>
            <w:bottom w:val="none" w:sz="0" w:space="0" w:color="auto"/>
            <w:right w:val="none" w:sz="0" w:space="0" w:color="auto"/>
          </w:divBdr>
        </w:div>
        <w:div w:id="1750999665">
          <w:marLeft w:val="0"/>
          <w:marRight w:val="0"/>
          <w:marTop w:val="0"/>
          <w:marBottom w:val="0"/>
          <w:divBdr>
            <w:top w:val="none" w:sz="0" w:space="0" w:color="auto"/>
            <w:left w:val="none" w:sz="0" w:space="0" w:color="auto"/>
            <w:bottom w:val="none" w:sz="0" w:space="0" w:color="auto"/>
            <w:right w:val="none" w:sz="0" w:space="0" w:color="auto"/>
          </w:divBdr>
        </w:div>
        <w:div w:id="1368214367">
          <w:marLeft w:val="0"/>
          <w:marRight w:val="0"/>
          <w:marTop w:val="0"/>
          <w:marBottom w:val="0"/>
          <w:divBdr>
            <w:top w:val="none" w:sz="0" w:space="0" w:color="auto"/>
            <w:left w:val="none" w:sz="0" w:space="0" w:color="auto"/>
            <w:bottom w:val="none" w:sz="0" w:space="0" w:color="auto"/>
            <w:right w:val="none" w:sz="0" w:space="0" w:color="auto"/>
          </w:divBdr>
        </w:div>
        <w:div w:id="349916282">
          <w:marLeft w:val="0"/>
          <w:marRight w:val="0"/>
          <w:marTop w:val="0"/>
          <w:marBottom w:val="0"/>
          <w:divBdr>
            <w:top w:val="none" w:sz="0" w:space="0" w:color="auto"/>
            <w:left w:val="none" w:sz="0" w:space="0" w:color="auto"/>
            <w:bottom w:val="none" w:sz="0" w:space="0" w:color="auto"/>
            <w:right w:val="none" w:sz="0" w:space="0" w:color="auto"/>
          </w:divBdr>
        </w:div>
        <w:div w:id="307364453">
          <w:marLeft w:val="0"/>
          <w:marRight w:val="0"/>
          <w:marTop w:val="0"/>
          <w:marBottom w:val="0"/>
          <w:divBdr>
            <w:top w:val="none" w:sz="0" w:space="0" w:color="auto"/>
            <w:left w:val="none" w:sz="0" w:space="0" w:color="auto"/>
            <w:bottom w:val="none" w:sz="0" w:space="0" w:color="auto"/>
            <w:right w:val="none" w:sz="0" w:space="0" w:color="auto"/>
          </w:divBdr>
        </w:div>
        <w:div w:id="1722368370">
          <w:marLeft w:val="0"/>
          <w:marRight w:val="0"/>
          <w:marTop w:val="0"/>
          <w:marBottom w:val="0"/>
          <w:divBdr>
            <w:top w:val="none" w:sz="0" w:space="0" w:color="auto"/>
            <w:left w:val="none" w:sz="0" w:space="0" w:color="auto"/>
            <w:bottom w:val="none" w:sz="0" w:space="0" w:color="auto"/>
            <w:right w:val="none" w:sz="0" w:space="0" w:color="auto"/>
          </w:divBdr>
        </w:div>
        <w:div w:id="1081485531">
          <w:marLeft w:val="0"/>
          <w:marRight w:val="0"/>
          <w:marTop w:val="0"/>
          <w:marBottom w:val="0"/>
          <w:divBdr>
            <w:top w:val="none" w:sz="0" w:space="0" w:color="auto"/>
            <w:left w:val="none" w:sz="0" w:space="0" w:color="auto"/>
            <w:bottom w:val="none" w:sz="0" w:space="0" w:color="auto"/>
            <w:right w:val="none" w:sz="0" w:space="0" w:color="auto"/>
          </w:divBdr>
        </w:div>
        <w:div w:id="1833642063">
          <w:marLeft w:val="0"/>
          <w:marRight w:val="0"/>
          <w:marTop w:val="0"/>
          <w:marBottom w:val="0"/>
          <w:divBdr>
            <w:top w:val="none" w:sz="0" w:space="0" w:color="auto"/>
            <w:left w:val="none" w:sz="0" w:space="0" w:color="auto"/>
            <w:bottom w:val="none" w:sz="0" w:space="0" w:color="auto"/>
            <w:right w:val="none" w:sz="0" w:space="0" w:color="auto"/>
          </w:divBdr>
        </w:div>
        <w:div w:id="1673876098">
          <w:marLeft w:val="0"/>
          <w:marRight w:val="0"/>
          <w:marTop w:val="0"/>
          <w:marBottom w:val="0"/>
          <w:divBdr>
            <w:top w:val="none" w:sz="0" w:space="0" w:color="auto"/>
            <w:left w:val="none" w:sz="0" w:space="0" w:color="auto"/>
            <w:bottom w:val="none" w:sz="0" w:space="0" w:color="auto"/>
            <w:right w:val="none" w:sz="0" w:space="0" w:color="auto"/>
          </w:divBdr>
        </w:div>
        <w:div w:id="1704667291">
          <w:marLeft w:val="0"/>
          <w:marRight w:val="0"/>
          <w:marTop w:val="0"/>
          <w:marBottom w:val="0"/>
          <w:divBdr>
            <w:top w:val="none" w:sz="0" w:space="0" w:color="auto"/>
            <w:left w:val="none" w:sz="0" w:space="0" w:color="auto"/>
            <w:bottom w:val="none" w:sz="0" w:space="0" w:color="auto"/>
            <w:right w:val="none" w:sz="0" w:space="0" w:color="auto"/>
          </w:divBdr>
        </w:div>
        <w:div w:id="1286037944">
          <w:marLeft w:val="0"/>
          <w:marRight w:val="0"/>
          <w:marTop w:val="0"/>
          <w:marBottom w:val="0"/>
          <w:divBdr>
            <w:top w:val="none" w:sz="0" w:space="0" w:color="auto"/>
            <w:left w:val="none" w:sz="0" w:space="0" w:color="auto"/>
            <w:bottom w:val="none" w:sz="0" w:space="0" w:color="auto"/>
            <w:right w:val="none" w:sz="0" w:space="0" w:color="auto"/>
          </w:divBdr>
        </w:div>
        <w:div w:id="16011519">
          <w:marLeft w:val="0"/>
          <w:marRight w:val="0"/>
          <w:marTop w:val="0"/>
          <w:marBottom w:val="0"/>
          <w:divBdr>
            <w:top w:val="none" w:sz="0" w:space="0" w:color="auto"/>
            <w:left w:val="none" w:sz="0" w:space="0" w:color="auto"/>
            <w:bottom w:val="none" w:sz="0" w:space="0" w:color="auto"/>
            <w:right w:val="none" w:sz="0" w:space="0" w:color="auto"/>
          </w:divBdr>
        </w:div>
        <w:div w:id="1953512709">
          <w:marLeft w:val="0"/>
          <w:marRight w:val="0"/>
          <w:marTop w:val="0"/>
          <w:marBottom w:val="0"/>
          <w:divBdr>
            <w:top w:val="none" w:sz="0" w:space="0" w:color="auto"/>
            <w:left w:val="none" w:sz="0" w:space="0" w:color="auto"/>
            <w:bottom w:val="none" w:sz="0" w:space="0" w:color="auto"/>
            <w:right w:val="none" w:sz="0" w:space="0" w:color="auto"/>
          </w:divBdr>
        </w:div>
        <w:div w:id="1879585994">
          <w:marLeft w:val="0"/>
          <w:marRight w:val="0"/>
          <w:marTop w:val="0"/>
          <w:marBottom w:val="0"/>
          <w:divBdr>
            <w:top w:val="none" w:sz="0" w:space="0" w:color="auto"/>
            <w:left w:val="none" w:sz="0" w:space="0" w:color="auto"/>
            <w:bottom w:val="none" w:sz="0" w:space="0" w:color="auto"/>
            <w:right w:val="none" w:sz="0" w:space="0" w:color="auto"/>
          </w:divBdr>
        </w:div>
        <w:div w:id="987321187">
          <w:marLeft w:val="0"/>
          <w:marRight w:val="0"/>
          <w:marTop w:val="0"/>
          <w:marBottom w:val="0"/>
          <w:divBdr>
            <w:top w:val="none" w:sz="0" w:space="0" w:color="auto"/>
            <w:left w:val="none" w:sz="0" w:space="0" w:color="auto"/>
            <w:bottom w:val="none" w:sz="0" w:space="0" w:color="auto"/>
            <w:right w:val="none" w:sz="0" w:space="0" w:color="auto"/>
          </w:divBdr>
        </w:div>
        <w:div w:id="530338616">
          <w:marLeft w:val="0"/>
          <w:marRight w:val="0"/>
          <w:marTop w:val="0"/>
          <w:marBottom w:val="0"/>
          <w:divBdr>
            <w:top w:val="none" w:sz="0" w:space="0" w:color="auto"/>
            <w:left w:val="none" w:sz="0" w:space="0" w:color="auto"/>
            <w:bottom w:val="none" w:sz="0" w:space="0" w:color="auto"/>
            <w:right w:val="none" w:sz="0" w:space="0" w:color="auto"/>
          </w:divBdr>
        </w:div>
        <w:div w:id="1033965687">
          <w:marLeft w:val="0"/>
          <w:marRight w:val="0"/>
          <w:marTop w:val="0"/>
          <w:marBottom w:val="0"/>
          <w:divBdr>
            <w:top w:val="none" w:sz="0" w:space="0" w:color="auto"/>
            <w:left w:val="none" w:sz="0" w:space="0" w:color="auto"/>
            <w:bottom w:val="none" w:sz="0" w:space="0" w:color="auto"/>
            <w:right w:val="none" w:sz="0" w:space="0" w:color="auto"/>
          </w:divBdr>
        </w:div>
        <w:div w:id="702941186">
          <w:marLeft w:val="0"/>
          <w:marRight w:val="0"/>
          <w:marTop w:val="0"/>
          <w:marBottom w:val="0"/>
          <w:divBdr>
            <w:top w:val="none" w:sz="0" w:space="0" w:color="auto"/>
            <w:left w:val="none" w:sz="0" w:space="0" w:color="auto"/>
            <w:bottom w:val="none" w:sz="0" w:space="0" w:color="auto"/>
            <w:right w:val="none" w:sz="0" w:space="0" w:color="auto"/>
          </w:divBdr>
        </w:div>
      </w:divsChild>
    </w:div>
    <w:div w:id="18200032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melbourne.vic.gov.au/about-council/vision-goals/eco-city/Pages/climate-change-adaptation-strategy.aspx" TargetMode="External"/><Relationship Id="rId18" Type="http://schemas.openxmlformats.org/officeDocument/2006/relationships/hyperlink" Target="https://www.melbourne.vic.gov.au/SiteCollectionDocuments/retrofit-melbourne.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melbourne.vic.gov.au/about-council/vision-goals/eco-city/climate-change/Pages/taking-action-climate-change.aspx"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www.melbourne.vic.gov.au/SiteCollectionDocuments/retrofit-melbourne.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cityoflondon.gov.uk/assets/Services-Environment/heritage-building-retrofit-toolkit-overview.pdf" TargetMode="External"/><Relationship Id="rId10" Type="http://schemas.openxmlformats.org/officeDocument/2006/relationships/footnotes" Target="footnotes.xml"/><Relationship Id="rId19"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eritagecouncil.vic.gov.au/heritage-protection/heritage-and-climate-chang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804f86b-3500-4658-8c9d-99491f71a5e9">TTF2X4MEUN6D-1188005670-5793</_dlc_DocId>
    <_dlc_DocIdUrl xmlns="d804f86b-3500-4658-8c9d-99491f71a5e9">
      <Url>https://cityofmelbourne.sharepoint.com/sites/commdev/_layouts/15/DocIdRedir.aspx?ID=TTF2X4MEUN6D-1188005670-5793</Url>
      <Description>TTF2X4MEUN6D-1188005670-5793</Description>
    </_dlc_DocIdUrl>
    <TaxCatchAll xmlns="d804f86b-3500-4658-8c9d-99491f71a5e9" xsi:nil="true"/>
    <lcf76f155ced4ddcb4097134ff3c332f xmlns="531ef6e2-70fa-40e1-a679-bf11f9e73731">
      <Terms xmlns="http://schemas.microsoft.com/office/infopath/2007/PartnerControls"/>
    </lcf76f155ced4ddcb4097134ff3c332f>
    <Status xmlns="531ef6e2-70fa-40e1-a679-bf11f9e73731">In draft</Status>
    <DMNumber xmlns="491ff62d-a7a6-430f-a269-6b34253625c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CD_CEI" ma:contentTypeID="0x0101001681DE773557C544A14A6F647A4C536F002F04C4E57AADE049924F3D286AD729A7" ma:contentTypeVersion="29" ma:contentTypeDescription="Community Development - Community Engagement &amp; Impact Team" ma:contentTypeScope="" ma:versionID="8a2f56db54c76c48b7e4831319ed83ab">
  <xsd:schema xmlns:xsd="http://www.w3.org/2001/XMLSchema" xmlns:xs="http://www.w3.org/2001/XMLSchema" xmlns:p="http://schemas.microsoft.com/office/2006/metadata/properties" xmlns:ns2="d804f86b-3500-4658-8c9d-99491f71a5e9" xmlns:ns3="491ff62d-a7a6-430f-a269-6b34253625ce" xmlns:ns4="531ef6e2-70fa-40e1-a679-bf11f9e73731" targetNamespace="http://schemas.microsoft.com/office/2006/metadata/properties" ma:root="true" ma:fieldsID="c94d4df8821e45a5233a44f73b8e25e1" ns2:_="" ns3:_="" ns4:_="">
    <xsd:import namespace="d804f86b-3500-4658-8c9d-99491f71a5e9"/>
    <xsd:import namespace="491ff62d-a7a6-430f-a269-6b34253625ce"/>
    <xsd:import namespace="531ef6e2-70fa-40e1-a679-bf11f9e73731"/>
    <xsd:element name="properties">
      <xsd:complexType>
        <xsd:sequence>
          <xsd:element name="documentManagement">
            <xsd:complexType>
              <xsd:all>
                <xsd:element ref="ns2:_dlc_DocId" minOccurs="0"/>
                <xsd:element ref="ns2:_dlc_DocIdUrl" minOccurs="0"/>
                <xsd:element ref="ns2:_dlc_DocIdPersistId" minOccurs="0"/>
                <xsd:element ref="ns3:DMNumber" minOccurs="0"/>
                <xsd:element ref="ns4:Status" minOccurs="0"/>
                <xsd:element ref="ns4:MediaServiceMetadata" minOccurs="0"/>
                <xsd:element ref="ns4:MediaServiceFastMetadata" minOccurs="0"/>
                <xsd:element ref="ns2:SharedWithUsers" minOccurs="0"/>
                <xsd:element ref="ns2:SharedWithDetail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lcf76f155ced4ddcb4097134ff3c332f" minOccurs="0"/>
                <xsd:element ref="ns2:TaxCatchAll" minOccurs="0"/>
                <xsd:element ref="ns4:MediaServiceDateTaken" minOccurs="0"/>
                <xsd:element ref="ns4:MediaServiceLocatio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4f86b-3500-4658-8c9d-99491f71a5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e042a0c-27d5-4ef1-8195-6757b5e09b69}" ma:internalName="TaxCatchAll" ma:showField="CatchAllData" ma:web="d804f86b-3500-4658-8c9d-99491f71a5e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1ff62d-a7a6-430f-a269-6b34253625ce" elementFormDefault="qualified">
    <xsd:import namespace="http://schemas.microsoft.com/office/2006/documentManagement/types"/>
    <xsd:import namespace="http://schemas.microsoft.com/office/infopath/2007/PartnerControls"/>
    <xsd:element name="DMNumber" ma:index="11" nillable="true" ma:displayName="DM Number" ma:internalName="DM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1ef6e2-70fa-40e1-a679-bf11f9e73731" elementFormDefault="qualified">
    <xsd:import namespace="http://schemas.microsoft.com/office/2006/documentManagement/types"/>
    <xsd:import namespace="http://schemas.microsoft.com/office/infopath/2007/PartnerControls"/>
    <xsd:element name="Status" ma:index="13" nillable="true" ma:displayName="Status" ma:default="In draft" ma:format="Dropdown" ma:internalName="Status">
      <xsd:simpleType>
        <xsd:restriction base="dms:Choice">
          <xsd:enumeration value="In draft"/>
          <xsd:enumeration value="Completed"/>
          <xsd:enumeration value="Archive"/>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DateTaken" ma:index="27" nillable="true" ma:displayName="MediaServiceDateTaken" ma:hidden="true" ma:internalName="MediaServiceDateTaken" ma:readOnly="true">
      <xsd:simpleType>
        <xsd:restriction base="dms:Text"/>
      </xsd:simple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9E752-73BC-4BE1-B5D5-197ED0F76A2E}">
  <ds:schemaRefs>
    <ds:schemaRef ds:uri="http://purl.org/dc/elements/1.1/"/>
    <ds:schemaRef ds:uri="http://schemas.microsoft.com/office/2006/metadata/properties"/>
    <ds:schemaRef ds:uri="253cde96-7448-48f6-98b0-4f47319cbe02"/>
    <ds:schemaRef ds:uri="1ef61637-bdcb-4156-91bc-9b3008928da0"/>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60C832F8-A1B4-419A-BA46-144D022F5514}"/>
</file>

<file path=customXml/itemProps3.xml><?xml version="1.0" encoding="utf-8"?>
<ds:datastoreItem xmlns:ds="http://schemas.openxmlformats.org/officeDocument/2006/customXml" ds:itemID="{7C8AAC91-920C-4CE4-A5BF-C576D8DDD43E}">
  <ds:schemaRefs>
    <ds:schemaRef ds:uri="http://schemas.microsoft.com/sharepoint/events"/>
  </ds:schemaRefs>
</ds:datastoreItem>
</file>

<file path=customXml/itemProps4.xml><?xml version="1.0" encoding="utf-8"?>
<ds:datastoreItem xmlns:ds="http://schemas.openxmlformats.org/officeDocument/2006/customXml" ds:itemID="{B4E04957-4B61-43B7-A4EE-C71C246BD6BB}">
  <ds:schemaRefs>
    <ds:schemaRef ds:uri="http://schemas.microsoft.com/sharepoint/v3/contenttype/forms"/>
  </ds:schemaRefs>
</ds:datastoreItem>
</file>

<file path=customXml/itemProps5.xml><?xml version="1.0" encoding="utf-8"?>
<ds:datastoreItem xmlns:ds="http://schemas.openxmlformats.org/officeDocument/2006/customXml" ds:itemID="{B7B48ABB-2F7F-4D20-A570-D02012960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2</Pages>
  <Words>742</Words>
  <Characters>4233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2024-02-06T09:22:00Z</dcterms:created>
  <dcterms:modified xsi:type="dcterms:W3CDTF">2024-02-06T09:31:00Z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0x0101001681DE773557C544A14A6F647A4C536F002F04C4E57AADE049924F3D286AD729A7</vt:lpwstr>
  </property>
  <property fmtid="{D5CDD505-2E9C-101B-9397-08002B2CF9AE}" pid="3" name="_dlc_DocIdItemGuid">
    <vt:lpwstr>f40412a4-265e-455b-8a90-fa5ce92e90a5</vt:lpwstr>
  </property>
  <property fmtid="{D5CDD505-2E9C-101B-9397-08002B2CF9AE}" pid="4" name="eDOCS AutoSave">
    <vt:lpwstr>20240206202859079</vt:lpwstr>
  </property>
  <property fmtid="{D5CDD505-2E9C-101B-9397-08002B2CF9AE}" pid="5" name="MediaServiceImageTags">
    <vt:lpwstr/>
  </property>
</Properties>
</file>